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60"/>
        </w:tabs>
        <w:snapToGrid w:val="0"/>
        <w:spacing w:before="0" w:after="0" w:line="560" w:lineRule="exact"/>
        <w:ind w:left="0" w:right="0"/>
        <w:jc w:val="center"/>
      </w:pPr>
    </w:p>
    <w:p>
      <w:pPr>
        <w:tabs>
          <w:tab w:val="left" w:pos="7560"/>
        </w:tabs>
        <w:snapToGrid w:val="0"/>
        <w:spacing w:before="0" w:after="0" w:line="560" w:lineRule="exact"/>
        <w:ind w:left="0" w:right="0"/>
        <w:jc w:val="center"/>
      </w:pPr>
    </w:p>
    <w:p>
      <w:pPr>
        <w:tabs>
          <w:tab w:val="left" w:pos="7560"/>
        </w:tabs>
        <w:snapToGrid w:val="0"/>
        <w:spacing w:before="0" w:after="0" w:line="560" w:lineRule="exact"/>
        <w:ind w:left="0" w:right="0"/>
        <w:jc w:val="center"/>
      </w:pPr>
    </w:p>
    <w:p>
      <w:pPr>
        <w:tabs>
          <w:tab w:val="left" w:pos="7560"/>
        </w:tabs>
        <w:snapToGrid w:val="0"/>
        <w:spacing w:before="0" w:after="0" w:line="240" w:lineRule="auto"/>
        <w:ind w:left="0" w:right="0"/>
        <w:jc w:val="center"/>
        <w:rPr>
          <w:rFonts w:ascii="方正小标宋简体" w:hAnsi="方正小标宋简体" w:eastAsia="方正小标宋简体" w:cs="方正小标宋简体"/>
          <w:i w:val="0"/>
          <w:strike w:val="0"/>
          <w:color w:val="000000"/>
          <w:sz w:val="84"/>
          <w:u w:val="none"/>
        </w:rPr>
      </w:pPr>
      <w:r>
        <w:rPr>
          <w:rFonts w:ascii="方正小标宋简体" w:hAnsi="方正小标宋简体" w:eastAsia="方正小标宋简体" w:cs="方正小标宋简体"/>
          <w:i w:val="0"/>
          <w:strike w:val="0"/>
          <w:color w:val="000000"/>
          <w:sz w:val="84"/>
          <w:u w:val="none"/>
        </w:rPr>
        <w:t>炎陵县图书馆</w:t>
      </w:r>
    </w:p>
    <w:p>
      <w:pPr>
        <w:snapToGrid w:val="0"/>
        <w:spacing w:before="0" w:after="0" w:line="240" w:lineRule="auto"/>
        <w:ind w:left="0" w:right="0"/>
        <w:jc w:val="center"/>
      </w:pPr>
      <w:r>
        <w:rPr>
          <w:rFonts w:ascii="方正小标宋简体" w:hAnsi="方正小标宋简体" w:eastAsia="方正小标宋简体" w:cs="方正小标宋简体"/>
          <w:i w:val="0"/>
          <w:strike w:val="0"/>
          <w:color w:val="000000"/>
          <w:sz w:val="84"/>
          <w:u w:val="none"/>
        </w:rPr>
        <w:t>2022年部门预算</w:t>
      </w:r>
    </w:p>
    <w:p>
      <w:pPr>
        <w:tabs>
          <w:tab w:val="left" w:pos="7560"/>
        </w:tabs>
        <w:snapToGrid w:val="0"/>
        <w:spacing w:before="0" w:after="0" w:line="560" w:lineRule="exact"/>
        <w:ind w:left="0" w:right="0"/>
        <w:jc w:val="left"/>
      </w:pPr>
    </w:p>
    <w:p>
      <w:pPr>
        <w:tabs>
          <w:tab w:val="left" w:pos="7560"/>
        </w:tabs>
        <w:snapToGrid w:val="0"/>
        <w:spacing w:before="0" w:after="0" w:line="560" w:lineRule="exact"/>
        <w:ind w:left="0" w:right="0"/>
        <w:jc w:val="left"/>
      </w:pPr>
    </w:p>
    <w:p>
      <w:pPr>
        <w:tabs>
          <w:tab w:val="left" w:pos="7560"/>
        </w:tabs>
        <w:snapToGrid w:val="0"/>
        <w:spacing w:before="0" w:after="0" w:line="560" w:lineRule="exact"/>
        <w:ind w:left="0" w:right="0"/>
        <w:jc w:val="left"/>
      </w:pPr>
    </w:p>
    <w:p>
      <w:pPr>
        <w:tabs>
          <w:tab w:val="left" w:pos="7560"/>
        </w:tabs>
        <w:snapToGrid w:val="0"/>
        <w:spacing w:before="0" w:after="0" w:line="560" w:lineRule="exact"/>
        <w:ind w:left="0" w:right="0"/>
        <w:jc w:val="left"/>
      </w:pPr>
    </w:p>
    <w:p>
      <w:pPr>
        <w:tabs>
          <w:tab w:val="left" w:pos="7560"/>
        </w:tabs>
        <w:snapToGrid w:val="0"/>
        <w:spacing w:before="0" w:after="0" w:line="560" w:lineRule="exact"/>
        <w:ind w:left="0" w:right="0"/>
        <w:jc w:val="left"/>
      </w:pPr>
    </w:p>
    <w:p>
      <w:pPr>
        <w:tabs>
          <w:tab w:val="left" w:pos="7560"/>
        </w:tabs>
        <w:snapToGrid w:val="0"/>
        <w:spacing w:before="0" w:after="0" w:line="560" w:lineRule="exact"/>
        <w:ind w:left="0" w:right="0"/>
        <w:jc w:val="left"/>
      </w:pPr>
    </w:p>
    <w:p>
      <w:pPr>
        <w:tabs>
          <w:tab w:val="left" w:pos="7560"/>
        </w:tabs>
        <w:snapToGrid w:val="0"/>
        <w:spacing w:before="0" w:after="0" w:line="560" w:lineRule="exact"/>
        <w:ind w:left="0" w:right="0"/>
        <w:jc w:val="left"/>
      </w:pPr>
    </w:p>
    <w:p>
      <w:pPr>
        <w:tabs>
          <w:tab w:val="left" w:pos="7560"/>
        </w:tabs>
        <w:snapToGrid w:val="0"/>
        <w:spacing w:before="0" w:after="0" w:line="560" w:lineRule="exact"/>
        <w:ind w:left="0" w:right="0"/>
        <w:jc w:val="left"/>
      </w:pPr>
    </w:p>
    <w:p>
      <w:pPr>
        <w:tabs>
          <w:tab w:val="left" w:pos="7560"/>
        </w:tabs>
        <w:snapToGrid w:val="0"/>
        <w:spacing w:before="0" w:after="0" w:line="560" w:lineRule="exact"/>
        <w:ind w:left="0" w:right="0"/>
        <w:jc w:val="left"/>
      </w:pPr>
    </w:p>
    <w:p>
      <w:pPr>
        <w:tabs>
          <w:tab w:val="left" w:pos="7560"/>
        </w:tabs>
        <w:snapToGrid w:val="0"/>
        <w:spacing w:before="0" w:after="0" w:line="560" w:lineRule="exact"/>
        <w:ind w:left="0" w:right="0" w:firstLine="4800" w:firstLineChars="1500"/>
        <w:jc w:val="both"/>
      </w:pPr>
      <w:r>
        <w:rPr>
          <w:rFonts w:ascii="黑体" w:hAnsi="黑体" w:eastAsia="黑体" w:cs="黑体"/>
          <w:i w:val="0"/>
          <w:strike w:val="0"/>
          <w:color w:val="000000"/>
          <w:sz w:val="32"/>
          <w:u w:val="none"/>
        </w:rPr>
        <w:t>目</w:t>
      </w:r>
      <w:r>
        <w:rPr>
          <w:rFonts w:ascii="Times New Roman" w:hAnsi="Times New Roman" w:eastAsia="Times New Roman" w:cs="Times New Roman"/>
          <w:i w:val="0"/>
          <w:strike w:val="0"/>
          <w:color w:val="000000"/>
          <w:sz w:val="32"/>
          <w:u w:val="none"/>
        </w:rPr>
        <w:t xml:space="preserve">  </w:t>
      </w:r>
      <w:r>
        <w:rPr>
          <w:rFonts w:ascii="黑体" w:hAnsi="黑体" w:eastAsia="黑体" w:cs="黑体"/>
          <w:i w:val="0"/>
          <w:strike w:val="0"/>
          <w:color w:val="000000"/>
          <w:sz w:val="32"/>
          <w:u w:val="none"/>
        </w:rPr>
        <w:t>录</w:t>
      </w:r>
    </w:p>
    <w:p>
      <w:pPr>
        <w:tabs>
          <w:tab w:val="left" w:pos="7560"/>
        </w:tabs>
        <w:snapToGrid w:val="0"/>
        <w:spacing w:before="0" w:after="0" w:line="560" w:lineRule="exact"/>
        <w:ind w:left="0" w:right="0" w:firstLine="643" w:firstLineChars="200"/>
        <w:jc w:val="both"/>
      </w:pPr>
      <w:r>
        <w:rPr>
          <w:rFonts w:ascii="仿宋_GB2312" w:hAnsi="仿宋_GB2312" w:eastAsia="仿宋_GB2312" w:cs="仿宋_GB2312"/>
          <w:b/>
          <w:i w:val="0"/>
          <w:strike w:val="0"/>
          <w:color w:val="000000"/>
          <w:sz w:val="32"/>
          <w:u w:val="none"/>
        </w:rPr>
        <w:t>第一部分</w:t>
      </w:r>
      <w:r>
        <w:rPr>
          <w:rFonts w:ascii="Times New Roman" w:hAnsi="Times New Roman" w:eastAsia="Times New Roman" w:cs="Times New Roman"/>
          <w:b/>
          <w:i w:val="0"/>
          <w:strike w:val="0"/>
          <w:color w:val="000000"/>
          <w:sz w:val="32"/>
          <w:u w:val="none"/>
        </w:rPr>
        <w:t xml:space="preserve"> </w:t>
      </w:r>
      <w:r>
        <w:rPr>
          <w:rFonts w:ascii="仿宋_GB2312" w:hAnsi="仿宋_GB2312" w:eastAsia="仿宋_GB2312" w:cs="仿宋_GB2312"/>
          <w:b/>
          <w:i w:val="0"/>
          <w:strike w:val="0"/>
          <w:color w:val="000000"/>
          <w:sz w:val="32"/>
          <w:u w:val="none"/>
        </w:rPr>
        <w:t>部门预算公开说明</w:t>
      </w:r>
    </w:p>
    <w:p>
      <w:pPr>
        <w:tabs>
          <w:tab w:val="left" w:pos="7560"/>
        </w:tabs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一、部门职能职责</w:t>
      </w:r>
    </w:p>
    <w:p>
      <w:pPr>
        <w:tabs>
          <w:tab w:val="left" w:pos="7560"/>
        </w:tabs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二、机构设置</w:t>
      </w:r>
    </w:p>
    <w:p>
      <w:pPr>
        <w:tabs>
          <w:tab w:val="left" w:pos="7560"/>
        </w:tabs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三、部门预算单位构成</w:t>
      </w:r>
    </w:p>
    <w:p>
      <w:pPr>
        <w:tabs>
          <w:tab w:val="left" w:pos="7560"/>
        </w:tabs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四、部门收支总体情况</w:t>
      </w:r>
    </w:p>
    <w:p>
      <w:pPr>
        <w:tabs>
          <w:tab w:val="left" w:pos="7560"/>
        </w:tabs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（一）收入预算</w:t>
      </w:r>
    </w:p>
    <w:p>
      <w:pPr>
        <w:tabs>
          <w:tab w:val="left" w:pos="7560"/>
        </w:tabs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（二）支出预算</w:t>
      </w:r>
    </w:p>
    <w:p>
      <w:pPr>
        <w:tabs>
          <w:tab w:val="left" w:pos="7560"/>
        </w:tabs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（三）预算收支增减变化情况说明</w:t>
      </w:r>
    </w:p>
    <w:p>
      <w:pPr>
        <w:tabs>
          <w:tab w:val="left" w:pos="7560"/>
        </w:tabs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五、一般公共预算拨款支出预算</w:t>
      </w:r>
    </w:p>
    <w:p>
      <w:pPr>
        <w:tabs>
          <w:tab w:val="left" w:pos="7560"/>
        </w:tabs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（一）人员类支出</w:t>
      </w:r>
    </w:p>
    <w:p>
      <w:pPr>
        <w:tabs>
          <w:tab w:val="left" w:pos="7560"/>
        </w:tabs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（二）运转类支出</w:t>
      </w:r>
    </w:p>
    <w:p>
      <w:pPr>
        <w:tabs>
          <w:tab w:val="left" w:pos="7560"/>
        </w:tabs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（三）特定目标类支出</w:t>
      </w:r>
    </w:p>
    <w:p>
      <w:pPr>
        <w:tabs>
          <w:tab w:val="left" w:pos="7560"/>
        </w:tabs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六、政府性基金预算支出</w:t>
      </w:r>
    </w:p>
    <w:p>
      <w:pPr>
        <w:tabs>
          <w:tab w:val="left" w:pos="7560"/>
        </w:tabs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七、其他重要事项情况说明</w:t>
      </w:r>
    </w:p>
    <w:p>
      <w:pPr>
        <w:tabs>
          <w:tab w:val="left" w:pos="7560"/>
        </w:tabs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（一）机关运行经费</w:t>
      </w:r>
    </w:p>
    <w:p>
      <w:pPr>
        <w:tabs>
          <w:tab w:val="left" w:pos="7560"/>
        </w:tabs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（二）政府采购预算</w:t>
      </w:r>
    </w:p>
    <w:p>
      <w:pPr>
        <w:tabs>
          <w:tab w:val="left" w:pos="7560"/>
        </w:tabs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（三）国有资产占有情况</w:t>
      </w:r>
    </w:p>
    <w:p>
      <w:pPr>
        <w:tabs>
          <w:tab w:val="left" w:pos="7560"/>
        </w:tabs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（四）预算绩效目标</w:t>
      </w:r>
    </w:p>
    <w:p>
      <w:pPr>
        <w:tabs>
          <w:tab w:val="left" w:pos="7560"/>
        </w:tabs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（五）一般公共预算</w:t>
      </w:r>
      <w:r>
        <w:rPr>
          <w:rFonts w:ascii="Times New Roman" w:hAnsi="Times New Roman" w:eastAsia="Times New Roman" w:cs="Times New Roman"/>
          <w:i w:val="0"/>
          <w:strike w:val="0"/>
          <w:color w:val="000000"/>
          <w:sz w:val="32"/>
          <w:u w:val="none"/>
        </w:rPr>
        <w:t>“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三公</w:t>
      </w:r>
      <w:r>
        <w:rPr>
          <w:rFonts w:ascii="Times New Roman" w:hAnsi="Times New Roman" w:eastAsia="Times New Roman" w:cs="Times New Roman"/>
          <w:i w:val="0"/>
          <w:strike w:val="0"/>
          <w:color w:val="000000"/>
          <w:sz w:val="32"/>
          <w:u w:val="none"/>
        </w:rPr>
        <w:t>”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经费预算</w:t>
      </w:r>
    </w:p>
    <w:p>
      <w:pPr>
        <w:tabs>
          <w:tab w:val="left" w:pos="7560"/>
        </w:tabs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（六）会议费、培训费</w:t>
      </w:r>
    </w:p>
    <w:p>
      <w:pPr>
        <w:tabs>
          <w:tab w:val="left" w:pos="7560"/>
        </w:tabs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（七）其他事项</w:t>
      </w:r>
    </w:p>
    <w:p>
      <w:pPr>
        <w:tabs>
          <w:tab w:val="left" w:pos="7560"/>
        </w:tabs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八、名词解释</w:t>
      </w:r>
    </w:p>
    <w:p>
      <w:pPr>
        <w:tabs>
          <w:tab w:val="left" w:pos="7560"/>
        </w:tabs>
        <w:snapToGrid w:val="0"/>
        <w:spacing w:before="0" w:after="0" w:line="560" w:lineRule="exact"/>
        <w:ind w:left="0" w:right="0" w:firstLine="643" w:firstLineChars="200"/>
        <w:jc w:val="both"/>
      </w:pPr>
      <w:r>
        <w:rPr>
          <w:rFonts w:ascii="仿宋_GB2312" w:hAnsi="仿宋_GB2312" w:eastAsia="仿宋_GB2312" w:cs="仿宋_GB2312"/>
          <w:b/>
          <w:i w:val="0"/>
          <w:strike w:val="0"/>
          <w:color w:val="000000"/>
          <w:sz w:val="32"/>
          <w:u w:val="none"/>
        </w:rPr>
        <w:t>第二部分</w:t>
      </w:r>
      <w:r>
        <w:rPr>
          <w:rFonts w:ascii="Times New Roman" w:hAnsi="Times New Roman" w:eastAsia="Times New Roman" w:cs="Times New Roman"/>
          <w:b/>
          <w:i w:val="0"/>
          <w:strike w:val="0"/>
          <w:color w:val="000000"/>
          <w:sz w:val="32"/>
          <w:u w:val="none"/>
        </w:rPr>
        <w:t xml:space="preserve"> </w:t>
      </w:r>
      <w:r>
        <w:rPr>
          <w:rFonts w:ascii="仿宋_GB2312" w:hAnsi="仿宋_GB2312" w:eastAsia="仿宋_GB2312" w:cs="仿宋_GB2312"/>
          <w:b/>
          <w:i w:val="0"/>
          <w:strike w:val="0"/>
          <w:color w:val="000000"/>
          <w:sz w:val="32"/>
          <w:u w:val="none"/>
        </w:rPr>
        <w:t>部门预算公开表格</w:t>
      </w:r>
    </w:p>
    <w:p>
      <w:pPr>
        <w:snapToGrid/>
        <w:spacing w:before="0" w:after="0" w:line="560" w:lineRule="exact"/>
        <w:ind w:left="0" w:right="0" w:firstLine="42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（一）收支总表</w:t>
      </w:r>
    </w:p>
    <w:p>
      <w:pPr>
        <w:snapToGrid/>
        <w:spacing w:before="0" w:after="0" w:line="560" w:lineRule="exact"/>
        <w:ind w:left="0" w:right="0" w:firstLine="42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（二）收入总表</w:t>
      </w:r>
    </w:p>
    <w:p>
      <w:pPr>
        <w:snapToGrid/>
        <w:spacing w:before="0" w:after="0" w:line="560" w:lineRule="exact"/>
        <w:ind w:left="0" w:right="0" w:firstLine="42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（三）支出总表</w:t>
      </w:r>
    </w:p>
    <w:p>
      <w:pPr>
        <w:snapToGrid/>
        <w:spacing w:before="0" w:after="0" w:line="560" w:lineRule="exact"/>
        <w:ind w:left="0" w:right="0" w:firstLine="42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（四）支出分类(政府预算)</w:t>
      </w:r>
    </w:p>
    <w:p>
      <w:pPr>
        <w:snapToGrid/>
        <w:spacing w:before="0" w:after="0" w:line="560" w:lineRule="exact"/>
        <w:ind w:left="0" w:right="0" w:firstLine="420"/>
        <w:jc w:val="both"/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（五）一般公共预算基本支出情况表</w:t>
      </w:r>
    </w:p>
    <w:p>
      <w:pPr>
        <w:snapToGrid/>
        <w:spacing w:before="0" w:after="0" w:line="560" w:lineRule="exact"/>
        <w:ind w:left="0" w:right="0" w:firstLine="420"/>
        <w:jc w:val="both"/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（六）财政拨款收支总表</w:t>
      </w:r>
    </w:p>
    <w:p>
      <w:pPr>
        <w:snapToGrid/>
        <w:spacing w:before="0" w:after="0" w:line="560" w:lineRule="exact"/>
        <w:ind w:left="0" w:right="0" w:firstLine="42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（七）一般公共预算支出表</w:t>
      </w:r>
    </w:p>
    <w:p>
      <w:pPr>
        <w:snapToGrid/>
        <w:spacing w:before="0" w:after="0" w:line="560" w:lineRule="exact"/>
        <w:ind w:left="0" w:right="0" w:firstLine="42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（八）一般公共预算基本支出表--人员经费(工资福利支出)(按政府预算经济分类)</w:t>
      </w:r>
    </w:p>
    <w:p>
      <w:pPr>
        <w:snapToGrid/>
        <w:spacing w:before="0" w:after="0" w:line="560" w:lineRule="exact"/>
        <w:ind w:left="0" w:right="0" w:firstLine="42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（九）一般公共预算基本支出情况表（按经济性质分类-工资福利）</w:t>
      </w:r>
    </w:p>
    <w:p>
      <w:pPr>
        <w:snapToGrid/>
        <w:spacing w:before="0" w:after="0" w:line="560" w:lineRule="exact"/>
        <w:ind w:left="0" w:right="0" w:firstLine="42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（十）一般公共预算基本支出表--人员经费(对个人和家庭的补助)(按政府预算经济分类)</w:t>
      </w:r>
    </w:p>
    <w:p>
      <w:pPr>
        <w:snapToGrid/>
        <w:spacing w:before="0" w:after="0" w:line="560" w:lineRule="exact"/>
        <w:ind w:left="0" w:right="0" w:firstLine="42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（十一）一般公共预算基本支出情况表（按经济性质分类-个人家庭）</w:t>
      </w:r>
    </w:p>
    <w:p>
      <w:pPr>
        <w:snapToGrid/>
        <w:spacing w:before="0" w:after="0" w:line="560" w:lineRule="exact"/>
        <w:ind w:left="0" w:right="0" w:firstLine="42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（十二）一般公共预算基本支出表--公用经费(商品和服务支出)（按政府预算经济分类）</w:t>
      </w:r>
    </w:p>
    <w:p>
      <w:pPr>
        <w:snapToGrid/>
        <w:spacing w:before="0" w:after="0" w:line="560" w:lineRule="exact"/>
        <w:ind w:left="0" w:right="0" w:firstLine="42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（十三）一般公共预算基本支出情况表（按经济性质分类-商品服务）</w:t>
      </w:r>
    </w:p>
    <w:p>
      <w:pPr>
        <w:snapToGrid/>
        <w:spacing w:before="0" w:after="0" w:line="560" w:lineRule="exact"/>
        <w:ind w:left="0" w:right="0" w:firstLine="42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（十四）一般公共预算“三公”经费支出表</w:t>
      </w:r>
    </w:p>
    <w:p>
      <w:pPr>
        <w:snapToGrid/>
        <w:spacing w:before="0" w:after="0" w:line="560" w:lineRule="exact"/>
        <w:ind w:left="0" w:right="0" w:firstLine="42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（十五）政府性基金预算支出表</w:t>
      </w:r>
    </w:p>
    <w:p>
      <w:pPr>
        <w:snapToGrid/>
        <w:spacing w:before="0" w:after="0" w:line="560" w:lineRule="exact"/>
        <w:ind w:left="0" w:right="0" w:firstLine="42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（十六）政府性基金预算支出分类汇总表（按政府预算经济分类）</w:t>
      </w:r>
    </w:p>
    <w:p>
      <w:pPr>
        <w:snapToGrid/>
        <w:spacing w:before="0" w:after="0" w:line="560" w:lineRule="exact"/>
        <w:ind w:left="0" w:right="0" w:firstLine="42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（十七）政府性基金预算支出分类汇总表（按部门预算经济分类）</w:t>
      </w:r>
    </w:p>
    <w:p>
      <w:pPr>
        <w:snapToGrid/>
        <w:spacing w:before="0" w:after="0" w:line="560" w:lineRule="exact"/>
        <w:ind w:left="0" w:right="0" w:firstLine="42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（十八）国有资本经营预算支出表</w:t>
      </w:r>
    </w:p>
    <w:p>
      <w:pPr>
        <w:snapToGrid/>
        <w:spacing w:before="0" w:after="0" w:line="560" w:lineRule="exact"/>
        <w:ind w:left="0" w:right="0" w:firstLine="42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（十九）财政专户管理资金预算支出表</w:t>
      </w:r>
    </w:p>
    <w:p>
      <w:pPr>
        <w:snapToGrid/>
        <w:spacing w:before="0" w:after="0" w:line="560" w:lineRule="exact"/>
        <w:ind w:left="0" w:right="0" w:firstLine="42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（二十）专项资金预算汇总表</w:t>
      </w:r>
    </w:p>
    <w:p>
      <w:pPr>
        <w:snapToGrid/>
        <w:spacing w:before="0" w:after="0" w:line="560" w:lineRule="exact"/>
        <w:ind w:left="0" w:right="0" w:firstLine="42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（二十一）项目支出绩效目标表</w:t>
      </w:r>
    </w:p>
    <w:p>
      <w:pPr>
        <w:snapToGrid/>
        <w:spacing w:before="0" w:after="0" w:line="560" w:lineRule="exact"/>
        <w:ind w:left="0" w:right="0" w:firstLine="42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（二十二）整体支出绩效目标表</w:t>
      </w:r>
    </w:p>
    <w:p>
      <w:pPr>
        <w:tabs>
          <w:tab w:val="left" w:pos="7560"/>
        </w:tabs>
        <w:snapToGrid w:val="0"/>
        <w:spacing w:before="0" w:after="0" w:line="560" w:lineRule="exact"/>
        <w:ind w:left="0" w:right="0"/>
        <w:jc w:val="both"/>
      </w:pPr>
    </w:p>
    <w:p>
      <w:pPr>
        <w:tabs>
          <w:tab w:val="left" w:pos="7560"/>
        </w:tabs>
        <w:snapToGrid w:val="0"/>
        <w:spacing w:before="0" w:after="0" w:line="560" w:lineRule="exact"/>
        <w:ind w:left="0" w:right="0" w:firstLineChars="0"/>
        <w:jc w:val="both"/>
      </w:pPr>
    </w:p>
    <w:p>
      <w:pPr>
        <w:tabs>
          <w:tab w:val="left" w:pos="7560"/>
        </w:tabs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黑体" w:hAnsi="黑体" w:eastAsia="黑体" w:cs="黑体"/>
          <w:i w:val="0"/>
          <w:strike w:val="0"/>
          <w:color w:val="000000"/>
          <w:sz w:val="32"/>
          <w:u w:val="none"/>
        </w:rPr>
        <w:t>第一部分：</w:t>
      </w:r>
    </w:p>
    <w:p>
      <w:pPr>
        <w:tabs>
          <w:tab w:val="left" w:pos="7560"/>
        </w:tabs>
        <w:snapToGrid w:val="0"/>
        <w:spacing w:before="0" w:after="0" w:line="560" w:lineRule="exact"/>
        <w:ind w:left="0" w:right="0"/>
        <w:jc w:val="both"/>
      </w:pPr>
    </w:p>
    <w:p>
      <w:pPr>
        <w:tabs>
          <w:tab w:val="left" w:pos="7560"/>
        </w:tabs>
        <w:snapToGrid w:val="0"/>
        <w:spacing w:before="0" w:after="0" w:line="560" w:lineRule="exact"/>
        <w:ind w:left="0" w:right="0" w:firstLine="880" w:firstLineChars="200"/>
        <w:jc w:val="both"/>
      </w:pPr>
      <w:r>
        <w:rPr>
          <w:rFonts w:ascii="方正小标宋简体" w:hAnsi="方正小标宋简体" w:eastAsia="方正小标宋简体" w:cs="方正小标宋简体"/>
          <w:i w:val="0"/>
          <w:strike w:val="0"/>
          <w:color w:val="000000"/>
          <w:sz w:val="44"/>
          <w:u w:val="none"/>
        </w:rPr>
        <w:t>炎陵县图书馆</w:t>
      </w:r>
      <w:r>
        <w:rPr>
          <w:rFonts w:ascii="Times New Roman" w:hAnsi="Times New Roman" w:eastAsia="Times New Roman" w:cs="Times New Roman"/>
          <w:i w:val="0"/>
          <w:strike w:val="0"/>
          <w:color w:val="000000"/>
          <w:sz w:val="44"/>
          <w:u w:val="none"/>
        </w:rPr>
        <w:t>2022</w:t>
      </w:r>
      <w:r>
        <w:rPr>
          <w:rFonts w:ascii="方正小标宋简体" w:hAnsi="方正小标宋简体" w:eastAsia="方正小标宋简体" w:cs="方正小标宋简体"/>
          <w:i w:val="0"/>
          <w:strike w:val="0"/>
          <w:color w:val="000000"/>
          <w:sz w:val="44"/>
          <w:u w:val="none"/>
        </w:rPr>
        <w:t>年部门预算说明</w:t>
      </w:r>
    </w:p>
    <w:p>
      <w:pPr>
        <w:tabs>
          <w:tab w:val="left" w:pos="7560"/>
        </w:tabs>
        <w:snapToGrid w:val="0"/>
        <w:spacing w:before="0" w:after="0" w:line="560" w:lineRule="exact"/>
        <w:ind w:left="0" w:right="0" w:firstLine="440" w:firstLineChars="200"/>
        <w:jc w:val="both"/>
      </w:pPr>
    </w:p>
    <w:p>
      <w:pPr>
        <w:tabs>
          <w:tab w:val="left" w:pos="7560"/>
        </w:tabs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黑体" w:hAnsi="黑体" w:eastAsia="黑体" w:cs="黑体"/>
          <w:i w:val="0"/>
          <w:strike w:val="0"/>
          <w:color w:val="000000"/>
          <w:sz w:val="32"/>
          <w:u w:val="none"/>
        </w:rPr>
        <w:t>一、部门职能职责</w:t>
      </w:r>
    </w:p>
    <w:p>
      <w:pPr>
        <w:tabs>
          <w:tab w:val="left" w:pos="7560"/>
        </w:tabs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负责图书馆项目的申报、建设与管理;负责收集、整理、保存文献信息(含图书、报刊、音像制品、缩微制品、数字资源等);提供借阅证办理、文献信息查询、借阅等服务,提供阅览室、自习室等公共空间设施场地;开展面向少年儿童的阅读指导和社会教育活动，提供适合特殊人群的文献信息、无障碍设施设备和服务;开展阅读指导、读书交流、演讲诵读、图书互换共享等读书活动，推广全民阅读;开展公益性讲座、培训、展览等文化活动,开展送图书进乡村、进社区、进学校、进军营等流动服务;为全县图书馆分馆、服务点、农家书屋、学校图书室提供业务指导。</w:t>
      </w:r>
    </w:p>
    <w:p>
      <w:pPr>
        <w:tabs>
          <w:tab w:val="left" w:pos="7560"/>
        </w:tabs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黑体" w:hAnsi="黑体" w:eastAsia="黑体" w:cs="黑体"/>
          <w:i w:val="0"/>
          <w:strike w:val="0"/>
          <w:color w:val="000000"/>
          <w:sz w:val="32"/>
          <w:u w:val="none"/>
        </w:rPr>
        <w:t>二、机构设置</w:t>
      </w:r>
    </w:p>
    <w:p>
      <w:pPr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本部门共有编制人数9人，实有人数8人。无内设科室。</w:t>
      </w:r>
    </w:p>
    <w:p>
      <w:pPr>
        <w:tabs>
          <w:tab w:val="left" w:pos="7560"/>
        </w:tabs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黑体" w:hAnsi="黑体" w:eastAsia="黑体" w:cs="黑体"/>
          <w:i w:val="0"/>
          <w:strike w:val="0"/>
          <w:color w:val="000000"/>
          <w:sz w:val="32"/>
          <w:u w:val="none"/>
        </w:rPr>
        <w:t>三、部门预算单位构成</w:t>
      </w:r>
    </w:p>
    <w:p>
      <w:pPr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本部门无下属预算单位。</w:t>
      </w:r>
    </w:p>
    <w:p>
      <w:pPr>
        <w:tabs>
          <w:tab w:val="left" w:pos="7560"/>
        </w:tabs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黑体" w:hAnsi="黑体" w:eastAsia="黑体" w:cs="黑体"/>
          <w:i w:val="0"/>
          <w:strike w:val="0"/>
          <w:color w:val="000000"/>
          <w:sz w:val="32"/>
          <w:u w:val="none"/>
        </w:rPr>
        <w:t>四、部门收支总体情况</w:t>
      </w:r>
    </w:p>
    <w:p>
      <w:pPr>
        <w:snapToGrid w:val="0"/>
        <w:spacing w:before="0" w:after="0" w:line="560" w:lineRule="exact"/>
        <w:ind w:left="0" w:right="0" w:firstLine="640" w:firstLineChars="200"/>
        <w:jc w:val="both"/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2022年炎陵县图书馆公开的部门预算为炎陵县图书馆本级预算。收入包括一般公共预算收入；支出包括保障单位机关及直属单位基本运行的经费。（详见附表1</w:t>
      </w:r>
      <w:r>
        <w:rPr>
          <w:rFonts w:ascii="仿宋_GB2312" w:hAnsi="仿宋_GB2312" w:eastAsia="仿宋_GB2312" w:cs="仿宋_GB2312"/>
          <w:strike w:val="0"/>
          <w:color w:val="000000"/>
          <w:sz w:val="32"/>
          <w:u w:val="none"/>
        </w:rPr>
        <w:t>-4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）</w:t>
      </w:r>
    </w:p>
    <w:p>
      <w:pPr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楷体_GB2312" w:hAnsi="楷体_GB2312" w:eastAsia="楷体_GB2312" w:cs="楷体_GB2312"/>
          <w:i w:val="0"/>
          <w:strike w:val="0"/>
          <w:color w:val="000000"/>
          <w:sz w:val="32"/>
          <w:u w:val="none"/>
        </w:rPr>
        <w:t>（一）收入预算：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2022年年初预算数947733.33元，其中，一般公共预算拨款947733.33元。</w:t>
      </w:r>
    </w:p>
    <w:p>
      <w:pPr>
        <w:snapToGrid w:val="0"/>
        <w:spacing w:before="0" w:after="0" w:line="560" w:lineRule="exact"/>
        <w:ind w:left="0" w:right="0" w:firstLine="640" w:firstLineChars="200"/>
        <w:jc w:val="both"/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</w:pPr>
      <w:r>
        <w:rPr>
          <w:rFonts w:ascii="楷体_GB2312" w:hAnsi="楷体_GB2312" w:eastAsia="楷体_GB2312" w:cs="楷体_GB2312"/>
          <w:i w:val="0"/>
          <w:strike w:val="0"/>
          <w:color w:val="000000"/>
          <w:sz w:val="32"/>
          <w:u w:val="none"/>
        </w:rPr>
        <w:t>（二）支出预算：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2022年年初预算数947733.33元，其中，文化旅游体育与传媒支出731407.19元，社会保障和就业支出82281.18元，卫生健康支出54094.24元，住房保障支出79950.72元。</w:t>
      </w:r>
    </w:p>
    <w:p>
      <w:pPr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楷体_GB2312" w:hAnsi="楷体_GB2312" w:eastAsia="楷体_GB2312" w:cs="楷体_GB2312"/>
          <w:i w:val="0"/>
          <w:strike w:val="0"/>
          <w:color w:val="000000"/>
          <w:sz w:val="32"/>
          <w:u w:val="none"/>
        </w:rPr>
        <w:t>（三）预算收支增减变化情况说明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：2022年度本部门年初预算数为947733.33元，比上年增加125890.33元，主要原因是预算口径调整，人员经费增加。</w:t>
      </w:r>
    </w:p>
    <w:p>
      <w:pPr>
        <w:tabs>
          <w:tab w:val="left" w:pos="7560"/>
        </w:tabs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黑体" w:hAnsi="黑体" w:eastAsia="黑体" w:cs="黑体"/>
          <w:i w:val="0"/>
          <w:strike w:val="0"/>
          <w:color w:val="000000"/>
          <w:sz w:val="32"/>
          <w:u w:val="none"/>
        </w:rPr>
        <w:t>五、一般公共预算拨款支出预算</w:t>
      </w:r>
    </w:p>
    <w:p>
      <w:pPr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2022年本部门一般公共预算拨款收入947733.33元，具体安排如下（详见附表9）：</w:t>
      </w:r>
    </w:p>
    <w:p>
      <w:pPr>
        <w:tabs>
          <w:tab w:val="left" w:pos="7560"/>
        </w:tabs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楷体_GB2312" w:hAnsi="楷体_GB2312" w:eastAsia="楷体_GB2312" w:cs="楷体_GB2312"/>
          <w:i w:val="0"/>
          <w:strike w:val="0"/>
          <w:color w:val="000000"/>
          <w:sz w:val="32"/>
          <w:u w:val="none"/>
        </w:rPr>
        <w:t>（一）人员类支出</w:t>
      </w:r>
    </w:p>
    <w:p>
      <w:pPr>
        <w:snapToGrid w:val="0"/>
        <w:spacing w:before="0" w:after="0" w:line="560" w:lineRule="exact"/>
        <w:ind w:left="0" w:right="0" w:firstLine="640" w:firstLineChars="200"/>
        <w:jc w:val="both"/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2022年年初预算数为882582.14元。其中包括基本工资282432元、津贴补贴168288元、奖金215536元、机关事业单位基本养老保险缴费75880.96元、职工基本医疗保险缴费39212.64元、公务员医疗补助缴费13521.6元、其他社会保障缴费6400.22元、住房公积金79950.72元、医疗费640元、</w:t>
      </w:r>
      <w:r>
        <w:rPr>
          <w:rFonts w:ascii="仿宋_GB2312" w:hAnsi="仿宋_GB2312" w:eastAsia="仿宋_GB2312" w:cs="仿宋_GB2312"/>
          <w:b w:val="0"/>
          <w:i w:val="0"/>
          <w:strike w:val="0"/>
          <w:color w:val="000000"/>
          <w:spacing w:val="0"/>
          <w:sz w:val="32"/>
          <w:u w:val="none"/>
        </w:rPr>
        <w:t>医疗费补助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720元。</w:t>
      </w:r>
    </w:p>
    <w:p>
      <w:pPr>
        <w:tabs>
          <w:tab w:val="left" w:pos="7560"/>
        </w:tabs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楷体_GB2312" w:hAnsi="楷体_GB2312" w:eastAsia="楷体_GB2312" w:cs="楷体_GB2312"/>
          <w:i w:val="0"/>
          <w:strike w:val="0"/>
          <w:color w:val="000000"/>
          <w:sz w:val="32"/>
          <w:u w:val="none"/>
        </w:rPr>
        <w:t>（二）运转类支出</w:t>
      </w:r>
    </w:p>
    <w:p>
      <w:pPr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2022年年初预算数为65151.19元。其中：办公费12000元、电费11000元、差旅费20000元、维修（护）费8000元、公务接待费5000元、工会经费7956.19元、非税收入安排的支出1195元。</w:t>
      </w:r>
    </w:p>
    <w:p>
      <w:pPr>
        <w:tabs>
          <w:tab w:val="left" w:pos="7560"/>
        </w:tabs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楷体_GB2312" w:hAnsi="楷体_GB2312" w:eastAsia="楷体_GB2312" w:cs="楷体_GB2312"/>
          <w:i w:val="0"/>
          <w:strike w:val="0"/>
          <w:color w:val="000000"/>
          <w:sz w:val="32"/>
          <w:u w:val="none"/>
        </w:rPr>
        <w:t>（三）特定目标类支出</w:t>
      </w:r>
    </w:p>
    <w:p>
      <w:pPr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2022年度本部门无特定目标类支出。</w:t>
      </w:r>
    </w:p>
    <w:p>
      <w:pPr>
        <w:tabs>
          <w:tab w:val="left" w:pos="7560"/>
        </w:tabs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Times New Roman" w:hAnsi="Times New Roman" w:eastAsia="Times New Roman" w:cs="Times New Roman"/>
          <w:i w:val="0"/>
          <w:strike w:val="0"/>
          <w:color w:val="000000"/>
          <w:sz w:val="32"/>
          <w:u w:val="none"/>
        </w:rPr>
        <w:t>六、</w:t>
      </w:r>
      <w:r>
        <w:rPr>
          <w:rFonts w:ascii="黑体" w:hAnsi="黑体" w:eastAsia="黑体" w:cs="黑体"/>
          <w:i w:val="0"/>
          <w:strike w:val="0"/>
          <w:color w:val="000000"/>
          <w:sz w:val="32"/>
          <w:u w:val="none"/>
        </w:rPr>
        <w:t>政府性基金预算支出</w:t>
      </w:r>
    </w:p>
    <w:p>
      <w:pPr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2022年度本部门无政府性基金预算安排的支出。</w:t>
      </w:r>
    </w:p>
    <w:p>
      <w:pPr>
        <w:tabs>
          <w:tab w:val="left" w:pos="7560"/>
        </w:tabs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黑体" w:hAnsi="黑体" w:eastAsia="黑体" w:cs="黑体"/>
          <w:i w:val="0"/>
          <w:strike w:val="0"/>
          <w:color w:val="000000"/>
          <w:sz w:val="32"/>
          <w:u w:val="none"/>
        </w:rPr>
        <w:t>七、其他重要事项情况说明</w:t>
      </w:r>
    </w:p>
    <w:p>
      <w:pPr>
        <w:pBdr>
          <w:bottom w:val="none" w:color="auto" w:sz="0" w:space="0"/>
        </w:pBdr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楷体_GB2312" w:hAnsi="楷体_GB2312" w:eastAsia="楷体_GB2312" w:cs="楷体_GB2312"/>
          <w:i w:val="0"/>
          <w:strike w:val="0"/>
          <w:color w:val="000000"/>
          <w:sz w:val="32"/>
          <w:u w:val="none"/>
        </w:rPr>
        <w:t>（一）机关运行经费：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本部门2022年年初预算机关运行经费(商品和服务支出+业务性专项)共安排65151.19元，比上年度预算增加942.19元，增加的主要原因是：增加了非税收入安排的支出预算。</w:t>
      </w:r>
    </w:p>
    <w:p>
      <w:pPr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楷体_GB2312" w:hAnsi="楷体_GB2312" w:eastAsia="楷体_GB2312" w:cs="楷体_GB2312"/>
          <w:i w:val="0"/>
          <w:strike w:val="0"/>
          <w:color w:val="000000"/>
          <w:sz w:val="32"/>
          <w:u w:val="none"/>
        </w:rPr>
        <w:t>（二</w:t>
      </w:r>
      <w:r>
        <w:rPr>
          <w:rFonts w:ascii="Times New Roman" w:hAnsi="Times New Roman" w:eastAsia="Times New Roman" w:cs="Times New Roman"/>
          <w:i w:val="0"/>
          <w:strike w:val="0"/>
          <w:color w:val="000000"/>
          <w:sz w:val="32"/>
          <w:u w:val="none"/>
        </w:rPr>
        <w:t>)</w:t>
      </w:r>
      <w:r>
        <w:rPr>
          <w:rFonts w:ascii="楷体_GB2312" w:hAnsi="楷体_GB2312" w:eastAsia="楷体_GB2312" w:cs="楷体_GB2312"/>
          <w:i w:val="0"/>
          <w:strike w:val="0"/>
          <w:color w:val="000000"/>
          <w:sz w:val="32"/>
          <w:u w:val="none"/>
        </w:rPr>
        <w:t>政府采购预算：</w:t>
      </w:r>
      <w:bookmarkStart w:id="0" w:name="OLE_LINK2"/>
      <w:bookmarkEnd w:id="0"/>
      <w:bookmarkStart w:id="1" w:name="OLE_LINK1"/>
      <w:r>
        <w:rPr>
          <w:rFonts w:ascii="仿宋_GB2312" w:hAnsi="仿宋_GB2312" w:eastAsia="仿宋_GB2312" w:cs="仿宋_GB2312"/>
          <w:strike w:val="0"/>
          <w:color w:val="000000"/>
          <w:sz w:val="32"/>
          <w:u w:val="none"/>
        </w:rPr>
        <w:t>2022</w:t>
      </w:r>
      <w:bookmarkEnd w:id="1"/>
      <w:r>
        <w:rPr>
          <w:rFonts w:ascii="仿宋_GB2312" w:hAnsi="仿宋_GB2312" w:eastAsia="仿宋_GB2312" w:cs="仿宋_GB2312"/>
          <w:strike w:val="0"/>
          <w:color w:val="000000"/>
          <w:sz w:val="32"/>
          <w:u w:val="none"/>
        </w:rPr>
        <w:t>年年初预算数为121780元。包含：政府采购货物121780元，政府采购工程0元，政府采购服务0元。</w:t>
      </w:r>
    </w:p>
    <w:p>
      <w:pPr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楷体_GB2312" w:hAnsi="楷体_GB2312" w:eastAsia="楷体_GB2312" w:cs="楷体_GB2312"/>
          <w:i w:val="0"/>
          <w:strike w:val="0"/>
          <w:color w:val="000000"/>
          <w:sz w:val="32"/>
          <w:u w:val="none"/>
        </w:rPr>
        <w:t>（三）国有资产占有情况：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截止2021年12月31日，本部门共有办公及业务用房1638平方米；车辆1辆，其中其他用车1辆（流动图书车1辆）；单位价值50万以上大型设备0套。2022年部门预算安排购置车辆0辆，预算安排购置价值50万以上大型设备0套。</w:t>
      </w:r>
    </w:p>
    <w:p>
      <w:pPr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楷体_GB2312" w:hAnsi="楷体_GB2312" w:eastAsia="楷体_GB2312" w:cs="楷体_GB2312"/>
          <w:i w:val="0"/>
          <w:strike w:val="0"/>
          <w:color w:val="000000"/>
          <w:sz w:val="32"/>
          <w:u w:val="none"/>
        </w:rPr>
        <w:t>（四）预算绩效目标：</w:t>
      </w:r>
      <w:bookmarkStart w:id="2" w:name="OLE_LINK4"/>
      <w:bookmarkEnd w:id="2"/>
      <w:bookmarkStart w:id="3" w:name="OLE_LINK3"/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本部门整体支出和项目支出实行绩效目标管理，纳入</w:t>
      </w:r>
      <w:bookmarkEnd w:id="3"/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2022年部门整体支出绩效目标的金额为947733.33元，其中，基本支出946538.33元，项目支出1195元（详见附表17-19）。</w:t>
      </w:r>
      <w:r>
        <w:rPr>
          <w:rFonts w:ascii="Times New Roman" w:hAnsi="Times New Roman" w:eastAsia="Times New Roman" w:cs="Times New Roman"/>
          <w:i w:val="0"/>
          <w:strike w:val="0"/>
          <w:color w:val="000000"/>
          <w:sz w:val="32"/>
          <w:u w:val="none"/>
        </w:rPr>
        <w:t> </w:t>
      </w:r>
    </w:p>
    <w:p>
      <w:pPr>
        <w:tabs>
          <w:tab w:val="left" w:pos="7560"/>
        </w:tabs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楷体_GB2312" w:hAnsi="楷体_GB2312" w:eastAsia="楷体_GB2312" w:cs="楷体_GB2312"/>
          <w:i w:val="0"/>
          <w:strike w:val="0"/>
          <w:color w:val="000000"/>
          <w:sz w:val="32"/>
          <w:u w:val="none"/>
        </w:rPr>
        <w:t>（五）</w:t>
      </w:r>
      <w:r>
        <w:rPr>
          <w:rFonts w:ascii="Times New Roman" w:hAnsi="Times New Roman" w:eastAsia="Times New Roman" w:cs="Times New Roman"/>
          <w:i w:val="0"/>
          <w:strike w:val="0"/>
          <w:color w:val="000000"/>
          <w:sz w:val="32"/>
          <w:u w:val="none"/>
        </w:rPr>
        <w:t>“</w:t>
      </w:r>
      <w:r>
        <w:rPr>
          <w:rFonts w:ascii="楷体_GB2312" w:hAnsi="楷体_GB2312" w:eastAsia="楷体_GB2312" w:cs="楷体_GB2312"/>
          <w:i w:val="0"/>
          <w:strike w:val="0"/>
          <w:color w:val="000000"/>
          <w:sz w:val="32"/>
          <w:u w:val="none"/>
        </w:rPr>
        <w:t>三公</w:t>
      </w:r>
      <w:r>
        <w:rPr>
          <w:rFonts w:ascii="Times New Roman" w:hAnsi="Times New Roman" w:eastAsia="Times New Roman" w:cs="Times New Roman"/>
          <w:i w:val="0"/>
          <w:strike w:val="0"/>
          <w:color w:val="000000"/>
          <w:sz w:val="32"/>
          <w:u w:val="none"/>
        </w:rPr>
        <w:t>”</w:t>
      </w:r>
      <w:r>
        <w:rPr>
          <w:rFonts w:ascii="楷体_GB2312" w:hAnsi="楷体_GB2312" w:eastAsia="楷体_GB2312" w:cs="楷体_GB2312"/>
          <w:i w:val="0"/>
          <w:strike w:val="0"/>
          <w:color w:val="000000"/>
          <w:sz w:val="32"/>
          <w:u w:val="none"/>
        </w:rPr>
        <w:t>经费预算：</w:t>
      </w:r>
    </w:p>
    <w:p>
      <w:pPr>
        <w:snapToGrid w:val="0"/>
        <w:spacing w:before="0" w:after="0" w:line="560" w:lineRule="exact"/>
        <w:ind w:left="0" w:right="0" w:firstLine="640" w:firstLineChars="200"/>
        <w:jc w:val="both"/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2022年“三公”经费预算数5000元，其中：公务接待费5000元、公务用车购置费0元，公务用车运行费0元、因公出国（境）费0元。2022年公务用车购置数0台。</w:t>
      </w:r>
    </w:p>
    <w:p>
      <w:pPr>
        <w:snapToGrid w:val="0"/>
        <w:spacing w:before="0" w:after="0" w:line="560" w:lineRule="exact"/>
        <w:ind w:left="0" w:right="0" w:firstLine="640" w:firstLineChars="200"/>
        <w:jc w:val="both"/>
        <w:rPr>
          <w:rFonts w:ascii="楷体_GB2312" w:hAnsi="楷体_GB2312" w:eastAsia="楷体_GB2312" w:cs="楷体_GB2312"/>
          <w:i w:val="0"/>
          <w:strike w:val="0"/>
          <w:color w:val="000000"/>
          <w:sz w:val="32"/>
          <w:u w:val="none"/>
        </w:rPr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2022年“三公”经费预算数与2021年持平</w:t>
      </w:r>
      <w:r>
        <w:rPr>
          <w:rFonts w:ascii="楷体_GB2312" w:hAnsi="楷体_GB2312" w:eastAsia="楷体_GB2312" w:cs="楷体_GB2312"/>
          <w:i w:val="0"/>
          <w:strike w:val="0"/>
          <w:color w:val="000000"/>
          <w:sz w:val="32"/>
          <w:u w:val="none"/>
        </w:rPr>
        <w:t>。</w:t>
      </w:r>
    </w:p>
    <w:p>
      <w:pPr>
        <w:snapToGrid w:val="0"/>
        <w:spacing w:before="0" w:after="0" w:line="560" w:lineRule="exact"/>
        <w:ind w:left="0" w:right="0" w:firstLine="640" w:firstLineChars="200"/>
        <w:jc w:val="both"/>
        <w:rPr>
          <w:rFonts w:ascii="楷体_GB2312" w:hAnsi="楷体_GB2312" w:eastAsia="楷体_GB2312" w:cs="楷体_GB2312"/>
          <w:i w:val="0"/>
          <w:strike w:val="0"/>
          <w:color w:val="000000"/>
          <w:sz w:val="32"/>
          <w:u w:val="none"/>
        </w:rPr>
      </w:pPr>
      <w:r>
        <w:rPr>
          <w:rFonts w:ascii="楷体_GB2312" w:hAnsi="楷体_GB2312" w:eastAsia="楷体_GB2312" w:cs="楷体_GB2312"/>
          <w:i w:val="0"/>
          <w:strike w:val="0"/>
          <w:color w:val="000000"/>
          <w:sz w:val="32"/>
          <w:u w:val="none"/>
        </w:rPr>
        <w:t>（六）会议费、培训费预算：</w:t>
      </w:r>
      <w:bookmarkStart w:id="4" w:name="_GoBack"/>
      <w:bookmarkEnd w:id="4"/>
    </w:p>
    <w:p>
      <w:pPr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2022年预算无会议费、培训费。</w:t>
      </w:r>
    </w:p>
    <w:p>
      <w:pPr>
        <w:tabs>
          <w:tab w:val="left" w:pos="7560"/>
        </w:tabs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楷体_GB2312" w:hAnsi="楷体_GB2312" w:eastAsia="楷体_GB2312" w:cs="楷体_GB2312"/>
          <w:i w:val="0"/>
          <w:strike w:val="0"/>
          <w:color w:val="000000"/>
          <w:sz w:val="32"/>
          <w:u w:val="none"/>
        </w:rPr>
        <w:t>（七）其他事项。</w:t>
      </w:r>
    </w:p>
    <w:p>
      <w:pPr>
        <w:snapToGrid w:val="0"/>
        <w:spacing w:before="0" w:after="0" w:line="560" w:lineRule="exact"/>
        <w:ind w:left="0" w:right="0" w:firstLine="640" w:firstLineChars="200"/>
        <w:jc w:val="both"/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本单位2022年预算未安排政府性基金预算。</w:t>
      </w:r>
    </w:p>
    <w:p>
      <w:pPr>
        <w:snapToGrid w:val="0"/>
        <w:spacing w:before="0" w:after="0" w:line="560" w:lineRule="exact"/>
        <w:ind w:left="0" w:right="0" w:firstLine="640" w:firstLineChars="200"/>
        <w:jc w:val="both"/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本单位2022年预算未安排国有资本经营预算。</w:t>
      </w:r>
    </w:p>
    <w:p>
      <w:pPr>
        <w:snapToGrid w:val="0"/>
        <w:spacing w:before="0" w:after="0" w:line="560" w:lineRule="exact"/>
        <w:ind w:left="0" w:right="0" w:firstLine="640" w:firstLineChars="200"/>
        <w:jc w:val="both"/>
        <w:rPr>
          <w:rFonts w:ascii="仿宋_GB2312" w:hAnsi="仿宋_GB2312" w:eastAsia="仿宋_GB2312" w:cs="仿宋_GB2312"/>
          <w:b w:val="0"/>
          <w:strike w:val="0"/>
          <w:color w:val="000000"/>
          <w:spacing w:val="0"/>
          <w:sz w:val="32"/>
          <w:u w:val="none"/>
        </w:rPr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本单位2022年预算未安排</w:t>
      </w:r>
      <w:r>
        <w:rPr>
          <w:rFonts w:ascii="仿宋_GB2312" w:hAnsi="仿宋_GB2312" w:eastAsia="仿宋_GB2312" w:cs="仿宋_GB2312"/>
          <w:b w:val="0"/>
          <w:i w:val="0"/>
          <w:strike w:val="0"/>
          <w:color w:val="000000"/>
          <w:spacing w:val="0"/>
          <w:sz w:val="32"/>
          <w:u w:val="none"/>
        </w:rPr>
        <w:t>一般公共预算“三公”经费支出。</w:t>
      </w:r>
    </w:p>
    <w:p>
      <w:pPr>
        <w:snapToGrid w:val="0"/>
        <w:spacing w:before="0" w:after="0" w:line="560" w:lineRule="exact"/>
        <w:ind w:left="0" w:right="0" w:firstLine="640" w:firstLineChars="200"/>
        <w:jc w:val="both"/>
        <w:rPr>
          <w:rFonts w:ascii="仿宋_GB2312" w:hAnsi="仿宋_GB2312" w:eastAsia="仿宋_GB2312" w:cs="仿宋_GB2312"/>
          <w:b w:val="0"/>
          <w:strike w:val="0"/>
          <w:color w:val="000000"/>
          <w:spacing w:val="0"/>
          <w:sz w:val="32"/>
          <w:u w:val="none"/>
        </w:rPr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本单位2022年预算未安排</w:t>
      </w:r>
      <w:r>
        <w:rPr>
          <w:rFonts w:ascii="仿宋_GB2312" w:hAnsi="仿宋_GB2312" w:eastAsia="仿宋_GB2312" w:cs="仿宋_GB2312"/>
          <w:b w:val="0"/>
          <w:i w:val="0"/>
          <w:strike w:val="0"/>
          <w:color w:val="000000"/>
          <w:spacing w:val="0"/>
          <w:sz w:val="32"/>
          <w:u w:val="none"/>
        </w:rPr>
        <w:t>财政专户管理资金预算支出</w:t>
      </w:r>
      <w:r>
        <w:rPr>
          <w:rFonts w:ascii="仿宋_GB2312" w:hAnsi="仿宋_GB2312" w:eastAsia="仿宋_GB2312" w:cs="仿宋_GB2312"/>
          <w:b w:val="0"/>
          <w:strike w:val="0"/>
          <w:color w:val="000000"/>
          <w:spacing w:val="0"/>
          <w:sz w:val="32"/>
          <w:u w:val="none"/>
        </w:rPr>
        <w:t>。</w:t>
      </w:r>
    </w:p>
    <w:p>
      <w:pPr>
        <w:tabs>
          <w:tab w:val="left" w:pos="7560"/>
        </w:tabs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黑体" w:hAnsi="黑体" w:eastAsia="黑体" w:cs="黑体"/>
          <w:i w:val="0"/>
          <w:strike w:val="0"/>
          <w:color w:val="000000"/>
          <w:sz w:val="32"/>
          <w:u w:val="none"/>
        </w:rPr>
        <w:t>八、名词解释</w:t>
      </w:r>
    </w:p>
    <w:p>
      <w:pPr>
        <w:snapToGrid w:val="0"/>
        <w:spacing w:before="0" w:after="0" w:line="560" w:lineRule="exact"/>
        <w:ind w:left="0" w:right="0" w:firstLine="643" w:firstLineChars="200"/>
        <w:jc w:val="both"/>
      </w:pPr>
      <w:r>
        <w:rPr>
          <w:rFonts w:ascii="仿宋_GB2312" w:hAnsi="仿宋_GB2312" w:eastAsia="仿宋_GB2312" w:cs="仿宋_GB2312"/>
          <w:b/>
          <w:i w:val="0"/>
          <w:strike w:val="0"/>
          <w:color w:val="000000"/>
          <w:sz w:val="32"/>
          <w:u w:val="none"/>
        </w:rPr>
        <w:t>（一）一般公共预算</w:t>
      </w:r>
      <w:r>
        <w:rPr>
          <w:rFonts w:ascii="Times New Roman" w:hAnsi="Times New Roman" w:eastAsia="Times New Roman" w:cs="Times New Roman"/>
          <w:b/>
          <w:i w:val="0"/>
          <w:strike w:val="0"/>
          <w:color w:val="000000"/>
          <w:sz w:val="32"/>
          <w:u w:val="none"/>
        </w:rPr>
        <w:t>:</w:t>
      </w:r>
      <w:r>
        <w:rPr>
          <w:rFonts w:ascii="Times New Roman" w:hAnsi="Times New Roman" w:eastAsia="Times New Roman" w:cs="Times New Roman"/>
          <w:i w:val="0"/>
          <w:strike w:val="0"/>
          <w:color w:val="000000"/>
          <w:sz w:val="32"/>
          <w:u w:val="none"/>
        </w:rPr>
        <w:t xml:space="preserve">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是对以税收为主体的财政收入，安排用于保障和改善民生、推动经济社会发展、维护国家安全、维持国家机构正常运转等方面的收支预算。一般公共预算收入即通常所指的“财政收入”，按照2015年1月1日起施行的新《预算法》，改称</w:t>
      </w:r>
      <w:r>
        <w:rPr>
          <w:rFonts w:ascii="Times New Roman" w:hAnsi="Times New Roman" w:eastAsia="Times New Roman" w:cs="Times New Roman"/>
          <w:i w:val="0"/>
          <w:strike w:val="0"/>
          <w:color w:val="000000"/>
          <w:sz w:val="32"/>
          <w:u w:val="none"/>
        </w:rPr>
        <w:t>“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一般公共预算收入</w:t>
      </w:r>
      <w:r>
        <w:rPr>
          <w:rFonts w:ascii="Times New Roman" w:hAnsi="Times New Roman" w:eastAsia="Times New Roman" w:cs="Times New Roman"/>
          <w:i w:val="0"/>
          <w:strike w:val="0"/>
          <w:color w:val="000000"/>
          <w:sz w:val="32"/>
          <w:u w:val="none"/>
        </w:rPr>
        <w:t>”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。全市一般公共预算收入由地方收入、上划中央收入、上划省级收入三部分构成。</w:t>
      </w:r>
    </w:p>
    <w:p>
      <w:pPr>
        <w:tabs>
          <w:tab w:val="left" w:pos="7560"/>
        </w:tabs>
        <w:snapToGrid w:val="0"/>
        <w:spacing w:before="0" w:after="0" w:line="560" w:lineRule="exact"/>
        <w:ind w:left="0" w:right="0" w:firstLine="643" w:firstLineChars="200"/>
        <w:jc w:val="both"/>
      </w:pPr>
      <w:r>
        <w:rPr>
          <w:rFonts w:ascii="仿宋_GB2312" w:hAnsi="仿宋_GB2312" w:eastAsia="仿宋_GB2312" w:cs="仿宋_GB2312"/>
          <w:b/>
          <w:i w:val="0"/>
          <w:strike w:val="0"/>
          <w:color w:val="000000"/>
          <w:sz w:val="32"/>
          <w:u w:val="none"/>
        </w:rPr>
        <w:t>（二）政府性基金预算</w:t>
      </w:r>
      <w:r>
        <w:rPr>
          <w:rFonts w:ascii="Times New Roman" w:hAnsi="Times New Roman" w:eastAsia="Times New Roman" w:cs="Times New Roman"/>
          <w:b/>
          <w:i w:val="0"/>
          <w:strike w:val="0"/>
          <w:color w:val="000000"/>
          <w:sz w:val="32"/>
          <w:u w:val="none"/>
        </w:rPr>
        <w:t>:</w:t>
      </w:r>
      <w:r>
        <w:rPr>
          <w:rFonts w:ascii="Times New Roman" w:hAnsi="Times New Roman" w:eastAsia="Times New Roman" w:cs="Times New Roman"/>
          <w:i w:val="0"/>
          <w:strike w:val="0"/>
          <w:color w:val="000000"/>
          <w:sz w:val="32"/>
          <w:u w:val="none"/>
        </w:rPr>
        <w:t xml:space="preserve">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是对依照法律、行政法规的规定在一定期限内向特定对象征收、收取或者以其他方式筹集的资金，专项用于特定公共事业发展的收支预算。应当根据基金项目收入情况和实际支出需要，按基金项目编制，做到以收定支。</w:t>
      </w:r>
    </w:p>
    <w:p>
      <w:pPr>
        <w:tabs>
          <w:tab w:val="left" w:pos="7560"/>
        </w:tabs>
        <w:snapToGrid w:val="0"/>
        <w:spacing w:before="0" w:after="0" w:line="560" w:lineRule="exact"/>
        <w:ind w:left="0" w:right="0" w:firstLine="643" w:firstLineChars="200"/>
        <w:jc w:val="both"/>
      </w:pPr>
      <w:r>
        <w:rPr>
          <w:rFonts w:ascii="仿宋_GB2312" w:hAnsi="仿宋_GB2312" w:eastAsia="仿宋_GB2312" w:cs="仿宋_GB2312"/>
          <w:b/>
          <w:i w:val="0"/>
          <w:strike w:val="0"/>
          <w:color w:val="000000"/>
          <w:sz w:val="32"/>
          <w:u w:val="none"/>
        </w:rPr>
        <w:t>（三）国有资本经营预算</w:t>
      </w:r>
      <w:r>
        <w:rPr>
          <w:rFonts w:ascii="Times New Roman" w:hAnsi="Times New Roman" w:eastAsia="Times New Roman" w:cs="Times New Roman"/>
          <w:b/>
          <w:i w:val="0"/>
          <w:strike w:val="0"/>
          <w:color w:val="000000"/>
          <w:sz w:val="32"/>
          <w:u w:val="none"/>
        </w:rPr>
        <w:t xml:space="preserve">: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是对国有资本收益作出支出安排的收支预算。应当按照收支平衡的原则编制，不列赤字，并安排资金调入一般公共预算。</w:t>
      </w:r>
    </w:p>
    <w:p>
      <w:pPr>
        <w:tabs>
          <w:tab w:val="left" w:pos="7560"/>
        </w:tabs>
        <w:snapToGrid w:val="0"/>
        <w:spacing w:before="0" w:after="0" w:line="560" w:lineRule="exact"/>
        <w:ind w:left="0" w:right="0" w:firstLine="643" w:firstLineChars="200"/>
        <w:jc w:val="both"/>
      </w:pPr>
      <w:r>
        <w:rPr>
          <w:rFonts w:ascii="仿宋_GB2312" w:hAnsi="仿宋_GB2312" w:eastAsia="仿宋_GB2312" w:cs="仿宋_GB2312"/>
          <w:b/>
          <w:i w:val="0"/>
          <w:strike w:val="0"/>
          <w:color w:val="000000"/>
          <w:sz w:val="32"/>
          <w:u w:val="none"/>
        </w:rPr>
        <w:t>（四）社会保险基金预算</w:t>
      </w:r>
      <w:r>
        <w:rPr>
          <w:rFonts w:ascii="Times New Roman" w:hAnsi="Times New Roman" w:eastAsia="Times New Roman" w:cs="Times New Roman"/>
          <w:b/>
          <w:i w:val="0"/>
          <w:strike w:val="0"/>
          <w:color w:val="000000"/>
          <w:sz w:val="32"/>
          <w:u w:val="none"/>
        </w:rPr>
        <w:t>:</w:t>
      </w:r>
      <w:r>
        <w:rPr>
          <w:rFonts w:ascii="Times New Roman" w:hAnsi="Times New Roman" w:eastAsia="Times New Roman" w:cs="Times New Roman"/>
          <w:i w:val="0"/>
          <w:strike w:val="0"/>
          <w:color w:val="000000"/>
          <w:sz w:val="32"/>
          <w:u w:val="none"/>
        </w:rPr>
        <w:t xml:space="preserve">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是对社会保险缴款、一般公共预算安排和其他方式筹集的资金，专项用于社会保险的收支预算。应当按照统筹层次和社会保险项目分别编制，做到收支平衡。</w:t>
      </w:r>
    </w:p>
    <w:p>
      <w:pPr>
        <w:tabs>
          <w:tab w:val="left" w:pos="7560"/>
        </w:tabs>
        <w:snapToGrid w:val="0"/>
        <w:spacing w:before="0" w:after="0" w:line="560" w:lineRule="exact"/>
        <w:ind w:left="0" w:right="0" w:firstLine="643" w:firstLineChars="200"/>
        <w:jc w:val="both"/>
      </w:pPr>
      <w:r>
        <w:rPr>
          <w:rFonts w:ascii="仿宋_GB2312" w:hAnsi="仿宋_GB2312" w:eastAsia="仿宋_GB2312" w:cs="仿宋_GB2312"/>
          <w:b/>
          <w:i w:val="0"/>
          <w:strike w:val="0"/>
          <w:color w:val="000000"/>
          <w:sz w:val="32"/>
          <w:u w:val="none"/>
        </w:rPr>
        <w:t>（五）</w:t>
      </w:r>
      <w:r>
        <w:rPr>
          <w:rFonts w:ascii="Times New Roman" w:hAnsi="Times New Roman" w:eastAsia="Times New Roman" w:cs="Times New Roman"/>
          <w:b/>
          <w:i w:val="0"/>
          <w:strike w:val="0"/>
          <w:color w:val="000000"/>
          <w:sz w:val="32"/>
          <w:u w:val="none"/>
        </w:rPr>
        <w:t>“</w:t>
      </w:r>
      <w:r>
        <w:rPr>
          <w:rFonts w:ascii="仿宋_GB2312" w:hAnsi="仿宋_GB2312" w:eastAsia="仿宋_GB2312" w:cs="仿宋_GB2312"/>
          <w:b/>
          <w:i w:val="0"/>
          <w:strike w:val="0"/>
          <w:color w:val="000000"/>
          <w:sz w:val="32"/>
          <w:u w:val="none"/>
        </w:rPr>
        <w:t>三公</w:t>
      </w:r>
      <w:r>
        <w:rPr>
          <w:rFonts w:ascii="Times New Roman" w:hAnsi="Times New Roman" w:eastAsia="Times New Roman" w:cs="Times New Roman"/>
          <w:b/>
          <w:i w:val="0"/>
          <w:strike w:val="0"/>
          <w:color w:val="000000"/>
          <w:sz w:val="32"/>
          <w:u w:val="none"/>
        </w:rPr>
        <w:t>”</w:t>
      </w:r>
      <w:r>
        <w:rPr>
          <w:rFonts w:ascii="仿宋_GB2312" w:hAnsi="仿宋_GB2312" w:eastAsia="仿宋_GB2312" w:cs="仿宋_GB2312"/>
          <w:b/>
          <w:i w:val="0"/>
          <w:strike w:val="0"/>
          <w:color w:val="000000"/>
          <w:sz w:val="32"/>
          <w:u w:val="none"/>
        </w:rPr>
        <w:t>经费：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是指商品和服务支出中的因公出国（境）费用、公务用车购置及运行维护费和公务接待费。</w:t>
      </w:r>
    </w:p>
    <w:p>
      <w:pPr>
        <w:pBdr>
          <w:bottom w:val="none" w:color="auto" w:sz="0" w:space="0"/>
        </w:pBdr>
        <w:tabs>
          <w:tab w:val="left" w:pos="7560"/>
        </w:tabs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Times New Roman" w:hAnsi="Times New Roman" w:eastAsia="Times New Roman" w:cs="Times New Roman"/>
          <w:b/>
          <w:i w:val="0"/>
          <w:strike w:val="0"/>
          <w:color w:val="000000"/>
          <w:sz w:val="32"/>
          <w:u w:val="none"/>
        </w:rPr>
        <w:t xml:space="preserve">    </w:t>
      </w:r>
      <w:r>
        <w:rPr>
          <w:rFonts w:ascii="仿宋_GB2312" w:hAnsi="仿宋_GB2312" w:eastAsia="仿宋_GB2312" w:cs="仿宋_GB2312"/>
          <w:b/>
          <w:i w:val="0"/>
          <w:strike w:val="0"/>
          <w:color w:val="000000"/>
          <w:sz w:val="32"/>
          <w:u w:val="none"/>
        </w:rPr>
        <w:t>（六）机关运行经费：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机关运行经费指为保障行政单位（包括参照公务员法管理的事业单位）运行，用于购买货物和服务的各项资金。包括办公及印刷费、邮电费、差旅费、会议费、福利费、日常维修费、专用材料费及一般设备购置费、办公用房水电费、公务用车运行维护费及其他费用。</w:t>
      </w:r>
    </w:p>
    <w:p>
      <w:pPr>
        <w:snapToGrid/>
        <w:spacing w:line="240" w:lineRule="auto"/>
      </w:pPr>
    </w:p>
    <w:sectPr>
      <w:pgSz w:w="16838" w:h="11905"/>
      <w:pgMar w:top="1417" w:right="1361" w:bottom="1417" w:left="1361" w:header="720" w:footer="720" w:gutter="0"/>
      <w:cols w:space="720" w:num="1"/>
      <w:docGrid w:type="lines" w:linePitch="41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onaco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ZjYzljMDIwZTJjOTI0MTlmNzFiOWIwN2ZhODc3ZTUifQ=="/>
  </w:docVars>
  <w:rsids>
    <w:rsidRoot w:val="00000000"/>
    <w:rsid w:val="0DA576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before="60" w:after="60" w:line="240" w:lineRule="auto"/>
      <w:jc w:val="left"/>
    </w:pPr>
    <w:rPr>
      <w:rFonts w:asciiTheme="minorHAnsi" w:hAnsiTheme="minorHAnsi" w:eastAsiaTheme="minorEastAsia" w:cstheme="minorBidi"/>
      <w:color w:val="333333"/>
      <w:kern w:val="2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5">
    <w:name w:val="Table Grid"/>
    <w:basedOn w:val="4"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melo-codeblock-Base-theme-char"/>
    <w:qFormat/>
    <w:uiPriority w:val="0"/>
    <w:rPr>
      <w:rFonts w:ascii="Monaco" w:hAnsi="Monaco" w:eastAsia="Monaco" w:cs="Monaco"/>
      <w:color w:val="000000"/>
      <w:sz w:val="21"/>
    </w:rPr>
  </w:style>
  <w:style w:type="paragraph" w:customStyle="1" w:styleId="9">
    <w:name w:val="melo-codeblock-Base-theme-para"/>
    <w:basedOn w:val="1"/>
    <w:uiPriority w:val="0"/>
    <w:pPr>
      <w:spacing w:before="0" w:after="0" w:line="360" w:lineRule="auto"/>
    </w:pPr>
    <w:rPr>
      <w:rFonts w:ascii="Monaco" w:hAnsi="Monaco" w:eastAsia="Monaco" w:cs="Monaco"/>
      <w:color w:val="000000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2023-09-04T16:35:00Z</dcterms:created>
  <dc:creator>Lenovo</dc:creator>
  <cp:lastModifiedBy>梁凉凉的</cp:lastModifiedBy>
  <dcterms:modified xsi:type="dcterms:W3CDTF">2023-09-26T09:40:05Z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D9915D825D9B48A1B860E7AFD7B81C19_12</vt:lpwstr>
  </property>
</Properties>
</file>