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240" w:lineRule="auto"/>
        <w:ind w:left="0" w:right="0"/>
        <w:jc w:val="center"/>
        <w:rPr>
          <w:rFonts w:ascii="黑体" w:hAnsi="黑体" w:eastAsia="黑体" w:cs="黑体"/>
          <w:strike w:val="0"/>
          <w:color w:val="000000"/>
          <w:sz w:val="32"/>
          <w:u w:val="none"/>
        </w:rPr>
      </w:pPr>
      <w:r>
        <w:rPr>
          <w:rFonts w:ascii="黑体" w:hAnsi="黑体" w:eastAsia="黑体" w:cs="黑体"/>
          <w:strike w:val="0"/>
          <w:color w:val="000000"/>
          <w:sz w:val="32"/>
          <w:u w:val="none"/>
        </w:rPr>
        <w:t xml:space="preserve">  </w:t>
      </w:r>
    </w:p>
    <w:p>
      <w:pPr>
        <w:snapToGrid w:val="0"/>
        <w:spacing w:before="0" w:after="0" w:line="240" w:lineRule="auto"/>
        <w:ind w:left="0" w:right="0"/>
        <w:jc w:val="center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240" w:lineRule="auto"/>
        <w:ind w:left="0" w:right="0"/>
        <w:jc w:val="center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240" w:lineRule="auto"/>
        <w:ind w:left="0" w:right="0"/>
        <w:jc w:val="center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240" w:lineRule="auto"/>
        <w:ind w:left="0" w:right="0"/>
        <w:jc w:val="center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240" w:lineRule="auto"/>
        <w:ind w:left="0" w:right="0"/>
        <w:jc w:val="center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84"/>
          <w:u w:val="none"/>
        </w:rPr>
      </w:pPr>
      <w:r>
        <w:rPr>
          <w:rFonts w:ascii="黑体" w:hAnsi="黑体" w:eastAsia="黑体" w:cs="黑体"/>
          <w:strike w:val="0"/>
          <w:color w:val="000000"/>
          <w:sz w:val="32"/>
          <w:u w:val="none"/>
        </w:rPr>
        <w:t xml:space="preserve">  </w:t>
      </w: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84"/>
          <w:u w:val="none"/>
        </w:rPr>
        <w:t>炎陵县教育局机关</w:t>
      </w:r>
    </w:p>
    <w:p>
      <w:pPr>
        <w:snapToGrid w:val="0"/>
        <w:spacing w:before="0" w:after="0" w:line="240" w:lineRule="auto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84"/>
          <w:u w:val="none"/>
        </w:rPr>
        <w:t xml:space="preserve">    2022年部门预算</w:t>
      </w:r>
    </w:p>
    <w:p>
      <w:pPr>
        <w:snapToGrid w:val="0"/>
        <w:spacing w:before="0" w:after="0" w:line="560" w:lineRule="exact"/>
        <w:ind w:left="0" w:right="0" w:firstLineChars="0"/>
        <w:jc w:val="both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560" w:lineRule="exact"/>
        <w:ind w:left="0" w:right="0" w:firstLineChars="0"/>
        <w:jc w:val="both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560" w:lineRule="exact"/>
        <w:ind w:left="0" w:right="0" w:firstLineChars="0"/>
        <w:jc w:val="both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560" w:lineRule="exact"/>
        <w:ind w:left="0" w:right="0" w:firstLineChars="0"/>
        <w:jc w:val="both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560" w:lineRule="exact"/>
        <w:ind w:left="0" w:right="0" w:firstLineChars="0"/>
        <w:jc w:val="both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560" w:lineRule="exact"/>
        <w:ind w:left="0" w:right="0" w:firstLineChars="0"/>
        <w:jc w:val="both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560" w:lineRule="exact"/>
        <w:ind w:left="0" w:right="0" w:firstLineChars="0"/>
        <w:jc w:val="both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560" w:lineRule="exact"/>
        <w:ind w:left="0" w:right="0" w:firstLineChars="0"/>
        <w:jc w:val="both"/>
        <w:rPr>
          <w:rFonts w:ascii="黑体" w:hAnsi="黑体" w:eastAsia="黑体" w:cs="黑体"/>
          <w:strike w:val="0"/>
          <w:color w:val="000000"/>
          <w:sz w:val="32"/>
          <w:u w:val="none"/>
        </w:rPr>
      </w:pPr>
    </w:p>
    <w:p>
      <w:pPr>
        <w:snapToGrid w:val="0"/>
        <w:spacing w:before="0" w:after="0" w:line="560" w:lineRule="exact"/>
        <w:ind w:left="0" w:right="0" w:firstLineChars="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strike w:val="0"/>
          <w:color w:val="000000"/>
          <w:sz w:val="32"/>
          <w:u w:val="none"/>
        </w:rPr>
        <w:t xml:space="preserve">                         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目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 xml:space="preserve">  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录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第一部分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部门预算公开说明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一、部门职能职责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二、机构设置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三、部门预算单位构成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四、部门收支总体情况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（一）收入预算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（二）支出预算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（三）预算收支增减变化情况说明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五、一般公共预算拨款支出预算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（一）人员类支出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（二）运转类支出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（三）特定目标类支出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六、政府性基金预算支出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七、其他重要事项情况说明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（一）机关运行经费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（二）政府采购预算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（三）国有资产占有情况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（四）预算绩效目标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经费预算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（六）会议费、培训费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（七）其他事项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八、名词解释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部门预算公开表格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（一）收支总表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（二）收入总表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（三）支出总表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（四）支出分类(政府预算)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（五）一般公共预算基本支出情况表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（六）财政拨款收支总表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（七）一般公共预算支出表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（九）一般公共预算基本支出情况表（按经济性质分类-工资福利）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（十一）一般公共预算基本支出情况表（按经济性质分类-个人家庭）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（十三）一般公共预算基本支出情况表（按经济性质分类-商品服务）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（十四）一般公共预算“三公”经费支出表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（十五）政府性基金预算支出表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（十八）国有资本经营预算支出表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（十九）财政专户管理资金预算支出表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（二十）专项资金预算汇总表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（二十一）项目支出绩效目标表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（二十二）整体支出绩效目标表</w:t>
      </w: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第一部分：</w:t>
      </w:r>
    </w:p>
    <w:p>
      <w:pPr>
        <w:snapToGrid w:val="0"/>
        <w:spacing w:before="0" w:after="0" w:line="560" w:lineRule="exac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</w:pPr>
    </w:p>
    <w:p>
      <w:pPr>
        <w:snapToGrid w:val="0"/>
        <w:spacing w:before="0" w:after="0" w:line="56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炎陵县教育局机关2022年部门预算说明</w:t>
      </w:r>
    </w:p>
    <w:p>
      <w:pPr>
        <w:snapToGrid w:val="0"/>
        <w:spacing w:before="0" w:after="0" w:line="560" w:lineRule="exact"/>
        <w:ind w:left="0" w:right="0" w:firstLine="440" w:firstLineChars="200"/>
        <w:jc w:val="both"/>
      </w:pP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一、部门职能职责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炎陵县教育局是炎陵县人民政府主管全县教育工作。为教育事业提供管理保障，教育管理，教育教学研究，教育技术装备，招生考试。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二、机构设置</w:t>
      </w:r>
    </w:p>
    <w:p>
      <w:pPr>
        <w:snapToGrid/>
        <w:spacing w:before="0" w:after="0" w:line="560" w:lineRule="exact"/>
        <w:ind w:left="0" w:right="0" w:firstLine="640" w:firstLineChars="200"/>
        <w:jc w:val="both"/>
      </w:pP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部门共有编制人数48人，实有人数46人。内设科室7个，分别为：办公室、政工人事股、财务内审股、教育股、安全保卫股、教育督导室、县委教育工作领导小组秘书组秘书股。单位3个（含1个副科级、2个股级单位）分别为：炎陵县基层教育服务中心、炎陵县学生资助事务中心、炎陵县学生社会实践教育基地。属于财政全额拨款的一级预算单位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三、部门预算单位构成</w:t>
      </w:r>
    </w:p>
    <w:p>
      <w:pPr>
        <w:pBdr>
          <w:bottom w:val="none" w:color="auto" w:sz="0" w:space="0"/>
        </w:pBdr>
        <w:snapToGrid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纳入本部门2022年部门预算编制范围的二级预算单位包括：炎陵县第一中学、炎陵县炎陵中学、炎陵县芙蓉学校、炎陵县职业技术学校、炎陵县示范幼儿园、炎陵县城南小学、炎陵县霞阳镇学校、炎陵县沔渡镇学校、炎陵县十都镇学校、炎陵县沔渡镇石洲学校、炎陵县垄溪乡学校、炎陵县水口镇学校、炎陵县策源乡学校、炎陵县下村乡学校、炎陵县中村瑶族乡平乐学校、炎陵县中村瑶族乡龙渣学校、炎陵县中村瑶族乡民旅学校、炎陵县霞阳镇三河学校、炎陵县鹿原镇学校、炎陵县船形乡学校、炎陵县鹿原镇东风学校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四、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部门收支总体情况</w:t>
      </w:r>
    </w:p>
    <w:p>
      <w:pPr>
        <w:pBdr>
          <w:bottom w:val="none" w:color="auto" w:sz="0" w:space="0"/>
        </w:pBd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2002年教育局公开的部门预算为教育局机关预算。收入包括一般公共预算收入、纳入财政专户管理的非税收入拨款收入；支出包括保障单位机关及直属单位基本运行的经费。</w:t>
      </w:r>
    </w:p>
    <w:p>
      <w:pPr>
        <w:pBdr>
          <w:bottom w:val="none" w:color="auto" w:sz="0" w:space="0"/>
        </w:pBd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2022年年初预算数7579632.65元，其中，一般公共预算拨款7305014.65元；政府性基金拨款0元；财政专户管理的非税收入拨款274618元；其他收入0元；上年结转0元。</w:t>
      </w:r>
    </w:p>
    <w:p>
      <w:pPr>
        <w:pBdr>
          <w:bottom w:val="none" w:color="auto" w:sz="0" w:space="0"/>
        </w:pBd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（二）支出预算：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2022年年初预算数7579632.65元，其中，一般公共服务支出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60000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元，公共安全0元，教育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7468832.65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元，科学技术0元、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社会保障和就业支出50800</w:t>
      </w:r>
      <w:r>
        <w:rPr>
          <w:rFonts w:ascii="仿宋_GB2312" w:hAnsi="仿宋_GB2312" w:eastAsia="仿宋_GB2312" w:cs="仿宋_GB2312"/>
          <w:b w:val="0"/>
          <w:strike w:val="0"/>
          <w:color w:val="000000"/>
          <w:spacing w:val="0"/>
          <w:sz w:val="32"/>
          <w:u w:val="none"/>
        </w:rPr>
        <w:t>元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。</w:t>
      </w:r>
    </w:p>
    <w:p>
      <w:pPr>
        <w:pBdr>
          <w:bottom w:val="none" w:color="auto" w:sz="0" w:space="0"/>
        </w:pBd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（三）预算收支增减变化情况说明：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2022年度本部门年初预算数为7579632.65元，比上年增加1157909.65元，主要原因是上年度绩效奖金未纳入本单位年初预算，由财政统一预算。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五、一般公共预算拨款支出预算</w:t>
      </w:r>
    </w:p>
    <w:p>
      <w:pPr>
        <w:pBdr>
          <w:bottom w:val="none" w:color="auto" w:sz="0" w:space="0"/>
        </w:pBd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2022年本部门一般公共预算拨款收入7305014.65元，具体安排如下：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（一）人员类支出</w:t>
      </w:r>
    </w:p>
    <w:p>
      <w:pPr>
        <w:pBdr>
          <w:bottom w:val="none" w:color="auto" w:sz="0" w:space="0"/>
        </w:pBd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年初预算数为6545723.45元。其中包括基本工资2308464元、津贴补贴1231116元、奖金1296372元、机关养老保险597112.32元，基本医疗保险307943.46元，公务员医疗补助缴费106187.4元，其他社会保障缴费36494.03元，住房公积金580314.24元，其他</w:t>
      </w:r>
      <w:r>
        <w:rPr>
          <w:rFonts w:ascii="仿宋_GB2312" w:hAnsi="仿宋_GB2312" w:eastAsia="仿宋_GB2312" w:cs="仿宋_GB2312"/>
          <w:strike w:val="0"/>
          <w:color w:val="000000"/>
          <w:sz w:val="32"/>
          <w:u w:val="none"/>
        </w:rPr>
        <w:t>工资福利支出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3680</w:t>
      </w:r>
      <w:r>
        <w:rPr>
          <w:rFonts w:ascii="仿宋_GB2312" w:hAnsi="仿宋_GB2312" w:eastAsia="仿宋_GB2312" w:cs="仿宋_GB2312"/>
          <w:b w:val="0"/>
          <w:strike w:val="0"/>
          <w:color w:val="000000"/>
          <w:spacing w:val="0"/>
          <w:sz w:val="32"/>
          <w:u w:val="none"/>
        </w:rPr>
        <w:t>元，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对个人和家庭的补助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78040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（二）运转类支出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2022年年初预算数为759291.2元。其中：工会经费55771.2元，办公费42000元，水费10000元，电费50000元，差旅费50000元，公务接待费20000元，其他交通费用329520元，其他商品和服务支出150000元、退休支部工作经费50</w:t>
      </w:r>
      <w:r>
        <w:rPr>
          <w:rFonts w:ascii="仿宋_GB2312" w:hAnsi="仿宋_GB2312" w:eastAsia="仿宋_GB2312" w:cs="仿宋_GB2312"/>
          <w:strike w:val="0"/>
          <w:color w:val="000000"/>
          <w:sz w:val="32"/>
          <w:u w:val="none"/>
        </w:rPr>
        <w:t>8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00元，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非税收入安排的支出</w:t>
      </w:r>
      <w:r>
        <w:rPr>
          <w:rFonts w:ascii="仿宋_GB2312" w:hAnsi="仿宋_GB2312" w:eastAsia="仿宋_GB2312" w:cs="仿宋_GB2312"/>
          <w:b w:val="0"/>
          <w:strike w:val="0"/>
          <w:color w:val="000000"/>
          <w:spacing w:val="0"/>
          <w:sz w:val="32"/>
          <w:u w:val="none"/>
        </w:rPr>
        <w:t>1200元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（三）特定目标类支出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特定目标类支出为0元。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>六、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政府性基金预算支出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2022年度本部门无政府性基金预算安排的支出。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七、其他重要事项情况说明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本部门2022年年初预算机关运行经费(商品和服务支出+业务性专项)共安排759291.2元，比上年度预算</w:t>
      </w:r>
      <w:r>
        <w:rPr>
          <w:rFonts w:ascii="仿宋_GB2312" w:hAnsi="仿宋_GB2312" w:eastAsia="仿宋_GB2312" w:cs="仿宋_GB2312"/>
          <w:strike w:val="0"/>
          <w:color w:val="000000"/>
          <w:sz w:val="32"/>
          <w:u w:val="none"/>
        </w:rPr>
        <w:t>减少32515.8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</w:t>
      </w:r>
      <w:r>
        <w:rPr>
          <w:rFonts w:ascii="仿宋_GB2312" w:hAnsi="仿宋_GB2312" w:eastAsia="仿宋_GB2312" w:cs="仿宋_GB2312"/>
          <w:strike w:val="0"/>
          <w:color w:val="000000"/>
          <w:sz w:val="32"/>
          <w:u w:val="none"/>
        </w:rPr>
        <w:t>减少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的主要原因是：非税收入</w:t>
      </w:r>
      <w:r>
        <w:rPr>
          <w:rFonts w:ascii="仿宋_GB2312" w:hAnsi="仿宋_GB2312" w:eastAsia="仿宋_GB2312" w:cs="仿宋_GB2312"/>
          <w:strike w:val="0"/>
          <w:color w:val="000000"/>
          <w:sz w:val="32"/>
          <w:u w:val="none"/>
        </w:rPr>
        <w:t>返还减少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（二）政府采购预算：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2022年年初预算数为723100元。包含：政府采购货物463100</w:t>
      </w:r>
      <w:r>
        <w:rPr>
          <w:rFonts w:ascii="仿宋_GB2312" w:hAnsi="仿宋_GB2312" w:eastAsia="仿宋_GB2312" w:cs="仿宋_GB2312"/>
          <w:strike w:val="0"/>
          <w:color w:val="000000"/>
          <w:sz w:val="32"/>
          <w:u w:val="none"/>
        </w:rPr>
        <w:t>元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、政府采购服务210000元，政府采购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工程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50000元。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截止2021年12月31日，本部门共有办公及业务用房2644.12平方米；车辆2辆，其中一般公务用车2辆、一般执法执勤用车0辆、货币化用车0辆；单位价值50万以上大型设备0套。2022年部门预算安排购置车辆0辆，预算安排购置价值50万以上大型设备0套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（四）预算绩效目标：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本部门整体支出和项目支出实行绩效目标管理，纳入2022年部门整体支出绩效目标的金额为7579632.65元，其中，基本支出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7253014.65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元，项目支出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326618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经费预算：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2022年“三公”经费预算数20000元，其中：公务接待费20000元、公务用车购置费0元，公务用车运行费0元、因公出国（境）费0元。2022年公务用车购置数0台。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2022年“三公”经费预算数比2021年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持平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，主要是因为无变化。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（六）会议费、培训费预算：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2022年预算安排会议费0元。</w:t>
      </w:r>
      <w:bookmarkStart w:id="0" w:name="_GoBack"/>
      <w:bookmarkEnd w:id="0"/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2022年预算安排培训费0元。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（七）其他事项。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本单位2022年预算未安排政府基金收支预算，未安排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国有资本经营预算支出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八、名词解释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（一）一般公共预算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财政收入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，按照2015年1月1日起施行的新《预算法》，改称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一般公共预算收入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。全市一般公共预算收入由地方收入、上划中央收入、上划省级收入三部分构成。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（二）政府性基金预算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（三）国有资本经营预算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（四）社会保险基金预算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pStyle w:val="3"/>
        <w:snapToGrid/>
        <w:spacing w:line="240" w:lineRule="auto"/>
        <w:jc w:val="left"/>
      </w:pPr>
    </w:p>
    <w:p>
      <w:pPr>
        <w:snapToGrid/>
        <w:spacing w:line="240" w:lineRule="auto"/>
        <w:jc w:val="left"/>
      </w:pPr>
    </w:p>
    <w:p>
      <w:pPr>
        <w:snapToGrid/>
        <w:spacing w:line="240" w:lineRule="auto"/>
      </w:pPr>
    </w:p>
    <w:sectPr>
      <w:pgSz w:w="16838" w:h="11905"/>
      <w:pgMar w:top="1417" w:right="1361" w:bottom="1417" w:left="1361" w:header="720" w:footer="720" w:gutter="0"/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YzljMDIwZTJjOTI0MTlmNzFiOWIwN2ZhODc3ZTUifQ=="/>
  </w:docVars>
  <w:rsids>
    <w:rsidRoot w:val="00000000"/>
    <w:rsid w:val="562D0233"/>
    <w:rsid w:val="6CC55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melo-codeblock-Base-theme-char"/>
    <w:uiPriority w:val="0"/>
    <w:rPr>
      <w:rFonts w:ascii="Monaco" w:hAnsi="Monaco" w:eastAsia="Monaco" w:cs="Monaco"/>
      <w:color w:val="000000"/>
      <w:sz w:val="21"/>
    </w:rPr>
  </w:style>
  <w:style w:type="paragraph" w:customStyle="1" w:styleId="9">
    <w:name w:val="melo-codeblock-Base-theme-para"/>
    <w:basedOn w:val="1"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2023-09-04T16:35:00Z</dcterms:created>
  <dc:creator>Lenovo</dc:creator>
  <cp:lastModifiedBy>梁凉凉的</cp:lastModifiedBy>
  <dcterms:modified xsi:type="dcterms:W3CDTF">2023-09-26T09:23:59Z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F39AC755DFB649FA9EF4D044E59EDF17_12</vt:lpwstr>
  </property>
</Properties>
</file>