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center"/>
        <w:rPr>
          <w:rFonts w:eastAsia="方正小标宋简体"/>
          <w:bCs/>
          <w:color w:val="000000" w:themeColor="text1"/>
          <w:sz w:val="44"/>
          <w:szCs w:val="44"/>
          <w14:textFill>
            <w14:solidFill>
              <w14:schemeClr w14:val="tx1"/>
            </w14:solidFill>
          </w14:textFill>
        </w:rPr>
      </w:pPr>
    </w:p>
    <w:p>
      <w:pPr>
        <w:tabs>
          <w:tab w:val="left" w:pos="7560"/>
        </w:tabs>
        <w:adjustRightInd w:val="0"/>
        <w:snapToGrid w:val="0"/>
        <w:spacing w:line="560" w:lineRule="exact"/>
        <w:jc w:val="center"/>
        <w:rPr>
          <w:rFonts w:eastAsia="方正小标宋简体"/>
          <w:bCs/>
          <w:color w:val="000000" w:themeColor="text1"/>
          <w:sz w:val="44"/>
          <w:szCs w:val="44"/>
          <w14:textFill>
            <w14:solidFill>
              <w14:schemeClr w14:val="tx1"/>
            </w14:solidFill>
          </w14:textFill>
        </w:rPr>
      </w:pPr>
    </w:p>
    <w:p>
      <w:pPr>
        <w:tabs>
          <w:tab w:val="left" w:pos="7560"/>
        </w:tabs>
        <w:adjustRightInd w:val="0"/>
        <w:snapToGrid w:val="0"/>
        <w:spacing w:line="560" w:lineRule="exact"/>
        <w:jc w:val="center"/>
        <w:rPr>
          <w:rFonts w:eastAsia="方正小标宋简体"/>
          <w:bCs/>
          <w:color w:val="000000" w:themeColor="text1"/>
          <w:sz w:val="44"/>
          <w:szCs w:val="44"/>
          <w14:textFill>
            <w14:solidFill>
              <w14:schemeClr w14:val="tx1"/>
            </w14:solidFill>
          </w14:textFill>
        </w:rPr>
      </w:pPr>
    </w:p>
    <w:p>
      <w:pPr>
        <w:tabs>
          <w:tab w:val="left" w:pos="7560"/>
        </w:tabs>
        <w:adjustRightInd w:val="0"/>
        <w:snapToGrid w:val="0"/>
        <w:spacing w:line="560" w:lineRule="exact"/>
        <w:jc w:val="center"/>
        <w:rPr>
          <w:rFonts w:eastAsia="方正小标宋简体"/>
          <w:bCs/>
          <w:color w:val="000000" w:themeColor="text1"/>
          <w:sz w:val="44"/>
          <w:szCs w:val="44"/>
          <w14:textFill>
            <w14:solidFill>
              <w14:schemeClr w14:val="tx1"/>
            </w14:solidFill>
          </w14:textFill>
        </w:rPr>
      </w:pPr>
    </w:p>
    <w:p>
      <w:pPr>
        <w:tabs>
          <w:tab w:val="left" w:pos="7560"/>
        </w:tabs>
        <w:adjustRightInd w:val="0"/>
        <w:snapToGrid w:val="0"/>
        <w:jc w:val="center"/>
        <w:rPr>
          <w:rFonts w:eastAsia="方正小标宋简体"/>
          <w:bCs/>
          <w:color w:val="000000" w:themeColor="text1"/>
          <w:sz w:val="84"/>
          <w:szCs w:val="84"/>
          <w14:textFill>
            <w14:solidFill>
              <w14:schemeClr w14:val="tx1"/>
            </w14:solidFill>
          </w14:textFill>
        </w:rPr>
      </w:pPr>
      <w:r>
        <w:rPr>
          <w:rFonts w:hint="eastAsia" w:eastAsia="方正小标宋简体"/>
          <w:bCs/>
          <w:color w:val="000000" w:themeColor="text1"/>
          <w:sz w:val="84"/>
          <w:szCs w:val="84"/>
          <w14:textFill>
            <w14:solidFill>
              <w14:schemeClr w14:val="tx1"/>
            </w14:solidFill>
          </w14:textFill>
        </w:rPr>
        <w:t>醴陵市住房保障服务中心2022</w:t>
      </w:r>
      <w:r>
        <w:rPr>
          <w:rFonts w:eastAsia="方正小标宋简体"/>
          <w:bCs/>
          <w:color w:val="000000" w:themeColor="text1"/>
          <w:sz w:val="84"/>
          <w:szCs w:val="84"/>
          <w14:textFill>
            <w14:solidFill>
              <w14:schemeClr w14:val="tx1"/>
            </w14:solidFill>
          </w14:textFill>
        </w:rPr>
        <w:t>年部门预算</w:t>
      </w:r>
    </w:p>
    <w:p>
      <w:pPr>
        <w:tabs>
          <w:tab w:val="left" w:pos="7560"/>
        </w:tabs>
        <w:adjustRightInd w:val="0"/>
        <w:snapToGrid w:val="0"/>
        <w:jc w:val="center"/>
        <w:rPr>
          <w:rFonts w:eastAsia="方正小标宋简体"/>
          <w:bCs/>
          <w:color w:val="000000" w:themeColor="text1"/>
          <w:sz w:val="44"/>
          <w:szCs w:val="44"/>
          <w14:textFill>
            <w14:solidFill>
              <w14:schemeClr w14:val="tx1"/>
            </w14:solidFill>
          </w14:textFill>
        </w:rPr>
      </w:pPr>
    </w:p>
    <w:p>
      <w:pPr>
        <w:tabs>
          <w:tab w:val="left" w:pos="7560"/>
        </w:tabs>
        <w:adjustRightInd w:val="0"/>
        <w:snapToGrid w:val="0"/>
        <w:spacing w:line="560" w:lineRule="exact"/>
        <w:rPr>
          <w:rFonts w:eastAsia="楷体_GB2312"/>
          <w:bCs/>
          <w:color w:val="000000" w:themeColor="text1"/>
          <w:sz w:val="32"/>
          <w:szCs w:val="32"/>
          <w14:textFill>
            <w14:solidFill>
              <w14:schemeClr w14:val="tx1"/>
            </w14:solidFill>
          </w14:textFill>
        </w:rPr>
      </w:pPr>
    </w:p>
    <w:p>
      <w:pPr>
        <w:tabs>
          <w:tab w:val="left" w:pos="7560"/>
        </w:tabs>
        <w:adjustRightInd w:val="0"/>
        <w:snapToGrid w:val="0"/>
        <w:spacing w:line="560" w:lineRule="exact"/>
        <w:jc w:val="left"/>
        <w:rPr>
          <w:rFonts w:eastAsia="仿宋_GB2312"/>
          <w:bCs/>
          <w:color w:val="000000" w:themeColor="text1"/>
          <w:sz w:val="32"/>
          <w:szCs w:val="32"/>
          <w14:textFill>
            <w14:solidFill>
              <w14:schemeClr w14:val="tx1"/>
            </w14:solidFill>
          </w14:textFill>
        </w:rPr>
      </w:pPr>
    </w:p>
    <w:p>
      <w:pPr>
        <w:tabs>
          <w:tab w:val="left" w:pos="7560"/>
        </w:tabs>
        <w:adjustRightInd w:val="0"/>
        <w:snapToGrid w:val="0"/>
        <w:spacing w:line="560" w:lineRule="exact"/>
        <w:jc w:val="left"/>
        <w:rPr>
          <w:rFonts w:eastAsia="仿宋_GB2312"/>
          <w:bCs/>
          <w:color w:val="000000" w:themeColor="text1"/>
          <w:sz w:val="32"/>
          <w:szCs w:val="32"/>
          <w14:textFill>
            <w14:solidFill>
              <w14:schemeClr w14:val="tx1"/>
            </w14:solidFill>
          </w14:textFill>
        </w:rPr>
      </w:pPr>
    </w:p>
    <w:p>
      <w:pPr>
        <w:tabs>
          <w:tab w:val="left" w:pos="7560"/>
        </w:tabs>
        <w:adjustRightInd w:val="0"/>
        <w:snapToGrid w:val="0"/>
        <w:spacing w:line="560" w:lineRule="exact"/>
        <w:jc w:val="left"/>
        <w:rPr>
          <w:rFonts w:eastAsia="仿宋_GB2312"/>
          <w:bCs/>
          <w:color w:val="000000" w:themeColor="text1"/>
          <w:sz w:val="32"/>
          <w:szCs w:val="32"/>
          <w14:textFill>
            <w14:solidFill>
              <w14:schemeClr w14:val="tx1"/>
            </w14:solidFill>
          </w14:textFill>
        </w:rPr>
      </w:pPr>
    </w:p>
    <w:p>
      <w:pPr>
        <w:tabs>
          <w:tab w:val="left" w:pos="7560"/>
        </w:tabs>
        <w:adjustRightInd w:val="0"/>
        <w:snapToGrid w:val="0"/>
        <w:spacing w:line="560" w:lineRule="exact"/>
        <w:jc w:val="left"/>
        <w:rPr>
          <w:rFonts w:eastAsia="仿宋_GB2312"/>
          <w:bCs/>
          <w:color w:val="000000" w:themeColor="text1"/>
          <w:sz w:val="32"/>
          <w:szCs w:val="32"/>
          <w14:textFill>
            <w14:solidFill>
              <w14:schemeClr w14:val="tx1"/>
            </w14:solidFill>
          </w14:textFill>
        </w:rPr>
      </w:pPr>
    </w:p>
    <w:p>
      <w:pPr>
        <w:tabs>
          <w:tab w:val="left" w:pos="7560"/>
        </w:tabs>
        <w:adjustRightInd w:val="0"/>
        <w:snapToGrid w:val="0"/>
        <w:spacing w:line="560" w:lineRule="exact"/>
        <w:jc w:val="center"/>
        <w:rPr>
          <w:rFonts w:hAnsi="黑体" w:eastAsia="黑体"/>
          <w:bCs/>
          <w:color w:val="000000" w:themeColor="text1"/>
          <w:sz w:val="32"/>
          <w:szCs w:val="32"/>
          <w14:textFill>
            <w14:solidFill>
              <w14:schemeClr w14:val="tx1"/>
            </w14:solidFill>
          </w14:textFill>
        </w:rPr>
      </w:pPr>
    </w:p>
    <w:p>
      <w:pPr>
        <w:tabs>
          <w:tab w:val="left" w:pos="7560"/>
        </w:tabs>
        <w:adjustRightInd w:val="0"/>
        <w:snapToGrid w:val="0"/>
        <w:spacing w:line="560" w:lineRule="exact"/>
        <w:jc w:val="center"/>
        <w:rPr>
          <w:rFonts w:eastAsia="黑体"/>
          <w:bCs/>
          <w:color w:val="000000" w:themeColor="text1"/>
          <w:sz w:val="32"/>
          <w:szCs w:val="32"/>
          <w14:textFill>
            <w14:solidFill>
              <w14:schemeClr w14:val="tx1"/>
            </w14:solidFill>
          </w14:textFill>
        </w:rPr>
      </w:pPr>
      <w:r>
        <w:rPr>
          <w:rFonts w:hAnsi="黑体" w:eastAsia="黑体"/>
          <w:bCs/>
          <w:color w:val="000000" w:themeColor="text1"/>
          <w:sz w:val="32"/>
          <w:szCs w:val="32"/>
          <w14:textFill>
            <w14:solidFill>
              <w14:schemeClr w14:val="tx1"/>
            </w14:solidFill>
          </w14:textFill>
        </w:rPr>
        <w:t>目录</w:t>
      </w:r>
    </w:p>
    <w:p>
      <w:pPr>
        <w:tabs>
          <w:tab w:val="left" w:pos="7560"/>
        </w:tabs>
        <w:adjustRightInd w:val="0"/>
        <w:snapToGrid w:val="0"/>
        <w:spacing w:line="560" w:lineRule="exact"/>
        <w:ind w:firstLine="643" w:firstLineChars="200"/>
        <w:rPr>
          <w:rFonts w:hAnsi="仿宋_GB2312" w:eastAsia="仿宋_GB2312"/>
          <w:b/>
          <w:bCs/>
          <w:color w:val="000000" w:themeColor="text1"/>
          <w:sz w:val="32"/>
          <w:szCs w:val="32"/>
          <w14:textFill>
            <w14:solidFill>
              <w14:schemeClr w14:val="tx1"/>
            </w14:solidFill>
          </w14:textFill>
        </w:rPr>
      </w:pPr>
    </w:p>
    <w:p>
      <w:pPr>
        <w:tabs>
          <w:tab w:val="left" w:pos="7560"/>
        </w:tabs>
        <w:adjustRightInd w:val="0"/>
        <w:snapToGrid w:val="0"/>
        <w:spacing w:line="560" w:lineRule="exact"/>
        <w:ind w:firstLine="643" w:firstLineChars="200"/>
        <w:rPr>
          <w:rFonts w:ascii="仿宋" w:hAnsi="仿宋" w:eastAsia="仿宋"/>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第一部分 部门预算公开说明</w:t>
      </w:r>
    </w:p>
    <w:p>
      <w:pPr>
        <w:tabs>
          <w:tab w:val="left" w:pos="7560"/>
        </w:tabs>
        <w:adjustRightInd w:val="0"/>
        <w:snapToGrid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一、部门职能职责</w:t>
      </w:r>
    </w:p>
    <w:p>
      <w:pPr>
        <w:tabs>
          <w:tab w:val="left" w:pos="7560"/>
        </w:tabs>
        <w:adjustRightInd w:val="0"/>
        <w:snapToGrid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二、机构设置</w:t>
      </w:r>
    </w:p>
    <w:p>
      <w:pPr>
        <w:tabs>
          <w:tab w:val="left" w:pos="7560"/>
        </w:tabs>
        <w:adjustRightInd w:val="0"/>
        <w:snapToGrid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三、部门预算单位构成</w:t>
      </w:r>
    </w:p>
    <w:p>
      <w:pPr>
        <w:tabs>
          <w:tab w:val="left" w:pos="7560"/>
        </w:tabs>
        <w:adjustRightInd w:val="0"/>
        <w:snapToGrid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四、部门收支总体情况</w:t>
      </w:r>
    </w:p>
    <w:p>
      <w:pPr>
        <w:tabs>
          <w:tab w:val="left" w:pos="7560"/>
        </w:tabs>
        <w:adjustRightInd w:val="0"/>
        <w:snapToGrid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（一）收入预算</w:t>
      </w:r>
    </w:p>
    <w:p>
      <w:pPr>
        <w:tabs>
          <w:tab w:val="left" w:pos="7560"/>
        </w:tabs>
        <w:adjustRightInd w:val="0"/>
        <w:snapToGrid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（二）支出预算</w:t>
      </w:r>
    </w:p>
    <w:p>
      <w:pPr>
        <w:tabs>
          <w:tab w:val="left" w:pos="7560"/>
        </w:tabs>
        <w:adjustRightInd w:val="0"/>
        <w:snapToGrid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（三）预算收支增减变化情况说明</w:t>
      </w:r>
    </w:p>
    <w:p>
      <w:pPr>
        <w:tabs>
          <w:tab w:val="left" w:pos="7560"/>
        </w:tabs>
        <w:adjustRightInd w:val="0"/>
        <w:snapToGrid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五、一般公共预算拨款支出预算</w:t>
      </w:r>
    </w:p>
    <w:p>
      <w:pPr>
        <w:tabs>
          <w:tab w:val="left" w:pos="7560"/>
        </w:tabs>
        <w:adjustRightInd w:val="0"/>
        <w:snapToGrid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（一）</w:t>
      </w:r>
      <w:r>
        <w:rPr>
          <w:rFonts w:hint="eastAsia" w:ascii="仿宋" w:hAnsi="仿宋" w:eastAsia="仿宋"/>
          <w:color w:val="000000" w:themeColor="text1"/>
          <w:sz w:val="32"/>
          <w:szCs w:val="32"/>
          <w14:textFill>
            <w14:solidFill>
              <w14:schemeClr w14:val="tx1"/>
            </w14:solidFill>
          </w14:textFill>
        </w:rPr>
        <w:t>人员类</w:t>
      </w:r>
      <w:r>
        <w:rPr>
          <w:rFonts w:ascii="仿宋" w:hAnsi="仿宋" w:eastAsia="仿宋"/>
          <w:color w:val="000000" w:themeColor="text1"/>
          <w:sz w:val="32"/>
          <w:szCs w:val="32"/>
          <w14:textFill>
            <w14:solidFill>
              <w14:schemeClr w14:val="tx1"/>
            </w14:solidFill>
          </w14:textFill>
        </w:rPr>
        <w:t>支出</w:t>
      </w:r>
    </w:p>
    <w:p>
      <w:pPr>
        <w:tabs>
          <w:tab w:val="left" w:pos="7560"/>
        </w:tabs>
        <w:adjustRightInd w:val="0"/>
        <w:snapToGrid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（二）</w:t>
      </w:r>
      <w:r>
        <w:rPr>
          <w:rFonts w:hint="eastAsia" w:ascii="仿宋" w:hAnsi="仿宋" w:eastAsia="仿宋"/>
          <w:color w:val="000000" w:themeColor="text1"/>
          <w:sz w:val="32"/>
          <w:szCs w:val="32"/>
          <w14:textFill>
            <w14:solidFill>
              <w14:schemeClr w14:val="tx1"/>
            </w14:solidFill>
          </w14:textFill>
        </w:rPr>
        <w:t>运转类</w:t>
      </w:r>
      <w:r>
        <w:rPr>
          <w:rFonts w:ascii="仿宋" w:hAnsi="仿宋" w:eastAsia="仿宋"/>
          <w:color w:val="000000" w:themeColor="text1"/>
          <w:sz w:val="32"/>
          <w:szCs w:val="32"/>
          <w14:textFill>
            <w14:solidFill>
              <w14:schemeClr w14:val="tx1"/>
            </w14:solidFill>
          </w14:textFill>
        </w:rPr>
        <w:t>支出</w:t>
      </w:r>
    </w:p>
    <w:p>
      <w:pPr>
        <w:tabs>
          <w:tab w:val="left" w:pos="7560"/>
        </w:tabs>
        <w:adjustRightInd w:val="0"/>
        <w:snapToGrid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（三）特定目标类支出</w:t>
      </w:r>
    </w:p>
    <w:p>
      <w:pPr>
        <w:tabs>
          <w:tab w:val="left" w:pos="7560"/>
        </w:tabs>
        <w:adjustRightInd w:val="0"/>
        <w:snapToGrid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六、政府性基金预算支出</w:t>
      </w:r>
    </w:p>
    <w:p>
      <w:pPr>
        <w:tabs>
          <w:tab w:val="left" w:pos="7560"/>
        </w:tabs>
        <w:adjustRightInd w:val="0"/>
        <w:snapToGrid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七、其他重要事项情况说明</w:t>
      </w:r>
    </w:p>
    <w:p>
      <w:pPr>
        <w:tabs>
          <w:tab w:val="left" w:pos="7560"/>
        </w:tabs>
        <w:adjustRightInd w:val="0"/>
        <w:snapToGrid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（一）机关运行经费</w:t>
      </w:r>
    </w:p>
    <w:p>
      <w:pPr>
        <w:tabs>
          <w:tab w:val="left" w:pos="7560"/>
        </w:tabs>
        <w:adjustRightInd w:val="0"/>
        <w:snapToGrid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（二）政府采购预算</w:t>
      </w:r>
    </w:p>
    <w:p>
      <w:pPr>
        <w:tabs>
          <w:tab w:val="left" w:pos="7560"/>
        </w:tabs>
        <w:adjustRightInd w:val="0"/>
        <w:snapToGrid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（三）国有资产占有情况</w:t>
      </w:r>
    </w:p>
    <w:p>
      <w:pPr>
        <w:tabs>
          <w:tab w:val="left" w:pos="7560"/>
        </w:tabs>
        <w:adjustRightInd w:val="0"/>
        <w:snapToGrid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（四）预算绩效目标</w:t>
      </w:r>
    </w:p>
    <w:p>
      <w:pPr>
        <w:tabs>
          <w:tab w:val="left" w:pos="7560"/>
        </w:tabs>
        <w:adjustRightInd w:val="0"/>
        <w:snapToGrid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（五）一般公共预算“三公”经费预算</w:t>
      </w:r>
    </w:p>
    <w:p>
      <w:pPr>
        <w:tabs>
          <w:tab w:val="left" w:pos="7560"/>
        </w:tabs>
        <w:adjustRightInd w:val="0"/>
        <w:snapToGrid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（六）会议费、培训费</w:t>
      </w:r>
    </w:p>
    <w:p>
      <w:pPr>
        <w:tabs>
          <w:tab w:val="left" w:pos="7560"/>
        </w:tabs>
        <w:adjustRightInd w:val="0"/>
        <w:snapToGrid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（七）其他事项</w:t>
      </w:r>
    </w:p>
    <w:p>
      <w:pPr>
        <w:tabs>
          <w:tab w:val="left" w:pos="7560"/>
        </w:tabs>
        <w:adjustRightInd w:val="0"/>
        <w:snapToGrid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八、名词解释</w:t>
      </w:r>
    </w:p>
    <w:p>
      <w:pPr>
        <w:tabs>
          <w:tab w:val="left" w:pos="7560"/>
        </w:tabs>
        <w:adjustRightInd w:val="0"/>
        <w:snapToGrid w:val="0"/>
        <w:spacing w:line="560" w:lineRule="exact"/>
        <w:ind w:firstLine="643" w:firstLineChars="200"/>
        <w:rPr>
          <w:rFonts w:ascii="仿宋" w:hAnsi="仿宋" w:eastAsia="仿宋"/>
          <w:b/>
          <w:bCs/>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第二部分 部门预算公开表格</w:t>
      </w:r>
    </w:p>
    <w:p>
      <w:pPr>
        <w:pStyle w:val="3"/>
        <w:spacing w:line="56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（一）收支总表</w:t>
      </w:r>
    </w:p>
    <w:p>
      <w:pPr>
        <w:pStyle w:val="3"/>
        <w:spacing w:line="56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（二）收入总表</w:t>
      </w:r>
    </w:p>
    <w:p>
      <w:pPr>
        <w:pStyle w:val="3"/>
        <w:spacing w:line="56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（三）支出总表</w:t>
      </w:r>
    </w:p>
    <w:p>
      <w:pPr>
        <w:pStyle w:val="3"/>
        <w:spacing w:line="56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（四）支出分类(政府预算)</w:t>
      </w:r>
    </w:p>
    <w:p>
      <w:pPr>
        <w:pStyle w:val="3"/>
        <w:spacing w:line="56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（五）支出分类（部门预算）</w:t>
      </w:r>
    </w:p>
    <w:p>
      <w:pPr>
        <w:pStyle w:val="3"/>
        <w:spacing w:line="56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（六）财政拨款收支总表</w:t>
      </w:r>
    </w:p>
    <w:p>
      <w:pPr>
        <w:pStyle w:val="3"/>
        <w:spacing w:line="56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（七）一般公共预算支出表</w:t>
      </w:r>
    </w:p>
    <w:p>
      <w:pPr>
        <w:pStyle w:val="3"/>
        <w:spacing w:line="56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（八）一般公共预算基本支出表--人员经费(工资福利支出)(按政府预算经济分类)</w:t>
      </w:r>
    </w:p>
    <w:p>
      <w:pPr>
        <w:pStyle w:val="3"/>
        <w:spacing w:line="56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（九）一般公共预算基本支出表--人员经费(工资福利支出)(按部门预算经济分类)</w:t>
      </w:r>
    </w:p>
    <w:p>
      <w:pPr>
        <w:pStyle w:val="3"/>
        <w:spacing w:line="56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（十）一般公共预算基本支出表--人员经费(对个人和家庭的补助)(按政府预算经济分类)</w:t>
      </w:r>
    </w:p>
    <w:p>
      <w:pPr>
        <w:pStyle w:val="3"/>
        <w:spacing w:line="56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（十一）一般公共预算基本支出表--人员经费(对个人和家庭的补助)（按部门预算经济分类）</w:t>
      </w:r>
    </w:p>
    <w:p>
      <w:pPr>
        <w:pStyle w:val="3"/>
        <w:spacing w:line="56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（十二）一般公共预算基本支出表--公用经费(商品和服务支出)（按政府预算经济分类）</w:t>
      </w:r>
    </w:p>
    <w:p>
      <w:pPr>
        <w:pStyle w:val="3"/>
        <w:spacing w:line="56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（十三）一般公共预算基本支出表--公用经费(商品和服务支出)(按部门预算经济分类)</w:t>
      </w:r>
    </w:p>
    <w:p>
      <w:pPr>
        <w:pStyle w:val="3"/>
        <w:spacing w:line="56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（十四）一般公共预算“三公”经费支出表</w:t>
      </w:r>
    </w:p>
    <w:p>
      <w:pPr>
        <w:pStyle w:val="3"/>
        <w:spacing w:line="56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（十五）政府性基金预算支出表</w:t>
      </w:r>
    </w:p>
    <w:p>
      <w:pPr>
        <w:pStyle w:val="3"/>
        <w:spacing w:line="56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（十六）政府性基金预算支出分类汇总表（按政府预算经济分类）</w:t>
      </w:r>
    </w:p>
    <w:p>
      <w:pPr>
        <w:pStyle w:val="3"/>
        <w:spacing w:line="56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（十七）政府性基金预算支出分类汇总表（按部门预算经济分类）</w:t>
      </w:r>
    </w:p>
    <w:p>
      <w:pPr>
        <w:pStyle w:val="3"/>
        <w:spacing w:line="56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（十八）国有资本经营预算支出表</w:t>
      </w:r>
    </w:p>
    <w:p>
      <w:pPr>
        <w:pStyle w:val="3"/>
        <w:spacing w:line="56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（十九）财政专户管理资金预算支出表</w:t>
      </w:r>
    </w:p>
    <w:p>
      <w:pPr>
        <w:pStyle w:val="3"/>
        <w:spacing w:line="56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（二十）专项资金预算汇总表</w:t>
      </w:r>
    </w:p>
    <w:p>
      <w:pPr>
        <w:pStyle w:val="3"/>
        <w:spacing w:line="56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（二十一）项目支出绩效目标表</w:t>
      </w:r>
    </w:p>
    <w:p>
      <w:pPr>
        <w:pStyle w:val="3"/>
        <w:spacing w:line="560" w:lineRule="exac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（二十二）整体支出绩效目标表</w:t>
      </w:r>
    </w:p>
    <w:p>
      <w:pPr>
        <w:pStyle w:val="3"/>
        <w:spacing w:line="560" w:lineRule="exact"/>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二十三）</w:t>
      </w:r>
      <w:r>
        <w:rPr>
          <w:rFonts w:hint="eastAsia" w:ascii="仿宋" w:hAnsi="仿宋" w:eastAsia="仿宋"/>
          <w:color w:val="000000" w:themeColor="text1"/>
          <w:sz w:val="32"/>
          <w:szCs w:val="32"/>
          <w:lang w:eastAsia="zh-CN"/>
          <w14:textFill>
            <w14:solidFill>
              <w14:schemeClr w14:val="tx1"/>
            </w14:solidFill>
          </w14:textFill>
        </w:rPr>
        <w:t>一般公共预算基本支出表</w:t>
      </w:r>
    </w:p>
    <w:p>
      <w:pPr>
        <w:tabs>
          <w:tab w:val="left" w:pos="7560"/>
        </w:tabs>
        <w:adjustRightInd w:val="0"/>
        <w:snapToGrid w:val="0"/>
        <w:spacing w:line="560" w:lineRule="exact"/>
        <w:rPr>
          <w:rFonts w:hint="eastAsia" w:ascii="仿宋" w:hAnsi="仿宋" w:eastAsia="仿宋" w:cs="Times New Roman"/>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（本套报表金额单位转换时可能存在尾数误差）</w:t>
      </w: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tabs>
          <w:tab w:val="left" w:pos="7560"/>
        </w:tabs>
        <w:adjustRightInd w:val="0"/>
        <w:snapToGrid w:val="0"/>
        <w:spacing w:line="560" w:lineRule="exact"/>
        <w:rPr>
          <w:rFonts w:eastAsia="黑体"/>
          <w:color w:val="000000" w:themeColor="text1"/>
          <w:sz w:val="32"/>
          <w:szCs w:val="32"/>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tabs>
          <w:tab w:val="left" w:pos="7560"/>
        </w:tabs>
        <w:adjustRightInd w:val="0"/>
        <w:snapToGrid w:val="0"/>
        <w:spacing w:line="560" w:lineRule="exact"/>
        <w:rPr>
          <w:rFonts w:eastAsia="黑体"/>
          <w:color w:val="000000" w:themeColor="text1"/>
          <w:sz w:val="32"/>
          <w:szCs w:val="32"/>
          <w14:textFill>
            <w14:solidFill>
              <w14:schemeClr w14:val="tx1"/>
            </w14:solidFill>
          </w14:textFill>
        </w:rPr>
      </w:pPr>
    </w:p>
    <w:p>
      <w:pPr>
        <w:tabs>
          <w:tab w:val="left" w:pos="7560"/>
        </w:tabs>
        <w:adjustRightInd w:val="0"/>
        <w:snapToGrid w:val="0"/>
        <w:spacing w:line="560" w:lineRule="exact"/>
        <w:ind w:firstLine="640" w:firstLineChars="200"/>
        <w:rPr>
          <w:rFonts w:eastAsia="黑体"/>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第一部分：</w:t>
      </w:r>
    </w:p>
    <w:p>
      <w:pPr>
        <w:tabs>
          <w:tab w:val="left" w:pos="7560"/>
        </w:tabs>
        <w:adjustRightInd w:val="0"/>
        <w:snapToGrid w:val="0"/>
        <w:spacing w:line="560" w:lineRule="exact"/>
        <w:rPr>
          <w:rFonts w:eastAsia="方正小标宋简体"/>
          <w:bCs/>
          <w:color w:val="000000" w:themeColor="text1"/>
          <w:sz w:val="44"/>
          <w:szCs w:val="44"/>
          <w14:textFill>
            <w14:solidFill>
              <w14:schemeClr w14:val="tx1"/>
            </w14:solidFill>
          </w14:textFill>
        </w:rPr>
      </w:pPr>
    </w:p>
    <w:p>
      <w:pPr>
        <w:tabs>
          <w:tab w:val="left" w:pos="7560"/>
        </w:tabs>
        <w:adjustRightInd w:val="0"/>
        <w:snapToGrid w:val="0"/>
        <w:spacing w:line="560" w:lineRule="exact"/>
        <w:ind w:firstLine="880" w:firstLineChars="200"/>
        <w:jc w:val="center"/>
        <w:rPr>
          <w:rFonts w:eastAsia="黑体"/>
          <w:color w:val="000000" w:themeColor="text1"/>
          <w:sz w:val="32"/>
          <w:szCs w:val="32"/>
          <w14:textFill>
            <w14:solidFill>
              <w14:schemeClr w14:val="tx1"/>
            </w14:solidFill>
          </w14:textFill>
        </w:rPr>
      </w:pPr>
      <w:r>
        <w:rPr>
          <w:rFonts w:hint="eastAsia" w:eastAsia="方正小标宋简体"/>
          <w:bCs/>
          <w:color w:val="000000" w:themeColor="text1"/>
          <w:sz w:val="44"/>
          <w:szCs w:val="44"/>
          <w14:textFill>
            <w14:solidFill>
              <w14:schemeClr w14:val="tx1"/>
            </w14:solidFill>
          </w14:textFill>
        </w:rPr>
        <w:t>醴陵市住房保障服务中心2022</w:t>
      </w:r>
      <w:r>
        <w:rPr>
          <w:rFonts w:eastAsia="方正小标宋简体"/>
          <w:bCs/>
          <w:color w:val="000000" w:themeColor="text1"/>
          <w:sz w:val="44"/>
          <w:szCs w:val="44"/>
          <w14:textFill>
            <w14:solidFill>
              <w14:schemeClr w14:val="tx1"/>
            </w14:solidFill>
          </w14:textFill>
        </w:rPr>
        <w:t>年部门预算说明</w:t>
      </w:r>
    </w:p>
    <w:p>
      <w:pPr>
        <w:tabs>
          <w:tab w:val="left" w:pos="7560"/>
        </w:tabs>
        <w:adjustRightInd w:val="0"/>
        <w:snapToGrid w:val="0"/>
        <w:spacing w:line="560" w:lineRule="exact"/>
        <w:ind w:firstLine="640" w:firstLineChars="200"/>
        <w:rPr>
          <w:rFonts w:eastAsia="黑体"/>
          <w:color w:val="000000" w:themeColor="text1"/>
          <w:sz w:val="32"/>
          <w:szCs w:val="32"/>
          <w14:textFill>
            <w14:solidFill>
              <w14:schemeClr w14:val="tx1"/>
            </w14:solidFill>
          </w14:textFill>
        </w:rPr>
      </w:pPr>
    </w:p>
    <w:p>
      <w:pPr>
        <w:tabs>
          <w:tab w:val="left" w:pos="7560"/>
        </w:tabs>
        <w:adjustRightInd w:val="0"/>
        <w:snapToGrid w:val="0"/>
        <w:spacing w:line="560" w:lineRule="exact"/>
        <w:ind w:firstLine="707" w:firstLineChars="221"/>
        <w:rPr>
          <w:rFonts w:eastAsia="黑体"/>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一、部门职能职责</w:t>
      </w:r>
    </w:p>
    <w:p>
      <w:pPr>
        <w:widowControl/>
        <w:shd w:val="clear" w:color="auto" w:fill="FFFFFF"/>
        <w:spacing w:line="560" w:lineRule="exact"/>
        <w:ind w:firstLine="707" w:firstLineChars="221"/>
        <w:outlineLvl w:val="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根据</w:t>
      </w:r>
      <w:r>
        <w:rPr>
          <w:rFonts w:hint="eastAsia" w:ascii="仿宋" w:hAnsi="仿宋" w:eastAsia="仿宋"/>
          <w:color w:val="000000" w:themeColor="text1"/>
          <w:kern w:val="0"/>
          <w:sz w:val="32"/>
          <w:szCs w:val="32"/>
          <w14:textFill>
            <w14:solidFill>
              <w14:schemeClr w14:val="tx1"/>
            </w14:solidFill>
          </w14:textFill>
        </w:rPr>
        <w:t>醴编委【2020】19号</w:t>
      </w:r>
      <w:r>
        <w:rPr>
          <w:rFonts w:ascii="仿宋" w:hAnsi="仿宋" w:eastAsia="仿宋"/>
          <w:color w:val="000000" w:themeColor="text1"/>
          <w:kern w:val="0"/>
          <w:sz w:val="32"/>
          <w:szCs w:val="32"/>
          <w14:textFill>
            <w14:solidFill>
              <w14:schemeClr w14:val="tx1"/>
            </w14:solidFill>
          </w14:textFill>
        </w:rPr>
        <w:t>文件规定，本部门主要职责是：</w:t>
      </w:r>
    </w:p>
    <w:p>
      <w:pPr>
        <w:widowControl/>
        <w:shd w:val="clear" w:color="auto" w:fill="FFFFFF"/>
        <w:spacing w:line="560" w:lineRule="exact"/>
        <w:ind w:firstLine="707" w:firstLineChars="221"/>
        <w:outlineLvl w:val="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（一）贯彻执行上级有关住房保障工作的法律、法规和针、政策，对全市住房保障工作发展规划及年度计划提出建议并负责拟定具体实施办法，为住房保障行业提供服务保障。</w:t>
      </w:r>
    </w:p>
    <w:p>
      <w:pPr>
        <w:widowControl/>
        <w:shd w:val="clear" w:color="auto" w:fill="FFFFFF"/>
        <w:spacing w:line="560" w:lineRule="exact"/>
        <w:ind w:firstLine="640" w:firstLineChars="200"/>
        <w:outlineLvl w:val="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二）负责全市廉租房、公共租赁住房、经济适用住房等保障性住房的建设、储备、分配、销售、交易及棚户区改造的事务性工作和后续管理服务工作；负责住房保障对象审批、实施保障性住房货币补贴的事务性工作；负责处理房改售房遗留问题。</w:t>
      </w:r>
    </w:p>
    <w:p>
      <w:pPr>
        <w:widowControl/>
        <w:shd w:val="clear" w:color="auto" w:fill="FFFFFF"/>
        <w:spacing w:line="560" w:lineRule="exact"/>
        <w:ind w:firstLine="707" w:firstLineChars="221"/>
        <w:outlineLvl w:val="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(三）负责全市房屋中介服务和租赁的事务性工作。</w:t>
      </w:r>
    </w:p>
    <w:p>
      <w:pPr>
        <w:widowControl/>
        <w:shd w:val="clear" w:color="auto" w:fill="FFFFFF"/>
        <w:spacing w:line="560" w:lineRule="exact"/>
        <w:ind w:firstLine="640" w:firstLineChars="200"/>
        <w:outlineLvl w:val="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四）承担全市城市直管公房的修缮、改造、设施建设、保护经营和租赁的事务性工作；负责全市城市房屋白蚁预防和灭治的事务性工作；负责全市房屋维修资金的相关事务性工作；负责太一综合市场运营和管理的事务性工作。</w:t>
      </w:r>
    </w:p>
    <w:p>
      <w:pPr>
        <w:widowControl/>
        <w:shd w:val="clear" w:color="auto" w:fill="FFFFFF"/>
        <w:spacing w:line="560" w:lineRule="exact"/>
        <w:ind w:firstLine="707" w:firstLineChars="221"/>
        <w:outlineLvl w:val="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（五）负责受理和调处涉及住房保障方面的信访、投诉举报工作；承担全市房产测绘及测绘成果审查备案、利用的事务性工作；承担全市住房保障信息汇集工作。</w:t>
      </w:r>
    </w:p>
    <w:p>
      <w:pPr>
        <w:tabs>
          <w:tab w:val="left" w:pos="7560"/>
        </w:tabs>
        <w:adjustRightInd w:val="0"/>
        <w:snapToGrid w:val="0"/>
        <w:spacing w:line="560" w:lineRule="exact"/>
        <w:ind w:firstLine="707" w:firstLineChars="221"/>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（六）承担市委、市人民政府、市住房和城乡建设局（市人民防空办公室）交办的其他工作</w:t>
      </w:r>
    </w:p>
    <w:p>
      <w:pPr>
        <w:tabs>
          <w:tab w:val="left" w:pos="7560"/>
        </w:tabs>
        <w:adjustRightInd w:val="0"/>
        <w:snapToGrid w:val="0"/>
        <w:spacing w:line="560" w:lineRule="exact"/>
        <w:ind w:firstLine="640" w:firstLineChars="200"/>
        <w:rPr>
          <w:rFonts w:eastAsia="黑体"/>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二、机构设置</w:t>
      </w:r>
    </w:p>
    <w:p>
      <w:pPr>
        <w:widowControl/>
        <w:shd w:val="clear" w:color="auto" w:fill="FFFFFF"/>
        <w:spacing w:line="560" w:lineRule="exact"/>
        <w:ind w:firstLine="707" w:firstLineChars="221"/>
        <w:outlineLvl w:val="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本部门共有编制人数</w:t>
      </w:r>
      <w:r>
        <w:rPr>
          <w:rFonts w:hint="eastAsia" w:ascii="仿宋" w:hAnsi="仿宋" w:eastAsia="仿宋"/>
          <w:color w:val="000000" w:themeColor="text1"/>
          <w:kern w:val="0"/>
          <w:sz w:val="32"/>
          <w:szCs w:val="32"/>
          <w14:textFill>
            <w14:solidFill>
              <w14:schemeClr w14:val="tx1"/>
            </w14:solidFill>
          </w14:textFill>
        </w:rPr>
        <w:t>60</w:t>
      </w:r>
      <w:r>
        <w:rPr>
          <w:rFonts w:ascii="仿宋" w:hAnsi="仿宋" w:eastAsia="仿宋"/>
          <w:color w:val="000000" w:themeColor="text1"/>
          <w:kern w:val="0"/>
          <w:sz w:val="32"/>
          <w:szCs w:val="32"/>
          <w14:textFill>
            <w14:solidFill>
              <w14:schemeClr w14:val="tx1"/>
            </w14:solidFill>
          </w14:textFill>
        </w:rPr>
        <w:t>人，实有人数</w:t>
      </w:r>
      <w:r>
        <w:rPr>
          <w:rFonts w:hint="eastAsia" w:ascii="仿宋" w:hAnsi="仿宋" w:eastAsia="仿宋"/>
          <w:color w:val="000000" w:themeColor="text1"/>
          <w:kern w:val="0"/>
          <w:sz w:val="32"/>
          <w:szCs w:val="32"/>
          <w14:textFill>
            <w14:solidFill>
              <w14:schemeClr w14:val="tx1"/>
            </w14:solidFill>
          </w14:textFill>
        </w:rPr>
        <w:t>40</w:t>
      </w:r>
      <w:r>
        <w:rPr>
          <w:rFonts w:ascii="仿宋" w:hAnsi="仿宋" w:eastAsia="仿宋"/>
          <w:color w:val="000000" w:themeColor="text1"/>
          <w:kern w:val="0"/>
          <w:sz w:val="32"/>
          <w:szCs w:val="32"/>
          <w14:textFill>
            <w14:solidFill>
              <w14:schemeClr w14:val="tx1"/>
            </w14:solidFill>
          </w14:textFill>
        </w:rPr>
        <w:t xml:space="preserve"> 人。内设</w:t>
      </w:r>
      <w:r>
        <w:rPr>
          <w:rFonts w:hint="eastAsia" w:ascii="仿宋" w:hAnsi="仿宋" w:eastAsia="仿宋"/>
          <w:color w:val="000000" w:themeColor="text1"/>
          <w:kern w:val="0"/>
          <w:sz w:val="32"/>
          <w:szCs w:val="32"/>
          <w14:textFill>
            <w14:solidFill>
              <w14:schemeClr w14:val="tx1"/>
            </w14:solidFill>
          </w14:textFill>
        </w:rPr>
        <w:t>股</w:t>
      </w:r>
      <w:r>
        <w:rPr>
          <w:rFonts w:ascii="仿宋" w:hAnsi="仿宋" w:eastAsia="仿宋"/>
          <w:color w:val="000000" w:themeColor="text1"/>
          <w:kern w:val="0"/>
          <w:sz w:val="32"/>
          <w:szCs w:val="32"/>
          <w14:textFill>
            <w14:solidFill>
              <w14:schemeClr w14:val="tx1"/>
            </w14:solidFill>
          </w14:textFill>
        </w:rPr>
        <w:t xml:space="preserve">室 </w:t>
      </w:r>
      <w:r>
        <w:rPr>
          <w:rFonts w:hint="eastAsia" w:ascii="仿宋" w:hAnsi="仿宋" w:eastAsia="仿宋"/>
          <w:color w:val="000000" w:themeColor="text1"/>
          <w:kern w:val="0"/>
          <w:sz w:val="32"/>
          <w:szCs w:val="32"/>
          <w14:textFill>
            <w14:solidFill>
              <w14:schemeClr w14:val="tx1"/>
            </w14:solidFill>
          </w14:textFill>
        </w:rPr>
        <w:t>5</w:t>
      </w:r>
      <w:r>
        <w:rPr>
          <w:rFonts w:ascii="仿宋" w:hAnsi="仿宋" w:eastAsia="仿宋"/>
          <w:color w:val="000000" w:themeColor="text1"/>
          <w:kern w:val="0"/>
          <w:sz w:val="32"/>
          <w:szCs w:val="32"/>
          <w14:textFill>
            <w14:solidFill>
              <w14:schemeClr w14:val="tx1"/>
            </w14:solidFill>
          </w14:textFill>
        </w:rPr>
        <w:t xml:space="preserve"> 个（含</w:t>
      </w:r>
      <w:r>
        <w:rPr>
          <w:rFonts w:hint="eastAsia" w:ascii="仿宋" w:hAnsi="仿宋" w:eastAsia="仿宋"/>
          <w:color w:val="000000" w:themeColor="text1"/>
          <w:kern w:val="0"/>
          <w:sz w:val="32"/>
          <w:szCs w:val="32"/>
          <w14:textFill>
            <w14:solidFill>
              <w14:schemeClr w14:val="tx1"/>
            </w14:solidFill>
          </w14:textFill>
        </w:rPr>
        <w:t>0</w:t>
      </w:r>
      <w:r>
        <w:rPr>
          <w:rFonts w:ascii="仿宋" w:hAnsi="仿宋" w:eastAsia="仿宋"/>
          <w:color w:val="000000" w:themeColor="text1"/>
          <w:kern w:val="0"/>
          <w:sz w:val="32"/>
          <w:szCs w:val="32"/>
          <w14:textFill>
            <w14:solidFill>
              <w14:schemeClr w14:val="tx1"/>
            </w14:solidFill>
          </w14:textFill>
        </w:rPr>
        <w:t>个副</w:t>
      </w:r>
      <w:r>
        <w:rPr>
          <w:rFonts w:hint="eastAsia" w:ascii="仿宋" w:hAnsi="仿宋" w:eastAsia="仿宋"/>
          <w:color w:val="000000" w:themeColor="text1"/>
          <w:kern w:val="0"/>
          <w:sz w:val="32"/>
          <w:szCs w:val="32"/>
          <w14:textFill>
            <w14:solidFill>
              <w14:schemeClr w14:val="tx1"/>
            </w14:solidFill>
          </w14:textFill>
        </w:rPr>
        <w:t>科</w:t>
      </w:r>
      <w:r>
        <w:rPr>
          <w:rFonts w:ascii="仿宋" w:hAnsi="仿宋" w:eastAsia="仿宋"/>
          <w:color w:val="000000" w:themeColor="text1"/>
          <w:kern w:val="0"/>
          <w:sz w:val="32"/>
          <w:szCs w:val="32"/>
          <w14:textFill>
            <w14:solidFill>
              <w14:schemeClr w14:val="tx1"/>
            </w14:solidFill>
          </w14:textFill>
        </w:rPr>
        <w:t>级单位），分别为：</w:t>
      </w:r>
      <w:r>
        <w:rPr>
          <w:rFonts w:hint="eastAsia" w:ascii="仿宋" w:hAnsi="仿宋" w:eastAsia="仿宋"/>
          <w:color w:val="000000" w:themeColor="text1"/>
          <w:kern w:val="0"/>
          <w:sz w:val="32"/>
          <w:szCs w:val="32"/>
          <w14:textFill>
            <w14:solidFill>
              <w14:schemeClr w14:val="tx1"/>
            </w14:solidFill>
          </w14:textFill>
        </w:rPr>
        <w:t>办公室、人事教育股、财务股、房屋中介服务股、工程技术股。</w:t>
      </w:r>
    </w:p>
    <w:p>
      <w:pPr>
        <w:tabs>
          <w:tab w:val="left" w:pos="7560"/>
        </w:tabs>
        <w:adjustRightInd w:val="0"/>
        <w:snapToGrid w:val="0"/>
        <w:spacing w:line="560" w:lineRule="exact"/>
        <w:ind w:firstLine="640" w:firstLineChars="200"/>
        <w:rPr>
          <w:rFonts w:eastAsia="黑体"/>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三、部门预算单位构成</w:t>
      </w:r>
    </w:p>
    <w:p>
      <w:pPr>
        <w:tabs>
          <w:tab w:val="left" w:pos="7560"/>
        </w:tabs>
        <w:adjustRightInd w:val="0"/>
        <w:snapToGrid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纳入本部门</w:t>
      </w:r>
      <w:r>
        <w:rPr>
          <w:rFonts w:ascii="仿宋" w:hAnsi="仿宋" w:eastAsia="仿宋"/>
          <w:color w:val="000000" w:themeColor="text1"/>
          <w:sz w:val="32"/>
          <w:szCs w:val="32"/>
          <w14:textFill>
            <w14:solidFill>
              <w14:schemeClr w14:val="tx1"/>
            </w14:solidFill>
          </w14:textFill>
        </w:rPr>
        <w:t>202</w:t>
      </w:r>
      <w:r>
        <w:rPr>
          <w:rFonts w:hint="eastAsia" w:ascii="仿宋" w:hAnsi="仿宋" w:eastAsia="仿宋"/>
          <w:color w:val="000000" w:themeColor="text1"/>
          <w:sz w:val="32"/>
          <w:szCs w:val="32"/>
          <w14:textFill>
            <w14:solidFill>
              <w14:schemeClr w14:val="tx1"/>
            </w14:solidFill>
          </w14:textFill>
        </w:rPr>
        <w:t>2年部门预算编制范围为中心机关，本部门无下属预算单位。</w:t>
      </w:r>
    </w:p>
    <w:p>
      <w:pPr>
        <w:tabs>
          <w:tab w:val="left" w:pos="7560"/>
        </w:tabs>
        <w:adjustRightInd w:val="0"/>
        <w:snapToGrid w:val="0"/>
        <w:spacing w:line="560" w:lineRule="exact"/>
        <w:ind w:firstLine="640" w:firstLineChars="200"/>
        <w:rPr>
          <w:rFonts w:eastAsia="黑体"/>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四、部门收支总体情况</w:t>
      </w:r>
    </w:p>
    <w:p>
      <w:pPr>
        <w:widowControl/>
        <w:shd w:val="clear" w:color="auto" w:fill="FFFFFF"/>
        <w:spacing w:line="560" w:lineRule="exact"/>
        <w:ind w:firstLine="707" w:firstLineChars="221"/>
        <w:outlineLvl w:val="0"/>
        <w:rPr>
          <w:rFonts w:eastAsia="仿宋_GB2312"/>
          <w:sz w:val="32"/>
          <w:szCs w:val="32"/>
        </w:rPr>
      </w:pPr>
      <w:r>
        <w:rPr>
          <w:rFonts w:hint="eastAsia" w:ascii="仿宋" w:hAnsi="仿宋" w:eastAsia="仿宋"/>
          <w:color w:val="000000" w:themeColor="text1"/>
          <w:kern w:val="0"/>
          <w:sz w:val="32"/>
          <w:szCs w:val="32"/>
          <w14:textFill>
            <w14:solidFill>
              <w14:schemeClr w14:val="tx1"/>
            </w14:solidFill>
          </w14:textFill>
        </w:rPr>
        <w:t>2022</w:t>
      </w:r>
      <w:r>
        <w:rPr>
          <w:rFonts w:ascii="仿宋" w:hAnsi="仿宋" w:eastAsia="仿宋"/>
          <w:color w:val="000000" w:themeColor="text1"/>
          <w:kern w:val="0"/>
          <w:sz w:val="32"/>
          <w:szCs w:val="32"/>
          <w14:textFill>
            <w14:solidFill>
              <w14:schemeClr w14:val="tx1"/>
            </w14:solidFill>
          </w14:textFill>
        </w:rPr>
        <w:t>年</w:t>
      </w:r>
      <w:r>
        <w:rPr>
          <w:rFonts w:hint="eastAsia" w:ascii="仿宋" w:hAnsi="仿宋" w:eastAsia="仿宋"/>
          <w:color w:val="000000" w:themeColor="text1"/>
          <w:kern w:val="0"/>
          <w:sz w:val="32"/>
          <w:szCs w:val="32"/>
          <w14:textFill>
            <w14:solidFill>
              <w14:schemeClr w14:val="tx1"/>
            </w14:solidFill>
          </w14:textFill>
        </w:rPr>
        <w:t>醴陵市住房保障服务中心</w:t>
      </w:r>
      <w:r>
        <w:rPr>
          <w:rFonts w:ascii="仿宋" w:hAnsi="仿宋" w:eastAsia="仿宋"/>
          <w:color w:val="000000" w:themeColor="text1"/>
          <w:kern w:val="0"/>
          <w:sz w:val="32"/>
          <w:szCs w:val="32"/>
          <w14:textFill>
            <w14:solidFill>
              <w14:schemeClr w14:val="tx1"/>
            </w14:solidFill>
          </w14:textFill>
        </w:rPr>
        <w:t>公开的部门预算为局机关预算。收入包括一般公共预算收入、</w:t>
      </w:r>
      <w:r>
        <w:rPr>
          <w:rFonts w:hint="eastAsia" w:ascii="仿宋" w:hAnsi="仿宋" w:eastAsia="仿宋"/>
          <w:color w:val="000000" w:themeColor="text1"/>
          <w:kern w:val="0"/>
          <w:sz w:val="32"/>
          <w:szCs w:val="32"/>
          <w14:textFill>
            <w14:solidFill>
              <w14:schemeClr w14:val="tx1"/>
            </w14:solidFill>
          </w14:textFill>
        </w:rPr>
        <w:t>上级财政补助收入；支出</w:t>
      </w:r>
      <w:r>
        <w:rPr>
          <w:rFonts w:eastAsia="仿宋_GB2312"/>
          <w:sz w:val="32"/>
          <w:szCs w:val="32"/>
        </w:rPr>
        <w:t>既包括保障局机关基本运行的经费，也包括归口管理、面向全市分配的专项经费。（详见附表）</w:t>
      </w:r>
    </w:p>
    <w:p>
      <w:pPr>
        <w:widowControl/>
        <w:shd w:val="clear" w:color="auto" w:fill="FFFFFF"/>
        <w:spacing w:line="560" w:lineRule="exact"/>
        <w:ind w:firstLine="707" w:firstLineChars="221"/>
        <w:outlineLvl w:val="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（一）收入预算：</w:t>
      </w:r>
      <w:r>
        <w:rPr>
          <w:rFonts w:hint="eastAsia" w:ascii="仿宋" w:hAnsi="仿宋" w:eastAsia="仿宋"/>
          <w:color w:val="000000" w:themeColor="text1"/>
          <w:kern w:val="0"/>
          <w:sz w:val="32"/>
          <w:szCs w:val="32"/>
          <w14:textFill>
            <w14:solidFill>
              <w14:schemeClr w14:val="tx1"/>
            </w14:solidFill>
          </w14:textFill>
        </w:rPr>
        <w:t>2022</w:t>
      </w:r>
      <w:r>
        <w:rPr>
          <w:rFonts w:ascii="仿宋" w:hAnsi="仿宋" w:eastAsia="仿宋"/>
          <w:color w:val="000000" w:themeColor="text1"/>
          <w:kern w:val="0"/>
          <w:sz w:val="32"/>
          <w:szCs w:val="32"/>
          <w14:textFill>
            <w14:solidFill>
              <w14:schemeClr w14:val="tx1"/>
            </w14:solidFill>
          </w14:textFill>
        </w:rPr>
        <w:t>年年初预算数</w:t>
      </w:r>
      <w:r>
        <w:rPr>
          <w:rFonts w:hint="eastAsia" w:ascii="仿宋" w:hAnsi="仿宋" w:eastAsia="仿宋"/>
          <w:color w:val="000000" w:themeColor="text1"/>
          <w:kern w:val="0"/>
          <w:sz w:val="32"/>
          <w:szCs w:val="32"/>
          <w14:textFill>
            <w14:solidFill>
              <w14:schemeClr w14:val="tx1"/>
            </w14:solidFill>
          </w14:textFill>
        </w:rPr>
        <w:t>14549.46</w:t>
      </w:r>
      <w:r>
        <w:rPr>
          <w:rFonts w:ascii="仿宋" w:hAnsi="仿宋" w:eastAsia="仿宋"/>
          <w:color w:val="000000" w:themeColor="text1"/>
          <w:kern w:val="0"/>
          <w:sz w:val="32"/>
          <w:szCs w:val="32"/>
          <w14:textFill>
            <w14:solidFill>
              <w14:schemeClr w14:val="tx1"/>
            </w14:solidFill>
          </w14:textFill>
        </w:rPr>
        <w:t>万元，其中</w:t>
      </w:r>
      <w:r>
        <w:rPr>
          <w:rFonts w:hint="eastAsia" w:ascii="仿宋" w:hAnsi="仿宋" w:eastAsia="仿宋"/>
          <w:color w:val="000000" w:themeColor="text1"/>
          <w:kern w:val="0"/>
          <w:sz w:val="32"/>
          <w:szCs w:val="32"/>
          <w14:textFill>
            <w14:solidFill>
              <w14:schemeClr w14:val="tx1"/>
            </w14:solidFill>
          </w14:textFill>
        </w:rPr>
        <w:t>：</w:t>
      </w:r>
      <w:r>
        <w:rPr>
          <w:rFonts w:ascii="仿宋" w:hAnsi="仿宋" w:eastAsia="仿宋"/>
          <w:color w:val="000000" w:themeColor="text1"/>
          <w:kern w:val="0"/>
          <w:sz w:val="32"/>
          <w:szCs w:val="32"/>
          <w14:textFill>
            <w14:solidFill>
              <w14:schemeClr w14:val="tx1"/>
            </w14:solidFill>
          </w14:textFill>
        </w:rPr>
        <w:t>一般公共预算拨款</w:t>
      </w:r>
      <w:r>
        <w:rPr>
          <w:rFonts w:hint="eastAsia" w:ascii="仿宋" w:hAnsi="仿宋" w:eastAsia="仿宋"/>
          <w:color w:val="000000" w:themeColor="text1"/>
          <w:kern w:val="0"/>
          <w:sz w:val="32"/>
          <w:szCs w:val="32"/>
          <w14:textFill>
            <w14:solidFill>
              <w14:schemeClr w14:val="tx1"/>
            </w14:solidFill>
          </w14:textFill>
        </w:rPr>
        <w:t>14549.46</w:t>
      </w:r>
      <w:r>
        <w:rPr>
          <w:rFonts w:ascii="仿宋" w:hAnsi="仿宋" w:eastAsia="仿宋"/>
          <w:color w:val="000000" w:themeColor="text1"/>
          <w:kern w:val="0"/>
          <w:sz w:val="32"/>
          <w:szCs w:val="32"/>
          <w14:textFill>
            <w14:solidFill>
              <w14:schemeClr w14:val="tx1"/>
            </w14:solidFill>
          </w14:textFill>
        </w:rPr>
        <w:t>万元</w:t>
      </w:r>
      <w:r>
        <w:rPr>
          <w:rFonts w:hint="eastAsia" w:ascii="仿宋" w:hAnsi="仿宋" w:eastAsia="仿宋"/>
          <w:color w:val="000000" w:themeColor="text1"/>
          <w:kern w:val="0"/>
          <w:sz w:val="32"/>
          <w:szCs w:val="32"/>
          <w14:textFill>
            <w14:solidFill>
              <w14:schemeClr w14:val="tx1"/>
            </w14:solidFill>
          </w14:textFill>
        </w:rPr>
        <w:t>。</w:t>
      </w:r>
      <w:r>
        <w:rPr>
          <w:rFonts w:ascii="仿宋" w:hAnsi="仿宋" w:eastAsia="仿宋"/>
          <w:color w:val="000000" w:themeColor="text1"/>
          <w:kern w:val="0"/>
          <w:sz w:val="32"/>
          <w:szCs w:val="32"/>
          <w14:textFill>
            <w14:solidFill>
              <w14:schemeClr w14:val="tx1"/>
            </w14:solidFill>
          </w14:textFill>
        </w:rPr>
        <w:t>因上年结转数暂未最终确定，本年度收支预算中均不含上年结转数字</w:t>
      </w:r>
      <w:r>
        <w:rPr>
          <w:rFonts w:hint="eastAsia" w:ascii="仿宋" w:hAnsi="仿宋" w:eastAsia="仿宋"/>
          <w:color w:val="000000" w:themeColor="text1"/>
          <w:kern w:val="0"/>
          <w:sz w:val="32"/>
          <w:szCs w:val="32"/>
          <w14:textFill>
            <w14:solidFill>
              <w14:schemeClr w14:val="tx1"/>
            </w14:solidFill>
          </w14:textFill>
        </w:rPr>
        <w:t>。</w:t>
      </w:r>
    </w:p>
    <w:p>
      <w:pPr>
        <w:widowControl/>
        <w:shd w:val="clear" w:color="auto" w:fill="FFFFFF"/>
        <w:spacing w:line="560" w:lineRule="exact"/>
        <w:ind w:firstLine="707" w:firstLineChars="221"/>
        <w:outlineLvl w:val="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（二）支出预算：</w:t>
      </w:r>
      <w:r>
        <w:rPr>
          <w:rFonts w:hint="eastAsia" w:ascii="仿宋" w:hAnsi="仿宋" w:eastAsia="仿宋"/>
          <w:color w:val="000000" w:themeColor="text1"/>
          <w:kern w:val="0"/>
          <w:sz w:val="32"/>
          <w:szCs w:val="32"/>
          <w14:textFill>
            <w14:solidFill>
              <w14:schemeClr w14:val="tx1"/>
            </w14:solidFill>
          </w14:textFill>
        </w:rPr>
        <w:t>2022</w:t>
      </w:r>
      <w:r>
        <w:rPr>
          <w:rFonts w:ascii="仿宋" w:hAnsi="仿宋" w:eastAsia="仿宋"/>
          <w:color w:val="000000" w:themeColor="text1"/>
          <w:kern w:val="0"/>
          <w:sz w:val="32"/>
          <w:szCs w:val="32"/>
          <w14:textFill>
            <w14:solidFill>
              <w14:schemeClr w14:val="tx1"/>
            </w14:solidFill>
          </w14:textFill>
        </w:rPr>
        <w:t>年年初预算数</w:t>
      </w:r>
      <w:r>
        <w:rPr>
          <w:rFonts w:hint="eastAsia" w:ascii="仿宋" w:hAnsi="仿宋" w:eastAsia="仿宋"/>
          <w:color w:val="000000" w:themeColor="text1"/>
          <w:kern w:val="0"/>
          <w:sz w:val="32"/>
          <w:szCs w:val="32"/>
          <w14:textFill>
            <w14:solidFill>
              <w14:schemeClr w14:val="tx1"/>
            </w14:solidFill>
          </w14:textFill>
        </w:rPr>
        <w:t>14549.46</w:t>
      </w:r>
      <w:r>
        <w:rPr>
          <w:rFonts w:ascii="仿宋" w:hAnsi="仿宋" w:eastAsia="仿宋"/>
          <w:color w:val="000000" w:themeColor="text1"/>
          <w:kern w:val="0"/>
          <w:sz w:val="32"/>
          <w:szCs w:val="32"/>
          <w14:textFill>
            <w14:solidFill>
              <w14:schemeClr w14:val="tx1"/>
            </w14:solidFill>
          </w14:textFill>
        </w:rPr>
        <w:t>万元，其中，</w:t>
      </w:r>
      <w:r>
        <w:rPr>
          <w:rFonts w:hint="eastAsia" w:ascii="仿宋" w:hAnsi="仿宋" w:eastAsia="仿宋"/>
          <w:color w:val="000000" w:themeColor="text1"/>
          <w:kern w:val="0"/>
          <w:sz w:val="32"/>
          <w:szCs w:val="32"/>
          <w14:textFill>
            <w14:solidFill>
              <w14:schemeClr w14:val="tx1"/>
            </w14:solidFill>
          </w14:textFill>
        </w:rPr>
        <w:t>社会保障和就业支出39.16</w:t>
      </w:r>
      <w:r>
        <w:rPr>
          <w:rFonts w:ascii="仿宋" w:hAnsi="仿宋" w:eastAsia="仿宋"/>
          <w:color w:val="000000" w:themeColor="text1"/>
          <w:kern w:val="0"/>
          <w:sz w:val="32"/>
          <w:szCs w:val="32"/>
          <w14:textFill>
            <w14:solidFill>
              <w14:schemeClr w14:val="tx1"/>
            </w14:solidFill>
          </w14:textFill>
        </w:rPr>
        <w:t>万元，</w:t>
      </w:r>
      <w:r>
        <w:rPr>
          <w:rFonts w:hint="eastAsia" w:ascii="仿宋" w:hAnsi="仿宋" w:eastAsia="仿宋"/>
          <w:color w:val="000000" w:themeColor="text1"/>
          <w:kern w:val="0"/>
          <w:sz w:val="32"/>
          <w:szCs w:val="32"/>
          <w14:textFill>
            <w14:solidFill>
              <w14:schemeClr w14:val="tx1"/>
            </w14:solidFill>
          </w14:textFill>
        </w:rPr>
        <w:t>卫生健康支出12.48</w:t>
      </w:r>
      <w:r>
        <w:rPr>
          <w:rFonts w:ascii="仿宋" w:hAnsi="仿宋" w:eastAsia="仿宋"/>
          <w:color w:val="000000" w:themeColor="text1"/>
          <w:kern w:val="0"/>
          <w:sz w:val="32"/>
          <w:szCs w:val="32"/>
          <w14:textFill>
            <w14:solidFill>
              <w14:schemeClr w14:val="tx1"/>
            </w14:solidFill>
          </w14:textFill>
        </w:rPr>
        <w:t>万元，</w:t>
      </w:r>
      <w:r>
        <w:rPr>
          <w:rFonts w:hint="eastAsia" w:ascii="仿宋" w:hAnsi="仿宋" w:eastAsia="仿宋"/>
          <w:color w:val="000000" w:themeColor="text1"/>
          <w:kern w:val="0"/>
          <w:sz w:val="32"/>
          <w:szCs w:val="32"/>
          <w14:textFill>
            <w14:solidFill>
              <w14:schemeClr w14:val="tx1"/>
            </w14:solidFill>
          </w14:textFill>
        </w:rPr>
        <w:t>住房保障支出</w:t>
      </w:r>
      <w:r>
        <w:rPr>
          <w:rFonts w:ascii="仿宋" w:hAnsi="仿宋" w:eastAsia="仿宋"/>
          <w:color w:val="000000" w:themeColor="text1"/>
          <w:kern w:val="0"/>
          <w:sz w:val="32"/>
          <w:szCs w:val="32"/>
          <w14:textFill>
            <w14:solidFill>
              <w14:schemeClr w14:val="tx1"/>
            </w14:solidFill>
          </w14:textFill>
        </w:rPr>
        <w:t>14497.82万元。</w:t>
      </w:r>
    </w:p>
    <w:p>
      <w:pPr>
        <w:widowControl/>
        <w:shd w:val="clear" w:color="auto" w:fill="FFFFFF"/>
        <w:spacing w:line="560" w:lineRule="exact"/>
        <w:ind w:firstLine="707" w:firstLineChars="221"/>
        <w:outlineLvl w:val="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（三）预算收支增减变化情况说明：20</w:t>
      </w:r>
      <w:r>
        <w:rPr>
          <w:rFonts w:hint="eastAsia" w:ascii="仿宋" w:hAnsi="仿宋" w:eastAsia="仿宋"/>
          <w:color w:val="000000" w:themeColor="text1"/>
          <w:kern w:val="0"/>
          <w:sz w:val="32"/>
          <w:szCs w:val="32"/>
          <w14:textFill>
            <w14:solidFill>
              <w14:schemeClr w14:val="tx1"/>
            </w14:solidFill>
          </w14:textFill>
        </w:rPr>
        <w:t>22</w:t>
      </w:r>
      <w:r>
        <w:rPr>
          <w:rFonts w:ascii="仿宋" w:hAnsi="仿宋" w:eastAsia="仿宋"/>
          <w:color w:val="000000" w:themeColor="text1"/>
          <w:kern w:val="0"/>
          <w:sz w:val="32"/>
          <w:szCs w:val="32"/>
          <w14:textFill>
            <w14:solidFill>
              <w14:schemeClr w14:val="tx1"/>
            </w14:solidFill>
          </w14:textFill>
        </w:rPr>
        <w:t>年度本部门年初预算数为</w:t>
      </w:r>
      <w:r>
        <w:rPr>
          <w:rFonts w:hint="eastAsia" w:ascii="仿宋" w:hAnsi="仿宋" w:eastAsia="仿宋"/>
          <w:color w:val="000000" w:themeColor="text1"/>
          <w:kern w:val="0"/>
          <w:sz w:val="32"/>
          <w:szCs w:val="32"/>
          <w14:textFill>
            <w14:solidFill>
              <w14:schemeClr w14:val="tx1"/>
            </w14:solidFill>
          </w14:textFill>
        </w:rPr>
        <w:t>14549.46</w:t>
      </w:r>
      <w:r>
        <w:rPr>
          <w:rFonts w:ascii="仿宋" w:hAnsi="仿宋" w:eastAsia="仿宋"/>
          <w:color w:val="000000" w:themeColor="text1"/>
          <w:kern w:val="0"/>
          <w:sz w:val="32"/>
          <w:szCs w:val="32"/>
          <w14:textFill>
            <w14:solidFill>
              <w14:schemeClr w14:val="tx1"/>
            </w14:solidFill>
          </w14:textFill>
        </w:rPr>
        <w:t>万元，比上年</w:t>
      </w:r>
      <w:r>
        <w:rPr>
          <w:rFonts w:hint="eastAsia" w:ascii="仿宋" w:hAnsi="仿宋" w:eastAsia="仿宋"/>
          <w:color w:val="000000" w:themeColor="text1"/>
          <w:kern w:val="0"/>
          <w:sz w:val="32"/>
          <w:szCs w:val="32"/>
          <w14:textFill>
            <w14:solidFill>
              <w14:schemeClr w14:val="tx1"/>
            </w14:solidFill>
          </w14:textFill>
        </w:rPr>
        <w:t>减少638.48</w:t>
      </w:r>
      <w:r>
        <w:rPr>
          <w:rFonts w:ascii="仿宋" w:hAnsi="仿宋" w:eastAsia="仿宋"/>
          <w:color w:val="000000" w:themeColor="text1"/>
          <w:kern w:val="0"/>
          <w:sz w:val="32"/>
          <w:szCs w:val="32"/>
          <w14:textFill>
            <w14:solidFill>
              <w14:schemeClr w14:val="tx1"/>
            </w14:solidFill>
          </w14:textFill>
        </w:rPr>
        <w:t>万元，主要原因是</w:t>
      </w:r>
      <w:r>
        <w:rPr>
          <w:rFonts w:hint="eastAsia" w:ascii="仿宋" w:hAnsi="仿宋" w:eastAsia="仿宋"/>
          <w:color w:val="000000" w:themeColor="text1"/>
          <w:kern w:val="0"/>
          <w:sz w:val="32"/>
          <w:szCs w:val="32"/>
          <w14:textFill>
            <w14:solidFill>
              <w14:schemeClr w14:val="tx1"/>
            </w14:solidFill>
          </w14:textFill>
        </w:rPr>
        <w:t>2022年无棚改项目计划。</w:t>
      </w:r>
    </w:p>
    <w:p>
      <w:pPr>
        <w:widowControl/>
        <w:shd w:val="clear" w:color="auto" w:fill="FFFFFF"/>
        <w:spacing w:line="560" w:lineRule="exact"/>
        <w:ind w:firstLine="707" w:firstLineChars="221"/>
        <w:outlineLvl w:val="0"/>
        <w:rPr>
          <w:rFonts w:hAnsi="黑体" w:eastAsia="黑体"/>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五、一般公共预算拨款支出预算</w:t>
      </w:r>
    </w:p>
    <w:p>
      <w:pPr>
        <w:widowControl/>
        <w:shd w:val="clear" w:color="auto" w:fill="FFFFFF"/>
        <w:spacing w:line="560" w:lineRule="exact"/>
        <w:ind w:firstLine="707" w:firstLineChars="221"/>
        <w:outlineLvl w:val="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20</w:t>
      </w:r>
      <w:r>
        <w:rPr>
          <w:rFonts w:hint="eastAsia" w:ascii="仿宋" w:hAnsi="仿宋" w:eastAsia="仿宋"/>
          <w:color w:val="000000" w:themeColor="text1"/>
          <w:kern w:val="0"/>
          <w:sz w:val="32"/>
          <w:szCs w:val="32"/>
          <w14:textFill>
            <w14:solidFill>
              <w14:schemeClr w14:val="tx1"/>
            </w14:solidFill>
          </w14:textFill>
        </w:rPr>
        <w:t>22</w:t>
      </w:r>
      <w:r>
        <w:rPr>
          <w:rFonts w:ascii="仿宋" w:hAnsi="仿宋" w:eastAsia="仿宋"/>
          <w:color w:val="000000" w:themeColor="text1"/>
          <w:kern w:val="0"/>
          <w:sz w:val="32"/>
          <w:szCs w:val="32"/>
          <w14:textFill>
            <w14:solidFill>
              <w14:schemeClr w14:val="tx1"/>
            </w14:solidFill>
          </w14:textFill>
        </w:rPr>
        <w:t>年本部门一般公共预算拨款收</w:t>
      </w:r>
      <w:r>
        <w:rPr>
          <w:rFonts w:ascii="仿宋" w:hAnsi="仿宋" w:eastAsia="仿宋"/>
          <w:color w:val="000000" w:themeColor="text1"/>
          <w:kern w:val="0"/>
          <w:sz w:val="32"/>
          <w:szCs w:val="32"/>
          <w:highlight w:val="none"/>
          <w14:textFill>
            <w14:solidFill>
              <w14:schemeClr w14:val="tx1"/>
            </w14:solidFill>
          </w14:textFill>
        </w:rPr>
        <w:t>入14549.46</w:t>
      </w:r>
      <w:r>
        <w:rPr>
          <w:rFonts w:ascii="仿宋" w:hAnsi="仿宋" w:eastAsia="仿宋"/>
          <w:color w:val="000000" w:themeColor="text1"/>
          <w:kern w:val="0"/>
          <w:sz w:val="32"/>
          <w:szCs w:val="32"/>
          <w14:textFill>
            <w14:solidFill>
              <w14:schemeClr w14:val="tx1"/>
            </w14:solidFill>
          </w14:textFill>
        </w:rPr>
        <w:t>万元，具体安排如下（详见附表）：</w:t>
      </w:r>
    </w:p>
    <w:p>
      <w:pPr>
        <w:widowControl/>
        <w:shd w:val="clear" w:color="auto" w:fill="FFFFFF"/>
        <w:spacing w:line="560" w:lineRule="exact"/>
        <w:ind w:firstLine="707" w:firstLineChars="221"/>
        <w:outlineLvl w:val="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（一）</w:t>
      </w:r>
      <w:r>
        <w:rPr>
          <w:rFonts w:hint="eastAsia" w:ascii="仿宋" w:hAnsi="仿宋" w:eastAsia="仿宋"/>
          <w:color w:val="000000" w:themeColor="text1"/>
          <w:kern w:val="0"/>
          <w:sz w:val="32"/>
          <w:szCs w:val="32"/>
          <w14:textFill>
            <w14:solidFill>
              <w14:schemeClr w14:val="tx1"/>
            </w14:solidFill>
          </w14:textFill>
        </w:rPr>
        <w:t>人员类</w:t>
      </w:r>
      <w:r>
        <w:rPr>
          <w:rFonts w:ascii="仿宋" w:hAnsi="仿宋" w:eastAsia="仿宋"/>
          <w:color w:val="000000" w:themeColor="text1"/>
          <w:kern w:val="0"/>
          <w:sz w:val="32"/>
          <w:szCs w:val="32"/>
          <w14:textFill>
            <w14:solidFill>
              <w14:schemeClr w14:val="tx1"/>
            </w14:solidFill>
          </w14:textFill>
        </w:rPr>
        <w:t>支出</w:t>
      </w:r>
    </w:p>
    <w:p>
      <w:pPr>
        <w:widowControl/>
        <w:shd w:val="clear" w:color="auto" w:fill="FFFFFF"/>
        <w:spacing w:line="560" w:lineRule="exact"/>
        <w:ind w:firstLine="707" w:firstLineChars="221"/>
        <w:outlineLvl w:val="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2022</w:t>
      </w:r>
      <w:r>
        <w:rPr>
          <w:rFonts w:ascii="仿宋" w:hAnsi="仿宋" w:eastAsia="仿宋"/>
          <w:color w:val="000000" w:themeColor="text1"/>
          <w:kern w:val="0"/>
          <w:sz w:val="32"/>
          <w:szCs w:val="32"/>
          <w14:textFill>
            <w14:solidFill>
              <w14:schemeClr w14:val="tx1"/>
            </w14:solidFill>
          </w14:textFill>
        </w:rPr>
        <w:t>年年初预算数为</w:t>
      </w:r>
      <w:r>
        <w:rPr>
          <w:rFonts w:hint="eastAsia" w:ascii="仿宋" w:hAnsi="仿宋" w:eastAsia="仿宋"/>
          <w:color w:val="000000" w:themeColor="text1"/>
          <w:kern w:val="0"/>
          <w:sz w:val="32"/>
          <w:szCs w:val="32"/>
          <w14:textFill>
            <w14:solidFill>
              <w14:schemeClr w14:val="tx1"/>
            </w14:solidFill>
          </w14:textFill>
        </w:rPr>
        <w:t>325.77</w:t>
      </w:r>
      <w:r>
        <w:rPr>
          <w:rFonts w:ascii="仿宋" w:hAnsi="仿宋" w:eastAsia="仿宋"/>
          <w:color w:val="000000" w:themeColor="text1"/>
          <w:kern w:val="0"/>
          <w:sz w:val="32"/>
          <w:szCs w:val="32"/>
          <w14:textFill>
            <w14:solidFill>
              <w14:schemeClr w14:val="tx1"/>
            </w14:solidFill>
          </w14:textFill>
        </w:rPr>
        <w:t>万元。其中包括基本工资</w:t>
      </w:r>
      <w:r>
        <w:rPr>
          <w:rFonts w:hint="eastAsia" w:ascii="仿宋" w:hAnsi="仿宋" w:eastAsia="仿宋"/>
          <w:color w:val="000000" w:themeColor="text1"/>
          <w:kern w:val="0"/>
          <w:sz w:val="32"/>
          <w:szCs w:val="32"/>
          <w14:textFill>
            <w14:solidFill>
              <w14:schemeClr w14:val="tx1"/>
            </w14:solidFill>
          </w14:textFill>
        </w:rPr>
        <w:t>154.98</w:t>
      </w:r>
      <w:r>
        <w:rPr>
          <w:rFonts w:ascii="仿宋" w:hAnsi="仿宋" w:eastAsia="仿宋"/>
          <w:color w:val="000000" w:themeColor="text1"/>
          <w:kern w:val="0"/>
          <w:sz w:val="32"/>
          <w:szCs w:val="32"/>
          <w14:textFill>
            <w14:solidFill>
              <w14:schemeClr w14:val="tx1"/>
            </w14:solidFill>
          </w14:textFill>
        </w:rPr>
        <w:t>万元、津贴补贴</w:t>
      </w:r>
      <w:r>
        <w:rPr>
          <w:rFonts w:hint="eastAsia" w:ascii="仿宋" w:hAnsi="仿宋" w:eastAsia="仿宋"/>
          <w:color w:val="000000" w:themeColor="text1"/>
          <w:kern w:val="0"/>
          <w:sz w:val="32"/>
          <w:szCs w:val="32"/>
          <w14:textFill>
            <w14:solidFill>
              <w14:schemeClr w14:val="tx1"/>
            </w14:solidFill>
          </w14:textFill>
        </w:rPr>
        <w:t>76.86</w:t>
      </w:r>
      <w:r>
        <w:rPr>
          <w:rFonts w:ascii="仿宋" w:hAnsi="仿宋" w:eastAsia="仿宋"/>
          <w:color w:val="000000" w:themeColor="text1"/>
          <w:kern w:val="0"/>
          <w:sz w:val="32"/>
          <w:szCs w:val="32"/>
          <w14:textFill>
            <w14:solidFill>
              <w14:schemeClr w14:val="tx1"/>
            </w14:solidFill>
          </w14:textFill>
        </w:rPr>
        <w:t>万元、奖金</w:t>
      </w:r>
      <w:r>
        <w:rPr>
          <w:rFonts w:hint="eastAsia" w:ascii="仿宋" w:hAnsi="仿宋" w:eastAsia="仿宋"/>
          <w:color w:val="000000" w:themeColor="text1"/>
          <w:kern w:val="0"/>
          <w:sz w:val="32"/>
          <w:szCs w:val="32"/>
          <w14:textFill>
            <w14:solidFill>
              <w14:schemeClr w14:val="tx1"/>
            </w14:solidFill>
          </w14:textFill>
        </w:rPr>
        <w:t>12.92</w:t>
      </w:r>
      <w:r>
        <w:rPr>
          <w:rFonts w:ascii="仿宋" w:hAnsi="仿宋" w:eastAsia="仿宋"/>
          <w:color w:val="000000" w:themeColor="text1"/>
          <w:kern w:val="0"/>
          <w:sz w:val="32"/>
          <w:szCs w:val="32"/>
          <w14:textFill>
            <w14:solidFill>
              <w14:schemeClr w14:val="tx1"/>
            </w14:solidFill>
          </w14:textFill>
        </w:rPr>
        <w:t>万元</w:t>
      </w:r>
      <w:r>
        <w:rPr>
          <w:rFonts w:hint="eastAsia" w:ascii="仿宋" w:hAnsi="仿宋" w:eastAsia="仿宋"/>
          <w:color w:val="000000" w:themeColor="text1"/>
          <w:kern w:val="0"/>
          <w:sz w:val="32"/>
          <w:szCs w:val="32"/>
          <w14:textFill>
            <w14:solidFill>
              <w14:schemeClr w14:val="tx1"/>
            </w14:solidFill>
          </w14:textFill>
        </w:rPr>
        <w:t>、养老保险缴费39.16</w:t>
      </w:r>
      <w:r>
        <w:rPr>
          <w:rFonts w:ascii="仿宋" w:hAnsi="仿宋" w:eastAsia="仿宋"/>
          <w:color w:val="000000" w:themeColor="text1"/>
          <w:kern w:val="0"/>
          <w:sz w:val="32"/>
          <w:szCs w:val="32"/>
          <w14:textFill>
            <w14:solidFill>
              <w14:schemeClr w14:val="tx1"/>
            </w14:solidFill>
          </w14:textFill>
        </w:rPr>
        <w:t>万元</w:t>
      </w:r>
      <w:r>
        <w:rPr>
          <w:rFonts w:hint="eastAsia" w:ascii="仿宋" w:hAnsi="仿宋" w:eastAsia="仿宋"/>
          <w:color w:val="000000" w:themeColor="text1"/>
          <w:kern w:val="0"/>
          <w:sz w:val="32"/>
          <w:szCs w:val="32"/>
          <w14:textFill>
            <w14:solidFill>
              <w14:schemeClr w14:val="tx1"/>
            </w14:solidFill>
          </w14:textFill>
        </w:rPr>
        <w:t>、医疗保险缴费12.48万元、住房公积金29.37万元</w:t>
      </w:r>
      <w:r>
        <w:rPr>
          <w:rFonts w:ascii="仿宋" w:hAnsi="仿宋" w:eastAsia="仿宋"/>
          <w:color w:val="000000" w:themeColor="text1"/>
          <w:kern w:val="0"/>
          <w:sz w:val="32"/>
          <w:szCs w:val="32"/>
          <w14:textFill>
            <w14:solidFill>
              <w14:schemeClr w14:val="tx1"/>
            </w14:solidFill>
          </w14:textFill>
        </w:rPr>
        <w:t>。</w:t>
      </w:r>
    </w:p>
    <w:p>
      <w:pPr>
        <w:widowControl/>
        <w:shd w:val="clear" w:color="auto" w:fill="FFFFFF"/>
        <w:spacing w:line="560" w:lineRule="exact"/>
        <w:ind w:firstLine="707" w:firstLineChars="221"/>
        <w:outlineLvl w:val="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（二）</w:t>
      </w:r>
      <w:r>
        <w:rPr>
          <w:rFonts w:hint="eastAsia" w:ascii="仿宋" w:hAnsi="仿宋" w:eastAsia="仿宋"/>
          <w:color w:val="000000" w:themeColor="text1"/>
          <w:kern w:val="0"/>
          <w:sz w:val="32"/>
          <w:szCs w:val="32"/>
          <w14:textFill>
            <w14:solidFill>
              <w14:schemeClr w14:val="tx1"/>
            </w14:solidFill>
          </w14:textFill>
        </w:rPr>
        <w:t>运转类</w:t>
      </w:r>
      <w:r>
        <w:rPr>
          <w:rFonts w:ascii="仿宋" w:hAnsi="仿宋" w:eastAsia="仿宋"/>
          <w:color w:val="000000" w:themeColor="text1"/>
          <w:kern w:val="0"/>
          <w:sz w:val="32"/>
          <w:szCs w:val="32"/>
          <w14:textFill>
            <w14:solidFill>
              <w14:schemeClr w14:val="tx1"/>
            </w14:solidFill>
          </w14:textFill>
        </w:rPr>
        <w:t>支出</w:t>
      </w:r>
    </w:p>
    <w:p>
      <w:pPr>
        <w:tabs>
          <w:tab w:val="left" w:pos="7560"/>
        </w:tabs>
        <w:adjustRightInd w:val="0"/>
        <w:snapToGrid w:val="0"/>
        <w:spacing w:line="56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2022</w:t>
      </w:r>
      <w:r>
        <w:rPr>
          <w:rFonts w:ascii="仿宋" w:hAnsi="仿宋" w:eastAsia="仿宋"/>
          <w:color w:val="000000" w:themeColor="text1"/>
          <w:kern w:val="0"/>
          <w:sz w:val="32"/>
          <w:szCs w:val="32"/>
          <w14:textFill>
            <w14:solidFill>
              <w14:schemeClr w14:val="tx1"/>
            </w14:solidFill>
          </w14:textFill>
        </w:rPr>
        <w:t>年年初预算数为</w:t>
      </w:r>
      <w:r>
        <w:rPr>
          <w:rFonts w:hint="eastAsia" w:ascii="仿宋" w:hAnsi="仿宋" w:eastAsia="仿宋"/>
          <w:color w:val="000000" w:themeColor="text1"/>
          <w:kern w:val="0"/>
          <w:sz w:val="32"/>
          <w:szCs w:val="32"/>
          <w14:textFill>
            <w14:solidFill>
              <w14:schemeClr w14:val="tx1"/>
            </w14:solidFill>
          </w14:textFill>
        </w:rPr>
        <w:t>577.29</w:t>
      </w:r>
      <w:r>
        <w:rPr>
          <w:rFonts w:ascii="仿宋" w:hAnsi="仿宋" w:eastAsia="仿宋"/>
          <w:color w:val="000000" w:themeColor="text1"/>
          <w:kern w:val="0"/>
          <w:sz w:val="32"/>
          <w:szCs w:val="32"/>
          <w14:textFill>
            <w14:solidFill>
              <w14:schemeClr w14:val="tx1"/>
            </w14:solidFill>
          </w14:textFill>
        </w:rPr>
        <w:t>万元。其中：</w:t>
      </w:r>
      <w:r>
        <w:rPr>
          <w:rFonts w:hint="eastAsia" w:ascii="仿宋" w:hAnsi="仿宋" w:eastAsia="仿宋"/>
          <w:color w:val="000000" w:themeColor="text1"/>
          <w:kern w:val="0"/>
          <w:sz w:val="32"/>
          <w:szCs w:val="32"/>
          <w14:textFill>
            <w14:solidFill>
              <w14:schemeClr w14:val="tx1"/>
            </w14:solidFill>
          </w14:textFill>
        </w:rPr>
        <w:t>办公费10.5万元、印刷费31万元、咨询费16万元、水费2万元、电费12万元、邮电费7万元、物业管理费80万元、差旅费1万元、维修费53万元，租赁费29万元、培训费2.2万元、被装购置费10万元、劳务费78.8万元、委托业务费32万元、工会经费6.72万元、福利费10.07万元、公务用车维护费0.82万元、其他交通费用18万元、税金及附加费用56.18万元、其他商品和服务支出121万元。</w:t>
      </w:r>
    </w:p>
    <w:p>
      <w:pPr>
        <w:widowControl/>
        <w:shd w:val="clear" w:color="auto" w:fill="FFFFFF"/>
        <w:spacing w:line="560" w:lineRule="exact"/>
        <w:ind w:firstLine="707" w:firstLineChars="221"/>
        <w:outlineLvl w:val="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w:t>
      </w:r>
      <w:r>
        <w:rPr>
          <w:rFonts w:hint="eastAsia" w:ascii="仿宋" w:hAnsi="仿宋" w:eastAsia="仿宋"/>
          <w:color w:val="000000" w:themeColor="text1"/>
          <w:kern w:val="0"/>
          <w:sz w:val="32"/>
          <w:szCs w:val="32"/>
          <w14:textFill>
            <w14:solidFill>
              <w14:schemeClr w14:val="tx1"/>
            </w14:solidFill>
          </w14:textFill>
        </w:rPr>
        <w:t>三</w:t>
      </w:r>
      <w:r>
        <w:rPr>
          <w:rFonts w:ascii="仿宋" w:hAnsi="仿宋" w:eastAsia="仿宋"/>
          <w:color w:val="000000" w:themeColor="text1"/>
          <w:kern w:val="0"/>
          <w:sz w:val="32"/>
          <w:szCs w:val="32"/>
          <w14:textFill>
            <w14:solidFill>
              <w14:schemeClr w14:val="tx1"/>
            </w14:solidFill>
          </w14:textFill>
        </w:rPr>
        <w:t>）</w:t>
      </w:r>
      <w:r>
        <w:rPr>
          <w:rFonts w:hint="eastAsia" w:ascii="仿宋" w:hAnsi="仿宋" w:eastAsia="仿宋"/>
          <w:color w:val="000000" w:themeColor="text1"/>
          <w:kern w:val="0"/>
          <w:sz w:val="32"/>
          <w:szCs w:val="32"/>
          <w14:textFill>
            <w14:solidFill>
              <w14:schemeClr w14:val="tx1"/>
            </w14:solidFill>
          </w14:textFill>
        </w:rPr>
        <w:t>特定目标类</w:t>
      </w:r>
      <w:r>
        <w:rPr>
          <w:rFonts w:ascii="仿宋" w:hAnsi="仿宋" w:eastAsia="仿宋"/>
          <w:color w:val="000000" w:themeColor="text1"/>
          <w:kern w:val="0"/>
          <w:sz w:val="32"/>
          <w:szCs w:val="32"/>
          <w14:textFill>
            <w14:solidFill>
              <w14:schemeClr w14:val="tx1"/>
            </w14:solidFill>
          </w14:textFill>
        </w:rPr>
        <w:t>支出</w:t>
      </w:r>
    </w:p>
    <w:p>
      <w:pPr>
        <w:tabs>
          <w:tab w:val="left" w:pos="7560"/>
        </w:tabs>
        <w:adjustRightInd w:val="0"/>
        <w:snapToGrid w:val="0"/>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（1）</w:t>
      </w:r>
      <w:r>
        <w:rPr>
          <w:rFonts w:hint="eastAsia" w:ascii="仿宋" w:hAnsi="仿宋" w:eastAsia="仿宋"/>
          <w:color w:val="000000"/>
          <w:kern w:val="0"/>
          <w:sz w:val="32"/>
          <w:szCs w:val="32"/>
        </w:rPr>
        <w:t>白蚁防治工作经费30万元。主要用于白蚁防治工作购药及人工工资等。</w:t>
      </w:r>
    </w:p>
    <w:p>
      <w:pPr>
        <w:tabs>
          <w:tab w:val="left" w:pos="7560"/>
        </w:tabs>
        <w:adjustRightInd w:val="0"/>
        <w:snapToGrid w:val="0"/>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（2）</w:t>
      </w:r>
      <w:r>
        <w:rPr>
          <w:rFonts w:hint="eastAsia" w:ascii="仿宋" w:hAnsi="仿宋" w:eastAsia="仿宋"/>
          <w:color w:val="000000"/>
          <w:kern w:val="0"/>
          <w:sz w:val="32"/>
          <w:szCs w:val="32"/>
        </w:rPr>
        <w:t>保障性租赁住房</w:t>
      </w:r>
      <w:r>
        <w:rPr>
          <w:rFonts w:ascii="仿宋" w:hAnsi="仿宋" w:eastAsia="仿宋"/>
          <w:color w:val="000000"/>
          <w:kern w:val="0"/>
          <w:sz w:val="32"/>
          <w:szCs w:val="32"/>
        </w:rPr>
        <w:t xml:space="preserve">专项 </w:t>
      </w:r>
      <w:r>
        <w:rPr>
          <w:rFonts w:hint="eastAsia" w:ascii="仿宋" w:hAnsi="仿宋" w:eastAsia="仿宋"/>
          <w:color w:val="000000"/>
          <w:kern w:val="0"/>
          <w:sz w:val="32"/>
          <w:szCs w:val="32"/>
        </w:rPr>
        <w:t>1720</w:t>
      </w:r>
      <w:r>
        <w:rPr>
          <w:rFonts w:ascii="仿宋" w:hAnsi="仿宋" w:eastAsia="仿宋"/>
          <w:color w:val="000000"/>
          <w:kern w:val="0"/>
          <w:sz w:val="32"/>
          <w:szCs w:val="32"/>
        </w:rPr>
        <w:t xml:space="preserve"> 万元。主要用于</w:t>
      </w:r>
      <w:r>
        <w:rPr>
          <w:rFonts w:hint="eastAsia" w:ascii="仿宋" w:hAnsi="仿宋" w:eastAsia="仿宋"/>
          <w:color w:val="000000"/>
          <w:kern w:val="0"/>
          <w:sz w:val="32"/>
          <w:szCs w:val="32"/>
        </w:rPr>
        <w:t>保障性租赁住房经费。</w:t>
      </w:r>
    </w:p>
    <w:p>
      <w:pPr>
        <w:tabs>
          <w:tab w:val="left" w:pos="7560"/>
        </w:tabs>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（3）老旧小区改造工程款1500万元。主要用于老旧小区改造。</w:t>
      </w:r>
    </w:p>
    <w:p>
      <w:pPr>
        <w:tabs>
          <w:tab w:val="left" w:pos="7560"/>
        </w:tabs>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（4）老旧小区基础设施建设7000万元。主要用于老旧小区基础设施建设支出。</w:t>
      </w:r>
    </w:p>
    <w:p>
      <w:pPr>
        <w:tabs>
          <w:tab w:val="left" w:pos="7560"/>
        </w:tabs>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（5）保障房建设本级配套3000万元。主要用于柳家湾保障性住房项目支出。</w:t>
      </w:r>
    </w:p>
    <w:p>
      <w:pPr>
        <w:tabs>
          <w:tab w:val="left" w:pos="7560"/>
        </w:tabs>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（6）太一市场管理费用141.8万元。主要用于太一综合市场管理费用支出。</w:t>
      </w:r>
    </w:p>
    <w:p>
      <w:pPr>
        <w:tabs>
          <w:tab w:val="left" w:pos="7560"/>
        </w:tabs>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（7）人才公寓管理工作经费70万元。主要用于人才公寓管理工作经费支出。</w:t>
      </w:r>
    </w:p>
    <w:p>
      <w:pPr>
        <w:tabs>
          <w:tab w:val="left" w:pos="7560"/>
        </w:tabs>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（8）金石小区物业管理服务项目78.69万元。主要用于金石小区物业管理服务项目支出。</w:t>
      </w:r>
    </w:p>
    <w:p>
      <w:pPr>
        <w:tabs>
          <w:tab w:val="left" w:pos="7560"/>
        </w:tabs>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（9）李畋路公租房物业管理服务项目55.92万元。主要用于李畋路公租房物业管理服务项目支出。</w:t>
      </w:r>
    </w:p>
    <w:p>
      <w:pPr>
        <w:pStyle w:val="2"/>
        <w:ind w:firstLine="640" w:firstLineChars="200"/>
      </w:pPr>
      <w:r>
        <w:rPr>
          <w:rFonts w:hint="eastAsia" w:ascii="仿宋" w:hAnsi="仿宋" w:eastAsia="仿宋"/>
          <w:color w:val="000000"/>
          <w:kern w:val="0"/>
          <w:sz w:val="32"/>
          <w:szCs w:val="32"/>
        </w:rPr>
        <w:t>（10）</w:t>
      </w:r>
      <w:r>
        <w:rPr>
          <w:rFonts w:hint="eastAsia" w:eastAsia="仿宋_GB2312"/>
          <w:sz w:val="32"/>
          <w:szCs w:val="32"/>
        </w:rPr>
        <w:t>保障性住房租金补贴</w:t>
      </w:r>
      <w:r>
        <w:rPr>
          <w:rFonts w:eastAsia="仿宋_GB2312"/>
          <w:sz w:val="32"/>
          <w:szCs w:val="32"/>
        </w:rPr>
        <w:t xml:space="preserve">专项 </w:t>
      </w:r>
      <w:r>
        <w:rPr>
          <w:rFonts w:hint="eastAsia" w:eastAsia="仿宋_GB2312"/>
          <w:sz w:val="32"/>
          <w:szCs w:val="32"/>
        </w:rPr>
        <w:t>50</w:t>
      </w:r>
      <w:r>
        <w:rPr>
          <w:rFonts w:eastAsia="仿宋_GB2312"/>
          <w:sz w:val="32"/>
          <w:szCs w:val="32"/>
        </w:rPr>
        <w:t xml:space="preserve"> 万元。主要用于</w:t>
      </w:r>
      <w:r>
        <w:rPr>
          <w:rFonts w:hint="eastAsia" w:eastAsia="仿宋_GB2312"/>
          <w:sz w:val="32"/>
          <w:szCs w:val="32"/>
        </w:rPr>
        <w:t>发放租赁补贴。</w:t>
      </w:r>
    </w:p>
    <w:p>
      <w:pPr>
        <w:widowControl/>
        <w:shd w:val="clear" w:color="auto" w:fill="FFFFFF"/>
        <w:spacing w:line="560" w:lineRule="exact"/>
        <w:ind w:firstLine="707" w:firstLineChars="221"/>
        <w:outlineLvl w:val="0"/>
        <w:rPr>
          <w:rFonts w:eastAsia="黑体"/>
          <w:color w:val="000000" w:themeColor="text1"/>
          <w:sz w:val="32"/>
          <w:szCs w:val="32"/>
          <w14:textFill>
            <w14:solidFill>
              <w14:schemeClr w14:val="tx1"/>
            </w14:solidFill>
          </w14:textFill>
        </w:rPr>
      </w:pPr>
      <w:r>
        <w:rPr>
          <w:rFonts w:hint="eastAsia" w:hAnsi="黑体" w:eastAsia="黑体"/>
          <w:color w:val="000000" w:themeColor="text1"/>
          <w:sz w:val="32"/>
          <w:szCs w:val="32"/>
          <w14:textFill>
            <w14:solidFill>
              <w14:schemeClr w14:val="tx1"/>
            </w14:solidFill>
          </w14:textFill>
        </w:rPr>
        <w:t>六、</w:t>
      </w:r>
      <w:r>
        <w:rPr>
          <w:rFonts w:hAnsi="黑体" w:eastAsia="黑体"/>
          <w:color w:val="000000" w:themeColor="text1"/>
          <w:sz w:val="32"/>
          <w:szCs w:val="32"/>
          <w14:textFill>
            <w14:solidFill>
              <w14:schemeClr w14:val="tx1"/>
            </w14:solidFill>
          </w14:textFill>
        </w:rPr>
        <w:t>政府性基金预算支出</w:t>
      </w:r>
    </w:p>
    <w:p>
      <w:pPr>
        <w:widowControl/>
        <w:shd w:val="clear" w:color="auto" w:fill="FFFFFF"/>
        <w:spacing w:line="560" w:lineRule="exact"/>
        <w:ind w:firstLine="707" w:firstLineChars="221"/>
        <w:outlineLvl w:val="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20</w:t>
      </w:r>
      <w:r>
        <w:rPr>
          <w:rFonts w:hint="eastAsia" w:ascii="仿宋" w:hAnsi="仿宋" w:eastAsia="仿宋"/>
          <w:color w:val="000000" w:themeColor="text1"/>
          <w:kern w:val="0"/>
          <w:sz w:val="32"/>
          <w:szCs w:val="32"/>
          <w14:textFill>
            <w14:solidFill>
              <w14:schemeClr w14:val="tx1"/>
            </w14:solidFill>
          </w14:textFill>
        </w:rPr>
        <w:t>22</w:t>
      </w:r>
      <w:r>
        <w:rPr>
          <w:rFonts w:ascii="仿宋" w:hAnsi="仿宋" w:eastAsia="仿宋"/>
          <w:color w:val="000000" w:themeColor="text1"/>
          <w:kern w:val="0"/>
          <w:sz w:val="32"/>
          <w:szCs w:val="32"/>
          <w14:textFill>
            <w14:solidFill>
              <w14:schemeClr w14:val="tx1"/>
            </w14:solidFill>
          </w14:textFill>
        </w:rPr>
        <w:t>年度本部门无政府性基金预算安排的支出</w:t>
      </w:r>
      <w:r>
        <w:rPr>
          <w:rFonts w:hint="eastAsia" w:ascii="仿宋" w:hAnsi="仿宋" w:eastAsia="仿宋"/>
          <w:color w:val="000000" w:themeColor="text1"/>
          <w:kern w:val="0"/>
          <w:sz w:val="32"/>
          <w:szCs w:val="32"/>
          <w14:textFill>
            <w14:solidFill>
              <w14:schemeClr w14:val="tx1"/>
            </w14:solidFill>
          </w14:textFill>
        </w:rPr>
        <w:t>。</w:t>
      </w:r>
    </w:p>
    <w:p>
      <w:pPr>
        <w:tabs>
          <w:tab w:val="left" w:pos="7560"/>
        </w:tabs>
        <w:adjustRightInd w:val="0"/>
        <w:snapToGrid w:val="0"/>
        <w:spacing w:line="560" w:lineRule="exact"/>
        <w:ind w:firstLine="640" w:firstLineChars="200"/>
        <w:rPr>
          <w:rFonts w:eastAsia="黑体"/>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七、其他重要事项情况说明</w:t>
      </w:r>
    </w:p>
    <w:p>
      <w:pPr>
        <w:tabs>
          <w:tab w:val="left" w:pos="7560"/>
        </w:tabs>
        <w:adjustRightInd w:val="0"/>
        <w:snapToGrid w:val="0"/>
        <w:spacing w:line="56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（一）机关运行经费：本部门</w:t>
      </w:r>
      <w:r>
        <w:rPr>
          <w:rFonts w:hint="eastAsia" w:ascii="仿宋" w:hAnsi="仿宋" w:eastAsia="仿宋"/>
          <w:color w:val="000000" w:themeColor="text1"/>
          <w:kern w:val="0"/>
          <w:sz w:val="32"/>
          <w:szCs w:val="32"/>
          <w14:textFill>
            <w14:solidFill>
              <w14:schemeClr w14:val="tx1"/>
            </w14:solidFill>
          </w14:textFill>
        </w:rPr>
        <w:t>2022</w:t>
      </w:r>
      <w:r>
        <w:rPr>
          <w:rFonts w:ascii="仿宋" w:hAnsi="仿宋" w:eastAsia="仿宋"/>
          <w:color w:val="000000" w:themeColor="text1"/>
          <w:kern w:val="0"/>
          <w:sz w:val="32"/>
          <w:szCs w:val="32"/>
          <w14:textFill>
            <w14:solidFill>
              <w14:schemeClr w14:val="tx1"/>
            </w14:solidFill>
          </w14:textFill>
        </w:rPr>
        <w:t>年年初预算机关运行经费共安排</w:t>
      </w:r>
      <w:r>
        <w:rPr>
          <w:rFonts w:hint="eastAsia" w:ascii="仿宋" w:hAnsi="仿宋" w:eastAsia="仿宋"/>
          <w:color w:val="000000" w:themeColor="text1"/>
          <w:kern w:val="0"/>
          <w:sz w:val="32"/>
          <w:szCs w:val="32"/>
          <w14:textFill>
            <w14:solidFill>
              <w14:schemeClr w14:val="tx1"/>
            </w14:solidFill>
          </w14:textFill>
        </w:rPr>
        <w:t>577.29</w:t>
      </w:r>
      <w:r>
        <w:rPr>
          <w:rFonts w:ascii="仿宋" w:hAnsi="仿宋" w:eastAsia="仿宋"/>
          <w:color w:val="000000" w:themeColor="text1"/>
          <w:kern w:val="0"/>
          <w:sz w:val="32"/>
          <w:szCs w:val="32"/>
          <w14:textFill>
            <w14:solidFill>
              <w14:schemeClr w14:val="tx1"/>
            </w14:solidFill>
          </w14:textFill>
        </w:rPr>
        <w:t>万元，比上年度预算增加</w:t>
      </w:r>
      <w:r>
        <w:rPr>
          <w:rFonts w:hint="eastAsia" w:ascii="仿宋" w:hAnsi="仿宋" w:eastAsia="仿宋"/>
          <w:color w:val="000000" w:themeColor="text1"/>
          <w:kern w:val="0"/>
          <w:sz w:val="32"/>
          <w:szCs w:val="32"/>
          <w14:textFill>
            <w14:solidFill>
              <w14:schemeClr w14:val="tx1"/>
            </w14:solidFill>
          </w14:textFill>
        </w:rPr>
        <w:t>72.29</w:t>
      </w:r>
      <w:r>
        <w:rPr>
          <w:rFonts w:ascii="仿宋" w:hAnsi="仿宋" w:eastAsia="仿宋"/>
          <w:color w:val="000000" w:themeColor="text1"/>
          <w:kern w:val="0"/>
          <w:sz w:val="32"/>
          <w:szCs w:val="32"/>
          <w14:textFill>
            <w14:solidFill>
              <w14:schemeClr w14:val="tx1"/>
            </w14:solidFill>
          </w14:textFill>
        </w:rPr>
        <w:t>万元，增加的主要原因是：</w:t>
      </w:r>
      <w:r>
        <w:rPr>
          <w:rFonts w:hint="eastAsia" w:ascii="仿宋" w:hAnsi="仿宋" w:eastAsia="仿宋"/>
          <w:color w:val="000000" w:themeColor="text1"/>
          <w:kern w:val="0"/>
          <w:sz w:val="32"/>
          <w:szCs w:val="32"/>
          <w14:textFill>
            <w14:solidFill>
              <w14:schemeClr w14:val="tx1"/>
            </w14:solidFill>
          </w14:textFill>
        </w:rPr>
        <w:t>维修（护）费、租赁费、劳务费等增加。</w:t>
      </w:r>
    </w:p>
    <w:p>
      <w:pPr>
        <w:tabs>
          <w:tab w:val="left" w:pos="7560"/>
        </w:tabs>
        <w:adjustRightInd w:val="0"/>
        <w:snapToGrid w:val="0"/>
        <w:spacing w:line="56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（二)政府采购预算：</w:t>
      </w:r>
      <w:r>
        <w:rPr>
          <w:rFonts w:hint="eastAsia" w:ascii="仿宋" w:hAnsi="仿宋" w:eastAsia="仿宋"/>
          <w:color w:val="000000" w:themeColor="text1"/>
          <w:kern w:val="0"/>
          <w:sz w:val="32"/>
          <w:szCs w:val="32"/>
          <w14:textFill>
            <w14:solidFill>
              <w14:schemeClr w14:val="tx1"/>
            </w14:solidFill>
          </w14:textFill>
        </w:rPr>
        <w:t>2022</w:t>
      </w:r>
      <w:r>
        <w:rPr>
          <w:rFonts w:ascii="仿宋" w:hAnsi="仿宋" w:eastAsia="仿宋"/>
          <w:color w:val="000000" w:themeColor="text1"/>
          <w:kern w:val="0"/>
          <w:sz w:val="32"/>
          <w:szCs w:val="32"/>
          <w14:textFill>
            <w14:solidFill>
              <w14:schemeClr w14:val="tx1"/>
            </w14:solidFill>
          </w14:textFill>
        </w:rPr>
        <w:t>年年初预算数为</w:t>
      </w:r>
      <w:r>
        <w:rPr>
          <w:rFonts w:hint="eastAsia" w:ascii="仿宋" w:hAnsi="仿宋" w:eastAsia="仿宋"/>
          <w:color w:val="000000" w:themeColor="text1"/>
          <w:kern w:val="0"/>
          <w:sz w:val="32"/>
          <w:szCs w:val="32"/>
          <w14:textFill>
            <w14:solidFill>
              <w14:schemeClr w14:val="tx1"/>
            </w14:solidFill>
          </w14:textFill>
        </w:rPr>
        <w:t>3871.5</w:t>
      </w:r>
      <w:r>
        <w:rPr>
          <w:rFonts w:ascii="仿宋" w:hAnsi="仿宋" w:eastAsia="仿宋"/>
          <w:color w:val="000000" w:themeColor="text1"/>
          <w:kern w:val="0"/>
          <w:sz w:val="32"/>
          <w:szCs w:val="32"/>
          <w14:textFill>
            <w14:solidFill>
              <w14:schemeClr w14:val="tx1"/>
            </w14:solidFill>
          </w14:textFill>
        </w:rPr>
        <w:t>万元。包含：</w:t>
      </w:r>
    </w:p>
    <w:p>
      <w:pPr>
        <w:tabs>
          <w:tab w:val="left" w:pos="7560"/>
        </w:tabs>
        <w:adjustRightInd w:val="0"/>
        <w:snapToGrid w:val="0"/>
        <w:spacing w:line="560" w:lineRule="exact"/>
        <w:ind w:firstLine="800" w:firstLineChars="25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1、货物类：49</w:t>
      </w:r>
      <w:r>
        <w:rPr>
          <w:rFonts w:ascii="仿宋" w:hAnsi="仿宋" w:eastAsia="仿宋"/>
          <w:color w:val="000000" w:themeColor="text1"/>
          <w:kern w:val="0"/>
          <w:sz w:val="32"/>
          <w:szCs w:val="32"/>
          <w14:textFill>
            <w14:solidFill>
              <w14:schemeClr w14:val="tx1"/>
            </w14:solidFill>
          </w14:textFill>
        </w:rPr>
        <w:t>万元</w:t>
      </w:r>
    </w:p>
    <w:p>
      <w:pPr>
        <w:tabs>
          <w:tab w:val="left" w:pos="7560"/>
        </w:tabs>
        <w:adjustRightInd w:val="0"/>
        <w:snapToGrid w:val="0"/>
        <w:spacing w:line="56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（1）办公自动化设备12万元(便携式计算机3万元，台式计算机3万元，复印机2.5万元，打印机2.5万元，其他办公自动化设备1万元。）</w:t>
      </w:r>
    </w:p>
    <w:p>
      <w:pPr>
        <w:tabs>
          <w:tab w:val="left" w:pos="7560"/>
        </w:tabs>
        <w:adjustRightInd w:val="0"/>
        <w:snapToGrid w:val="0"/>
        <w:spacing w:line="56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（2）专用材料购置10万元（白蚁防治药物购置）</w:t>
      </w:r>
    </w:p>
    <w:p>
      <w:pPr>
        <w:tabs>
          <w:tab w:val="left" w:pos="7560"/>
        </w:tabs>
        <w:adjustRightInd w:val="0"/>
        <w:snapToGrid w:val="0"/>
        <w:spacing w:line="56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（3）办公家具3万元（床类；台、桌类；椅凳类；沙发类；组合家具1万元，柜类2万元）</w:t>
      </w:r>
    </w:p>
    <w:p>
      <w:pPr>
        <w:tabs>
          <w:tab w:val="left" w:pos="7560"/>
        </w:tabs>
        <w:adjustRightInd w:val="0"/>
        <w:snapToGrid w:val="0"/>
        <w:spacing w:line="56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（4）办公消耗品及类似物品12万元（纸质文具及办公用品5万元，复印纸5万元，硒鼓、粉盒、色带等2万元）</w:t>
      </w:r>
    </w:p>
    <w:p>
      <w:pPr>
        <w:tabs>
          <w:tab w:val="left" w:pos="7560"/>
        </w:tabs>
        <w:adjustRightInd w:val="0"/>
        <w:snapToGrid w:val="0"/>
        <w:spacing w:line="56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（5）交通工具购置12万元（白蚁防治工具车购置12万元）</w:t>
      </w:r>
    </w:p>
    <w:p>
      <w:pPr>
        <w:tabs>
          <w:tab w:val="left" w:pos="7560"/>
        </w:tabs>
        <w:adjustRightInd w:val="0"/>
        <w:snapToGrid w:val="0"/>
        <w:spacing w:line="560" w:lineRule="exact"/>
        <w:ind w:firstLine="800" w:firstLineChars="25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2、工程类3739.5万元</w:t>
      </w:r>
    </w:p>
    <w:p>
      <w:pPr>
        <w:tabs>
          <w:tab w:val="left" w:pos="7560"/>
        </w:tabs>
        <w:adjustRightInd w:val="0"/>
        <w:snapToGrid w:val="0"/>
        <w:spacing w:line="56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（1）建筑物和构筑物的新建、改建、扩建、装修、拆除、修缮等3739.5万元。</w:t>
      </w:r>
    </w:p>
    <w:p>
      <w:pPr>
        <w:tabs>
          <w:tab w:val="left" w:pos="7560"/>
        </w:tabs>
        <w:adjustRightInd w:val="0"/>
        <w:snapToGrid w:val="0"/>
        <w:spacing w:line="560" w:lineRule="exact"/>
        <w:ind w:firstLine="800" w:firstLineChars="25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3、服务类 83万元</w:t>
      </w:r>
    </w:p>
    <w:p>
      <w:pPr>
        <w:tabs>
          <w:tab w:val="left" w:pos="7560"/>
        </w:tabs>
        <w:adjustRightInd w:val="0"/>
        <w:snapToGrid w:val="0"/>
        <w:spacing w:line="56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（1）印刷和出版项目服务19万元</w:t>
      </w:r>
    </w:p>
    <w:p>
      <w:pPr>
        <w:tabs>
          <w:tab w:val="left" w:pos="7560"/>
        </w:tabs>
        <w:adjustRightInd w:val="0"/>
        <w:snapToGrid w:val="0"/>
        <w:spacing w:line="56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（2）政府购买服务类（含物业管理）56万元</w:t>
      </w:r>
    </w:p>
    <w:p>
      <w:pPr>
        <w:tabs>
          <w:tab w:val="left" w:pos="7560"/>
        </w:tabs>
        <w:adjustRightInd w:val="0"/>
        <w:snapToGrid w:val="0"/>
        <w:spacing w:line="56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（3）其他服务类8万元</w:t>
      </w:r>
    </w:p>
    <w:p>
      <w:pPr>
        <w:tabs>
          <w:tab w:val="left" w:pos="7560"/>
        </w:tabs>
        <w:adjustRightInd w:val="0"/>
        <w:snapToGrid w:val="0"/>
        <w:spacing w:line="56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（三）国有资产占有情况：截止20</w:t>
      </w:r>
      <w:r>
        <w:rPr>
          <w:rFonts w:hint="eastAsia" w:ascii="仿宋" w:hAnsi="仿宋" w:eastAsia="仿宋"/>
          <w:color w:val="000000" w:themeColor="text1"/>
          <w:kern w:val="0"/>
          <w:sz w:val="32"/>
          <w:szCs w:val="32"/>
          <w14:textFill>
            <w14:solidFill>
              <w14:schemeClr w14:val="tx1"/>
            </w14:solidFill>
          </w14:textFill>
        </w:rPr>
        <w:t>21</w:t>
      </w:r>
      <w:r>
        <w:rPr>
          <w:rFonts w:ascii="仿宋" w:hAnsi="仿宋" w:eastAsia="仿宋"/>
          <w:color w:val="000000" w:themeColor="text1"/>
          <w:kern w:val="0"/>
          <w:sz w:val="32"/>
          <w:szCs w:val="32"/>
          <w14:textFill>
            <w14:solidFill>
              <w14:schemeClr w14:val="tx1"/>
            </w14:solidFill>
          </w14:textFill>
        </w:rPr>
        <w:t>年12月31日，本部门共有办公及业务用房</w:t>
      </w:r>
      <w:r>
        <w:rPr>
          <w:rFonts w:hint="eastAsia" w:ascii="仿宋" w:hAnsi="仿宋" w:eastAsia="仿宋"/>
          <w:color w:val="000000" w:themeColor="text1"/>
          <w:kern w:val="0"/>
          <w:sz w:val="32"/>
          <w:szCs w:val="32"/>
          <w14:textFill>
            <w14:solidFill>
              <w14:schemeClr w14:val="tx1"/>
            </w14:solidFill>
          </w14:textFill>
        </w:rPr>
        <w:t>136119</w:t>
      </w:r>
      <w:r>
        <w:rPr>
          <w:rFonts w:ascii="仿宋" w:hAnsi="仿宋" w:eastAsia="仿宋"/>
          <w:color w:val="000000" w:themeColor="text1"/>
          <w:kern w:val="0"/>
          <w:sz w:val="32"/>
          <w:szCs w:val="32"/>
          <w14:textFill>
            <w14:solidFill>
              <w14:schemeClr w14:val="tx1"/>
            </w14:solidFill>
          </w14:textFill>
        </w:rPr>
        <w:t xml:space="preserve"> 平方米；车辆 </w:t>
      </w:r>
      <w:r>
        <w:rPr>
          <w:rFonts w:hint="eastAsia" w:ascii="仿宋" w:hAnsi="仿宋" w:eastAsia="仿宋"/>
          <w:color w:val="000000" w:themeColor="text1"/>
          <w:kern w:val="0"/>
          <w:sz w:val="32"/>
          <w:szCs w:val="32"/>
          <w14:textFill>
            <w14:solidFill>
              <w14:schemeClr w14:val="tx1"/>
            </w14:solidFill>
          </w14:textFill>
        </w:rPr>
        <w:t>0</w:t>
      </w:r>
      <w:r>
        <w:rPr>
          <w:rFonts w:ascii="仿宋" w:hAnsi="仿宋" w:eastAsia="仿宋"/>
          <w:color w:val="000000" w:themeColor="text1"/>
          <w:kern w:val="0"/>
          <w:sz w:val="32"/>
          <w:szCs w:val="32"/>
          <w14:textFill>
            <w14:solidFill>
              <w14:schemeClr w14:val="tx1"/>
            </w14:solidFill>
          </w14:textFill>
        </w:rPr>
        <w:t>辆，其中</w:t>
      </w:r>
      <w:r>
        <w:rPr>
          <w:rFonts w:hint="eastAsia" w:ascii="仿宋" w:hAnsi="仿宋" w:eastAsia="仿宋"/>
          <w:color w:val="000000" w:themeColor="text1"/>
          <w:kern w:val="0"/>
          <w:sz w:val="32"/>
          <w:szCs w:val="32"/>
          <w14:textFill>
            <w14:solidFill>
              <w14:schemeClr w14:val="tx1"/>
            </w14:solidFill>
          </w14:textFill>
        </w:rPr>
        <w:t>一般公务</w:t>
      </w:r>
      <w:r>
        <w:rPr>
          <w:rFonts w:ascii="仿宋" w:hAnsi="仿宋" w:eastAsia="仿宋"/>
          <w:color w:val="000000" w:themeColor="text1"/>
          <w:kern w:val="0"/>
          <w:sz w:val="32"/>
          <w:szCs w:val="32"/>
          <w14:textFill>
            <w14:solidFill>
              <w14:schemeClr w14:val="tx1"/>
            </w14:solidFill>
          </w14:textFill>
        </w:rPr>
        <w:t>用车</w:t>
      </w:r>
      <w:r>
        <w:rPr>
          <w:rFonts w:hint="eastAsia" w:ascii="仿宋" w:hAnsi="仿宋" w:eastAsia="仿宋"/>
          <w:color w:val="000000" w:themeColor="text1"/>
          <w:kern w:val="0"/>
          <w:sz w:val="32"/>
          <w:szCs w:val="32"/>
          <w14:textFill>
            <w14:solidFill>
              <w14:schemeClr w14:val="tx1"/>
            </w14:solidFill>
          </w14:textFill>
        </w:rPr>
        <w:t>0</w:t>
      </w:r>
      <w:r>
        <w:rPr>
          <w:rFonts w:ascii="仿宋" w:hAnsi="仿宋" w:eastAsia="仿宋"/>
          <w:color w:val="000000" w:themeColor="text1"/>
          <w:kern w:val="0"/>
          <w:sz w:val="32"/>
          <w:szCs w:val="32"/>
          <w14:textFill>
            <w14:solidFill>
              <w14:schemeClr w14:val="tx1"/>
            </w14:solidFill>
          </w14:textFill>
        </w:rPr>
        <w:t>辆、一般执法执勤用车</w:t>
      </w:r>
      <w:r>
        <w:rPr>
          <w:rFonts w:hint="eastAsia" w:ascii="仿宋" w:hAnsi="仿宋" w:eastAsia="仿宋"/>
          <w:color w:val="000000" w:themeColor="text1"/>
          <w:kern w:val="0"/>
          <w:sz w:val="32"/>
          <w:szCs w:val="32"/>
          <w14:textFill>
            <w14:solidFill>
              <w14:schemeClr w14:val="tx1"/>
            </w14:solidFill>
          </w14:textFill>
        </w:rPr>
        <w:t>0</w:t>
      </w:r>
      <w:r>
        <w:rPr>
          <w:rFonts w:ascii="仿宋" w:hAnsi="仿宋" w:eastAsia="仿宋"/>
          <w:color w:val="000000" w:themeColor="text1"/>
          <w:kern w:val="0"/>
          <w:sz w:val="32"/>
          <w:szCs w:val="32"/>
          <w14:textFill>
            <w14:solidFill>
              <w14:schemeClr w14:val="tx1"/>
            </w14:solidFill>
          </w14:textFill>
        </w:rPr>
        <w:t>辆、货币化用车</w:t>
      </w:r>
      <w:r>
        <w:rPr>
          <w:rFonts w:hint="eastAsia" w:ascii="仿宋" w:hAnsi="仿宋" w:eastAsia="仿宋"/>
          <w:color w:val="000000" w:themeColor="text1"/>
          <w:kern w:val="0"/>
          <w:sz w:val="32"/>
          <w:szCs w:val="32"/>
          <w14:textFill>
            <w14:solidFill>
              <w14:schemeClr w14:val="tx1"/>
            </w14:solidFill>
          </w14:textFill>
        </w:rPr>
        <w:t>0</w:t>
      </w:r>
      <w:r>
        <w:rPr>
          <w:rFonts w:ascii="仿宋" w:hAnsi="仿宋" w:eastAsia="仿宋"/>
          <w:color w:val="000000" w:themeColor="text1"/>
          <w:kern w:val="0"/>
          <w:sz w:val="32"/>
          <w:szCs w:val="32"/>
          <w14:textFill>
            <w14:solidFill>
              <w14:schemeClr w14:val="tx1"/>
            </w14:solidFill>
          </w14:textFill>
        </w:rPr>
        <w:t xml:space="preserve">辆；单位价值200万以上大型设备 </w:t>
      </w:r>
      <w:r>
        <w:rPr>
          <w:rFonts w:hint="eastAsia" w:ascii="仿宋" w:hAnsi="仿宋" w:eastAsia="仿宋"/>
          <w:color w:val="000000" w:themeColor="text1"/>
          <w:kern w:val="0"/>
          <w:sz w:val="32"/>
          <w:szCs w:val="32"/>
          <w14:textFill>
            <w14:solidFill>
              <w14:schemeClr w14:val="tx1"/>
            </w14:solidFill>
          </w14:textFill>
        </w:rPr>
        <w:t>0</w:t>
      </w:r>
      <w:r>
        <w:rPr>
          <w:rFonts w:ascii="仿宋" w:hAnsi="仿宋" w:eastAsia="仿宋"/>
          <w:color w:val="000000" w:themeColor="text1"/>
          <w:kern w:val="0"/>
          <w:sz w:val="32"/>
          <w:szCs w:val="32"/>
          <w14:textFill>
            <w14:solidFill>
              <w14:schemeClr w14:val="tx1"/>
            </w14:solidFill>
          </w14:textFill>
        </w:rPr>
        <w:t xml:space="preserve"> 套。20</w:t>
      </w:r>
      <w:r>
        <w:rPr>
          <w:rFonts w:hint="eastAsia" w:ascii="仿宋" w:hAnsi="仿宋" w:eastAsia="仿宋"/>
          <w:color w:val="000000" w:themeColor="text1"/>
          <w:kern w:val="0"/>
          <w:sz w:val="32"/>
          <w:szCs w:val="32"/>
          <w14:textFill>
            <w14:solidFill>
              <w14:schemeClr w14:val="tx1"/>
            </w14:solidFill>
          </w14:textFill>
        </w:rPr>
        <w:t>22</w:t>
      </w:r>
      <w:r>
        <w:rPr>
          <w:rFonts w:ascii="仿宋" w:hAnsi="仿宋" w:eastAsia="仿宋"/>
          <w:color w:val="000000" w:themeColor="text1"/>
          <w:kern w:val="0"/>
          <w:sz w:val="32"/>
          <w:szCs w:val="32"/>
          <w14:textFill>
            <w14:solidFill>
              <w14:schemeClr w14:val="tx1"/>
            </w14:solidFill>
          </w14:textFill>
        </w:rPr>
        <w:t xml:space="preserve">年部门预算安排购置车辆 </w:t>
      </w:r>
      <w:r>
        <w:rPr>
          <w:rFonts w:hint="eastAsia" w:ascii="仿宋" w:hAnsi="仿宋" w:eastAsia="仿宋"/>
          <w:color w:val="000000" w:themeColor="text1"/>
          <w:kern w:val="0"/>
          <w:sz w:val="32"/>
          <w:szCs w:val="32"/>
          <w14:textFill>
            <w14:solidFill>
              <w14:schemeClr w14:val="tx1"/>
            </w14:solidFill>
          </w14:textFill>
        </w:rPr>
        <w:t>1</w:t>
      </w:r>
      <w:r>
        <w:rPr>
          <w:rFonts w:ascii="仿宋" w:hAnsi="仿宋" w:eastAsia="仿宋"/>
          <w:color w:val="000000" w:themeColor="text1"/>
          <w:kern w:val="0"/>
          <w:sz w:val="32"/>
          <w:szCs w:val="32"/>
          <w14:textFill>
            <w14:solidFill>
              <w14:schemeClr w14:val="tx1"/>
            </w14:solidFill>
          </w14:textFill>
        </w:rPr>
        <w:t xml:space="preserve"> 辆，预算安排购置价值200万以上大型设备 </w:t>
      </w:r>
      <w:r>
        <w:rPr>
          <w:rFonts w:hint="eastAsia" w:ascii="仿宋" w:hAnsi="仿宋" w:eastAsia="仿宋"/>
          <w:color w:val="000000" w:themeColor="text1"/>
          <w:kern w:val="0"/>
          <w:sz w:val="32"/>
          <w:szCs w:val="32"/>
          <w14:textFill>
            <w14:solidFill>
              <w14:schemeClr w14:val="tx1"/>
            </w14:solidFill>
          </w14:textFill>
        </w:rPr>
        <w:t>0</w:t>
      </w:r>
      <w:r>
        <w:rPr>
          <w:rFonts w:ascii="仿宋" w:hAnsi="仿宋" w:eastAsia="仿宋"/>
          <w:color w:val="000000" w:themeColor="text1"/>
          <w:kern w:val="0"/>
          <w:sz w:val="32"/>
          <w:szCs w:val="32"/>
          <w14:textFill>
            <w14:solidFill>
              <w14:schemeClr w14:val="tx1"/>
            </w14:solidFill>
          </w14:textFill>
        </w:rPr>
        <w:t xml:space="preserve"> 套。</w:t>
      </w:r>
    </w:p>
    <w:p>
      <w:pPr>
        <w:tabs>
          <w:tab w:val="left" w:pos="7560"/>
        </w:tabs>
        <w:adjustRightInd w:val="0"/>
        <w:snapToGrid w:val="0"/>
        <w:spacing w:line="56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（四）预算绩效目标：本部门整体支出和项目支出实行绩效目标管理，纳入20</w:t>
      </w:r>
      <w:r>
        <w:rPr>
          <w:rFonts w:hint="eastAsia" w:ascii="仿宋" w:hAnsi="仿宋" w:eastAsia="仿宋"/>
          <w:color w:val="000000" w:themeColor="text1"/>
          <w:kern w:val="0"/>
          <w:sz w:val="32"/>
          <w:szCs w:val="32"/>
          <w14:textFill>
            <w14:solidFill>
              <w14:schemeClr w14:val="tx1"/>
            </w14:solidFill>
          </w14:textFill>
        </w:rPr>
        <w:t>22</w:t>
      </w:r>
      <w:r>
        <w:rPr>
          <w:rFonts w:ascii="仿宋" w:hAnsi="仿宋" w:eastAsia="仿宋"/>
          <w:color w:val="000000" w:themeColor="text1"/>
          <w:kern w:val="0"/>
          <w:sz w:val="32"/>
          <w:szCs w:val="32"/>
          <w14:textFill>
            <w14:solidFill>
              <w14:schemeClr w14:val="tx1"/>
            </w14:solidFill>
          </w14:textFill>
        </w:rPr>
        <w:t>年部门整体支出绩效目标的金额为14549.46万元，其中</w:t>
      </w:r>
      <w:r>
        <w:rPr>
          <w:rFonts w:hint="eastAsia" w:ascii="仿宋" w:hAnsi="仿宋" w:eastAsia="仿宋"/>
          <w:color w:val="000000" w:themeColor="text1"/>
          <w:kern w:val="0"/>
          <w:sz w:val="32"/>
          <w:szCs w:val="32"/>
          <w14:textFill>
            <w14:solidFill>
              <w14:schemeClr w14:val="tx1"/>
            </w14:solidFill>
          </w14:textFill>
        </w:rPr>
        <w:t>,</w:t>
      </w:r>
      <w:r>
        <w:rPr>
          <w:rFonts w:ascii="仿宋" w:hAnsi="仿宋" w:eastAsia="仿宋"/>
          <w:color w:val="000000" w:themeColor="text1"/>
          <w:kern w:val="0"/>
          <w:sz w:val="32"/>
          <w:szCs w:val="32"/>
          <w14:textFill>
            <w14:solidFill>
              <w14:schemeClr w14:val="tx1"/>
            </w14:solidFill>
          </w14:textFill>
        </w:rPr>
        <w:t xml:space="preserve">基本支出903.05万元，项目支出  </w:t>
      </w:r>
      <w:r>
        <w:rPr>
          <w:rFonts w:hint="eastAsia" w:ascii="仿宋" w:hAnsi="仿宋" w:eastAsia="仿宋"/>
          <w:color w:val="000000" w:themeColor="text1"/>
          <w:kern w:val="0"/>
          <w:sz w:val="32"/>
          <w:szCs w:val="32"/>
          <w14:textFill>
            <w14:solidFill>
              <w14:schemeClr w14:val="tx1"/>
            </w14:solidFill>
          </w14:textFill>
        </w:rPr>
        <w:t>13646.41</w:t>
      </w:r>
      <w:r>
        <w:rPr>
          <w:rFonts w:ascii="仿宋" w:hAnsi="仿宋" w:eastAsia="仿宋"/>
          <w:color w:val="000000" w:themeColor="text1"/>
          <w:kern w:val="0"/>
          <w:sz w:val="32"/>
          <w:szCs w:val="32"/>
          <w14:textFill>
            <w14:solidFill>
              <w14:schemeClr w14:val="tx1"/>
            </w14:solidFill>
          </w14:textFill>
        </w:rPr>
        <w:t xml:space="preserve"> 万元（详见附表）。 </w:t>
      </w:r>
    </w:p>
    <w:p>
      <w:pPr>
        <w:tabs>
          <w:tab w:val="left" w:pos="7560"/>
        </w:tabs>
        <w:adjustRightInd w:val="0"/>
        <w:snapToGrid w:val="0"/>
        <w:spacing w:line="560" w:lineRule="exact"/>
        <w:ind w:firstLine="640" w:firstLineChars="200"/>
        <w:rPr>
          <w:rFonts w:hint="eastAsia"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（五）“三公”经费预算：</w:t>
      </w:r>
    </w:p>
    <w:p>
      <w:pPr>
        <w:tabs>
          <w:tab w:val="left" w:pos="7560"/>
        </w:tabs>
        <w:adjustRightInd w:val="0"/>
        <w:snapToGrid w:val="0"/>
        <w:spacing w:line="560" w:lineRule="exact"/>
        <w:ind w:firstLine="640" w:firstLineChars="200"/>
        <w:rPr>
          <w:rFonts w:hint="eastAsia"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2022年“三公”经费预算数0.82万元，</w:t>
      </w:r>
      <w:r>
        <w:rPr>
          <w:rFonts w:hint="eastAsia" w:ascii="仿宋" w:hAnsi="仿宋" w:eastAsia="仿宋"/>
          <w:color w:val="000000" w:themeColor="text1"/>
          <w:kern w:val="0"/>
          <w:sz w:val="32"/>
          <w:szCs w:val="32"/>
          <w:lang w:val="en-US" w:eastAsia="zh-CN"/>
          <w14:textFill>
            <w14:solidFill>
              <w14:schemeClr w14:val="tx1"/>
            </w14:solidFill>
          </w14:textFill>
        </w:rPr>
        <w:t>其中：因公出国（境）费0万元、</w:t>
      </w:r>
      <w:bookmarkStart w:id="0" w:name="_GoBack"/>
      <w:bookmarkEnd w:id="0"/>
      <w:r>
        <w:rPr>
          <w:rFonts w:hint="eastAsia" w:ascii="仿宋" w:hAnsi="仿宋" w:eastAsia="仿宋"/>
          <w:color w:val="000000" w:themeColor="text1"/>
          <w:kern w:val="0"/>
          <w:sz w:val="32"/>
          <w:szCs w:val="32"/>
          <w14:textFill>
            <w14:solidFill>
              <w14:schemeClr w14:val="tx1"/>
            </w14:solidFill>
          </w14:textFill>
        </w:rPr>
        <w:t>公务接待费0万元、公务用车购置费0万元</w:t>
      </w:r>
      <w:r>
        <w:rPr>
          <w:rFonts w:hint="eastAsia" w:ascii="仿宋" w:hAnsi="仿宋" w:eastAsia="仿宋"/>
          <w:color w:val="000000" w:themeColor="text1"/>
          <w:kern w:val="0"/>
          <w:sz w:val="32"/>
          <w:szCs w:val="32"/>
          <w:lang w:eastAsia="zh-CN"/>
          <w14:textFill>
            <w14:solidFill>
              <w14:schemeClr w14:val="tx1"/>
            </w14:solidFill>
          </w14:textFill>
        </w:rPr>
        <w:t>、</w:t>
      </w:r>
      <w:r>
        <w:rPr>
          <w:rFonts w:hint="eastAsia" w:ascii="仿宋" w:hAnsi="仿宋" w:eastAsia="仿宋"/>
          <w:color w:val="000000" w:themeColor="text1"/>
          <w:kern w:val="0"/>
          <w:sz w:val="32"/>
          <w:szCs w:val="32"/>
          <w14:textFill>
            <w14:solidFill>
              <w14:schemeClr w14:val="tx1"/>
            </w14:solidFill>
          </w14:textFill>
        </w:rPr>
        <w:t>公务用车运行费0.82万元。2022年“三公”经费预算数比2021年减少1.02万元，主要是因为厉行节约、开源节流。</w:t>
      </w:r>
    </w:p>
    <w:p>
      <w:pPr>
        <w:tabs>
          <w:tab w:val="left" w:pos="7560"/>
        </w:tabs>
        <w:adjustRightInd w:val="0"/>
        <w:snapToGrid w:val="0"/>
        <w:spacing w:line="56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（六）会议费、培训费预算：</w:t>
      </w:r>
    </w:p>
    <w:p>
      <w:pPr>
        <w:tabs>
          <w:tab w:val="left" w:pos="7560"/>
        </w:tabs>
        <w:adjustRightInd w:val="0"/>
        <w:snapToGrid w:val="0"/>
        <w:spacing w:line="56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20</w:t>
      </w:r>
      <w:r>
        <w:rPr>
          <w:rFonts w:hint="eastAsia" w:ascii="仿宋" w:hAnsi="仿宋" w:eastAsia="仿宋"/>
          <w:color w:val="000000" w:themeColor="text1"/>
          <w:kern w:val="0"/>
          <w:sz w:val="32"/>
          <w:szCs w:val="32"/>
          <w14:textFill>
            <w14:solidFill>
              <w14:schemeClr w14:val="tx1"/>
            </w14:solidFill>
          </w14:textFill>
        </w:rPr>
        <w:t>22</w:t>
      </w:r>
      <w:r>
        <w:rPr>
          <w:rFonts w:ascii="仿宋" w:hAnsi="仿宋" w:eastAsia="仿宋"/>
          <w:color w:val="000000" w:themeColor="text1"/>
          <w:kern w:val="0"/>
          <w:sz w:val="32"/>
          <w:szCs w:val="32"/>
          <w14:textFill>
            <w14:solidFill>
              <w14:schemeClr w14:val="tx1"/>
            </w14:solidFill>
          </w14:textFill>
        </w:rPr>
        <w:t>年预算安排会议费</w:t>
      </w:r>
      <w:r>
        <w:rPr>
          <w:rFonts w:hint="eastAsia" w:ascii="仿宋" w:hAnsi="仿宋" w:eastAsia="仿宋"/>
          <w:color w:val="000000" w:themeColor="text1"/>
          <w:kern w:val="0"/>
          <w:sz w:val="32"/>
          <w:szCs w:val="32"/>
          <w14:textFill>
            <w14:solidFill>
              <w14:schemeClr w14:val="tx1"/>
            </w14:solidFill>
          </w14:textFill>
        </w:rPr>
        <w:t>0</w:t>
      </w:r>
      <w:r>
        <w:rPr>
          <w:rFonts w:ascii="仿宋" w:hAnsi="仿宋" w:eastAsia="仿宋"/>
          <w:color w:val="000000" w:themeColor="text1"/>
          <w:kern w:val="0"/>
          <w:sz w:val="32"/>
          <w:szCs w:val="32"/>
          <w14:textFill>
            <w14:solidFill>
              <w14:schemeClr w14:val="tx1"/>
            </w14:solidFill>
          </w14:textFill>
        </w:rPr>
        <w:t>万元</w:t>
      </w:r>
      <w:r>
        <w:rPr>
          <w:rFonts w:hint="eastAsia" w:ascii="仿宋" w:hAnsi="仿宋" w:eastAsia="仿宋"/>
          <w:color w:val="000000" w:themeColor="text1"/>
          <w:kern w:val="0"/>
          <w:sz w:val="32"/>
          <w:szCs w:val="32"/>
          <w14:textFill>
            <w14:solidFill>
              <w14:schemeClr w14:val="tx1"/>
            </w14:solidFill>
          </w14:textFill>
        </w:rPr>
        <w:t>。</w:t>
      </w:r>
    </w:p>
    <w:p>
      <w:pPr>
        <w:tabs>
          <w:tab w:val="left" w:pos="7560"/>
        </w:tabs>
        <w:adjustRightInd w:val="0"/>
        <w:snapToGrid w:val="0"/>
        <w:spacing w:line="56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20</w:t>
      </w:r>
      <w:r>
        <w:rPr>
          <w:rFonts w:hint="eastAsia" w:ascii="仿宋" w:hAnsi="仿宋" w:eastAsia="仿宋"/>
          <w:color w:val="000000" w:themeColor="text1"/>
          <w:kern w:val="0"/>
          <w:sz w:val="32"/>
          <w:szCs w:val="32"/>
          <w14:textFill>
            <w14:solidFill>
              <w14:schemeClr w14:val="tx1"/>
            </w14:solidFill>
          </w14:textFill>
        </w:rPr>
        <w:t>22</w:t>
      </w:r>
      <w:r>
        <w:rPr>
          <w:rFonts w:ascii="仿宋" w:hAnsi="仿宋" w:eastAsia="仿宋"/>
          <w:color w:val="000000" w:themeColor="text1"/>
          <w:kern w:val="0"/>
          <w:sz w:val="32"/>
          <w:szCs w:val="32"/>
          <w14:textFill>
            <w14:solidFill>
              <w14:schemeClr w14:val="tx1"/>
            </w14:solidFill>
          </w14:textFill>
        </w:rPr>
        <w:t>年预算安排培训费</w:t>
      </w:r>
      <w:r>
        <w:rPr>
          <w:rFonts w:hint="eastAsia" w:ascii="仿宋" w:hAnsi="仿宋" w:eastAsia="仿宋"/>
          <w:color w:val="000000" w:themeColor="text1"/>
          <w:kern w:val="0"/>
          <w:sz w:val="32"/>
          <w:szCs w:val="32"/>
          <w14:textFill>
            <w14:solidFill>
              <w14:schemeClr w14:val="tx1"/>
            </w14:solidFill>
          </w14:textFill>
        </w:rPr>
        <w:t>2.2</w:t>
      </w:r>
      <w:r>
        <w:rPr>
          <w:rFonts w:ascii="仿宋" w:hAnsi="仿宋" w:eastAsia="仿宋"/>
          <w:color w:val="000000" w:themeColor="text1"/>
          <w:kern w:val="0"/>
          <w:sz w:val="32"/>
          <w:szCs w:val="32"/>
          <w14:textFill>
            <w14:solidFill>
              <w14:schemeClr w14:val="tx1"/>
            </w14:solidFill>
          </w14:textFill>
        </w:rPr>
        <w:t>万元，主要包括</w:t>
      </w:r>
      <w:r>
        <w:rPr>
          <w:rFonts w:hint="eastAsia" w:ascii="仿宋" w:hAnsi="仿宋" w:eastAsia="仿宋"/>
          <w:color w:val="000000" w:themeColor="text1"/>
          <w:kern w:val="0"/>
          <w:sz w:val="32"/>
          <w:szCs w:val="32"/>
          <w14:textFill>
            <w14:solidFill>
              <w14:schemeClr w14:val="tx1"/>
            </w14:solidFill>
          </w14:textFill>
        </w:rPr>
        <w:t>测绘培训和保障性住房项目培训，计划房屋测量事务所和住房事务中心5名工作人员参加。</w:t>
      </w:r>
    </w:p>
    <w:p>
      <w:pPr>
        <w:widowControl/>
        <w:numPr>
          <w:ilvl w:val="0"/>
          <w:numId w:val="1"/>
        </w:numPr>
        <w:shd w:val="clear" w:color="auto" w:fill="FFFFFF"/>
        <w:spacing w:line="560" w:lineRule="exact"/>
        <w:ind w:firstLine="627"/>
        <w:jc w:val="left"/>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其他事项。</w:t>
      </w:r>
    </w:p>
    <w:p>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40" w:firstLineChars="200"/>
        <w:jc w:val="left"/>
        <w:textAlignment w:val="auto"/>
        <w:rPr>
          <w:rFonts w:hint="eastAsia"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本单位20</w:t>
      </w:r>
      <w:r>
        <w:rPr>
          <w:rFonts w:hint="eastAsia" w:ascii="仿宋" w:hAnsi="仿宋" w:eastAsia="仿宋"/>
          <w:color w:val="000000" w:themeColor="text1"/>
          <w:kern w:val="0"/>
          <w:sz w:val="32"/>
          <w:szCs w:val="32"/>
          <w14:textFill>
            <w14:solidFill>
              <w14:schemeClr w14:val="tx1"/>
            </w14:solidFill>
          </w14:textFill>
        </w:rPr>
        <w:t>22</w:t>
      </w:r>
      <w:r>
        <w:rPr>
          <w:rFonts w:ascii="仿宋" w:hAnsi="仿宋" w:eastAsia="仿宋"/>
          <w:color w:val="000000" w:themeColor="text1"/>
          <w:kern w:val="0"/>
          <w:sz w:val="32"/>
          <w:szCs w:val="32"/>
          <w14:textFill>
            <w14:solidFill>
              <w14:schemeClr w14:val="tx1"/>
            </w14:solidFill>
          </w14:textFill>
        </w:rPr>
        <w:t>年预算未安排政府性基金收支预算</w:t>
      </w:r>
      <w:r>
        <w:rPr>
          <w:rFonts w:hint="eastAsia" w:ascii="仿宋" w:hAnsi="仿宋" w:eastAsia="仿宋"/>
          <w:color w:val="000000" w:themeColor="text1"/>
          <w:kern w:val="0"/>
          <w:sz w:val="32"/>
          <w:szCs w:val="32"/>
          <w14:textFill>
            <w14:solidFill>
              <w14:schemeClr w14:val="tx1"/>
            </w14:solidFill>
          </w14:textFill>
        </w:rPr>
        <w:t>。</w:t>
      </w:r>
    </w:p>
    <w:p>
      <w:pPr>
        <w:pStyle w:val="2"/>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olor w:val="000000" w:themeColor="text1"/>
          <w:kern w:val="0"/>
          <w:sz w:val="32"/>
          <w:szCs w:val="32"/>
          <w:lang w:eastAsia="zh-CN"/>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本单位20</w:t>
      </w:r>
      <w:r>
        <w:rPr>
          <w:rFonts w:hint="eastAsia" w:ascii="仿宋" w:hAnsi="仿宋" w:eastAsia="仿宋"/>
          <w:color w:val="000000" w:themeColor="text1"/>
          <w:kern w:val="0"/>
          <w:sz w:val="32"/>
          <w:szCs w:val="32"/>
          <w14:textFill>
            <w14:solidFill>
              <w14:schemeClr w14:val="tx1"/>
            </w14:solidFill>
          </w14:textFill>
        </w:rPr>
        <w:t>22</w:t>
      </w:r>
      <w:r>
        <w:rPr>
          <w:rFonts w:ascii="仿宋" w:hAnsi="仿宋" w:eastAsia="仿宋"/>
          <w:color w:val="000000" w:themeColor="text1"/>
          <w:kern w:val="0"/>
          <w:sz w:val="32"/>
          <w:szCs w:val="32"/>
          <w14:textFill>
            <w14:solidFill>
              <w14:schemeClr w14:val="tx1"/>
            </w14:solidFill>
          </w14:textFill>
        </w:rPr>
        <w:t>年预算未安排</w:t>
      </w:r>
      <w:r>
        <w:rPr>
          <w:rFonts w:hint="eastAsia" w:ascii="仿宋" w:hAnsi="仿宋" w:eastAsia="仿宋"/>
          <w:color w:val="000000" w:themeColor="text1"/>
          <w:kern w:val="0"/>
          <w:sz w:val="32"/>
          <w:szCs w:val="32"/>
          <w14:textFill>
            <w14:solidFill>
              <w14:schemeClr w14:val="tx1"/>
            </w14:solidFill>
          </w14:textFill>
        </w:rPr>
        <w:t>对个人和家庭的补助</w:t>
      </w:r>
      <w:r>
        <w:rPr>
          <w:rFonts w:hint="eastAsia" w:ascii="仿宋" w:hAnsi="仿宋" w:eastAsia="仿宋"/>
          <w:color w:val="000000" w:themeColor="text1"/>
          <w:kern w:val="0"/>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olor w:val="000000" w:themeColor="text1"/>
          <w:kern w:val="0"/>
          <w:sz w:val="32"/>
          <w:szCs w:val="32"/>
          <w:lang w:eastAsia="zh-CN"/>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本单位20</w:t>
      </w:r>
      <w:r>
        <w:rPr>
          <w:rFonts w:hint="eastAsia" w:ascii="仿宋" w:hAnsi="仿宋" w:eastAsia="仿宋"/>
          <w:color w:val="000000" w:themeColor="text1"/>
          <w:kern w:val="0"/>
          <w:sz w:val="32"/>
          <w:szCs w:val="32"/>
          <w14:textFill>
            <w14:solidFill>
              <w14:schemeClr w14:val="tx1"/>
            </w14:solidFill>
          </w14:textFill>
        </w:rPr>
        <w:t>22</w:t>
      </w:r>
      <w:r>
        <w:rPr>
          <w:rFonts w:ascii="仿宋" w:hAnsi="仿宋" w:eastAsia="仿宋"/>
          <w:color w:val="000000" w:themeColor="text1"/>
          <w:kern w:val="0"/>
          <w:sz w:val="32"/>
          <w:szCs w:val="32"/>
          <w14:textFill>
            <w14:solidFill>
              <w14:schemeClr w14:val="tx1"/>
            </w14:solidFill>
          </w14:textFill>
        </w:rPr>
        <w:t>年预算未安排</w:t>
      </w:r>
      <w:r>
        <w:rPr>
          <w:rFonts w:hint="eastAsia" w:ascii="仿宋" w:hAnsi="仿宋" w:eastAsia="仿宋"/>
          <w:color w:val="000000" w:themeColor="text1"/>
          <w:kern w:val="0"/>
          <w:sz w:val="32"/>
          <w:szCs w:val="32"/>
          <w14:textFill>
            <w14:solidFill>
              <w14:schemeClr w14:val="tx1"/>
            </w14:solidFill>
          </w14:textFill>
        </w:rPr>
        <w:t>国有资本经营预算支出</w:t>
      </w:r>
      <w:r>
        <w:rPr>
          <w:rFonts w:hint="eastAsia" w:ascii="仿宋" w:hAnsi="仿宋" w:eastAsia="仿宋"/>
          <w:color w:val="000000" w:themeColor="text1"/>
          <w:kern w:val="0"/>
          <w:sz w:val="32"/>
          <w:szCs w:val="32"/>
          <w:lang w:eastAsia="zh-CN"/>
          <w14:textFill>
            <w14:solidFill>
              <w14:schemeClr w14:val="tx1"/>
            </w14:solidFill>
          </w14:textFill>
        </w:rPr>
        <w:t>。</w:t>
      </w:r>
    </w:p>
    <w:p>
      <w:pPr>
        <w:pStyle w:val="2"/>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lang w:val="en-US" w:eastAsia="zh-CN"/>
        </w:rPr>
      </w:pPr>
      <w:r>
        <w:rPr>
          <w:rFonts w:ascii="仿宋" w:hAnsi="仿宋" w:eastAsia="仿宋"/>
          <w:color w:val="000000" w:themeColor="text1"/>
          <w:kern w:val="0"/>
          <w:sz w:val="32"/>
          <w:szCs w:val="32"/>
          <w14:textFill>
            <w14:solidFill>
              <w14:schemeClr w14:val="tx1"/>
            </w14:solidFill>
          </w14:textFill>
        </w:rPr>
        <w:t>本单位20</w:t>
      </w:r>
      <w:r>
        <w:rPr>
          <w:rFonts w:hint="eastAsia" w:ascii="仿宋" w:hAnsi="仿宋" w:eastAsia="仿宋"/>
          <w:color w:val="000000" w:themeColor="text1"/>
          <w:kern w:val="0"/>
          <w:sz w:val="32"/>
          <w:szCs w:val="32"/>
          <w14:textFill>
            <w14:solidFill>
              <w14:schemeClr w14:val="tx1"/>
            </w14:solidFill>
          </w14:textFill>
        </w:rPr>
        <w:t>22</w:t>
      </w:r>
      <w:r>
        <w:rPr>
          <w:rFonts w:ascii="仿宋" w:hAnsi="仿宋" w:eastAsia="仿宋"/>
          <w:color w:val="000000" w:themeColor="text1"/>
          <w:kern w:val="0"/>
          <w:sz w:val="32"/>
          <w:szCs w:val="32"/>
          <w14:textFill>
            <w14:solidFill>
              <w14:schemeClr w14:val="tx1"/>
            </w14:solidFill>
          </w14:textFill>
        </w:rPr>
        <w:t>年预算未安排</w:t>
      </w:r>
      <w:r>
        <w:rPr>
          <w:rFonts w:hint="eastAsia" w:ascii="仿宋" w:hAnsi="仿宋" w:eastAsia="仿宋"/>
          <w:color w:val="000000" w:themeColor="text1"/>
          <w:kern w:val="0"/>
          <w:sz w:val="32"/>
          <w:szCs w:val="32"/>
          <w14:textFill>
            <w14:solidFill>
              <w14:schemeClr w14:val="tx1"/>
            </w14:solidFill>
          </w14:textFill>
        </w:rPr>
        <w:t>财政专户管理资金预算支出</w:t>
      </w:r>
      <w:r>
        <w:rPr>
          <w:rFonts w:hint="eastAsia" w:ascii="仿宋" w:hAnsi="仿宋" w:eastAsia="仿宋"/>
          <w:color w:val="000000" w:themeColor="text1"/>
          <w:kern w:val="0"/>
          <w:sz w:val="32"/>
          <w:szCs w:val="32"/>
          <w:lang w:eastAsia="zh-CN"/>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40" w:firstLineChars="200"/>
        <w:jc w:val="left"/>
        <w:textAlignment w:val="auto"/>
        <w:rPr>
          <w:rFonts w:eastAsia="仿宋_GB2312"/>
          <w:kern w:val="0"/>
          <w:sz w:val="32"/>
          <w:szCs w:val="32"/>
        </w:rPr>
      </w:pPr>
      <w:r>
        <w:rPr>
          <w:rFonts w:hint="eastAsia" w:eastAsia="仿宋_GB2312"/>
          <w:kern w:val="0"/>
          <w:sz w:val="32"/>
          <w:szCs w:val="32"/>
        </w:rPr>
        <w:t>本单位无门户网站，已在政府网统一公开。</w:t>
      </w:r>
    </w:p>
    <w:p>
      <w:pPr>
        <w:tabs>
          <w:tab w:val="left" w:pos="7560"/>
        </w:tabs>
        <w:adjustRightInd w:val="0"/>
        <w:snapToGrid w:val="0"/>
        <w:spacing w:line="560" w:lineRule="exact"/>
        <w:ind w:firstLine="640" w:firstLineChars="200"/>
        <w:rPr>
          <w:rFonts w:ascii="黑体" w:hAnsi="黑体" w:eastAsia="黑体"/>
          <w:bCs/>
          <w:sz w:val="32"/>
          <w:szCs w:val="32"/>
        </w:rPr>
      </w:pPr>
      <w:r>
        <w:rPr>
          <w:rFonts w:ascii="黑体" w:hAnsi="黑体" w:eastAsia="黑体"/>
          <w:bCs/>
          <w:sz w:val="32"/>
          <w:szCs w:val="32"/>
        </w:rPr>
        <w:t>八、名词解释</w:t>
      </w:r>
    </w:p>
    <w:p>
      <w:pPr>
        <w:tabs>
          <w:tab w:val="left" w:pos="7560"/>
        </w:tabs>
        <w:adjustRightInd w:val="0"/>
        <w:snapToGrid w:val="0"/>
        <w:spacing w:line="560" w:lineRule="exact"/>
        <w:ind w:firstLine="643" w:firstLineChars="200"/>
        <w:rPr>
          <w:rFonts w:eastAsia="仿宋_GB2312"/>
          <w:sz w:val="32"/>
          <w:szCs w:val="32"/>
        </w:rPr>
      </w:pPr>
      <w:r>
        <w:rPr>
          <w:rFonts w:hint="eastAsia" w:eastAsia="仿宋_GB2312"/>
          <w:b/>
          <w:sz w:val="32"/>
          <w:szCs w:val="32"/>
        </w:rPr>
        <w:t>（一）</w:t>
      </w:r>
      <w:r>
        <w:rPr>
          <w:rFonts w:eastAsia="仿宋_GB2312"/>
          <w:b/>
          <w:sz w:val="32"/>
          <w:szCs w:val="32"/>
        </w:rPr>
        <w:t>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rPr>
          <w:rFonts w:eastAsia="仿宋_GB2312"/>
          <w:sz w:val="32"/>
          <w:szCs w:val="32"/>
        </w:rPr>
      </w:pPr>
      <w:r>
        <w:rPr>
          <w:rFonts w:hint="eastAsia" w:eastAsia="仿宋_GB2312"/>
          <w:b/>
          <w:sz w:val="32"/>
          <w:szCs w:val="32"/>
        </w:rPr>
        <w:t>（二）</w:t>
      </w:r>
      <w:r>
        <w:rPr>
          <w:rFonts w:eastAsia="仿宋_GB2312"/>
          <w:b/>
          <w:sz w:val="32"/>
          <w:szCs w:val="32"/>
        </w:rPr>
        <w:t>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rPr>
          <w:rFonts w:eastAsia="仿宋_GB2312"/>
          <w:sz w:val="32"/>
          <w:szCs w:val="32"/>
        </w:rPr>
      </w:pPr>
      <w:r>
        <w:rPr>
          <w:rFonts w:hint="eastAsia" w:eastAsia="仿宋_GB2312"/>
          <w:b/>
          <w:sz w:val="32"/>
          <w:szCs w:val="32"/>
        </w:rPr>
        <w:t>（三）</w:t>
      </w:r>
      <w:r>
        <w:rPr>
          <w:rFonts w:eastAsia="仿宋_GB2312"/>
          <w:b/>
          <w:sz w:val="32"/>
          <w:szCs w:val="32"/>
        </w:rPr>
        <w:t xml:space="preserve">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rPr>
          <w:rFonts w:eastAsia="仿宋_GB2312"/>
          <w:sz w:val="32"/>
          <w:szCs w:val="32"/>
        </w:rPr>
      </w:pPr>
      <w:r>
        <w:rPr>
          <w:rFonts w:hint="eastAsia" w:eastAsia="仿宋_GB2312"/>
          <w:b/>
          <w:sz w:val="32"/>
          <w:szCs w:val="32"/>
        </w:rPr>
        <w:t>（四）</w:t>
      </w:r>
      <w:r>
        <w:rPr>
          <w:rFonts w:eastAsia="仿宋_GB2312"/>
          <w:b/>
          <w:sz w:val="32"/>
          <w:szCs w:val="32"/>
        </w:rPr>
        <w:t>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rPr>
          <w:rFonts w:eastAsia="仿宋_GB2312"/>
          <w:sz w:val="32"/>
          <w:szCs w:val="32"/>
        </w:rPr>
      </w:pPr>
      <w:r>
        <w:rPr>
          <w:rFonts w:hint="eastAsia" w:eastAsia="仿宋_GB2312"/>
          <w:b/>
          <w:sz w:val="32"/>
          <w:szCs w:val="32"/>
        </w:rPr>
        <w:t>（五）</w:t>
      </w:r>
      <w:r>
        <w:rPr>
          <w:rFonts w:eastAsia="仿宋_GB2312"/>
          <w:b/>
          <w:sz w:val="32"/>
          <w:szCs w:val="32"/>
        </w:rPr>
        <w:t>“三公”经费：</w:t>
      </w:r>
      <w:r>
        <w:rPr>
          <w:rFonts w:eastAsia="仿宋_GB2312"/>
          <w:sz w:val="32"/>
          <w:szCs w:val="32"/>
        </w:rPr>
        <w:t>是指商品和服务支出中的因公出国（境）费用、公务用车购置及运行维护费和公务接待费。</w:t>
      </w:r>
      <w:r>
        <w:rPr>
          <w:rFonts w:eastAsia="仿宋_GB2312"/>
          <w:sz w:val="32"/>
          <w:szCs w:val="32"/>
        </w:rPr>
        <w:br w:type="textWrapping"/>
      </w:r>
      <w:r>
        <w:rPr>
          <w:rFonts w:hint="eastAsia" w:eastAsia="仿宋_GB2312"/>
          <w:b/>
          <w:sz w:val="32"/>
          <w:szCs w:val="32"/>
        </w:rPr>
        <w:t xml:space="preserve">    （六）</w:t>
      </w:r>
      <w:r>
        <w:rPr>
          <w:rFonts w:eastAsia="仿宋_GB2312"/>
          <w:b/>
          <w:sz w:val="32"/>
          <w:szCs w:val="32"/>
        </w:rPr>
        <w:t>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ascii="仿宋" w:hAnsi="仿宋" w:eastAsia="仿宋"/>
          <w:color w:val="000000" w:themeColor="text1"/>
          <w:kern w:val="0"/>
          <w:sz w:val="32"/>
          <w:szCs w:val="32"/>
          <w14:textFill>
            <w14:solidFill>
              <w14:schemeClr w14:val="tx1"/>
            </w14:solidFill>
          </w14:textFill>
        </w:rPr>
      </w:pPr>
    </w:p>
    <w:p>
      <w:pPr>
        <w:pStyle w:val="6"/>
        <w:spacing w:line="560" w:lineRule="exact"/>
        <w:rPr>
          <w:rFonts w:ascii="仿宋" w:hAnsi="仿宋" w:eastAsia="仿宋"/>
          <w:color w:val="000000" w:themeColor="text1"/>
          <w:kern w:val="0"/>
          <w:sz w:val="32"/>
          <w:szCs w:val="32"/>
          <w14:textFill>
            <w14:solidFill>
              <w14:schemeClr w14:val="tx1"/>
            </w14:solidFill>
          </w14:textFill>
        </w:rPr>
      </w:pPr>
    </w:p>
    <w:sectPr>
      <w:headerReference r:id="rId3" w:type="default"/>
      <w:footerReference r:id="rId4" w:type="default"/>
      <w:footerReference r:id="rId5" w:type="even"/>
      <w:pgSz w:w="16838" w:h="11906" w:orient="landscape"/>
      <w:pgMar w:top="1531" w:right="2098" w:bottom="1531" w:left="1985" w:header="851" w:footer="1588"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4"/>
        <w:rFonts w:ascii="宋体"/>
        <w:sz w:val="28"/>
        <w:szCs w:val="28"/>
      </w:rPr>
    </w:pPr>
    <w:r>
      <w:rPr>
        <w:rStyle w:val="14"/>
        <w:rFonts w:hint="eastAsia" w:ascii="宋体"/>
        <w:color w:val="FFFFFF"/>
        <w:sz w:val="28"/>
        <w:szCs w:val="28"/>
      </w:rPr>
      <w:t>—</w:t>
    </w:r>
    <w:r>
      <w:rPr>
        <w:rStyle w:val="14"/>
        <w:rFonts w:hint="eastAsia" w:ascii="宋体"/>
        <w:sz w:val="28"/>
        <w:szCs w:val="28"/>
      </w:rPr>
      <w:t xml:space="preserve">— </w:t>
    </w:r>
    <w:r>
      <w:rPr>
        <w:rFonts w:hint="eastAsia" w:ascii="宋体"/>
        <w:sz w:val="28"/>
        <w:szCs w:val="28"/>
      </w:rPr>
      <w:fldChar w:fldCharType="begin"/>
    </w:r>
    <w:r>
      <w:rPr>
        <w:rStyle w:val="14"/>
        <w:rFonts w:hint="eastAsia" w:ascii="宋体"/>
        <w:sz w:val="28"/>
        <w:szCs w:val="28"/>
      </w:rPr>
      <w:instrText xml:space="preserve">PAGE  </w:instrText>
    </w:r>
    <w:r>
      <w:rPr>
        <w:rFonts w:hint="eastAsia" w:ascii="宋体"/>
        <w:sz w:val="28"/>
        <w:szCs w:val="28"/>
      </w:rPr>
      <w:fldChar w:fldCharType="separate"/>
    </w:r>
    <w:r>
      <w:rPr>
        <w:rStyle w:val="14"/>
        <w:rFonts w:ascii="宋体"/>
        <w:sz w:val="28"/>
        <w:szCs w:val="28"/>
      </w:rPr>
      <w:t>12</w:t>
    </w:r>
    <w:r>
      <w:rPr>
        <w:rFonts w:hint="eastAsia" w:ascii="宋体"/>
        <w:sz w:val="28"/>
        <w:szCs w:val="28"/>
      </w:rPr>
      <w:fldChar w:fldCharType="end"/>
    </w:r>
    <w:r>
      <w:rPr>
        <w:rStyle w:val="14"/>
        <w:rFonts w:hint="eastAsia" w:ascii="宋体"/>
        <w:sz w:val="28"/>
        <w:szCs w:val="28"/>
      </w:rPr>
      <w:t xml:space="preserve"> —</w:t>
    </w:r>
    <w:r>
      <w:rPr>
        <w:rStyle w:val="14"/>
        <w:rFonts w:hint="eastAsia" w:ascii="宋体"/>
        <w:color w:val="FFFFFF"/>
        <w:sz w:val="28"/>
        <w:szCs w:val="28"/>
      </w:rPr>
      <w:t>—</w:t>
    </w:r>
  </w:p>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4"/>
      </w:rPr>
    </w:pPr>
    <w:r>
      <w:fldChar w:fldCharType="begin"/>
    </w:r>
    <w:r>
      <w:rPr>
        <w:rStyle w:val="14"/>
      </w:rPr>
      <w:instrText xml:space="preserve">PAGE  </w:instrText>
    </w:r>
    <w:r>
      <w:fldChar w:fldCharType="end"/>
    </w:r>
  </w:p>
  <w:p>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B6401"/>
    <w:multiLevelType w:val="singleLevel"/>
    <w:tmpl w:val="289B6401"/>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597"/>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MTc4YWYxMTUzOTg0NzQ5ZWY4NmNmMmU1NzNiNTEifQ=="/>
  </w:docVars>
  <w:rsids>
    <w:rsidRoot w:val="002E2B1B"/>
    <w:rsid w:val="000070C2"/>
    <w:rsid w:val="00030000"/>
    <w:rsid w:val="0004493F"/>
    <w:rsid w:val="00066A5A"/>
    <w:rsid w:val="00071BD1"/>
    <w:rsid w:val="00086BBF"/>
    <w:rsid w:val="000874D9"/>
    <w:rsid w:val="000D06F4"/>
    <w:rsid w:val="000D45A1"/>
    <w:rsid w:val="000F174C"/>
    <w:rsid w:val="000F3574"/>
    <w:rsid w:val="00113607"/>
    <w:rsid w:val="001772EC"/>
    <w:rsid w:val="001D7326"/>
    <w:rsid w:val="001F5ACF"/>
    <w:rsid w:val="00206F1B"/>
    <w:rsid w:val="00231C79"/>
    <w:rsid w:val="002370E4"/>
    <w:rsid w:val="002466AF"/>
    <w:rsid w:val="00250E71"/>
    <w:rsid w:val="002609EA"/>
    <w:rsid w:val="00260D91"/>
    <w:rsid w:val="00265785"/>
    <w:rsid w:val="002714D1"/>
    <w:rsid w:val="002A26A6"/>
    <w:rsid w:val="002D3CE8"/>
    <w:rsid w:val="002E2B1B"/>
    <w:rsid w:val="002F31D1"/>
    <w:rsid w:val="00336CD5"/>
    <w:rsid w:val="003501B5"/>
    <w:rsid w:val="00352792"/>
    <w:rsid w:val="00373BE7"/>
    <w:rsid w:val="003A1BB9"/>
    <w:rsid w:val="00430A9C"/>
    <w:rsid w:val="00445518"/>
    <w:rsid w:val="00455020"/>
    <w:rsid w:val="0045726B"/>
    <w:rsid w:val="004670F6"/>
    <w:rsid w:val="00474F5A"/>
    <w:rsid w:val="004A19BD"/>
    <w:rsid w:val="004A42D5"/>
    <w:rsid w:val="004D786C"/>
    <w:rsid w:val="00500044"/>
    <w:rsid w:val="005039CF"/>
    <w:rsid w:val="00503F68"/>
    <w:rsid w:val="005534D4"/>
    <w:rsid w:val="005642F6"/>
    <w:rsid w:val="0057079E"/>
    <w:rsid w:val="00593EEF"/>
    <w:rsid w:val="005F5C6A"/>
    <w:rsid w:val="00607E1C"/>
    <w:rsid w:val="006169B1"/>
    <w:rsid w:val="00645B5C"/>
    <w:rsid w:val="00646FDF"/>
    <w:rsid w:val="00695D8D"/>
    <w:rsid w:val="006A6485"/>
    <w:rsid w:val="006C039F"/>
    <w:rsid w:val="006E336E"/>
    <w:rsid w:val="006E40CD"/>
    <w:rsid w:val="006E6B10"/>
    <w:rsid w:val="006F4B30"/>
    <w:rsid w:val="00705275"/>
    <w:rsid w:val="00720A77"/>
    <w:rsid w:val="00724ADC"/>
    <w:rsid w:val="00732E06"/>
    <w:rsid w:val="00753CBC"/>
    <w:rsid w:val="00767CE1"/>
    <w:rsid w:val="007C73B3"/>
    <w:rsid w:val="007D736D"/>
    <w:rsid w:val="007E32B0"/>
    <w:rsid w:val="007E4D14"/>
    <w:rsid w:val="007F1129"/>
    <w:rsid w:val="00822BB4"/>
    <w:rsid w:val="00871106"/>
    <w:rsid w:val="008B57F4"/>
    <w:rsid w:val="008C209B"/>
    <w:rsid w:val="008E4803"/>
    <w:rsid w:val="008E5844"/>
    <w:rsid w:val="008F1AAF"/>
    <w:rsid w:val="008F6F39"/>
    <w:rsid w:val="0090015B"/>
    <w:rsid w:val="009420B3"/>
    <w:rsid w:val="00964BEA"/>
    <w:rsid w:val="009B79D0"/>
    <w:rsid w:val="009C2506"/>
    <w:rsid w:val="009E3264"/>
    <w:rsid w:val="009E6D3A"/>
    <w:rsid w:val="009F6947"/>
    <w:rsid w:val="00A01ED1"/>
    <w:rsid w:val="00A46E77"/>
    <w:rsid w:val="00A60651"/>
    <w:rsid w:val="00A95F1F"/>
    <w:rsid w:val="00AA027C"/>
    <w:rsid w:val="00AD08E8"/>
    <w:rsid w:val="00AE4D18"/>
    <w:rsid w:val="00AE7532"/>
    <w:rsid w:val="00AF5641"/>
    <w:rsid w:val="00B00DF2"/>
    <w:rsid w:val="00B04332"/>
    <w:rsid w:val="00B04833"/>
    <w:rsid w:val="00B10628"/>
    <w:rsid w:val="00B23E06"/>
    <w:rsid w:val="00B52BE1"/>
    <w:rsid w:val="00BB5CCB"/>
    <w:rsid w:val="00BB5D78"/>
    <w:rsid w:val="00BE3036"/>
    <w:rsid w:val="00C16E6F"/>
    <w:rsid w:val="00C351AF"/>
    <w:rsid w:val="00C51952"/>
    <w:rsid w:val="00C759D0"/>
    <w:rsid w:val="00CA61A9"/>
    <w:rsid w:val="00CF238D"/>
    <w:rsid w:val="00D014FD"/>
    <w:rsid w:val="00D14120"/>
    <w:rsid w:val="00D2296D"/>
    <w:rsid w:val="00D22A06"/>
    <w:rsid w:val="00D22B75"/>
    <w:rsid w:val="00D558AF"/>
    <w:rsid w:val="00DA3F1E"/>
    <w:rsid w:val="00DA73AF"/>
    <w:rsid w:val="00DC3353"/>
    <w:rsid w:val="00DC3EE3"/>
    <w:rsid w:val="00DE78D0"/>
    <w:rsid w:val="00E15E55"/>
    <w:rsid w:val="00E70DF0"/>
    <w:rsid w:val="00E85D67"/>
    <w:rsid w:val="00E96C9F"/>
    <w:rsid w:val="00EA0F00"/>
    <w:rsid w:val="00EA45FE"/>
    <w:rsid w:val="00EA7A8F"/>
    <w:rsid w:val="00EB144C"/>
    <w:rsid w:val="00EC7158"/>
    <w:rsid w:val="00ED1218"/>
    <w:rsid w:val="00EF4EA5"/>
    <w:rsid w:val="00F14138"/>
    <w:rsid w:val="00F50B82"/>
    <w:rsid w:val="00F75E6A"/>
    <w:rsid w:val="00F9083D"/>
    <w:rsid w:val="00FB5286"/>
    <w:rsid w:val="01046419"/>
    <w:rsid w:val="020D6941"/>
    <w:rsid w:val="083270E4"/>
    <w:rsid w:val="08436BE5"/>
    <w:rsid w:val="0B493C69"/>
    <w:rsid w:val="0F715143"/>
    <w:rsid w:val="11C524E2"/>
    <w:rsid w:val="13947AD3"/>
    <w:rsid w:val="13EB64AC"/>
    <w:rsid w:val="158A2658"/>
    <w:rsid w:val="16B14386"/>
    <w:rsid w:val="17196482"/>
    <w:rsid w:val="17EB2346"/>
    <w:rsid w:val="1871248E"/>
    <w:rsid w:val="18C4298E"/>
    <w:rsid w:val="1AFD5B77"/>
    <w:rsid w:val="1B0E26A3"/>
    <w:rsid w:val="1C1C77F0"/>
    <w:rsid w:val="1D35335A"/>
    <w:rsid w:val="1D7F02EE"/>
    <w:rsid w:val="1D8F3C53"/>
    <w:rsid w:val="1D9B45A2"/>
    <w:rsid w:val="1E5932A8"/>
    <w:rsid w:val="215E745C"/>
    <w:rsid w:val="2165505F"/>
    <w:rsid w:val="216E3E98"/>
    <w:rsid w:val="24227894"/>
    <w:rsid w:val="24271009"/>
    <w:rsid w:val="24893EB8"/>
    <w:rsid w:val="26B755B3"/>
    <w:rsid w:val="278E08CD"/>
    <w:rsid w:val="27DE748C"/>
    <w:rsid w:val="2BA030C2"/>
    <w:rsid w:val="2BD433D6"/>
    <w:rsid w:val="30943100"/>
    <w:rsid w:val="32A9256B"/>
    <w:rsid w:val="32AE6AA0"/>
    <w:rsid w:val="3330097C"/>
    <w:rsid w:val="36952654"/>
    <w:rsid w:val="36BB1984"/>
    <w:rsid w:val="37613980"/>
    <w:rsid w:val="37DA1C37"/>
    <w:rsid w:val="38A329DB"/>
    <w:rsid w:val="39E529B5"/>
    <w:rsid w:val="3A0E1769"/>
    <w:rsid w:val="3A5510BC"/>
    <w:rsid w:val="3A55415D"/>
    <w:rsid w:val="3AC337FF"/>
    <w:rsid w:val="3AE938F4"/>
    <w:rsid w:val="3CF864FD"/>
    <w:rsid w:val="3D15548A"/>
    <w:rsid w:val="3D8232BA"/>
    <w:rsid w:val="3D823F0E"/>
    <w:rsid w:val="3E1C4D32"/>
    <w:rsid w:val="3E531251"/>
    <w:rsid w:val="40426D63"/>
    <w:rsid w:val="4060496F"/>
    <w:rsid w:val="408D6263"/>
    <w:rsid w:val="42C4798B"/>
    <w:rsid w:val="437C15E3"/>
    <w:rsid w:val="4496707C"/>
    <w:rsid w:val="47693C66"/>
    <w:rsid w:val="496C398D"/>
    <w:rsid w:val="499563C2"/>
    <w:rsid w:val="49AE6173"/>
    <w:rsid w:val="4BAD15EE"/>
    <w:rsid w:val="4C1F1C7B"/>
    <w:rsid w:val="4CF55F1E"/>
    <w:rsid w:val="4E3F2145"/>
    <w:rsid w:val="51593E0B"/>
    <w:rsid w:val="519B63B5"/>
    <w:rsid w:val="541A704A"/>
    <w:rsid w:val="54846CD3"/>
    <w:rsid w:val="58F2629D"/>
    <w:rsid w:val="5C3F77E0"/>
    <w:rsid w:val="5C4200CE"/>
    <w:rsid w:val="5C79326A"/>
    <w:rsid w:val="5DFB707D"/>
    <w:rsid w:val="612A51A9"/>
    <w:rsid w:val="62091A05"/>
    <w:rsid w:val="64A3070A"/>
    <w:rsid w:val="6704510B"/>
    <w:rsid w:val="680E1037"/>
    <w:rsid w:val="686E509F"/>
    <w:rsid w:val="691F2659"/>
    <w:rsid w:val="6AF66E49"/>
    <w:rsid w:val="6B535CA5"/>
    <w:rsid w:val="6DE273CB"/>
    <w:rsid w:val="736C35A2"/>
    <w:rsid w:val="74824FCD"/>
    <w:rsid w:val="76201AD9"/>
    <w:rsid w:val="7627167B"/>
    <w:rsid w:val="76574FDA"/>
    <w:rsid w:val="76E316D1"/>
    <w:rsid w:val="77ED6F11"/>
    <w:rsid w:val="78BC1571"/>
    <w:rsid w:val="791752BB"/>
    <w:rsid w:val="79D22B0C"/>
    <w:rsid w:val="7BD80ACC"/>
    <w:rsid w:val="7C4C19A1"/>
    <w:rsid w:val="7E69341C"/>
    <w:rsid w:val="7E975501"/>
    <w:rsid w:val="7EA91D36"/>
    <w:rsid w:val="7F9F2D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3">
    <w:name w:val="Normal Indent"/>
    <w:basedOn w:val="1"/>
    <w:qFormat/>
    <w:uiPriority w:val="0"/>
    <w:pPr>
      <w:ind w:firstLine="420"/>
    </w:pPr>
    <w:rPr>
      <w:rFonts w:ascii="Calibri" w:hAnsi="Calibri"/>
      <w:szCs w:val="20"/>
    </w:rPr>
  </w:style>
  <w:style w:type="paragraph" w:styleId="4">
    <w:name w:val="Body Text"/>
    <w:basedOn w:val="1"/>
    <w:qFormat/>
    <w:uiPriority w:val="0"/>
    <w:pPr>
      <w:spacing w:line="400" w:lineRule="atLeast"/>
    </w:pPr>
    <w:rPr>
      <w:rFonts w:ascii="楷体_GB2312" w:eastAsia="楷体_GB2312"/>
      <w:sz w:val="32"/>
    </w:rPr>
  </w:style>
  <w:style w:type="paragraph" w:styleId="5">
    <w:name w:val="Body Text Indent"/>
    <w:basedOn w:val="1"/>
    <w:qFormat/>
    <w:uiPriority w:val="0"/>
    <w:pPr>
      <w:spacing w:line="360" w:lineRule="auto"/>
      <w:ind w:firstLine="200" w:firstLineChars="200"/>
    </w:pPr>
    <w:rPr>
      <w:rFonts w:ascii="方正仿宋_GBK" w:eastAsia="方正仿宋_GBK"/>
      <w:sz w:val="30"/>
    </w:rPr>
  </w:style>
  <w:style w:type="paragraph" w:styleId="6">
    <w:name w:val="Plain Text"/>
    <w:basedOn w:val="1"/>
    <w:qFormat/>
    <w:uiPriority w:val="0"/>
    <w:rPr>
      <w:rFonts w:ascii="宋体" w:hAnsi="Courier New"/>
    </w:rPr>
  </w:style>
  <w:style w:type="paragraph" w:styleId="7">
    <w:name w:val="Date"/>
    <w:basedOn w:val="1"/>
    <w:next w:val="1"/>
    <w:link w:val="15"/>
    <w:qFormat/>
    <w:uiPriority w:val="0"/>
    <w:pPr>
      <w:ind w:left="100" w:leftChars="250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color w:val="000000"/>
      <w:kern w:val="0"/>
      <w:sz w:val="24"/>
    </w:rPr>
  </w:style>
  <w:style w:type="character" w:styleId="14">
    <w:name w:val="page number"/>
    <w:basedOn w:val="13"/>
    <w:qFormat/>
    <w:uiPriority w:val="0"/>
  </w:style>
  <w:style w:type="character" w:customStyle="1" w:styleId="15">
    <w:name w:val="日期 Char"/>
    <w:basedOn w:val="13"/>
    <w:link w:val="7"/>
    <w:qFormat/>
    <w:uiPriority w:val="0"/>
    <w:rPr>
      <w:rFonts w:eastAsia="宋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Company>
  <Pages>14</Pages>
  <Words>3803</Words>
  <Characters>4132</Characters>
  <Lines>29</Lines>
  <Paragraphs>8</Paragraphs>
  <TotalTime>122</TotalTime>
  <ScaleCrop>false</ScaleCrop>
  <LinksUpToDate>false</LinksUpToDate>
  <CharactersWithSpaces>4163</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2022-03-31T08:33:00Z</dcterms:created>
  <dc:creator>lzlyc</dc:creator>
  <cp:lastModifiedBy>洛</cp:lastModifiedBy>
  <cp:lastPrinted>2022-03-14T03:01:00Z</cp:lastPrinted>
  <dcterms:modified xsi:type="dcterms:W3CDTF">2023-09-24T08:52:50Z</dcterms:modified>
  <dc:title>此件拟比照国务院办公厅发文由省政府办公厅转发</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744910EB26F344DE838E55200615393C</vt:lpwstr>
  </property>
</Properties>
</file>