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72"/>
          <w:szCs w:val="72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</w:pPr>
      <w:r>
        <w:rPr>
          <w:rFonts w:hint="default" w:ascii="Sylfaen" w:hAnsi="Sylfaen" w:eastAsia="方正小标宋简体" w:cs="Sylfaen"/>
          <w:bCs/>
          <w:sz w:val="72"/>
          <w:szCs w:val="72"/>
        </w:rPr>
        <w:t>2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02</w:t>
      </w:r>
      <w:r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年</w:t>
      </w:r>
      <w:r>
        <w:rPr>
          <w:rFonts w:hint="eastAsia" w:ascii="华文中宋" w:hAnsi="华文中宋" w:eastAsia="华文中宋" w:cs="华文中宋"/>
          <w:bCs/>
          <w:sz w:val="72"/>
          <w:szCs w:val="72"/>
          <w:lang w:eastAsia="zh-CN"/>
        </w:rPr>
        <w:t>醴陵市</w:t>
      </w:r>
      <w:r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  <w:t>军队离休退</w:t>
      </w: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hint="eastAsia" w:ascii="华文中宋" w:hAnsi="华文中宋" w:eastAsia="华文中宋" w:cs="华文中宋"/>
          <w:bCs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  <w:lang w:val="en-US" w:eastAsia="zh-CN"/>
        </w:rPr>
        <w:t>休干部休养所</w:t>
      </w:r>
      <w:r>
        <w:rPr>
          <w:rFonts w:hint="eastAsia" w:ascii="华文中宋" w:hAnsi="华文中宋" w:eastAsia="华文中宋" w:cs="华文中宋"/>
          <w:bCs/>
          <w:sz w:val="72"/>
          <w:szCs w:val="72"/>
        </w:rPr>
        <w:t>部门预算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楷体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二十三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）一般公共预算基本支出表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hAnsi="仿宋_GB2312" w:eastAsia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  <w:r>
        <w:rPr>
          <w:rFonts w:hint="eastAsia" w:hAnsi="仿宋_GB2312" w:eastAsia="仿宋_GB2312"/>
          <w:sz w:val="32"/>
          <w:szCs w:val="32"/>
          <w:lang w:eastAsia="zh-CN"/>
        </w:rPr>
        <w:t>（本套报表金额单位转换时可能存在尾数误差）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Cs/>
          <w:sz w:val="44"/>
          <w:szCs w:val="44"/>
          <w:lang w:eastAsia="zh-CN"/>
        </w:rPr>
        <w:t>醴陵市</w:t>
      </w: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  <w:lang w:val="en-US" w:eastAsia="zh-CN"/>
        </w:rPr>
        <w:t>军队离休退休干部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  <w:lang w:val="en-US" w:eastAsia="zh-CN"/>
        </w:rPr>
        <w:t>休养所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0"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</w:t>
      </w:r>
    </w:p>
    <w:p>
      <w:pPr>
        <w:spacing w:line="560" w:lineRule="exact"/>
        <w:ind w:left="0"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负责全市军队转业干部、复员干部、离休退休干部、退役士兵和无军籍退休退职职工的移交安置工作。</w:t>
      </w:r>
    </w:p>
    <w:p>
      <w:pPr>
        <w:spacing w:line="560" w:lineRule="exact"/>
        <w:ind w:firstLine="627" w:firstLineChars="196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组织协调落实全市移交地方的离休退休军人、符合条件的其他退役军人和无军籍退休退职职工的住房保障工作，以及退役军人医疗保障、社会保险等待遇保障工作。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共有编制数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人；内设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部门3</w:t>
      </w:r>
      <w:r>
        <w:rPr>
          <w:rFonts w:hint="eastAsia" w:ascii="仿宋" w:hAnsi="仿宋" w:eastAsia="仿宋" w:cs="仿宋"/>
          <w:sz w:val="32"/>
          <w:szCs w:val="32"/>
        </w:rPr>
        <w:t>个，分别为：办公室、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财务室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接待室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60" w:lineRule="exact"/>
        <w:ind w:left="72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部门预算单位构成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纳入本部门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2022年部门预算编制范围的预算单位包括:醴陵市军队离休退休干部休养所只有本级，没有其他预算单位，因此本部门预算仅含本级预算。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年部门预算编报范围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为军队离休退休干部休养所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。收入包括一般公共预算收入；支出既包括保障单位基本运行的经费，也包括归口管理、面向全市分配的专项经费。</w:t>
      </w:r>
      <w:r>
        <w:rPr>
          <w:rFonts w:eastAsia="仿宋_GB2312"/>
          <w:sz w:val="32"/>
          <w:szCs w:val="32"/>
        </w:rPr>
        <w:t>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372.02</w:t>
      </w:r>
      <w:r>
        <w:rPr>
          <w:rFonts w:eastAsia="仿宋_GB2312"/>
          <w:sz w:val="32"/>
          <w:szCs w:val="32"/>
        </w:rPr>
        <w:t>万元，其中，一般公共预算拨</w:t>
      </w:r>
      <w:r>
        <w:rPr>
          <w:rFonts w:eastAsia="仿宋_GB2312"/>
          <w:sz w:val="32"/>
          <w:szCs w:val="32"/>
          <w:highlight w:val="none"/>
        </w:rPr>
        <w:t>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372.02</w:t>
      </w:r>
      <w:r>
        <w:rPr>
          <w:rFonts w:eastAsia="仿宋_GB2312"/>
          <w:sz w:val="32"/>
          <w:szCs w:val="32"/>
          <w:highlight w:val="none"/>
        </w:rPr>
        <w:t>万</w:t>
      </w:r>
      <w:r>
        <w:rPr>
          <w:rFonts w:eastAsia="仿宋_GB2312"/>
          <w:sz w:val="32"/>
          <w:szCs w:val="32"/>
        </w:rPr>
        <w:t>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372.02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社</w:t>
      </w:r>
      <w:r>
        <w:rPr>
          <w:rFonts w:eastAsia="仿宋_GB2312"/>
          <w:sz w:val="32"/>
          <w:szCs w:val="32"/>
        </w:rPr>
        <w:t>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367.06</w:t>
      </w:r>
      <w:r>
        <w:rPr>
          <w:rFonts w:eastAsia="仿宋_GB2312"/>
          <w:sz w:val="32"/>
          <w:szCs w:val="32"/>
        </w:rPr>
        <w:t>万元；卫生健康支出</w:t>
      </w:r>
      <w:r>
        <w:rPr>
          <w:rFonts w:hint="eastAsia" w:eastAsia="仿宋_GB2312"/>
          <w:sz w:val="32"/>
          <w:szCs w:val="32"/>
          <w:lang w:val="en-US" w:eastAsia="zh-CN"/>
        </w:rPr>
        <w:t>1.78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；住房保障支出</w:t>
      </w:r>
      <w:r>
        <w:rPr>
          <w:rFonts w:hint="eastAsia" w:eastAsia="仿宋_GB2312"/>
          <w:sz w:val="32"/>
          <w:szCs w:val="32"/>
          <w:lang w:val="en-US" w:eastAsia="zh-CN"/>
        </w:rPr>
        <w:t>3.17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56.02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14.27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1.19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6.01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3.17万元、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16.4万元</w:t>
      </w:r>
      <w:r>
        <w:rPr>
          <w:rFonts w:eastAsia="仿宋_GB2312"/>
          <w:color w:val="000000"/>
          <w:sz w:val="32"/>
          <w:szCs w:val="32"/>
        </w:rPr>
        <w:t>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316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（1）军休人员经费专项</w:t>
      </w:r>
      <w:r>
        <w:rPr>
          <w:rFonts w:hint="eastAsia" w:eastAsia="仿宋_GB2312"/>
          <w:sz w:val="32"/>
          <w:szCs w:val="32"/>
          <w:lang w:val="en-US" w:eastAsia="zh-CN"/>
        </w:rPr>
        <w:t>316</w:t>
      </w:r>
      <w:r>
        <w:rPr>
          <w:rFonts w:eastAsia="仿宋_GB2312"/>
          <w:sz w:val="32"/>
          <w:szCs w:val="32"/>
        </w:rPr>
        <w:t>万元。主要用于202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年度军休人员退休费及其他福利及开展活动费用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年度本部门年初预算数</w:t>
      </w:r>
      <w:r>
        <w:rPr>
          <w:rFonts w:hint="eastAsia" w:eastAsia="仿宋_GB2312"/>
          <w:sz w:val="32"/>
          <w:szCs w:val="32"/>
          <w:lang w:eastAsia="zh-CN"/>
        </w:rPr>
        <w:t>为</w:t>
      </w:r>
      <w:r>
        <w:rPr>
          <w:rFonts w:hint="eastAsia" w:eastAsia="仿宋_GB2312"/>
          <w:sz w:val="32"/>
          <w:szCs w:val="32"/>
          <w:lang w:val="en-US" w:eastAsia="zh-CN"/>
        </w:rPr>
        <w:t>370.02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4.66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基本支出</w:t>
      </w:r>
      <w:r>
        <w:rPr>
          <w:rFonts w:eastAsia="仿宋_GB2312"/>
          <w:color w:val="auto"/>
          <w:sz w:val="32"/>
          <w:szCs w:val="32"/>
        </w:rPr>
        <w:t>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经费中</w:t>
      </w:r>
      <w:r>
        <w:rPr>
          <w:rFonts w:eastAsia="仿宋_GB2312"/>
          <w:color w:val="auto"/>
          <w:sz w:val="32"/>
          <w:szCs w:val="32"/>
        </w:rPr>
        <w:t>增加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了预算数，项目支出增加了军休人员费用预算数。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372.02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39.62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14.27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1.19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6.01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、住房公积金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3.17万元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16.4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38" w:leftChars="304" w:firstLine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、特定目标类支出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316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638" w:leftChars="304" w:firstLine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（1）军休人员经费专项</w:t>
      </w:r>
      <w:r>
        <w:rPr>
          <w:rFonts w:hint="eastAsia" w:eastAsia="仿宋_GB2312"/>
          <w:sz w:val="32"/>
          <w:szCs w:val="32"/>
          <w:lang w:val="en-US" w:eastAsia="zh-CN"/>
        </w:rPr>
        <w:t>316</w:t>
      </w:r>
      <w:r>
        <w:rPr>
          <w:rFonts w:eastAsia="仿宋_GB2312"/>
          <w:sz w:val="32"/>
          <w:szCs w:val="32"/>
        </w:rPr>
        <w:t>万元。主要用于202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年度军休人员退休费及其他福利及开展活动费用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六、</w:t>
      </w: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年年初预算机关运行经费共安排</w:t>
      </w:r>
      <w:r>
        <w:rPr>
          <w:rFonts w:hint="eastAsia" w:eastAsia="仿宋_GB2312"/>
          <w:sz w:val="32"/>
          <w:szCs w:val="32"/>
          <w:lang w:val="en-US" w:eastAsia="zh-CN"/>
        </w:rPr>
        <w:t>16.4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比上年度预算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313.6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减少</w:t>
      </w:r>
      <w:r>
        <w:rPr>
          <w:rFonts w:eastAsia="仿宋_GB2312"/>
          <w:bCs/>
          <w:color w:val="auto"/>
          <w:sz w:val="32"/>
          <w:szCs w:val="32"/>
        </w:rPr>
        <w:t>的主要原因是：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上级补助军休机构经费实际下拨数减少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11.7</w:t>
      </w:r>
      <w:r>
        <w:rPr>
          <w:rFonts w:eastAsia="仿宋_GB2312"/>
          <w:sz w:val="32"/>
          <w:szCs w:val="32"/>
        </w:rPr>
        <w:t>万元。包含：政府采购货物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政府采购服务</w:t>
      </w:r>
      <w:r>
        <w:rPr>
          <w:rFonts w:hint="eastAsia" w:eastAsia="仿宋_GB2312"/>
          <w:sz w:val="32"/>
          <w:szCs w:val="32"/>
          <w:lang w:val="en-US" w:eastAsia="zh-CN"/>
        </w:rPr>
        <w:t>7.2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政府采购</w:t>
      </w:r>
      <w:r>
        <w:rPr>
          <w:rFonts w:hint="eastAsia" w:eastAsia="仿宋_GB2312"/>
          <w:sz w:val="32"/>
          <w:szCs w:val="32"/>
          <w:lang w:val="en-US" w:eastAsia="zh-CN"/>
        </w:rPr>
        <w:t>工程类0万元。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244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 xml:space="preserve"> 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372.02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56.02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316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0.5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  <w:lang w:val="en-US" w:eastAsia="zh-CN"/>
        </w:rPr>
        <w:t>1.3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,主要原因是减少公务出行和公务接待费用。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年预算安排会议费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年预算安排培训费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仿宋_GB2312"/>
          <w:b/>
          <w:bCs/>
          <w:sz w:val="32"/>
          <w:szCs w:val="32"/>
        </w:rPr>
      </w:pPr>
      <w:r>
        <w:rPr>
          <w:rFonts w:hAnsi="仿宋" w:eastAsia="仿宋"/>
          <w:color w:val="000000"/>
          <w:sz w:val="32"/>
          <w:szCs w:val="32"/>
        </w:rPr>
        <w:t>本单位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2</w:t>
      </w:r>
      <w:r>
        <w:rPr>
          <w:rFonts w:hAnsi="仿宋" w:eastAsia="仿宋"/>
          <w:color w:val="000000"/>
          <w:sz w:val="32"/>
          <w:szCs w:val="32"/>
        </w:rPr>
        <w:t>年预算未安排政府性基金收支预算、未安排纳入专户管理的非税收入拨款预算</w:t>
      </w:r>
      <w:r>
        <w:rPr>
          <w:rFonts w:hint="eastAsia" w:hAnsi="仿宋" w:eastAsia="仿宋"/>
          <w:color w:val="000000"/>
          <w:sz w:val="32"/>
          <w:szCs w:val="32"/>
        </w:rPr>
        <w:t>,无</w:t>
      </w:r>
      <w:r>
        <w:rPr>
          <w:rFonts w:eastAsia="仿宋_GB2312"/>
          <w:sz w:val="32"/>
          <w:szCs w:val="32"/>
        </w:rPr>
        <w:t>政府性基金收支预算</w:t>
      </w:r>
      <w:r>
        <w:rPr>
          <w:rFonts w:hint="eastAsia" w:eastAsia="仿宋_GB2312"/>
          <w:sz w:val="32"/>
          <w:szCs w:val="32"/>
        </w:rPr>
        <w:t>、国有资本经营收支预算、财政专户管理资金收支预算</w:t>
      </w:r>
      <w:r>
        <w:rPr>
          <w:rFonts w:hint="eastAsia" w:eastAsia="仿宋"/>
          <w:color w:val="000000"/>
          <w:sz w:val="32"/>
          <w:szCs w:val="32"/>
        </w:rPr>
        <w:t>。</w:t>
      </w:r>
      <w:r>
        <w:rPr>
          <w:rFonts w:hint="eastAsia" w:eastAsia="仿宋"/>
          <w:color w:val="000000"/>
          <w:sz w:val="32"/>
          <w:szCs w:val="32"/>
          <w:lang w:eastAsia="zh-CN"/>
        </w:rPr>
        <w:t>本</w:t>
      </w:r>
      <w:r>
        <w:rPr>
          <w:rFonts w:hint="eastAsia" w:hAnsi="仿宋" w:eastAsia="仿宋"/>
          <w:color w:val="000000"/>
          <w:sz w:val="32"/>
          <w:szCs w:val="32"/>
        </w:rPr>
        <w:t>单位无门户网站，统一在政府门户网站上公开。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left="0"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  <w:rFonts w:hint="eastAsia" w:ascii="宋体"/>
        <w:sz w:val="28"/>
        <w:szCs w:val="28"/>
      </w:rPr>
    </w:pPr>
    <w:r>
      <w:rPr>
        <w:rStyle w:val="16"/>
        <w:rFonts w:hint="eastAsia" w:ascii="宋体"/>
        <w:color w:val="FFFFFF"/>
        <w:sz w:val="28"/>
        <w:szCs w:val="28"/>
      </w:rPr>
      <w:t>—</w:t>
    </w:r>
    <w:r>
      <w:rPr>
        <w:rStyle w:val="16"/>
        <w:rFonts w:hint="eastAsia" w:ascii="宋体"/>
        <w:sz w:val="28"/>
        <w:szCs w:val="28"/>
      </w:rPr>
      <w:t xml:space="preserve">— </w:t>
    </w:r>
    <w:r>
      <w:rPr>
        <w:rStyle w:val="16"/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  <w:r>
      <w:rPr>
        <w:rStyle w:val="16"/>
        <w:rFonts w:hint="eastAsia" w:ascii="宋体"/>
        <w:color w:val="FFFFFF"/>
        <w:sz w:val="28"/>
        <w:szCs w:val="28"/>
      </w:rPr>
      <w:t>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A5CA5"/>
    <w:multiLevelType w:val="singleLevel"/>
    <w:tmpl w:val="E2FA5CA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F0AF489E"/>
    <w:multiLevelType w:val="singleLevel"/>
    <w:tmpl w:val="F0AF489E"/>
    <w:lvl w:ilvl="0" w:tentative="0">
      <w:start w:val="3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2">
    <w:nsid w:val="1D57D0F7"/>
    <w:multiLevelType w:val="singleLevel"/>
    <w:tmpl w:val="1D57D0F7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TQyMTc4YWYxMTUzOTg0NzQ5ZWY4NmNmMmU1NzNiNTEifQ=="/>
  </w:docVars>
  <w:rsids>
    <w:rsidRoot w:val="00000000"/>
    <w:rsid w:val="083C3D2C"/>
    <w:rsid w:val="18295846"/>
    <w:rsid w:val="1C8331CF"/>
    <w:rsid w:val="1E0839A8"/>
    <w:rsid w:val="23227EA0"/>
    <w:rsid w:val="2B885AA8"/>
    <w:rsid w:val="2F926E8E"/>
    <w:rsid w:val="36392E40"/>
    <w:rsid w:val="4D377D50"/>
    <w:rsid w:val="5F555510"/>
    <w:rsid w:val="6C981E5B"/>
    <w:rsid w:val="764F753B"/>
    <w:rsid w:val="7A282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  <w:rPr>
      <w:rFonts w:ascii="Calibri" w:hAnsi="Calibri"/>
      <w:szCs w:val="20"/>
    </w:rPr>
  </w:style>
  <w:style w:type="paragraph" w:styleId="6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7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Date"/>
    <w:basedOn w:val="1"/>
    <w:next w:val="1"/>
    <w:qFormat/>
    <w:uiPriority w:val="0"/>
    <w:pPr>
      <w:ind w:left="25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6">
    <w:name w:val="page number"/>
    <w:basedOn w:val="1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9</Pages>
  <Words>2826</Words>
  <Characters>3052</Characters>
  <Lines>0</Lines>
  <Paragraphs>114</Paragraphs>
  <TotalTime>5</TotalTime>
  <ScaleCrop>false</ScaleCrop>
  <LinksUpToDate>false</LinksUpToDate>
  <CharactersWithSpaces>3066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洛</cp:lastModifiedBy>
  <cp:lastPrinted>2023-02-06T09:18:00Z</cp:lastPrinted>
  <dcterms:modified xsi:type="dcterms:W3CDTF">2023-09-24T07:47:43Z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F8CA2D43E5874203A0EEA0EE091F74BE</vt:lpwstr>
  </property>
</Properties>
</file>