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left" w:pos="7560"/>
        </w:tabs>
        <w:spacing w:line="560" w:lineRule="exact"/>
        <w:jc w:val="center"/>
        <w:rPr>
          <w:rFonts w:eastAsia="方正小标宋简体"/>
          <w:bCs/>
          <w:sz w:val="44"/>
          <w:szCs w:val="44"/>
        </w:rPr>
      </w:pPr>
    </w:p>
    <w:p>
      <w:pPr>
        <w:pStyle w:val="37"/>
        <w:tabs>
          <w:tab w:val="left" w:pos="7560"/>
        </w:tabs>
        <w:spacing w:line="560" w:lineRule="exact"/>
        <w:jc w:val="center"/>
        <w:rPr>
          <w:rFonts w:eastAsia="方正小标宋简体"/>
          <w:bCs/>
          <w:sz w:val="44"/>
          <w:szCs w:val="44"/>
        </w:rPr>
      </w:pPr>
    </w:p>
    <w:p>
      <w:pPr>
        <w:pStyle w:val="37"/>
        <w:tabs>
          <w:tab w:val="left" w:pos="7560"/>
        </w:tabs>
        <w:spacing w:line="560" w:lineRule="exact"/>
        <w:jc w:val="center"/>
        <w:rPr>
          <w:rFonts w:eastAsia="方正小标宋简体"/>
          <w:bCs/>
          <w:sz w:val="44"/>
          <w:szCs w:val="44"/>
        </w:rPr>
      </w:pPr>
    </w:p>
    <w:p>
      <w:pPr>
        <w:pStyle w:val="37"/>
        <w:tabs>
          <w:tab w:val="left" w:pos="7560"/>
        </w:tabs>
        <w:spacing w:line="560" w:lineRule="exact"/>
        <w:jc w:val="center"/>
        <w:rPr>
          <w:rFonts w:hint="eastAsia" w:ascii="华文中宋" w:hAnsi="华文中宋" w:eastAsia="华文中宋" w:cs="华文中宋"/>
          <w:bCs/>
          <w:sz w:val="72"/>
          <w:szCs w:val="72"/>
        </w:rPr>
      </w:pPr>
    </w:p>
    <w:p>
      <w:pPr>
        <w:pStyle w:val="37"/>
        <w:tabs>
          <w:tab w:val="left" w:pos="7560"/>
        </w:tabs>
        <w:jc w:val="center"/>
        <w:rPr>
          <w:rFonts w:hint="eastAsia" w:ascii="华文中宋" w:hAnsi="华文中宋" w:eastAsia="华文中宋" w:cs="华文中宋"/>
          <w:bCs/>
          <w:sz w:val="72"/>
          <w:szCs w:val="72"/>
        </w:rPr>
      </w:pPr>
      <w:r>
        <w:rPr>
          <w:rFonts w:hint="eastAsia" w:ascii="华文中宋" w:hAnsi="华文中宋" w:eastAsia="华文中宋" w:cs="华文中宋"/>
          <w:bCs/>
          <w:sz w:val="72"/>
          <w:szCs w:val="72"/>
        </w:rPr>
        <w:t>2022年醴陵市疾病预防控制中心部门预算</w:t>
      </w:r>
    </w:p>
    <w:p>
      <w:pPr>
        <w:pStyle w:val="37"/>
        <w:tabs>
          <w:tab w:val="left" w:pos="7560"/>
        </w:tabs>
        <w:spacing w:line="560" w:lineRule="exact"/>
        <w:jc w:val="center"/>
        <w:rPr>
          <w:rFonts w:eastAsia="楷体_GB2312"/>
          <w:bCs/>
          <w:sz w:val="32"/>
          <w:szCs w:val="32"/>
        </w:rPr>
      </w:pPr>
    </w:p>
    <w:p>
      <w:pPr>
        <w:pStyle w:val="37"/>
        <w:tabs>
          <w:tab w:val="left" w:pos="7560"/>
        </w:tabs>
        <w:spacing w:line="560" w:lineRule="exact"/>
        <w:jc w:val="left"/>
        <w:rPr>
          <w:rFonts w:eastAsia="仿宋_GB2312"/>
          <w:bCs/>
          <w:sz w:val="32"/>
          <w:szCs w:val="32"/>
        </w:rPr>
      </w:pPr>
    </w:p>
    <w:p>
      <w:pPr>
        <w:pStyle w:val="37"/>
        <w:tabs>
          <w:tab w:val="left" w:pos="7560"/>
        </w:tabs>
        <w:spacing w:line="560" w:lineRule="exact"/>
        <w:jc w:val="left"/>
        <w:rPr>
          <w:rFonts w:eastAsia="仿宋_GB2312"/>
          <w:bCs/>
          <w:sz w:val="32"/>
          <w:szCs w:val="32"/>
        </w:rPr>
      </w:pPr>
    </w:p>
    <w:p>
      <w:pPr>
        <w:pStyle w:val="37"/>
        <w:tabs>
          <w:tab w:val="left" w:pos="7560"/>
        </w:tabs>
        <w:spacing w:line="560" w:lineRule="exact"/>
        <w:jc w:val="left"/>
        <w:rPr>
          <w:rFonts w:eastAsia="仿宋_GB2312"/>
          <w:bCs/>
          <w:sz w:val="32"/>
          <w:szCs w:val="32"/>
        </w:rPr>
      </w:pPr>
    </w:p>
    <w:p>
      <w:pPr>
        <w:pStyle w:val="37"/>
        <w:tabs>
          <w:tab w:val="left" w:pos="7560"/>
        </w:tabs>
        <w:spacing w:line="560" w:lineRule="exact"/>
        <w:jc w:val="left"/>
        <w:rPr>
          <w:rFonts w:eastAsia="仿宋_GB2312"/>
          <w:bCs/>
          <w:sz w:val="32"/>
          <w:szCs w:val="32"/>
        </w:rPr>
      </w:pPr>
    </w:p>
    <w:p>
      <w:pPr>
        <w:pStyle w:val="37"/>
        <w:tabs>
          <w:tab w:val="left" w:pos="7560"/>
        </w:tabs>
        <w:spacing w:line="560" w:lineRule="exact"/>
        <w:jc w:val="left"/>
        <w:rPr>
          <w:rFonts w:eastAsia="仿宋_GB2312"/>
          <w:bCs/>
          <w:sz w:val="32"/>
          <w:szCs w:val="32"/>
        </w:rPr>
      </w:pPr>
    </w:p>
    <w:p>
      <w:pPr>
        <w:pStyle w:val="37"/>
        <w:tabs>
          <w:tab w:val="left" w:pos="7560"/>
        </w:tabs>
        <w:spacing w:line="560" w:lineRule="exact"/>
        <w:jc w:val="left"/>
        <w:rPr>
          <w:rFonts w:eastAsia="仿宋_GB2312"/>
          <w:bCs/>
          <w:sz w:val="32"/>
          <w:szCs w:val="32"/>
        </w:rPr>
      </w:pPr>
    </w:p>
    <w:p>
      <w:pPr>
        <w:pStyle w:val="37"/>
        <w:tabs>
          <w:tab w:val="left" w:pos="7560"/>
        </w:tabs>
        <w:spacing w:line="560" w:lineRule="exact"/>
        <w:jc w:val="left"/>
        <w:rPr>
          <w:rFonts w:eastAsia="仿宋_GB2312"/>
          <w:bCs/>
          <w:sz w:val="32"/>
          <w:szCs w:val="32"/>
        </w:rPr>
      </w:pPr>
    </w:p>
    <w:p>
      <w:pPr>
        <w:pStyle w:val="37"/>
        <w:tabs>
          <w:tab w:val="left" w:pos="7560"/>
        </w:tabs>
        <w:spacing w:line="560" w:lineRule="exact"/>
        <w:ind w:firstLine="5280" w:firstLineChars="1650"/>
        <w:rPr>
          <w:rFonts w:hAnsi="黑体" w:eastAsia="黑体"/>
          <w:bCs/>
          <w:sz w:val="32"/>
          <w:szCs w:val="32"/>
        </w:rPr>
      </w:pPr>
    </w:p>
    <w:p>
      <w:pPr>
        <w:pStyle w:val="37"/>
        <w:tabs>
          <w:tab w:val="left" w:pos="7560"/>
        </w:tabs>
        <w:spacing w:line="560" w:lineRule="exact"/>
        <w:ind w:firstLine="5280" w:firstLineChars="1650"/>
        <w:rPr>
          <w:rFonts w:hAnsi="黑体" w:eastAsia="黑体"/>
          <w:bCs/>
          <w:sz w:val="32"/>
          <w:szCs w:val="32"/>
        </w:rPr>
      </w:pPr>
    </w:p>
    <w:p>
      <w:pPr>
        <w:pStyle w:val="37"/>
        <w:tabs>
          <w:tab w:val="left" w:pos="7560"/>
        </w:tabs>
        <w:spacing w:line="560" w:lineRule="exact"/>
        <w:ind w:firstLine="5280" w:firstLineChars="1650"/>
        <w:rPr>
          <w:rFonts w:hAnsi="黑体" w:eastAsia="黑体"/>
          <w:bCs/>
          <w:sz w:val="32"/>
          <w:szCs w:val="32"/>
        </w:rPr>
      </w:pPr>
    </w:p>
    <w:p>
      <w:pPr>
        <w:pStyle w:val="37"/>
        <w:tabs>
          <w:tab w:val="left" w:pos="7560"/>
        </w:tabs>
        <w:spacing w:line="560" w:lineRule="exact"/>
        <w:ind w:firstLine="5280" w:firstLineChars="1650"/>
        <w:rPr>
          <w:rFonts w:hAnsi="黑体" w:eastAsia="黑体"/>
          <w:bCs/>
          <w:sz w:val="32"/>
          <w:szCs w:val="32"/>
        </w:rPr>
      </w:pPr>
    </w:p>
    <w:p>
      <w:pPr>
        <w:pStyle w:val="37"/>
        <w:tabs>
          <w:tab w:val="left" w:pos="7560"/>
        </w:tabs>
        <w:spacing w:line="560" w:lineRule="exact"/>
        <w:ind w:firstLine="5280" w:firstLineChars="1650"/>
        <w:rPr>
          <w:rFonts w:hAnsi="黑体" w:eastAsia="黑体"/>
          <w:bCs/>
          <w:sz w:val="32"/>
          <w:szCs w:val="32"/>
        </w:rPr>
      </w:pPr>
    </w:p>
    <w:p>
      <w:pPr>
        <w:pStyle w:val="37"/>
        <w:tabs>
          <w:tab w:val="left" w:pos="7560"/>
        </w:tabs>
        <w:spacing w:line="560" w:lineRule="exact"/>
        <w:ind w:firstLine="5280" w:firstLineChars="1650"/>
        <w:rPr>
          <w:rFonts w:hAnsi="黑体" w:eastAsia="黑体"/>
          <w:bCs/>
          <w:sz w:val="32"/>
          <w:szCs w:val="32"/>
        </w:rPr>
      </w:pPr>
    </w:p>
    <w:p>
      <w:pPr>
        <w:pStyle w:val="37"/>
        <w:tabs>
          <w:tab w:val="left" w:pos="7560"/>
        </w:tabs>
        <w:spacing w:line="560" w:lineRule="exact"/>
        <w:jc w:val="center"/>
        <w:rPr>
          <w:rFonts w:eastAsia="黑体"/>
          <w:bCs/>
          <w:sz w:val="32"/>
          <w:szCs w:val="32"/>
        </w:rPr>
      </w:pPr>
      <w:r>
        <w:rPr>
          <w:rFonts w:hAnsi="黑体" w:eastAsia="黑体"/>
          <w:bCs/>
          <w:sz w:val="32"/>
          <w:szCs w:val="32"/>
        </w:rPr>
        <w:t>目</w:t>
      </w:r>
      <w:r>
        <w:rPr>
          <w:rFonts w:eastAsia="黑体"/>
          <w:bCs/>
          <w:sz w:val="32"/>
          <w:szCs w:val="32"/>
        </w:rPr>
        <w:t xml:space="preserve">  </w:t>
      </w:r>
      <w:r>
        <w:rPr>
          <w:rFonts w:hAnsi="黑体" w:eastAsia="黑体"/>
          <w:bCs/>
          <w:sz w:val="32"/>
          <w:szCs w:val="32"/>
        </w:rPr>
        <w:t>录</w:t>
      </w:r>
    </w:p>
    <w:p>
      <w:pPr>
        <w:pStyle w:val="37"/>
        <w:tabs>
          <w:tab w:val="left" w:pos="7560"/>
        </w:tabs>
        <w:spacing w:line="560" w:lineRule="exact"/>
        <w:ind w:firstLine="643"/>
        <w:rPr>
          <w:rFonts w:eastAsia="仿宋_GB2312"/>
          <w:sz w:val="32"/>
          <w:szCs w:val="32"/>
        </w:rPr>
      </w:pPr>
      <w:r>
        <w:rPr>
          <w:rFonts w:hAnsi="仿宋_GB2312" w:eastAsia="仿宋_GB2312"/>
          <w:b/>
          <w:bCs/>
          <w:sz w:val="32"/>
          <w:szCs w:val="32"/>
        </w:rPr>
        <w:t>第一部分</w:t>
      </w:r>
      <w:r>
        <w:rPr>
          <w:rFonts w:eastAsia="仿宋_GB2312"/>
          <w:b/>
          <w:bCs/>
          <w:sz w:val="32"/>
          <w:szCs w:val="32"/>
        </w:rPr>
        <w:t xml:space="preserve"> </w:t>
      </w:r>
      <w:r>
        <w:rPr>
          <w:rFonts w:hAnsi="仿宋_GB2312" w:eastAsia="仿宋_GB2312"/>
          <w:b/>
          <w:bCs/>
          <w:sz w:val="32"/>
          <w:szCs w:val="32"/>
        </w:rPr>
        <w:t>部门预算公开说明</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一、部门职能职责（仿宋，三号）</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二、机构设置</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三、部门预算单位构成</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四、部门收支总体情况</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（一）收入预算</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（二）支出预算</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（三）预算收支增减变化情况说明</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五、一般公共预算拨款支出预算</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（一）人员类支出</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hAnsi="仿宋_GB2312" w:eastAsia="仿宋_GB2312"/>
          <w:sz w:val="32"/>
          <w:szCs w:val="32"/>
        </w:rPr>
      </w:pPr>
      <w:r>
        <w:rPr>
          <w:rFonts w:hAnsi="仿宋_GB2312" w:eastAsia="仿宋_GB2312"/>
          <w:sz w:val="32"/>
          <w:szCs w:val="32"/>
        </w:rPr>
        <w:t>（二）运转类支出</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（三）特定目标类支出</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六、政府性基金预算支出</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七、其他重要事项情况说明</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（一）机关运行经费</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（二）政府采购预算</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（三）国有资产占有情况</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（四）预算绩效目标</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（五）一般公共预算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（六）会议费、培训费</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（七）其他事项</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hAnsi="仿宋_GB2312" w:eastAsia="仿宋_GB2312"/>
          <w:sz w:val="32"/>
          <w:szCs w:val="32"/>
        </w:rPr>
        <w:t>八、名词解释</w:t>
      </w:r>
    </w:p>
    <w:p>
      <w:pPr>
        <w:pStyle w:val="37"/>
        <w:keepNext w:val="0"/>
        <w:keepLines w:val="0"/>
        <w:pageBreakBefore w:val="0"/>
        <w:widowControl w:val="0"/>
        <w:tabs>
          <w:tab w:val="left" w:pos="7560"/>
        </w:tabs>
        <w:kinsoku/>
        <w:wordWrap/>
        <w:overflowPunct/>
        <w:topLinePunct w:val="0"/>
        <w:autoSpaceDE/>
        <w:autoSpaceDN/>
        <w:bidi w:val="0"/>
        <w:adjustRightInd/>
        <w:snapToGrid/>
        <w:spacing w:line="440" w:lineRule="exact"/>
        <w:ind w:firstLine="643"/>
        <w:textAlignment w:val="auto"/>
        <w:rPr>
          <w:rFonts w:eastAsia="仿宋_GB2312"/>
          <w:b/>
          <w:bCs/>
          <w:sz w:val="32"/>
          <w:szCs w:val="32"/>
        </w:rPr>
      </w:pPr>
      <w:r>
        <w:rPr>
          <w:rFonts w:hAnsi="仿宋_GB2312" w:eastAsia="仿宋_GB2312"/>
          <w:b/>
          <w:bCs/>
          <w:sz w:val="32"/>
          <w:szCs w:val="32"/>
        </w:rPr>
        <w:t>第二部分</w:t>
      </w:r>
      <w:r>
        <w:rPr>
          <w:rFonts w:eastAsia="仿宋_GB2312"/>
          <w:b/>
          <w:bCs/>
          <w:sz w:val="32"/>
          <w:szCs w:val="32"/>
        </w:rPr>
        <w:t xml:space="preserve"> </w:t>
      </w:r>
      <w:r>
        <w:rPr>
          <w:rFonts w:hAnsi="仿宋_GB2312" w:eastAsia="仿宋_GB2312"/>
          <w:b/>
          <w:bCs/>
          <w:sz w:val="32"/>
          <w:szCs w:val="32"/>
        </w:rPr>
        <w:t>部门预算公开表格</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（一）收支总表</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（二）收入总表</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（三）支出总表</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（四）支出分类(政府预算)</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（五）支出分类（部门预算）</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（六）财政拨款收支总表</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（七）一般公共预算支出表</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（八）一般公共预算基本支出表--人员经费(工资福利支出)(按政府预算经济分类)</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（九）一般公共预算基本支出表--人员经费(工资福利支出)(按部门预算经济分类)</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（十）一般公共预算基本支出表--人员经费(对个人和家庭的补助)(按政府预算经济分类)</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（十一）一般公共预算基本支出表--人员经费(对个人和家庭的补助)（按部门预算经济分类）</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（十二）一般公共预算基本支出表--公用经费(商品和服务支出)（按政府预算经济分类）</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（十三）一般公共预算基本支出表--公用经费(商品和服务支出)(按部门预算经济分类)</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（十四）一般公共预算“三公”经费支出表</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（十五）政府性基金预算支出表</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（十六）政府性基金预算支出分类汇总表（按政府预算经济分类）</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（十七）政府性基金预算支出分类汇总表（按部门预算经济分类）</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（十八）国有资本经营预算支出表</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（十九）财政专户管理资金预算支出表</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（二十）专项资金预算汇总表</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（二十一）项目支出绩效目标表</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r>
        <w:rPr>
          <w:rFonts w:ascii="仿宋_GB2312" w:eastAsia="仿宋_GB2312"/>
          <w:sz w:val="32"/>
          <w:szCs w:val="32"/>
        </w:rPr>
        <w:t>（二十二）整体支出绩效目标表</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二十三</w:t>
      </w:r>
      <w:r>
        <w:rPr>
          <w:rFonts w:hint="eastAsia" w:ascii="仿宋_GB2312" w:eastAsia="仿宋_GB2312"/>
          <w:sz w:val="32"/>
          <w:szCs w:val="32"/>
          <w:lang w:eastAsia="zh-CN"/>
        </w:rPr>
        <w:t>）一般公共预算基本支出表</w:t>
      </w:r>
    </w:p>
    <w:p>
      <w:pPr>
        <w:pStyle w:val="47"/>
        <w:keepNext w:val="0"/>
        <w:keepLines w:val="0"/>
        <w:pageBreakBefore w:val="0"/>
        <w:widowControl w:val="0"/>
        <w:kinsoku/>
        <w:wordWrap/>
        <w:overflowPunct/>
        <w:topLinePunct w:val="0"/>
        <w:autoSpaceDE/>
        <w:autoSpaceDN/>
        <w:bidi w:val="0"/>
        <w:adjustRightInd/>
        <w:snapToGrid/>
        <w:spacing w:line="440" w:lineRule="exact"/>
        <w:textAlignment w:val="auto"/>
        <w:rPr>
          <w:rFonts w:eastAsia="黑体"/>
          <w:sz w:val="32"/>
          <w:szCs w:val="32"/>
        </w:rPr>
      </w:pPr>
      <w:r>
        <w:rPr>
          <w:rFonts w:hint="eastAsia" w:ascii="仿宋_GB2312" w:eastAsia="仿宋_GB2312"/>
          <w:sz w:val="32"/>
          <w:szCs w:val="32"/>
          <w:lang w:eastAsia="zh-CN"/>
        </w:rPr>
        <w:t>（本套报表金额单位转换时可能存在尾数误差）</w:t>
      </w:r>
      <w:bookmarkStart w:id="0" w:name="_GoBack"/>
      <w:bookmarkEnd w:id="0"/>
    </w:p>
    <w:p>
      <w:pPr>
        <w:pStyle w:val="37"/>
        <w:tabs>
          <w:tab w:val="left" w:pos="7560"/>
        </w:tabs>
        <w:spacing w:line="560" w:lineRule="exact"/>
        <w:ind w:firstLine="640"/>
        <w:rPr>
          <w:rFonts w:eastAsia="黑体"/>
          <w:sz w:val="32"/>
          <w:szCs w:val="32"/>
        </w:rPr>
      </w:pPr>
      <w:r>
        <w:rPr>
          <w:rFonts w:hAnsi="黑体" w:eastAsia="黑体"/>
          <w:sz w:val="32"/>
          <w:szCs w:val="32"/>
        </w:rPr>
        <w:t>第一部分：</w:t>
      </w:r>
    </w:p>
    <w:p>
      <w:pPr>
        <w:pStyle w:val="37"/>
        <w:tabs>
          <w:tab w:val="left" w:pos="7560"/>
        </w:tabs>
        <w:spacing w:line="560" w:lineRule="exact"/>
        <w:rPr>
          <w:rFonts w:eastAsia="方正小标宋简体"/>
          <w:bCs/>
          <w:sz w:val="44"/>
          <w:szCs w:val="44"/>
        </w:rPr>
      </w:pPr>
    </w:p>
    <w:p>
      <w:pPr>
        <w:pStyle w:val="37"/>
        <w:tabs>
          <w:tab w:val="left" w:pos="7560"/>
        </w:tabs>
        <w:spacing w:line="560" w:lineRule="exact"/>
        <w:ind w:firstLine="880"/>
        <w:jc w:val="center"/>
        <w:rPr>
          <w:rFonts w:hint="eastAsia" w:ascii="华文中宋" w:hAnsi="华文中宋" w:eastAsia="华文中宋" w:cs="华文中宋"/>
          <w:sz w:val="44"/>
          <w:szCs w:val="44"/>
        </w:rPr>
      </w:pPr>
      <w:r>
        <w:rPr>
          <w:rFonts w:hint="eastAsia" w:ascii="华文中宋" w:hAnsi="华文中宋" w:eastAsia="华文中宋" w:cs="华文中宋"/>
          <w:bCs/>
          <w:color w:val="000000"/>
          <w:sz w:val="44"/>
          <w:szCs w:val="44"/>
        </w:rPr>
        <w:t>醴陵市</w:t>
      </w:r>
      <w:r>
        <w:rPr>
          <w:rFonts w:hint="eastAsia" w:ascii="华文中宋" w:hAnsi="华文中宋" w:eastAsia="华文中宋" w:cs="华文中宋"/>
          <w:bCs/>
          <w:color w:val="000000"/>
          <w:sz w:val="44"/>
          <w:szCs w:val="44"/>
          <w:lang w:eastAsia="zh-CN"/>
        </w:rPr>
        <w:t>疾病预防控制中心</w:t>
      </w:r>
      <w:r>
        <w:rPr>
          <w:rFonts w:hint="eastAsia" w:ascii="华文中宋" w:hAnsi="华文中宋" w:eastAsia="华文中宋" w:cs="华文中宋"/>
          <w:bCs/>
          <w:sz w:val="44"/>
          <w:szCs w:val="44"/>
        </w:rPr>
        <w:t>2022年部门预算说明</w:t>
      </w:r>
    </w:p>
    <w:p>
      <w:pPr>
        <w:pStyle w:val="37"/>
        <w:tabs>
          <w:tab w:val="left" w:pos="7560"/>
        </w:tabs>
        <w:spacing w:line="560" w:lineRule="exact"/>
        <w:ind w:firstLine="640"/>
        <w:rPr>
          <w:rFonts w:eastAsia="黑体"/>
          <w:sz w:val="32"/>
          <w:szCs w:val="32"/>
        </w:rPr>
      </w:pP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keepNext w:val="0"/>
        <w:keepLines w:val="0"/>
        <w:pageBreakBefore w:val="0"/>
        <w:tabs>
          <w:tab w:val="left" w:pos="7560"/>
        </w:tabs>
        <w:kinsoku/>
        <w:wordWrap/>
        <w:overflowPunct/>
        <w:topLinePunct w:val="0"/>
        <w:autoSpaceDE/>
        <w:autoSpaceDN/>
        <w:bidi w:val="0"/>
        <w:adjustRightInd/>
        <w:snapToGrid/>
        <w:spacing w:line="560" w:lineRule="exact"/>
        <w:ind w:firstLine="640"/>
        <w:jc w:val="left"/>
        <w:textAlignment w:val="auto"/>
        <w:rPr>
          <w:rFonts w:eastAsia="仿宋_GB2312"/>
        </w:rPr>
      </w:pPr>
      <w:r>
        <w:rPr>
          <w:rFonts w:eastAsia="仿宋_GB2312"/>
          <w:sz w:val="32"/>
          <w:szCs w:val="32"/>
          <w:lang w:eastAsia="zh-CN"/>
        </w:rPr>
        <w:t>醴陵市</w:t>
      </w:r>
      <w:r>
        <w:rPr>
          <w:rFonts w:eastAsia="仿宋_GB2312"/>
          <w:sz w:val="32"/>
          <w:szCs w:val="32"/>
        </w:rPr>
        <w:t>疾病预防控制中心主要职责是肩负着全市疾病预防控制，突发公共卫生事件应急处置，疫情报告及健康相关信息报告管理，健康教育与健康促进，健康危害因素监测与干预，实验室检测分析与评价，技术指导与应用研究等。</w:t>
      </w:r>
    </w:p>
    <w:p>
      <w:pPr>
        <w:keepNext w:val="0"/>
        <w:keepLines w:val="0"/>
        <w:pageBreakBefore w:val="0"/>
        <w:tabs>
          <w:tab w:val="left" w:pos="7560"/>
        </w:tabs>
        <w:kinsoku/>
        <w:wordWrap/>
        <w:overflowPunct/>
        <w:topLinePunct w:val="0"/>
        <w:autoSpaceDE/>
        <w:autoSpaceDN/>
        <w:bidi w:val="0"/>
        <w:adjustRightInd/>
        <w:snapToGrid/>
        <w:spacing w:after="0" w:line="560" w:lineRule="exact"/>
        <w:ind w:firstLine="640"/>
        <w:jc w:val="left"/>
        <w:textAlignment w:val="auto"/>
        <w:rPr>
          <w:rFonts w:hAnsi="黑体" w:eastAsia="黑体"/>
          <w:color w:val="000000"/>
        </w:rPr>
      </w:pPr>
      <w:r>
        <w:rPr>
          <w:rFonts w:hAnsi="黑体" w:eastAsia="黑体"/>
          <w:color w:val="000000"/>
          <w:sz w:val="32"/>
          <w:szCs w:val="32"/>
        </w:rPr>
        <w:t>二、机构设置</w:t>
      </w:r>
    </w:p>
    <w:p>
      <w:pPr>
        <w:keepNext w:val="0"/>
        <w:keepLines w:val="0"/>
        <w:pageBreakBefore w:val="0"/>
        <w:tabs>
          <w:tab w:val="left" w:pos="7560"/>
        </w:tabs>
        <w:kinsoku/>
        <w:wordWrap/>
        <w:overflowPunct/>
        <w:topLinePunct w:val="0"/>
        <w:autoSpaceDE/>
        <w:autoSpaceDN/>
        <w:bidi w:val="0"/>
        <w:adjustRightInd/>
        <w:snapToGrid/>
        <w:spacing w:line="560" w:lineRule="exact"/>
        <w:ind w:firstLine="640"/>
        <w:jc w:val="left"/>
        <w:textAlignment w:val="auto"/>
        <w:rPr>
          <w:rFonts w:eastAsia="仿宋_GB2312"/>
          <w:sz w:val="32"/>
          <w:szCs w:val="32"/>
        </w:rPr>
      </w:pPr>
      <w:r>
        <w:rPr>
          <w:rFonts w:eastAsia="仿宋_GB2312"/>
          <w:sz w:val="32"/>
          <w:szCs w:val="32"/>
          <w:lang w:eastAsia="zh-CN"/>
        </w:rPr>
        <w:t>醴陵</w:t>
      </w:r>
      <w:r>
        <w:rPr>
          <w:rFonts w:eastAsia="仿宋_GB2312"/>
          <w:sz w:val="32"/>
          <w:szCs w:val="32"/>
        </w:rPr>
        <w:t>市疾病预防控制中心是全额拨款的事业单位，</w:t>
      </w:r>
      <w:r>
        <w:rPr>
          <w:rFonts w:eastAsia="仿宋_GB2312"/>
          <w:sz w:val="32"/>
          <w:szCs w:val="32"/>
          <w:lang w:eastAsia="zh-CN"/>
        </w:rPr>
        <w:t>本单位为二级机构无下设三级机构，</w:t>
      </w:r>
      <w:r>
        <w:rPr>
          <w:rFonts w:eastAsia="仿宋_GB2312"/>
          <w:sz w:val="32"/>
          <w:szCs w:val="32"/>
        </w:rPr>
        <w:t>隶属于</w:t>
      </w:r>
      <w:r>
        <w:rPr>
          <w:rFonts w:eastAsia="仿宋_GB2312"/>
          <w:sz w:val="32"/>
          <w:szCs w:val="32"/>
          <w:lang w:eastAsia="zh-CN"/>
        </w:rPr>
        <w:t>醴陵</w:t>
      </w:r>
      <w:r>
        <w:rPr>
          <w:rFonts w:eastAsia="仿宋_GB2312"/>
          <w:sz w:val="32"/>
          <w:szCs w:val="32"/>
        </w:rPr>
        <w:t>市卫健委，是为政府开展实施疾病预防控制和公共卫生技术管理与服务职能的专业机构。市编办核定的编制数</w:t>
      </w:r>
      <w:r>
        <w:rPr>
          <w:rFonts w:eastAsia="仿宋_GB2312"/>
          <w:sz w:val="32"/>
          <w:szCs w:val="32"/>
          <w:lang w:val="en-US" w:eastAsia="zh-CN"/>
        </w:rPr>
        <w:t>73</w:t>
      </w:r>
      <w:r>
        <w:rPr>
          <w:rFonts w:eastAsia="仿宋_GB2312"/>
          <w:sz w:val="32"/>
          <w:szCs w:val="32"/>
        </w:rPr>
        <w:t>人，实有人数</w:t>
      </w:r>
      <w:r>
        <w:rPr>
          <w:rFonts w:eastAsia="仿宋_GB2312"/>
          <w:sz w:val="32"/>
          <w:szCs w:val="32"/>
          <w:lang w:val="en-US" w:eastAsia="zh-CN"/>
        </w:rPr>
        <w:t>5</w:t>
      </w:r>
      <w:r>
        <w:rPr>
          <w:rFonts w:hint="eastAsia" w:eastAsia="仿宋_GB2312"/>
          <w:sz w:val="32"/>
          <w:szCs w:val="32"/>
          <w:lang w:val="en-US" w:eastAsia="zh-CN"/>
        </w:rPr>
        <w:t>6</w:t>
      </w:r>
      <w:r>
        <w:rPr>
          <w:rFonts w:eastAsia="仿宋_GB2312"/>
          <w:sz w:val="32"/>
          <w:szCs w:val="32"/>
        </w:rPr>
        <w:t>人。内设科室</w:t>
      </w:r>
      <w:r>
        <w:rPr>
          <w:rFonts w:eastAsia="仿宋_GB2312"/>
          <w:sz w:val="32"/>
          <w:szCs w:val="32"/>
          <w:lang w:val="en-US" w:eastAsia="zh-CN"/>
        </w:rPr>
        <w:t>16</w:t>
      </w:r>
      <w:r>
        <w:rPr>
          <w:rFonts w:eastAsia="仿宋_GB2312"/>
          <w:sz w:val="32"/>
          <w:szCs w:val="32"/>
        </w:rPr>
        <w:t>个（现有</w:t>
      </w:r>
      <w:r>
        <w:rPr>
          <w:rFonts w:eastAsia="仿宋_GB2312"/>
          <w:sz w:val="32"/>
          <w:szCs w:val="32"/>
          <w:lang w:val="en-US" w:eastAsia="zh-CN"/>
        </w:rPr>
        <w:t>3</w:t>
      </w:r>
      <w:r>
        <w:rPr>
          <w:rFonts w:eastAsia="仿宋_GB2312"/>
          <w:sz w:val="32"/>
          <w:szCs w:val="32"/>
        </w:rPr>
        <w:t>个职能科室和</w:t>
      </w:r>
      <w:r>
        <w:rPr>
          <w:rFonts w:eastAsia="仿宋_GB2312"/>
          <w:sz w:val="32"/>
          <w:szCs w:val="32"/>
          <w:lang w:val="en-US" w:eastAsia="zh-CN"/>
        </w:rPr>
        <w:t>13</w:t>
      </w:r>
      <w:r>
        <w:rPr>
          <w:rFonts w:eastAsia="仿宋_GB2312"/>
          <w:sz w:val="32"/>
          <w:szCs w:val="32"/>
        </w:rPr>
        <w:t>个业务科室）。</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黑体"/>
          <w:sz w:val="32"/>
          <w:szCs w:val="32"/>
        </w:rPr>
      </w:pPr>
      <w:r>
        <w:rPr>
          <w:rFonts w:hAnsi="黑体" w:eastAsia="黑体"/>
          <w:sz w:val="32"/>
          <w:szCs w:val="32"/>
        </w:rPr>
        <w:t>三、部门预算单位构成</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hint="eastAsia" w:eastAsia="仿宋_GB2312"/>
          <w:sz w:val="32"/>
          <w:szCs w:val="32"/>
          <w:lang w:val="en-US" w:eastAsia="zh-CN"/>
        </w:rPr>
      </w:pPr>
      <w:r>
        <w:rPr>
          <w:rFonts w:eastAsia="仿宋_GB2312"/>
          <w:sz w:val="32"/>
          <w:szCs w:val="32"/>
          <w:lang w:eastAsia="zh-CN"/>
        </w:rPr>
        <w:t>醴陵</w:t>
      </w:r>
      <w:r>
        <w:rPr>
          <w:rFonts w:eastAsia="仿宋_GB2312"/>
          <w:sz w:val="32"/>
          <w:szCs w:val="32"/>
        </w:rPr>
        <w:t>市疾病预防控制中心</w:t>
      </w:r>
      <w:r>
        <w:rPr>
          <w:rFonts w:hint="eastAsia" w:eastAsia="仿宋_GB2312"/>
          <w:sz w:val="32"/>
          <w:szCs w:val="32"/>
          <w:lang w:eastAsia="zh-CN"/>
        </w:rPr>
        <w:t>只有本级，没有其他单位，因此本部门预算仅含本级预算。</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黑体"/>
          <w:sz w:val="32"/>
          <w:szCs w:val="32"/>
        </w:rPr>
      </w:pPr>
      <w:r>
        <w:rPr>
          <w:rFonts w:hAnsi="黑体" w:eastAsia="黑体"/>
          <w:sz w:val="32"/>
          <w:szCs w:val="32"/>
        </w:rPr>
        <w:t>四、</w:t>
      </w:r>
      <w:r>
        <w:rPr>
          <w:rFonts w:eastAsia="黑体"/>
          <w:sz w:val="32"/>
          <w:szCs w:val="32"/>
        </w:rPr>
        <w:t xml:space="preserve"> </w:t>
      </w:r>
      <w:r>
        <w:rPr>
          <w:rFonts w:hAnsi="黑体" w:eastAsia="黑体"/>
          <w:sz w:val="32"/>
          <w:szCs w:val="32"/>
        </w:rPr>
        <w:t>部门收支总体情况</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仿宋_GB2312"/>
          <w:sz w:val="32"/>
          <w:szCs w:val="32"/>
        </w:rPr>
      </w:pPr>
      <w:r>
        <w:rPr>
          <w:rFonts w:eastAsia="仿宋_GB2312"/>
          <w:sz w:val="32"/>
          <w:szCs w:val="32"/>
        </w:rPr>
        <w:t>2022年</w:t>
      </w:r>
      <w:r>
        <w:rPr>
          <w:rFonts w:eastAsia="仿宋_GB2312"/>
          <w:sz w:val="32"/>
          <w:szCs w:val="32"/>
          <w:lang w:eastAsia="zh-CN"/>
        </w:rPr>
        <w:t>醴陵</w:t>
      </w:r>
      <w:r>
        <w:rPr>
          <w:rFonts w:eastAsia="仿宋_GB2312"/>
          <w:sz w:val="32"/>
          <w:szCs w:val="32"/>
        </w:rPr>
        <w:t>市疾病预防控制中心公开的部门预算为局机关预算。收入包括一般公共预算收入；支出既包括保障局机关及直属单位基本运行的经费，也包括归口管理、面向全市分配的专项经费。（详见附表）</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仿宋_GB2312"/>
          <w:sz w:val="32"/>
          <w:szCs w:val="32"/>
        </w:rPr>
      </w:pPr>
      <w:r>
        <w:rPr>
          <w:rFonts w:eastAsia="楷体_GB2312"/>
          <w:bCs/>
          <w:sz w:val="32"/>
          <w:szCs w:val="32"/>
        </w:rPr>
        <w:t>（一）收入预算</w:t>
      </w:r>
      <w:r>
        <w:rPr>
          <w:rFonts w:eastAsia="楷体_GB2312"/>
          <w:sz w:val="32"/>
          <w:szCs w:val="32"/>
        </w:rPr>
        <w:t>：</w:t>
      </w:r>
      <w:r>
        <w:rPr>
          <w:rFonts w:eastAsia="仿宋_GB2312"/>
          <w:sz w:val="32"/>
          <w:szCs w:val="32"/>
        </w:rPr>
        <w:t>2022年年初预算数</w:t>
      </w:r>
      <w:r>
        <w:rPr>
          <w:rFonts w:eastAsia="仿宋_GB2312"/>
          <w:sz w:val="32"/>
          <w:szCs w:val="32"/>
          <w:lang w:val="zh-CN"/>
        </w:rPr>
        <w:t>706.19</w:t>
      </w:r>
      <w:r>
        <w:rPr>
          <w:rFonts w:eastAsia="仿宋_GB2312"/>
          <w:sz w:val="32"/>
          <w:szCs w:val="32"/>
        </w:rPr>
        <w:t>万元，其中，一般公共预算拨款</w:t>
      </w:r>
      <w:r>
        <w:rPr>
          <w:rFonts w:eastAsia="仿宋_GB2312"/>
          <w:sz w:val="32"/>
          <w:szCs w:val="32"/>
          <w:lang w:val="zh-CN"/>
        </w:rPr>
        <w:t>706.19</w:t>
      </w:r>
      <w:r>
        <w:rPr>
          <w:rFonts w:eastAsia="仿宋_GB2312"/>
          <w:sz w:val="32"/>
          <w:szCs w:val="32"/>
        </w:rPr>
        <w:t>万元；政府性基金拨款</w:t>
      </w:r>
      <w:r>
        <w:rPr>
          <w:rFonts w:eastAsia="仿宋_GB2312"/>
          <w:sz w:val="32"/>
          <w:szCs w:val="32"/>
          <w:lang w:val="zh-CN"/>
        </w:rPr>
        <w:t>0</w:t>
      </w:r>
      <w:r>
        <w:rPr>
          <w:rFonts w:eastAsia="仿宋_GB2312"/>
          <w:sz w:val="32"/>
          <w:szCs w:val="32"/>
        </w:rPr>
        <w:t>万元；财政专户管理的非税收入拨款</w:t>
      </w:r>
      <w:r>
        <w:rPr>
          <w:rFonts w:eastAsia="仿宋_GB2312"/>
          <w:sz w:val="32"/>
          <w:szCs w:val="32"/>
          <w:lang w:val="zh-CN"/>
        </w:rPr>
        <w:t>0</w:t>
      </w:r>
      <w:r>
        <w:rPr>
          <w:rFonts w:eastAsia="仿宋_GB2312"/>
          <w:sz w:val="32"/>
          <w:szCs w:val="32"/>
        </w:rPr>
        <w:t>万元；其他收入</w:t>
      </w:r>
      <w:r>
        <w:rPr>
          <w:rFonts w:eastAsia="仿宋_GB2312"/>
          <w:sz w:val="32"/>
          <w:szCs w:val="32"/>
          <w:lang w:val="zh-CN"/>
        </w:rPr>
        <w:t>0</w:t>
      </w:r>
      <w:r>
        <w:rPr>
          <w:rFonts w:eastAsia="仿宋_GB2312"/>
          <w:sz w:val="32"/>
          <w:szCs w:val="32"/>
        </w:rPr>
        <w:t>万元。因上年结转数暂未最终确定，本年度收支预算中均不含上年结转数字。</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仿宋_GB2312"/>
          <w:sz w:val="32"/>
          <w:szCs w:val="32"/>
        </w:rPr>
      </w:pPr>
      <w:r>
        <w:rPr>
          <w:rFonts w:eastAsia="楷体_GB2312"/>
          <w:bCs/>
          <w:sz w:val="32"/>
          <w:szCs w:val="32"/>
        </w:rPr>
        <w:t>（二）支出预算：</w:t>
      </w:r>
      <w:r>
        <w:rPr>
          <w:rFonts w:eastAsia="仿宋_GB2312"/>
          <w:sz w:val="32"/>
          <w:szCs w:val="32"/>
          <w:lang w:val="zh-CN"/>
        </w:rPr>
        <w:t>2022</w:t>
      </w:r>
      <w:r>
        <w:rPr>
          <w:rFonts w:eastAsia="仿宋_GB2312"/>
          <w:sz w:val="32"/>
          <w:szCs w:val="32"/>
        </w:rPr>
        <w:t>年年初预算数</w:t>
      </w:r>
      <w:r>
        <w:rPr>
          <w:rFonts w:eastAsia="仿宋_GB2312"/>
          <w:sz w:val="32"/>
          <w:szCs w:val="32"/>
          <w:lang w:val="zh-CN"/>
        </w:rPr>
        <w:t>706.19</w:t>
      </w:r>
      <w:r>
        <w:rPr>
          <w:rFonts w:eastAsia="仿宋_GB2312"/>
          <w:sz w:val="32"/>
          <w:szCs w:val="32"/>
        </w:rPr>
        <w:t>万元，其中，一般公共服务支出</w:t>
      </w:r>
      <w:r>
        <w:rPr>
          <w:rFonts w:eastAsia="仿宋_GB2312"/>
          <w:sz w:val="32"/>
          <w:szCs w:val="32"/>
          <w:lang w:val="zh-CN"/>
        </w:rPr>
        <w:t>0</w:t>
      </w:r>
      <w:r>
        <w:rPr>
          <w:rFonts w:eastAsia="仿宋_GB2312"/>
          <w:sz w:val="32"/>
          <w:szCs w:val="32"/>
        </w:rPr>
        <w:t>万元，公共安全</w:t>
      </w:r>
      <w:r>
        <w:rPr>
          <w:rFonts w:eastAsia="仿宋_GB2312"/>
          <w:sz w:val="32"/>
          <w:szCs w:val="32"/>
          <w:lang w:val="zh-CN"/>
        </w:rPr>
        <w:t>0</w:t>
      </w:r>
      <w:r>
        <w:rPr>
          <w:rFonts w:eastAsia="仿宋_GB2312"/>
          <w:sz w:val="32"/>
          <w:szCs w:val="32"/>
        </w:rPr>
        <w:t>万元，教育</w:t>
      </w:r>
      <w:r>
        <w:rPr>
          <w:rFonts w:eastAsia="仿宋_GB2312"/>
          <w:sz w:val="32"/>
          <w:szCs w:val="32"/>
          <w:lang w:val="zh-CN"/>
        </w:rPr>
        <w:t>0</w:t>
      </w:r>
      <w:r>
        <w:rPr>
          <w:rFonts w:eastAsia="仿宋_GB2312"/>
          <w:sz w:val="32"/>
          <w:szCs w:val="32"/>
        </w:rPr>
        <w:t>万元，科学技术</w:t>
      </w:r>
      <w:r>
        <w:rPr>
          <w:rFonts w:eastAsia="仿宋_GB2312"/>
          <w:sz w:val="32"/>
          <w:szCs w:val="32"/>
          <w:lang w:val="zh-CN"/>
        </w:rPr>
        <w:t>0</w:t>
      </w:r>
      <w:r>
        <w:rPr>
          <w:rFonts w:eastAsia="仿宋_GB2312"/>
          <w:sz w:val="32"/>
          <w:szCs w:val="32"/>
        </w:rPr>
        <w:t>万元，社会保障就业支出</w:t>
      </w:r>
      <w:r>
        <w:rPr>
          <w:rFonts w:eastAsia="仿宋_GB2312"/>
          <w:sz w:val="32"/>
          <w:szCs w:val="32"/>
          <w:lang w:val="zh-CN"/>
        </w:rPr>
        <w:t>54.65万元，卫生健康支出610.55万元，住房保障支出40.99万元</w:t>
      </w:r>
      <w:r>
        <w:rPr>
          <w:rFonts w:eastAsia="仿宋_GB2312"/>
          <w:sz w:val="32"/>
          <w:szCs w:val="32"/>
        </w:rPr>
        <w:t>。</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仿宋_GB2312"/>
          <w:sz w:val="32"/>
          <w:szCs w:val="32"/>
        </w:rPr>
      </w:pPr>
      <w:r>
        <w:rPr>
          <w:rFonts w:eastAsia="楷体_GB2312"/>
          <w:bCs/>
          <w:sz w:val="32"/>
          <w:szCs w:val="32"/>
        </w:rPr>
        <w:t>（三）预算收支增减变化情况说明：</w:t>
      </w:r>
      <w:r>
        <w:rPr>
          <w:rFonts w:eastAsia="仿宋_GB2312"/>
          <w:sz w:val="32"/>
          <w:szCs w:val="32"/>
        </w:rPr>
        <w:t>本部门年初预算数为</w:t>
      </w:r>
      <w:r>
        <w:rPr>
          <w:rFonts w:eastAsia="仿宋_GB2312"/>
          <w:sz w:val="32"/>
          <w:szCs w:val="32"/>
          <w:lang w:val="zh-CN"/>
        </w:rPr>
        <w:t>706.19</w:t>
      </w:r>
      <w:r>
        <w:rPr>
          <w:rFonts w:eastAsia="仿宋_GB2312"/>
          <w:sz w:val="32"/>
          <w:szCs w:val="32"/>
        </w:rPr>
        <w:t>万元，比上年增加</w:t>
      </w:r>
      <w:r>
        <w:rPr>
          <w:rFonts w:eastAsia="仿宋_GB2312"/>
          <w:sz w:val="32"/>
          <w:szCs w:val="32"/>
          <w:lang w:val="zh-CN"/>
        </w:rPr>
        <w:t>67.22</w:t>
      </w:r>
      <w:r>
        <w:rPr>
          <w:rFonts w:eastAsia="仿宋_GB2312"/>
          <w:sz w:val="32"/>
          <w:szCs w:val="32"/>
        </w:rPr>
        <w:t>万元，</w:t>
      </w:r>
      <w:r>
        <w:rPr>
          <w:rFonts w:eastAsia="仿宋_GB2312"/>
          <w:color w:val="auto"/>
          <w:sz w:val="32"/>
          <w:szCs w:val="32"/>
        </w:rPr>
        <w:t>主要原因是因人员增加，造成人员经费和运转经费上涨等。</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黑体"/>
          <w:sz w:val="32"/>
          <w:szCs w:val="32"/>
        </w:rPr>
      </w:pPr>
      <w:r>
        <w:rPr>
          <w:rFonts w:hAnsi="黑体" w:eastAsia="黑体"/>
          <w:sz w:val="32"/>
          <w:szCs w:val="32"/>
        </w:rPr>
        <w:t>五、一般公共预算拨款支出预算</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仿宋_GB2312"/>
          <w:sz w:val="32"/>
          <w:szCs w:val="32"/>
        </w:rPr>
      </w:pPr>
      <w:r>
        <w:rPr>
          <w:rFonts w:eastAsia="仿宋_GB2312"/>
          <w:sz w:val="32"/>
          <w:szCs w:val="32"/>
        </w:rPr>
        <w:t>2022年本部门一般公共预算拨款收入</w:t>
      </w:r>
      <w:r>
        <w:rPr>
          <w:rFonts w:eastAsia="仿宋_GB2312"/>
          <w:sz w:val="32"/>
          <w:szCs w:val="32"/>
          <w:lang w:val="zh-CN"/>
        </w:rPr>
        <w:t>706.19万</w:t>
      </w:r>
      <w:r>
        <w:rPr>
          <w:rFonts w:eastAsia="仿宋_GB2312"/>
          <w:sz w:val="32"/>
          <w:szCs w:val="32"/>
        </w:rPr>
        <w:t>元，具体安排如下（详见</w:t>
      </w:r>
      <w:r>
        <w:rPr>
          <w:rFonts w:eastAsia="楷体_GB2312"/>
          <w:bCs/>
          <w:sz w:val="32"/>
          <w:szCs w:val="32"/>
        </w:rPr>
        <w:t>附表</w:t>
      </w:r>
      <w:r>
        <w:rPr>
          <w:rFonts w:eastAsia="仿宋_GB2312"/>
          <w:sz w:val="32"/>
          <w:szCs w:val="32"/>
        </w:rPr>
        <w:t>）：</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楷体_GB2312"/>
          <w:bCs/>
          <w:sz w:val="32"/>
          <w:szCs w:val="32"/>
        </w:rPr>
      </w:pPr>
      <w:r>
        <w:rPr>
          <w:rFonts w:eastAsia="楷体_GB2312"/>
          <w:bCs/>
          <w:sz w:val="32"/>
          <w:szCs w:val="32"/>
        </w:rPr>
        <w:t>（一）人员类支出</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仿宋_GB2312"/>
          <w:sz w:val="32"/>
          <w:szCs w:val="32"/>
        </w:rPr>
      </w:pPr>
      <w:r>
        <w:rPr>
          <w:rFonts w:eastAsia="仿宋_GB2312"/>
          <w:sz w:val="32"/>
          <w:szCs w:val="32"/>
        </w:rPr>
        <w:t>2022年年初预算数为</w:t>
      </w:r>
      <w:r>
        <w:rPr>
          <w:rFonts w:eastAsia="仿宋_GB2312"/>
          <w:sz w:val="32"/>
          <w:szCs w:val="32"/>
          <w:lang w:val="zh-CN"/>
        </w:rPr>
        <w:t>455.75</w:t>
      </w:r>
      <w:r>
        <w:rPr>
          <w:rFonts w:eastAsia="仿宋_GB2312"/>
          <w:sz w:val="32"/>
          <w:szCs w:val="32"/>
        </w:rPr>
        <w:t>万元。其中包括基本工资</w:t>
      </w:r>
      <w:r>
        <w:rPr>
          <w:rFonts w:eastAsia="仿宋_GB2312"/>
          <w:sz w:val="32"/>
          <w:szCs w:val="32"/>
          <w:lang w:val="zh-CN"/>
        </w:rPr>
        <w:t>209.89</w:t>
      </w:r>
      <w:r>
        <w:rPr>
          <w:rFonts w:eastAsia="仿宋_GB2312"/>
          <w:sz w:val="32"/>
          <w:szCs w:val="32"/>
        </w:rPr>
        <w:t>万元、津贴补贴</w:t>
      </w:r>
      <w:r>
        <w:rPr>
          <w:rFonts w:eastAsia="仿宋_GB2312"/>
          <w:sz w:val="32"/>
          <w:szCs w:val="32"/>
          <w:lang w:val="zh-CN"/>
        </w:rPr>
        <w:t>114.19</w:t>
      </w:r>
      <w:r>
        <w:rPr>
          <w:rFonts w:eastAsia="仿宋_GB2312"/>
          <w:sz w:val="32"/>
          <w:szCs w:val="32"/>
        </w:rPr>
        <w:t>万元、奖金</w:t>
      </w:r>
      <w:r>
        <w:rPr>
          <w:rFonts w:eastAsia="仿宋_GB2312"/>
          <w:sz w:val="32"/>
          <w:szCs w:val="32"/>
          <w:lang w:val="zh-CN"/>
        </w:rPr>
        <w:t>17.49</w:t>
      </w:r>
      <w:r>
        <w:rPr>
          <w:rFonts w:eastAsia="仿宋_GB2312"/>
          <w:sz w:val="32"/>
          <w:szCs w:val="32"/>
        </w:rPr>
        <w:t>万元、机关事业单位养老保险缴费</w:t>
      </w:r>
      <w:r>
        <w:rPr>
          <w:rFonts w:eastAsia="仿宋_GB2312"/>
          <w:sz w:val="32"/>
          <w:szCs w:val="32"/>
          <w:lang w:val="zh-CN"/>
        </w:rPr>
        <w:t>54.65万元、职工基本医疗保险缴费18.54万元、</w:t>
      </w:r>
      <w:r>
        <w:rPr>
          <w:rFonts w:hint="eastAsia" w:eastAsia="仿宋_GB2312"/>
          <w:sz w:val="32"/>
          <w:szCs w:val="32"/>
          <w:lang w:val="zh-CN"/>
        </w:rPr>
        <w:t>住房公积金</w:t>
      </w:r>
      <w:r>
        <w:rPr>
          <w:rFonts w:hint="eastAsia" w:eastAsia="仿宋_GB2312"/>
          <w:sz w:val="32"/>
          <w:szCs w:val="32"/>
          <w:lang w:val="en-US" w:eastAsia="zh-CN"/>
        </w:rPr>
        <w:t>40.99万元、</w:t>
      </w:r>
      <w:r>
        <w:rPr>
          <w:rFonts w:eastAsia="仿宋_GB2312"/>
          <w:sz w:val="32"/>
          <w:szCs w:val="32"/>
        </w:rPr>
        <w:t>其他工资福利支出</w:t>
      </w:r>
      <w:r>
        <w:rPr>
          <w:rFonts w:eastAsia="仿宋_GB2312"/>
          <w:sz w:val="32"/>
          <w:szCs w:val="32"/>
          <w:lang w:val="zh-CN"/>
        </w:rPr>
        <w:t>0</w:t>
      </w:r>
      <w:r>
        <w:rPr>
          <w:rFonts w:eastAsia="仿宋_GB2312"/>
          <w:sz w:val="32"/>
          <w:szCs w:val="32"/>
        </w:rPr>
        <w:t>万元等。</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楷体_GB2312"/>
          <w:bCs/>
          <w:sz w:val="32"/>
          <w:szCs w:val="32"/>
        </w:rPr>
      </w:pPr>
      <w:r>
        <w:rPr>
          <w:rFonts w:eastAsia="楷体_GB2312"/>
          <w:bCs/>
          <w:sz w:val="32"/>
          <w:szCs w:val="32"/>
        </w:rPr>
        <w:t>（二）运转类支出</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仿宋_GB2312"/>
          <w:sz w:val="32"/>
          <w:szCs w:val="32"/>
          <w:lang w:val="zh-CN"/>
        </w:rPr>
      </w:pPr>
      <w:r>
        <w:rPr>
          <w:rFonts w:eastAsia="仿宋_GB2312"/>
          <w:sz w:val="32"/>
          <w:szCs w:val="32"/>
        </w:rPr>
        <w:t>2022年年初预算数为</w:t>
      </w:r>
      <w:r>
        <w:rPr>
          <w:rFonts w:eastAsia="仿宋_GB2312"/>
          <w:sz w:val="32"/>
          <w:szCs w:val="32"/>
          <w:lang w:val="zh-CN"/>
        </w:rPr>
        <w:t>156.44</w:t>
      </w:r>
      <w:r>
        <w:rPr>
          <w:rFonts w:eastAsia="仿宋_GB2312"/>
          <w:sz w:val="32"/>
          <w:szCs w:val="32"/>
        </w:rPr>
        <w:t>万元。其中：办公费</w:t>
      </w:r>
      <w:r>
        <w:rPr>
          <w:rFonts w:eastAsia="仿宋_GB2312"/>
          <w:sz w:val="32"/>
          <w:szCs w:val="32"/>
          <w:lang w:val="zh-CN"/>
        </w:rPr>
        <w:t>15.6万元</w:t>
      </w:r>
      <w:r>
        <w:rPr>
          <w:rFonts w:eastAsia="仿宋_GB2312"/>
          <w:sz w:val="32"/>
          <w:szCs w:val="32"/>
        </w:rPr>
        <w:t>、工会经费</w:t>
      </w:r>
      <w:r>
        <w:rPr>
          <w:rFonts w:eastAsia="仿宋_GB2312"/>
          <w:sz w:val="32"/>
          <w:szCs w:val="32"/>
          <w:lang w:val="zh-CN"/>
        </w:rPr>
        <w:t>9.54万元、福利费14.3万元、公务用车运行维护费6万元、</w:t>
      </w:r>
      <w:r>
        <w:rPr>
          <w:rFonts w:eastAsia="仿宋_GB2312"/>
          <w:sz w:val="32"/>
          <w:szCs w:val="32"/>
          <w:highlight w:val="none"/>
          <w:lang w:val="zh-CN"/>
        </w:rPr>
        <w:t>其他商品服务支出111.00万元。</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楷体_GB2312"/>
          <w:bCs/>
          <w:sz w:val="32"/>
          <w:szCs w:val="32"/>
        </w:rPr>
      </w:pPr>
      <w:r>
        <w:rPr>
          <w:rFonts w:eastAsia="楷体_GB2312"/>
          <w:bCs/>
          <w:sz w:val="32"/>
          <w:szCs w:val="32"/>
        </w:rPr>
        <w:t>（三）特定目标类支出</w:t>
      </w:r>
    </w:p>
    <w:p>
      <w:pPr>
        <w:keepNext w:val="0"/>
        <w:keepLines w:val="0"/>
        <w:pageBreakBefore w:val="0"/>
        <w:tabs>
          <w:tab w:val="left" w:pos="7560"/>
        </w:tabs>
        <w:kinsoku/>
        <w:wordWrap/>
        <w:overflowPunct/>
        <w:topLinePunct w:val="0"/>
        <w:autoSpaceDE/>
        <w:autoSpaceDN/>
        <w:bidi w:val="0"/>
        <w:adjustRightInd/>
        <w:snapToGrid/>
        <w:spacing w:line="560" w:lineRule="exact"/>
        <w:ind w:firstLine="640"/>
        <w:jc w:val="left"/>
        <w:textAlignment w:val="auto"/>
        <w:rPr>
          <w:rFonts w:eastAsia="仿宋_GB2312"/>
          <w:color w:val="000000"/>
          <w:sz w:val="32"/>
          <w:szCs w:val="32"/>
        </w:rPr>
      </w:pPr>
      <w:r>
        <w:rPr>
          <w:rFonts w:eastAsia="仿宋_GB2312"/>
          <w:sz w:val="32"/>
          <w:szCs w:val="32"/>
        </w:rPr>
        <w:t>（1）疾病预防工作经费</w:t>
      </w:r>
      <w:r>
        <w:rPr>
          <w:rFonts w:eastAsia="仿宋_GB2312"/>
          <w:sz w:val="32"/>
          <w:szCs w:val="32"/>
          <w:lang w:val="zh-CN"/>
        </w:rPr>
        <w:t>30</w:t>
      </w:r>
      <w:r>
        <w:rPr>
          <w:rFonts w:eastAsia="仿宋_GB2312"/>
          <w:sz w:val="32"/>
          <w:szCs w:val="32"/>
        </w:rPr>
        <w:t xml:space="preserve"> 万元。</w:t>
      </w:r>
      <w:r>
        <w:rPr>
          <w:rFonts w:eastAsia="仿宋_GB2312"/>
          <w:color w:val="000000"/>
          <w:sz w:val="32"/>
          <w:szCs w:val="32"/>
        </w:rPr>
        <w:t>主要用于疾病预防工作经费；</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仿宋_GB2312"/>
          <w:sz w:val="32"/>
          <w:szCs w:val="32"/>
          <w:highlight w:val="none"/>
        </w:rPr>
      </w:pPr>
      <w:r>
        <w:rPr>
          <w:rFonts w:eastAsia="仿宋_GB2312"/>
          <w:sz w:val="32"/>
          <w:szCs w:val="32"/>
        </w:rPr>
        <w:t>（2）健康教育经费（疾控中心）</w:t>
      </w:r>
      <w:r>
        <w:rPr>
          <w:rFonts w:eastAsia="仿宋_GB2312"/>
          <w:sz w:val="32"/>
          <w:szCs w:val="32"/>
          <w:lang w:val="zh-CN"/>
        </w:rPr>
        <w:t>4</w:t>
      </w:r>
      <w:r>
        <w:rPr>
          <w:rFonts w:eastAsia="仿宋_GB2312"/>
          <w:sz w:val="32"/>
          <w:szCs w:val="32"/>
        </w:rPr>
        <w:t xml:space="preserve"> 万元。</w:t>
      </w:r>
      <w:r>
        <w:rPr>
          <w:rFonts w:eastAsia="仿宋_GB2312"/>
          <w:color w:val="000000"/>
          <w:sz w:val="32"/>
          <w:szCs w:val="32"/>
        </w:rPr>
        <w:t>主要用于健康教育宣讲、培训；</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仿宋_GB2312"/>
          <w:sz w:val="32"/>
          <w:szCs w:val="32"/>
          <w:highlight w:val="none"/>
          <w:lang w:val="zh-CN"/>
        </w:rPr>
      </w:pPr>
      <w:r>
        <w:rPr>
          <w:rFonts w:eastAsia="仿宋_GB2312"/>
          <w:sz w:val="32"/>
          <w:szCs w:val="32"/>
          <w:highlight w:val="none"/>
        </w:rPr>
        <w:t>（</w:t>
      </w:r>
      <w:r>
        <w:rPr>
          <w:rFonts w:eastAsia="仿宋_GB2312"/>
          <w:sz w:val="32"/>
          <w:szCs w:val="32"/>
          <w:highlight w:val="none"/>
          <w:lang w:val="zh-CN"/>
        </w:rPr>
        <w:t>3）慢性疾病防治专项经费5万元。</w:t>
      </w:r>
      <w:r>
        <w:rPr>
          <w:rFonts w:eastAsia="仿宋_GB2312"/>
          <w:color w:val="000000"/>
          <w:sz w:val="32"/>
          <w:szCs w:val="32"/>
        </w:rPr>
        <w:t>主要用于慢性病示范区创建验收达标工作经费；</w:t>
      </w:r>
    </w:p>
    <w:p>
      <w:pPr>
        <w:pStyle w:val="37"/>
        <w:keepNext w:val="0"/>
        <w:keepLines w:val="0"/>
        <w:pageBreakBefore w:val="0"/>
        <w:widowControl w:val="0"/>
        <w:tabs>
          <w:tab w:val="left" w:pos="7560"/>
          <w:tab w:val="left" w:pos="9132"/>
        </w:tabs>
        <w:kinsoku/>
        <w:wordWrap/>
        <w:overflowPunct/>
        <w:topLinePunct w:val="0"/>
        <w:autoSpaceDE/>
        <w:autoSpaceDN/>
        <w:bidi w:val="0"/>
        <w:adjustRightInd/>
        <w:snapToGrid/>
        <w:spacing w:line="560" w:lineRule="exact"/>
        <w:ind w:firstLine="640"/>
        <w:textAlignment w:val="auto"/>
        <w:rPr>
          <w:rFonts w:eastAsia="仿宋_GB2312"/>
          <w:sz w:val="32"/>
          <w:szCs w:val="32"/>
          <w:highlight w:val="none"/>
          <w:lang w:val="zh-CN"/>
        </w:rPr>
      </w:pPr>
      <w:r>
        <w:rPr>
          <w:rFonts w:eastAsia="仿宋_GB2312"/>
          <w:sz w:val="32"/>
          <w:szCs w:val="32"/>
          <w:highlight w:val="none"/>
          <w:lang w:val="zh-CN"/>
        </w:rPr>
        <w:t>（4）免疫规划（疾控中心）专项经费5万元。</w:t>
      </w:r>
      <w:r>
        <w:rPr>
          <w:rFonts w:eastAsia="仿宋_GB2312"/>
          <w:color w:val="000000"/>
          <w:sz w:val="32"/>
          <w:szCs w:val="32"/>
        </w:rPr>
        <w:t>主要用于相关业务培训，开展宣传活动、发放宣传资料及冷链运输各种疫苗；</w:t>
      </w:r>
    </w:p>
    <w:p>
      <w:pPr>
        <w:pStyle w:val="37"/>
        <w:keepNext w:val="0"/>
        <w:keepLines w:val="0"/>
        <w:pageBreakBefore w:val="0"/>
        <w:widowControl w:val="0"/>
        <w:tabs>
          <w:tab w:val="left" w:pos="7560"/>
          <w:tab w:val="left" w:pos="9132"/>
        </w:tabs>
        <w:kinsoku/>
        <w:wordWrap/>
        <w:overflowPunct/>
        <w:topLinePunct w:val="0"/>
        <w:autoSpaceDE/>
        <w:autoSpaceDN/>
        <w:bidi w:val="0"/>
        <w:adjustRightInd/>
        <w:snapToGrid/>
        <w:spacing w:line="560" w:lineRule="exact"/>
        <w:ind w:firstLine="640"/>
        <w:textAlignment w:val="auto"/>
        <w:rPr>
          <w:rFonts w:eastAsia="仿宋_GB2312"/>
          <w:sz w:val="32"/>
          <w:szCs w:val="32"/>
          <w:highlight w:val="none"/>
          <w:lang w:val="zh-CN"/>
        </w:rPr>
      </w:pPr>
      <w:r>
        <w:rPr>
          <w:rFonts w:eastAsia="仿宋_GB2312"/>
          <w:sz w:val="32"/>
          <w:szCs w:val="32"/>
          <w:highlight w:val="none"/>
          <w:lang w:val="zh-CN"/>
        </w:rPr>
        <w:t>（5）预防性体检专项经费50万元。主要用于公共场所从业人员的健康体检。</w:t>
      </w:r>
    </w:p>
    <w:p>
      <w:pPr>
        <w:pStyle w:val="37"/>
        <w:keepNext w:val="0"/>
        <w:keepLines w:val="0"/>
        <w:pageBreakBefore w:val="0"/>
        <w:widowControl w:val="0"/>
        <w:numPr>
          <w:ilvl w:val="0"/>
          <w:numId w:val="1"/>
        </w:numPr>
        <w:tabs>
          <w:tab w:val="left" w:pos="7560"/>
        </w:tabs>
        <w:kinsoku/>
        <w:wordWrap/>
        <w:overflowPunct/>
        <w:topLinePunct w:val="0"/>
        <w:autoSpaceDE/>
        <w:autoSpaceDN/>
        <w:bidi w:val="0"/>
        <w:adjustRightInd/>
        <w:snapToGrid/>
        <w:spacing w:line="560" w:lineRule="exact"/>
        <w:ind w:left="0" w:firstLine="640"/>
        <w:textAlignment w:val="auto"/>
        <w:rPr>
          <w:rFonts w:eastAsia="黑体"/>
          <w:sz w:val="32"/>
          <w:szCs w:val="32"/>
        </w:rPr>
      </w:pPr>
      <w:r>
        <w:rPr>
          <w:rFonts w:hAnsi="黑体" w:eastAsia="黑体"/>
          <w:sz w:val="32"/>
          <w:szCs w:val="32"/>
        </w:rPr>
        <w:t>政府性基金预算支出</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仿宋_GB2312"/>
          <w:sz w:val="32"/>
          <w:szCs w:val="32"/>
        </w:rPr>
      </w:pPr>
      <w:r>
        <w:rPr>
          <w:rFonts w:eastAsia="仿宋_GB2312"/>
          <w:sz w:val="32"/>
          <w:szCs w:val="32"/>
        </w:rPr>
        <w:t>2022年本部门无政府性基金预算</w:t>
      </w:r>
      <w:r>
        <w:rPr>
          <w:rFonts w:eastAsia="仿宋_GB2312"/>
          <w:sz w:val="32"/>
          <w:szCs w:val="32"/>
          <w:lang w:val="zh-CN"/>
        </w:rPr>
        <w:t>安排的支出</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黑体"/>
          <w:sz w:val="32"/>
          <w:szCs w:val="32"/>
        </w:rPr>
      </w:pPr>
      <w:r>
        <w:rPr>
          <w:rFonts w:hAnsi="黑体" w:eastAsia="黑体"/>
          <w:sz w:val="32"/>
          <w:szCs w:val="32"/>
        </w:rPr>
        <w:t>七、其他重要事项情况说明</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楷体_GB2312"/>
          <w:bCs/>
          <w:sz w:val="32"/>
          <w:szCs w:val="32"/>
        </w:rPr>
      </w:pPr>
      <w:r>
        <w:rPr>
          <w:rFonts w:eastAsia="楷体_GB2312"/>
          <w:bCs/>
          <w:sz w:val="32"/>
          <w:szCs w:val="32"/>
        </w:rPr>
        <w:t>（一）机关运行经费：</w:t>
      </w:r>
      <w:r>
        <w:rPr>
          <w:rFonts w:eastAsia="仿宋_GB2312"/>
          <w:sz w:val="32"/>
          <w:szCs w:val="32"/>
        </w:rPr>
        <w:t>本部门2022年年初预算机关运行经费共安排</w:t>
      </w:r>
      <w:r>
        <w:rPr>
          <w:rFonts w:hint="eastAsia" w:eastAsia="仿宋_GB2312"/>
          <w:sz w:val="32"/>
          <w:szCs w:val="32"/>
          <w:lang w:val="en-US" w:eastAsia="zh-CN"/>
        </w:rPr>
        <w:t>156.44</w:t>
      </w:r>
      <w:r>
        <w:rPr>
          <w:rFonts w:eastAsia="仿宋_GB2312"/>
          <w:sz w:val="32"/>
          <w:szCs w:val="32"/>
        </w:rPr>
        <w:t>万元，比上年度预算（四小项+工作性专项）</w:t>
      </w:r>
      <w:r>
        <w:rPr>
          <w:rFonts w:hint="eastAsia" w:eastAsia="仿宋_GB2312"/>
          <w:sz w:val="32"/>
          <w:szCs w:val="32"/>
          <w:lang w:eastAsia="zh-CN"/>
        </w:rPr>
        <w:t>减少</w:t>
      </w:r>
      <w:r>
        <w:rPr>
          <w:rFonts w:hint="eastAsia" w:eastAsia="仿宋_GB2312"/>
          <w:sz w:val="32"/>
          <w:szCs w:val="32"/>
          <w:lang w:val="en-US" w:eastAsia="zh-CN"/>
        </w:rPr>
        <w:t>10.13</w:t>
      </w:r>
      <w:r>
        <w:rPr>
          <w:rFonts w:eastAsia="仿宋_GB2312"/>
          <w:sz w:val="32"/>
          <w:szCs w:val="32"/>
          <w:lang w:val="zh-CN"/>
        </w:rPr>
        <w:t>万</w:t>
      </w:r>
      <w:r>
        <w:rPr>
          <w:rFonts w:eastAsia="仿宋_GB2312"/>
          <w:sz w:val="32"/>
          <w:szCs w:val="32"/>
        </w:rPr>
        <w:t>元</w:t>
      </w:r>
      <w:r>
        <w:rPr>
          <w:rFonts w:eastAsia="仿宋_GB2312"/>
          <w:bCs/>
          <w:color w:val="000000"/>
          <w:sz w:val="32"/>
          <w:szCs w:val="32"/>
        </w:rPr>
        <w:t>。</w:t>
      </w:r>
    </w:p>
    <w:p>
      <w:pPr>
        <w:keepNext w:val="0"/>
        <w:keepLines w:val="0"/>
        <w:pageBreakBefore w:val="0"/>
        <w:tabs>
          <w:tab w:val="left" w:pos="7560"/>
        </w:tabs>
        <w:kinsoku/>
        <w:wordWrap/>
        <w:overflowPunct/>
        <w:topLinePunct w:val="0"/>
        <w:autoSpaceDE/>
        <w:autoSpaceDN/>
        <w:bidi w:val="0"/>
        <w:adjustRightInd/>
        <w:snapToGrid/>
        <w:spacing w:line="560" w:lineRule="exact"/>
        <w:ind w:firstLine="640"/>
        <w:jc w:val="left"/>
        <w:textAlignment w:val="auto"/>
        <w:rPr>
          <w:rFonts w:hint="default" w:hAnsi="仿宋_GB2312" w:eastAsia="仿宋_GB2312"/>
          <w:sz w:val="32"/>
          <w:szCs w:val="32"/>
          <w:lang w:val="en-US" w:eastAsia="zh-CN"/>
        </w:rPr>
      </w:pPr>
      <w:r>
        <w:rPr>
          <w:rFonts w:eastAsia="楷体_GB2312"/>
          <w:bCs/>
          <w:sz w:val="32"/>
          <w:szCs w:val="32"/>
        </w:rPr>
        <w:t>（二)政府采购预算：</w:t>
      </w:r>
      <w:r>
        <w:rPr>
          <w:rFonts w:eastAsia="仿宋_GB2312"/>
          <w:sz w:val="32"/>
          <w:szCs w:val="32"/>
        </w:rPr>
        <w:t>2022年年初预算数为39.6万元。包含：</w:t>
      </w:r>
      <w:r>
        <w:rPr>
          <w:rFonts w:eastAsia="仿宋_GB2312"/>
          <w:sz w:val="32"/>
          <w:szCs w:val="32"/>
          <w:lang w:eastAsia="zh-CN"/>
        </w:rPr>
        <w:t>本单位</w:t>
      </w:r>
      <w:r>
        <w:rPr>
          <w:rFonts w:eastAsia="仿宋_GB2312"/>
          <w:sz w:val="32"/>
          <w:szCs w:val="32"/>
        </w:rPr>
        <w:t>采购货物8.12万元，服务类31.48万元，</w:t>
      </w:r>
      <w:r>
        <w:rPr>
          <w:rFonts w:hint="eastAsia" w:eastAsia="仿宋_GB2312"/>
          <w:sz w:val="32"/>
          <w:szCs w:val="32"/>
          <w:lang w:eastAsia="zh-CN"/>
        </w:rPr>
        <w:t>工程类</w:t>
      </w:r>
      <w:r>
        <w:rPr>
          <w:rFonts w:hint="eastAsia" w:eastAsia="仿宋_GB2312"/>
          <w:sz w:val="32"/>
          <w:szCs w:val="32"/>
          <w:lang w:val="en-US" w:eastAsia="zh-CN"/>
        </w:rPr>
        <w:t>0万元。</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仿宋_GB2312"/>
          <w:sz w:val="32"/>
          <w:szCs w:val="32"/>
        </w:rPr>
      </w:pPr>
      <w:r>
        <w:rPr>
          <w:rFonts w:eastAsia="楷体_GB2312"/>
          <w:bCs/>
          <w:sz w:val="32"/>
          <w:szCs w:val="32"/>
        </w:rPr>
        <w:t>（三）国有资产占有情况：</w:t>
      </w:r>
      <w:r>
        <w:rPr>
          <w:rFonts w:eastAsia="仿宋_GB2312"/>
          <w:sz w:val="32"/>
          <w:szCs w:val="32"/>
        </w:rPr>
        <w:t xml:space="preserve">截止2021年12月31日，本部门共有办公及业务用房  </w:t>
      </w:r>
      <w:r>
        <w:rPr>
          <w:rFonts w:eastAsia="仿宋_GB2312"/>
          <w:sz w:val="32"/>
          <w:szCs w:val="32"/>
          <w:lang w:val="zh-CN"/>
        </w:rPr>
        <w:t>5091.71</w:t>
      </w:r>
      <w:r>
        <w:rPr>
          <w:rFonts w:eastAsia="仿宋_GB2312"/>
          <w:sz w:val="32"/>
          <w:szCs w:val="32"/>
        </w:rPr>
        <w:t xml:space="preserve"> 平方米；车辆</w:t>
      </w:r>
      <w:r>
        <w:rPr>
          <w:rFonts w:eastAsia="仿宋_GB2312"/>
          <w:sz w:val="32"/>
          <w:szCs w:val="32"/>
          <w:lang w:val="zh-CN"/>
        </w:rPr>
        <w:t>7</w:t>
      </w:r>
      <w:r>
        <w:rPr>
          <w:rFonts w:eastAsia="仿宋_GB2312"/>
          <w:sz w:val="32"/>
          <w:szCs w:val="32"/>
        </w:rPr>
        <w:t>辆，其中一般公务用车</w:t>
      </w:r>
      <w:r>
        <w:rPr>
          <w:rFonts w:eastAsia="仿宋_GB2312"/>
          <w:sz w:val="32"/>
          <w:szCs w:val="32"/>
          <w:lang w:val="zh-CN"/>
        </w:rPr>
        <w:t>2</w:t>
      </w:r>
      <w:r>
        <w:rPr>
          <w:rFonts w:eastAsia="仿宋_GB2312"/>
          <w:sz w:val="32"/>
          <w:szCs w:val="32"/>
        </w:rPr>
        <w:t>辆、一般执法执勤用车</w:t>
      </w:r>
      <w:r>
        <w:rPr>
          <w:rFonts w:eastAsia="仿宋_GB2312"/>
          <w:sz w:val="32"/>
          <w:szCs w:val="32"/>
          <w:lang w:val="zh-CN"/>
        </w:rPr>
        <w:t>1</w:t>
      </w:r>
      <w:r>
        <w:rPr>
          <w:rFonts w:eastAsia="仿宋_GB2312"/>
          <w:sz w:val="32"/>
          <w:szCs w:val="32"/>
        </w:rPr>
        <w:t>辆、救护车</w:t>
      </w:r>
      <w:r>
        <w:rPr>
          <w:rFonts w:eastAsia="仿宋_GB2312"/>
          <w:sz w:val="32"/>
          <w:szCs w:val="32"/>
          <w:lang w:val="zh-CN"/>
        </w:rPr>
        <w:t>3</w:t>
      </w:r>
      <w:r>
        <w:rPr>
          <w:rFonts w:eastAsia="仿宋_GB2312"/>
          <w:sz w:val="32"/>
          <w:szCs w:val="32"/>
        </w:rPr>
        <w:t>辆、冷链车</w:t>
      </w:r>
      <w:r>
        <w:rPr>
          <w:rFonts w:eastAsia="仿宋_GB2312"/>
          <w:sz w:val="32"/>
          <w:szCs w:val="32"/>
          <w:lang w:val="zh-CN"/>
        </w:rPr>
        <w:t>1辆</w:t>
      </w:r>
      <w:r>
        <w:rPr>
          <w:rFonts w:eastAsia="仿宋_GB2312"/>
          <w:sz w:val="32"/>
          <w:szCs w:val="32"/>
        </w:rPr>
        <w:t xml:space="preserve">；单位价值200万以上大型设备 </w:t>
      </w:r>
      <w:r>
        <w:rPr>
          <w:rFonts w:eastAsia="仿宋_GB2312"/>
          <w:sz w:val="32"/>
          <w:szCs w:val="32"/>
          <w:lang w:val="zh-CN"/>
        </w:rPr>
        <w:t>0</w:t>
      </w:r>
      <w:r>
        <w:rPr>
          <w:rFonts w:eastAsia="仿宋_GB2312"/>
          <w:sz w:val="32"/>
          <w:szCs w:val="32"/>
        </w:rPr>
        <w:t xml:space="preserve"> 套。20</w:t>
      </w:r>
      <w:r>
        <w:rPr>
          <w:rFonts w:eastAsia="仿宋_GB2312"/>
          <w:sz w:val="32"/>
          <w:szCs w:val="32"/>
          <w:lang w:val="zh-CN"/>
        </w:rPr>
        <w:t>22</w:t>
      </w:r>
      <w:r>
        <w:rPr>
          <w:rFonts w:eastAsia="仿宋_GB2312"/>
          <w:sz w:val="32"/>
          <w:szCs w:val="32"/>
        </w:rPr>
        <w:t>年部门预算安排购置车辆</w:t>
      </w:r>
      <w:r>
        <w:rPr>
          <w:rFonts w:eastAsia="仿宋_GB2312"/>
          <w:sz w:val="32"/>
          <w:szCs w:val="32"/>
          <w:lang w:val="zh-CN"/>
        </w:rPr>
        <w:t>0</w:t>
      </w:r>
      <w:r>
        <w:rPr>
          <w:rFonts w:eastAsia="仿宋_GB2312"/>
          <w:sz w:val="32"/>
          <w:szCs w:val="32"/>
        </w:rPr>
        <w:t xml:space="preserve">  辆，预算安排购置价值200万以上大型设备  </w:t>
      </w:r>
      <w:r>
        <w:rPr>
          <w:rFonts w:eastAsia="仿宋_GB2312"/>
          <w:sz w:val="32"/>
          <w:szCs w:val="32"/>
          <w:lang w:val="zh-CN"/>
        </w:rPr>
        <w:t>0</w:t>
      </w:r>
      <w:r>
        <w:rPr>
          <w:rFonts w:eastAsia="仿宋_GB2312"/>
          <w:sz w:val="32"/>
          <w:szCs w:val="32"/>
        </w:rPr>
        <w:t>套。</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仿宋_GB2312"/>
          <w:b/>
          <w:bCs/>
          <w:sz w:val="32"/>
          <w:szCs w:val="32"/>
        </w:rPr>
      </w:pPr>
      <w:r>
        <w:rPr>
          <w:rFonts w:eastAsia="楷体_GB2312"/>
          <w:bCs/>
          <w:sz w:val="32"/>
          <w:szCs w:val="32"/>
        </w:rPr>
        <w:t>（四）预算绩效目标：</w:t>
      </w:r>
      <w:r>
        <w:rPr>
          <w:rFonts w:eastAsia="仿宋_GB2312"/>
          <w:sz w:val="32"/>
          <w:szCs w:val="32"/>
        </w:rPr>
        <w:t xml:space="preserve">本部门整体支出和项目支出实行绩效目标管理，纳入2022年部门整体支出绩效目标的金额为  </w:t>
      </w:r>
      <w:r>
        <w:rPr>
          <w:rFonts w:eastAsia="仿宋_GB2312"/>
          <w:sz w:val="32"/>
          <w:szCs w:val="32"/>
          <w:lang w:val="zh-CN"/>
        </w:rPr>
        <w:t>706.19</w:t>
      </w:r>
      <w:r>
        <w:rPr>
          <w:rFonts w:eastAsia="仿宋_GB2312"/>
          <w:sz w:val="32"/>
          <w:szCs w:val="32"/>
        </w:rPr>
        <w:t xml:space="preserve">万元，其中，基本支出 </w:t>
      </w:r>
      <w:r>
        <w:rPr>
          <w:rFonts w:eastAsia="仿宋_GB2312"/>
          <w:sz w:val="32"/>
          <w:szCs w:val="32"/>
          <w:lang w:val="en-US" w:eastAsia="zh-CN"/>
        </w:rPr>
        <w:t>612.19</w:t>
      </w:r>
      <w:r>
        <w:rPr>
          <w:rFonts w:eastAsia="仿宋_GB2312"/>
          <w:sz w:val="32"/>
          <w:szCs w:val="32"/>
        </w:rPr>
        <w:t>万元，项目支出94万元（详见附表）。 </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楷体_GB2312"/>
          <w:bCs/>
          <w:sz w:val="32"/>
          <w:szCs w:val="32"/>
        </w:rPr>
      </w:pPr>
      <w:r>
        <w:rPr>
          <w:rFonts w:eastAsia="楷体_GB2312"/>
          <w:bCs/>
          <w:sz w:val="32"/>
          <w:szCs w:val="32"/>
        </w:rPr>
        <w:t>（五）“三公”经费预算：</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0"/>
        <w:textAlignment w:val="auto"/>
        <w:rPr>
          <w:rFonts w:eastAsia="仿宋_GB2312"/>
          <w:b/>
          <w:bCs/>
          <w:color w:val="FF0000"/>
          <w:sz w:val="32"/>
          <w:szCs w:val="32"/>
        </w:rPr>
      </w:pPr>
      <w:r>
        <w:rPr>
          <w:rFonts w:eastAsia="仿宋_GB2312"/>
          <w:sz w:val="32"/>
          <w:szCs w:val="32"/>
          <w:lang w:val="zh-CN"/>
        </w:rPr>
        <w:t xml:space="preserve">            </w:t>
      </w:r>
      <w:r>
        <w:rPr>
          <w:rFonts w:eastAsia="仿宋_GB2312"/>
          <w:sz w:val="32"/>
          <w:szCs w:val="32"/>
        </w:rPr>
        <w:t>2022年“三公”经费预算数</w:t>
      </w:r>
      <w:r>
        <w:rPr>
          <w:rFonts w:eastAsia="仿宋_GB2312"/>
          <w:sz w:val="32"/>
          <w:szCs w:val="32"/>
          <w:lang w:val="zh-CN"/>
        </w:rPr>
        <w:t>6</w:t>
      </w:r>
      <w:r>
        <w:rPr>
          <w:rFonts w:eastAsia="仿宋_GB2312"/>
          <w:sz w:val="32"/>
          <w:szCs w:val="32"/>
        </w:rPr>
        <w:t>万元，其中：公务接待费</w:t>
      </w:r>
      <w:r>
        <w:rPr>
          <w:rFonts w:eastAsia="仿宋_GB2312"/>
          <w:sz w:val="32"/>
          <w:szCs w:val="32"/>
          <w:lang w:val="zh-CN"/>
        </w:rPr>
        <w:t>0</w:t>
      </w:r>
      <w:r>
        <w:rPr>
          <w:rFonts w:eastAsia="仿宋_GB2312"/>
          <w:sz w:val="32"/>
          <w:szCs w:val="32"/>
        </w:rPr>
        <w:t>万元、公务用车购置费</w:t>
      </w:r>
      <w:r>
        <w:rPr>
          <w:rFonts w:eastAsia="仿宋_GB2312"/>
          <w:sz w:val="32"/>
          <w:szCs w:val="32"/>
          <w:lang w:val="zh-CN"/>
        </w:rPr>
        <w:t>0</w:t>
      </w:r>
      <w:r>
        <w:rPr>
          <w:rFonts w:eastAsia="仿宋_GB2312"/>
          <w:sz w:val="32"/>
          <w:szCs w:val="32"/>
        </w:rPr>
        <w:t>万元，公务用车运行费</w:t>
      </w:r>
      <w:r>
        <w:rPr>
          <w:rFonts w:eastAsia="仿宋_GB2312"/>
          <w:sz w:val="32"/>
          <w:szCs w:val="32"/>
          <w:lang w:val="zh-CN"/>
        </w:rPr>
        <w:t>6</w:t>
      </w:r>
      <w:r>
        <w:rPr>
          <w:rFonts w:eastAsia="仿宋_GB2312"/>
          <w:sz w:val="32"/>
          <w:szCs w:val="32"/>
        </w:rPr>
        <w:t>万元、因公出国（境）费</w:t>
      </w:r>
      <w:r>
        <w:rPr>
          <w:rFonts w:eastAsia="仿宋_GB2312"/>
          <w:sz w:val="32"/>
          <w:szCs w:val="32"/>
          <w:lang w:val="zh-CN"/>
        </w:rPr>
        <w:t>0</w:t>
      </w:r>
      <w:r>
        <w:rPr>
          <w:rFonts w:eastAsia="仿宋_GB2312"/>
          <w:sz w:val="32"/>
          <w:szCs w:val="32"/>
        </w:rPr>
        <w:t>万元。2022年公务用车购置数</w:t>
      </w:r>
      <w:r>
        <w:rPr>
          <w:rFonts w:eastAsia="仿宋_GB2312"/>
          <w:sz w:val="32"/>
          <w:szCs w:val="32"/>
          <w:lang w:val="zh-CN"/>
        </w:rPr>
        <w:t>0</w:t>
      </w:r>
      <w:r>
        <w:rPr>
          <w:rFonts w:eastAsia="仿宋_GB2312"/>
          <w:sz w:val="32"/>
          <w:szCs w:val="32"/>
        </w:rPr>
        <w:t>台</w:t>
      </w:r>
      <w:r>
        <w:rPr>
          <w:rFonts w:eastAsia="仿宋_GB2312"/>
          <w:b/>
          <w:bCs/>
          <w:color w:val="auto"/>
          <w:sz w:val="32"/>
          <w:szCs w:val="32"/>
        </w:rPr>
        <w:t>。</w:t>
      </w:r>
    </w:p>
    <w:p>
      <w:pPr>
        <w:pStyle w:val="37"/>
        <w:keepNext w:val="0"/>
        <w:keepLines w:val="0"/>
        <w:pageBreakBefore w:val="0"/>
        <w:widowControl w:val="0"/>
        <w:tabs>
          <w:tab w:val="left" w:pos="7560"/>
          <w:tab w:val="left" w:pos="8097"/>
        </w:tabs>
        <w:kinsoku/>
        <w:wordWrap/>
        <w:overflowPunct/>
        <w:topLinePunct w:val="0"/>
        <w:autoSpaceDE/>
        <w:autoSpaceDN/>
        <w:bidi w:val="0"/>
        <w:adjustRightInd/>
        <w:snapToGrid/>
        <w:spacing w:line="560" w:lineRule="exact"/>
        <w:ind w:firstLine="640"/>
        <w:textAlignment w:val="auto"/>
        <w:rPr>
          <w:rFonts w:eastAsia="仿宋_GB2312"/>
          <w:sz w:val="32"/>
          <w:szCs w:val="32"/>
        </w:rPr>
      </w:pPr>
      <w:r>
        <w:rPr>
          <w:rFonts w:eastAsia="仿宋_GB2312"/>
          <w:sz w:val="32"/>
          <w:szCs w:val="32"/>
        </w:rPr>
        <w:t>2022年“三公”经费预算数</w:t>
      </w:r>
      <w:r>
        <w:rPr>
          <w:rFonts w:hint="eastAsia" w:eastAsia="仿宋_GB2312"/>
          <w:sz w:val="32"/>
          <w:szCs w:val="32"/>
          <w:lang w:eastAsia="zh-CN"/>
        </w:rPr>
        <w:t>与上</w:t>
      </w:r>
      <w:r>
        <w:rPr>
          <w:rFonts w:eastAsia="仿宋_GB2312"/>
          <w:sz w:val="32"/>
          <w:szCs w:val="32"/>
        </w:rPr>
        <w:t>年保持一致。</w:t>
      </w:r>
      <w:r>
        <w:tab/>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楷体_GB2312"/>
          <w:bCs/>
          <w:sz w:val="32"/>
          <w:szCs w:val="32"/>
        </w:rPr>
      </w:pPr>
      <w:r>
        <w:rPr>
          <w:rFonts w:eastAsia="楷体_GB2312"/>
          <w:bCs/>
          <w:sz w:val="32"/>
          <w:szCs w:val="32"/>
        </w:rPr>
        <w:t>（六）会议费、培训费预算：</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仿宋_GB2312"/>
          <w:sz w:val="32"/>
          <w:szCs w:val="32"/>
        </w:rPr>
      </w:pPr>
      <w:r>
        <w:rPr>
          <w:rFonts w:eastAsia="仿宋_GB2312"/>
          <w:sz w:val="32"/>
          <w:szCs w:val="32"/>
        </w:rPr>
        <w:t>2022年预算未安排会议费。</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仿宋_GB2312"/>
          <w:sz w:val="32"/>
          <w:szCs w:val="32"/>
        </w:rPr>
      </w:pPr>
      <w:r>
        <w:rPr>
          <w:rFonts w:eastAsia="仿宋_GB2312"/>
          <w:sz w:val="32"/>
          <w:szCs w:val="32"/>
        </w:rPr>
        <w:t>2022年预算未安排培训费。</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仿宋_GB2312"/>
          <w:color w:val="auto"/>
          <w:sz w:val="32"/>
          <w:szCs w:val="32"/>
          <w:u w:val="none"/>
        </w:rPr>
      </w:pPr>
      <w:r>
        <w:rPr>
          <w:rFonts w:eastAsia="楷体_GB2312"/>
          <w:bCs/>
          <w:sz w:val="32"/>
          <w:szCs w:val="32"/>
        </w:rPr>
        <w:t>（七）其他事项。</w:t>
      </w:r>
      <w:r>
        <w:rPr>
          <w:rFonts w:eastAsia="仿宋_GB2312"/>
          <w:color w:val="auto"/>
          <w:sz w:val="32"/>
          <w:szCs w:val="32"/>
          <w:u w:val="none"/>
        </w:rPr>
        <w:t>本单位2022年预算未安排政府性基金收支预算、本单位2022年预算未安排</w:t>
      </w:r>
      <w:r>
        <w:rPr>
          <w:rFonts w:eastAsia="仿宋_GB2312"/>
          <w:color w:val="auto"/>
          <w:sz w:val="32"/>
          <w:szCs w:val="32"/>
          <w:u w:val="none"/>
          <w:lang w:val="zh-CN"/>
        </w:rPr>
        <w:t>国有资本经营</w:t>
      </w:r>
      <w:r>
        <w:rPr>
          <w:rFonts w:eastAsia="仿宋_GB2312"/>
          <w:color w:val="auto"/>
          <w:sz w:val="32"/>
          <w:szCs w:val="32"/>
          <w:u w:val="none"/>
        </w:rPr>
        <w:t>收支预算</w:t>
      </w:r>
      <w:r>
        <w:rPr>
          <w:rFonts w:eastAsia="仿宋_GB2312"/>
          <w:color w:val="auto"/>
          <w:sz w:val="32"/>
          <w:szCs w:val="32"/>
          <w:u w:val="none"/>
          <w:lang w:val="zh-CN"/>
        </w:rPr>
        <w:t>、</w:t>
      </w:r>
      <w:r>
        <w:rPr>
          <w:rFonts w:eastAsia="仿宋_GB2312"/>
          <w:color w:val="auto"/>
          <w:sz w:val="32"/>
          <w:szCs w:val="32"/>
          <w:u w:val="none"/>
        </w:rPr>
        <w:t>本单位2022年预算未安排</w:t>
      </w:r>
      <w:r>
        <w:rPr>
          <w:rFonts w:eastAsia="仿宋_GB2312"/>
          <w:color w:val="auto"/>
          <w:sz w:val="32"/>
          <w:szCs w:val="32"/>
          <w:u w:val="none"/>
          <w:lang w:val="zh-CN"/>
        </w:rPr>
        <w:t>财政专户管理资金</w:t>
      </w:r>
      <w:r>
        <w:rPr>
          <w:rFonts w:eastAsia="仿宋_GB2312"/>
          <w:color w:val="auto"/>
          <w:sz w:val="32"/>
          <w:szCs w:val="32"/>
          <w:u w:val="none"/>
        </w:rPr>
        <w:t>收支预算</w:t>
      </w:r>
      <w:r>
        <w:rPr>
          <w:rFonts w:eastAsia="仿宋_GB2312"/>
          <w:color w:val="auto"/>
          <w:sz w:val="32"/>
          <w:szCs w:val="32"/>
          <w:u w:val="none"/>
          <w:lang w:val="zh-CN"/>
        </w:rPr>
        <w:t>。</w:t>
      </w:r>
      <w:r>
        <w:rPr>
          <w:rFonts w:hint="eastAsia" w:eastAsia="仿宋_GB2312"/>
          <w:color w:val="auto"/>
          <w:sz w:val="32"/>
          <w:szCs w:val="32"/>
          <w:u w:val="none"/>
          <w:lang w:val="zh-CN"/>
        </w:rPr>
        <w:t>本单位无门户网站，统一在政府门户网站上公开。</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eastAsia="仿宋_GB2312"/>
          <w:color w:val="FF0000"/>
          <w:sz w:val="32"/>
          <w:szCs w:val="32"/>
          <w:u w:val="single"/>
        </w:rPr>
      </w:pP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0"/>
        <w:textAlignment w:val="auto"/>
        <w:rPr>
          <w:rFonts w:ascii="黑体" w:hAnsi="黑体" w:eastAsia="黑体"/>
          <w:bCs/>
          <w:sz w:val="32"/>
          <w:szCs w:val="32"/>
        </w:rPr>
      </w:pPr>
      <w:r>
        <w:rPr>
          <w:rFonts w:ascii="黑体" w:hAnsi="黑体" w:eastAsia="黑体"/>
          <w:bCs/>
          <w:sz w:val="32"/>
          <w:szCs w:val="32"/>
        </w:rPr>
        <w:t>八、名词解释</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3"/>
        <w:textAlignment w:val="auto"/>
        <w:rPr>
          <w:rFonts w:eastAsia="仿宋_GB2312"/>
          <w:sz w:val="32"/>
          <w:szCs w:val="32"/>
        </w:rPr>
      </w:pPr>
      <w:r>
        <w:rPr>
          <w:rFonts w:eastAsia="仿宋_GB2312"/>
          <w:b/>
          <w:sz w:val="32"/>
          <w:szCs w:val="32"/>
        </w:rPr>
        <w:t>（一）一般公共预算: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3"/>
        <w:textAlignment w:val="auto"/>
        <w:rPr>
          <w:rFonts w:eastAsia="仿宋_GB2312"/>
          <w:sz w:val="32"/>
          <w:szCs w:val="32"/>
        </w:rPr>
      </w:pPr>
      <w:r>
        <w:rPr>
          <w:rFonts w:eastAsia="仿宋_GB2312"/>
          <w:b/>
          <w:sz w:val="32"/>
          <w:szCs w:val="32"/>
        </w:rPr>
        <w:t>（二）政府性基金预算: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3"/>
        <w:textAlignment w:val="auto"/>
        <w:rPr>
          <w:rFonts w:eastAsia="仿宋_GB2312"/>
          <w:sz w:val="32"/>
          <w:szCs w:val="32"/>
        </w:rPr>
      </w:pPr>
      <w:r>
        <w:rPr>
          <w:rFonts w:eastAsia="仿宋_GB2312"/>
          <w:b/>
          <w:sz w:val="32"/>
          <w:szCs w:val="32"/>
        </w:rPr>
        <w:t xml:space="preserve">（三）国有资本经营预算: </w:t>
      </w:r>
      <w:r>
        <w:rPr>
          <w:rFonts w:eastAsia="仿宋_GB2312"/>
          <w:sz w:val="32"/>
          <w:szCs w:val="32"/>
        </w:rPr>
        <w:t>是对国有资本收益作出支出安排的收支预算。应当按照收支平衡的原则编制，不列赤字，并安排资金调入一般公共预算。</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3"/>
        <w:textAlignment w:val="auto"/>
        <w:rPr>
          <w:rFonts w:eastAsia="仿宋_GB2312"/>
          <w:sz w:val="32"/>
          <w:szCs w:val="32"/>
        </w:rPr>
      </w:pPr>
      <w:r>
        <w:rPr>
          <w:rFonts w:eastAsia="仿宋_GB2312"/>
          <w:b/>
          <w:sz w:val="32"/>
          <w:szCs w:val="32"/>
        </w:rPr>
        <w:t>（四）社会保险基金预算: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pStyle w:val="37"/>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643"/>
        <w:textAlignment w:val="auto"/>
        <w:rPr>
          <w:rFonts w:eastAsia="仿宋_GB2312"/>
          <w:sz w:val="32"/>
          <w:szCs w:val="32"/>
        </w:rPr>
      </w:pPr>
      <w:r>
        <w:rPr>
          <w:rFonts w:eastAsia="仿宋_GB2312"/>
          <w:b/>
          <w:sz w:val="32"/>
          <w:szCs w:val="32"/>
        </w:rPr>
        <w:t>（五）“三公”经费：</w:t>
      </w:r>
      <w:r>
        <w:rPr>
          <w:rFonts w:eastAsia="仿宋_GB2312"/>
          <w:sz w:val="32"/>
          <w:szCs w:val="32"/>
        </w:rPr>
        <w:t>是指商品和服务支出中的因公出国（境）费用、公务用车购置及运行维护费和公务接待费。</w:t>
      </w:r>
    </w:p>
    <w:p>
      <w:pPr>
        <w:pStyle w:val="37"/>
        <w:keepNext w:val="0"/>
        <w:keepLines w:val="0"/>
        <w:pageBreakBefore w:val="0"/>
        <w:widowControl w:val="0"/>
        <w:tabs>
          <w:tab w:val="left" w:pos="7560"/>
        </w:tabs>
        <w:kinsoku/>
        <w:wordWrap/>
        <w:overflowPunct/>
        <w:topLinePunct w:val="0"/>
        <w:autoSpaceDE/>
        <w:autoSpaceDN/>
        <w:adjustRightInd/>
        <w:snapToGrid/>
        <w:spacing w:line="560" w:lineRule="exact"/>
        <w:ind w:firstLine="643"/>
        <w:rPr>
          <w:rFonts w:eastAsia="仿宋_GB2312"/>
          <w:sz w:val="32"/>
          <w:szCs w:val="32"/>
        </w:rPr>
      </w:pPr>
      <w:r>
        <w:rPr>
          <w:rFonts w:eastAsia="仿宋_GB2312"/>
          <w:b/>
          <w:sz w:val="32"/>
          <w:szCs w:val="32"/>
        </w:rPr>
        <w:t>（六）机关运行经费：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sectPr>
      <w:headerReference r:id="rId3" w:type="default"/>
      <w:footerReference r:id="rId4" w:type="default"/>
      <w:footerReference r:id="rId5" w:type="even"/>
      <w:pgSz w:w="11906" w:h="16838"/>
      <w:pgMar w:top="2098" w:right="1531" w:bottom="1985" w:left="1531" w:header="851" w:footer="1588"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10609060101010101"/>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framePr w:wrap="around" w:vAnchor="text" w:hAnchor="margin" w:xAlign="outside" w:y="1"/>
      <w:rPr>
        <w:rStyle w:val="38"/>
        <w:rFonts w:ascii="宋体"/>
        <w:sz w:val="28"/>
        <w:szCs w:val="28"/>
      </w:rPr>
    </w:pPr>
    <w:r>
      <w:rPr>
        <w:rStyle w:val="38"/>
        <w:rFonts w:ascii="宋体"/>
        <w:color w:val="FFFFFF"/>
        <w:sz w:val="28"/>
        <w:szCs w:val="28"/>
      </w:rPr>
      <w:t>—</w:t>
    </w:r>
    <w:r>
      <w:rPr>
        <w:rStyle w:val="38"/>
        <w:rFonts w:ascii="宋体"/>
        <w:sz w:val="28"/>
        <w:szCs w:val="28"/>
      </w:rPr>
      <w:t xml:space="preserve">— </w:t>
    </w:r>
    <w:r>
      <w:rPr>
        <w:rStyle w:val="38"/>
        <w:rFonts w:ascii="宋体"/>
        <w:sz w:val="28"/>
        <w:szCs w:val="28"/>
      </w:rPr>
      <w:fldChar w:fldCharType="begin"/>
    </w:r>
    <w:r>
      <w:rPr>
        <w:rStyle w:val="38"/>
        <w:rFonts w:ascii="宋体"/>
        <w:sz w:val="28"/>
        <w:szCs w:val="28"/>
      </w:rPr>
      <w:instrText xml:space="preserve">PAGE  </w:instrText>
    </w:r>
    <w:r>
      <w:rPr>
        <w:rFonts w:ascii="宋体"/>
        <w:sz w:val="28"/>
        <w:szCs w:val="28"/>
      </w:rPr>
      <w:fldChar w:fldCharType="separate"/>
    </w:r>
    <w:r>
      <w:rPr>
        <w:rStyle w:val="38"/>
        <w:rFonts w:ascii="宋体"/>
        <w:sz w:val="28"/>
        <w:szCs w:val="28"/>
      </w:rPr>
      <w:t>9</w:t>
    </w:r>
    <w:r>
      <w:rPr>
        <w:rFonts w:ascii="宋体"/>
        <w:sz w:val="28"/>
        <w:szCs w:val="28"/>
      </w:rPr>
      <w:fldChar w:fldCharType="end"/>
    </w:r>
    <w:r>
      <w:rPr>
        <w:rStyle w:val="38"/>
        <w:rFonts w:ascii="宋体"/>
        <w:sz w:val="28"/>
        <w:szCs w:val="28"/>
      </w:rPr>
      <w:t xml:space="preserve"> —</w:t>
    </w:r>
    <w:r>
      <w:rPr>
        <w:rStyle w:val="38"/>
        <w:rFonts w:ascii="宋体"/>
        <w:color w:val="FFFFFF"/>
        <w:sz w:val="28"/>
        <w:szCs w:val="28"/>
      </w:rPr>
      <w:t>—</w:t>
    </w:r>
  </w:p>
  <w:p>
    <w:pPr>
      <w:pStyle w:val="4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framePr w:wrap="around" w:vAnchor="text" w:hAnchor="margin" w:xAlign="outside" w:y="1"/>
      <w:rPr>
        <w:rStyle w:val="38"/>
      </w:rPr>
    </w:pPr>
    <w:r>
      <w:rPr>
        <w:rStyle w:val="38"/>
      </w:rPr>
      <w:fldChar w:fldCharType="begin"/>
    </w:r>
    <w:r>
      <w:rPr>
        <w:rStyle w:val="38"/>
      </w:rPr>
      <w:instrText xml:space="preserve">PAGE  </w:instrText>
    </w:r>
    <w:r>
      <w:fldChar w:fldCharType="separate"/>
    </w:r>
    <w:r>
      <w:rPr>
        <w:rStyle w:val="38"/>
      </w:rPr>
      <w:t xml:space="preserve"> </w:t>
    </w:r>
    <w:r>
      <w:fldChar w:fldCharType="end"/>
    </w:r>
  </w:p>
  <w:p>
    <w:pPr>
      <w:pStyle w:val="4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6"/>
      <w:numFmt w:val="chineseCounting"/>
      <w:suff w:val="nothing"/>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00"/>
  <w:drawingGridVerticalSpacing w:val="156"/>
  <w:displayHorizontalDrawingGridEvery w:val="0"/>
  <w:displayVerticalDrawingGridEvery w:val="1"/>
  <w:compat>
    <w:spaceForUL/>
    <w:useFELayout/>
    <w:compatSetting w:name="compatibilityMode" w:uri="http://schemas.microsoft.com/office/word" w:val="14"/>
  </w:compat>
  <w:docVars>
    <w:docVar w:name="commondata" w:val="eyJoZGlkIjoiNTQyMTc4YWYxMTUzOTg0NzQ5ZWY4NmNmMmU1NzNiNTEifQ=="/>
  </w:docVars>
  <w:rsids>
    <w:rsidRoot w:val="00000000"/>
    <w:rsid w:val="148F7029"/>
    <w:rsid w:val="29086C00"/>
    <w:rsid w:val="2E017468"/>
    <w:rsid w:val="33977850"/>
    <w:rsid w:val="39912A04"/>
    <w:rsid w:val="54A95470"/>
    <w:rsid w:val="5F8D5BE9"/>
    <w:rsid w:val="62C05B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Arial"/>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宋体" w:cs="Times New Roman"/>
      <w:sz w:val="20"/>
      <w:szCs w:val="20"/>
      <w:lang w:val="en-US" w:eastAsia="zh-CN" w:bidi="ar-SA"/>
    </w:rPr>
  </w:style>
  <w:style w:type="paragraph" w:styleId="2">
    <w:name w:val="heading 1"/>
    <w:next w:val="1"/>
    <w:qFormat/>
    <w:uiPriority w:val="0"/>
    <w:pPr>
      <w:keepNext/>
      <w:keepLines/>
      <w:spacing w:before="480" w:after="200"/>
      <w:outlineLvl w:val="0"/>
    </w:pPr>
    <w:rPr>
      <w:rFonts w:ascii="Arial" w:hAnsi="Arial" w:eastAsia="Arial" w:cs="Arial"/>
      <w:sz w:val="40"/>
      <w:szCs w:val="40"/>
      <w:lang w:val="en-US" w:eastAsia="zh-CN" w:bidi="ar-SA"/>
    </w:rPr>
  </w:style>
  <w:style w:type="paragraph" w:styleId="3">
    <w:name w:val="heading 2"/>
    <w:next w:val="1"/>
    <w:qFormat/>
    <w:uiPriority w:val="0"/>
    <w:pPr>
      <w:keepNext/>
      <w:keepLines/>
      <w:spacing w:before="360" w:after="200"/>
      <w:outlineLvl w:val="1"/>
    </w:pPr>
    <w:rPr>
      <w:rFonts w:ascii="Arial" w:hAnsi="Arial" w:eastAsia="Arial" w:cs="Arial"/>
      <w:sz w:val="34"/>
      <w:szCs w:val="20"/>
      <w:lang w:val="en-US" w:eastAsia="zh-CN" w:bidi="ar-SA"/>
    </w:rPr>
  </w:style>
  <w:style w:type="paragraph" w:styleId="4">
    <w:name w:val="heading 3"/>
    <w:next w:val="1"/>
    <w:qFormat/>
    <w:uiPriority w:val="0"/>
    <w:pPr>
      <w:keepNext/>
      <w:keepLines/>
      <w:spacing w:before="320" w:after="200"/>
      <w:outlineLvl w:val="2"/>
    </w:pPr>
    <w:rPr>
      <w:rFonts w:ascii="Arial" w:hAnsi="Arial" w:eastAsia="Arial" w:cs="Arial"/>
      <w:sz w:val="30"/>
      <w:szCs w:val="30"/>
      <w:lang w:val="en-US" w:eastAsia="zh-CN" w:bidi="ar-SA"/>
    </w:rPr>
  </w:style>
  <w:style w:type="paragraph" w:styleId="5">
    <w:name w:val="heading 4"/>
    <w:next w:val="1"/>
    <w:qFormat/>
    <w:uiPriority w:val="0"/>
    <w:pPr>
      <w:keepNext/>
      <w:keepLines/>
      <w:spacing w:before="320" w:after="200"/>
      <w:outlineLvl w:val="3"/>
    </w:pPr>
    <w:rPr>
      <w:rFonts w:ascii="Arial" w:hAnsi="Arial" w:eastAsia="Arial" w:cs="Arial"/>
      <w:b/>
      <w:bCs/>
      <w:sz w:val="26"/>
      <w:szCs w:val="26"/>
      <w:lang w:val="en-US" w:eastAsia="zh-CN" w:bidi="ar-SA"/>
    </w:rPr>
  </w:style>
  <w:style w:type="paragraph" w:styleId="6">
    <w:name w:val="heading 5"/>
    <w:next w:val="1"/>
    <w:uiPriority w:val="0"/>
    <w:pPr>
      <w:keepNext/>
      <w:keepLines/>
      <w:spacing w:before="320" w:after="200"/>
      <w:outlineLvl w:val="4"/>
    </w:pPr>
    <w:rPr>
      <w:rFonts w:ascii="Arial" w:hAnsi="Arial" w:eastAsia="Arial" w:cs="Arial"/>
      <w:b/>
      <w:bCs/>
      <w:sz w:val="24"/>
      <w:szCs w:val="24"/>
      <w:lang w:val="en-US" w:eastAsia="zh-CN" w:bidi="ar-SA"/>
    </w:rPr>
  </w:style>
  <w:style w:type="paragraph" w:styleId="7">
    <w:name w:val="heading 6"/>
    <w:next w:val="1"/>
    <w:uiPriority w:val="0"/>
    <w:pPr>
      <w:keepNext/>
      <w:keepLines/>
      <w:spacing w:before="320" w:after="200"/>
      <w:outlineLvl w:val="5"/>
    </w:pPr>
    <w:rPr>
      <w:rFonts w:ascii="Arial" w:hAnsi="Arial" w:eastAsia="Arial" w:cs="Arial"/>
      <w:b/>
      <w:bCs/>
      <w:sz w:val="22"/>
      <w:szCs w:val="22"/>
      <w:lang w:val="en-US" w:eastAsia="zh-CN" w:bidi="ar-SA"/>
    </w:rPr>
  </w:style>
  <w:style w:type="paragraph" w:styleId="8">
    <w:name w:val="heading 7"/>
    <w:next w:val="1"/>
    <w:uiPriority w:val="0"/>
    <w:pPr>
      <w:keepNext/>
      <w:keepLines/>
      <w:spacing w:before="320" w:after="200"/>
      <w:outlineLvl w:val="6"/>
    </w:pPr>
    <w:rPr>
      <w:rFonts w:ascii="Arial" w:hAnsi="Arial" w:eastAsia="Arial" w:cs="Arial"/>
      <w:b/>
      <w:bCs/>
      <w:i/>
      <w:iCs/>
      <w:sz w:val="22"/>
      <w:szCs w:val="22"/>
      <w:lang w:val="en-US" w:eastAsia="zh-CN" w:bidi="ar-SA"/>
    </w:rPr>
  </w:style>
  <w:style w:type="paragraph" w:styleId="9">
    <w:name w:val="heading 8"/>
    <w:next w:val="1"/>
    <w:qFormat/>
    <w:uiPriority w:val="0"/>
    <w:pPr>
      <w:keepNext/>
      <w:keepLines/>
      <w:spacing w:before="320" w:after="200"/>
      <w:outlineLvl w:val="7"/>
    </w:pPr>
    <w:rPr>
      <w:rFonts w:ascii="Arial" w:hAnsi="Arial" w:eastAsia="Arial" w:cs="Arial"/>
      <w:i/>
      <w:iCs/>
      <w:sz w:val="22"/>
      <w:szCs w:val="22"/>
      <w:lang w:val="en-US" w:eastAsia="zh-CN" w:bidi="ar-SA"/>
    </w:rPr>
  </w:style>
  <w:style w:type="paragraph" w:styleId="10">
    <w:name w:val="heading 9"/>
    <w:next w:val="1"/>
    <w:qFormat/>
    <w:uiPriority w:val="0"/>
    <w:pPr>
      <w:keepNext/>
      <w:keepLines/>
      <w:spacing w:before="320" w:after="200"/>
      <w:outlineLvl w:val="8"/>
    </w:pPr>
    <w:rPr>
      <w:rFonts w:ascii="Arial" w:hAnsi="Arial" w:eastAsia="Arial" w:cs="Arial"/>
      <w:i/>
      <w:iCs/>
      <w:sz w:val="21"/>
      <w:szCs w:val="21"/>
      <w:lang w:val="en-US" w:eastAsia="zh-CN" w:bidi="ar-SA"/>
    </w:rPr>
  </w:style>
  <w:style w:type="character" w:default="1" w:styleId="28">
    <w:name w:val="Default Paragraph Font"/>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11">
    <w:name w:val="toc 7"/>
    <w:next w:val="1"/>
    <w:qFormat/>
    <w:uiPriority w:val="0"/>
    <w:pPr>
      <w:spacing w:after="57"/>
      <w:ind w:left="1701" w:right="0" w:firstLine="0"/>
    </w:pPr>
    <w:rPr>
      <w:rFonts w:ascii="Times New Roman" w:hAnsi="Times New Roman" w:eastAsia="宋体" w:cs="Times New Roman"/>
      <w:sz w:val="20"/>
      <w:szCs w:val="20"/>
      <w:lang w:val="en-US" w:eastAsia="zh-CN" w:bidi="ar-SA"/>
    </w:rPr>
  </w:style>
  <w:style w:type="paragraph" w:styleId="12">
    <w:name w:val="caption"/>
    <w:next w:val="1"/>
    <w:qFormat/>
    <w:uiPriority w:val="0"/>
    <w:pPr>
      <w:spacing w:line="276" w:lineRule="auto"/>
    </w:pPr>
    <w:rPr>
      <w:rFonts w:ascii="Times New Roman" w:hAnsi="Times New Roman" w:eastAsia="宋体" w:cs="Times New Roman"/>
      <w:b/>
      <w:bCs/>
      <w:color w:val="4F81BD"/>
      <w:sz w:val="18"/>
      <w:szCs w:val="18"/>
      <w:lang w:val="en-US" w:eastAsia="zh-CN" w:bidi="ar-SA"/>
    </w:rPr>
  </w:style>
  <w:style w:type="paragraph" w:styleId="13">
    <w:name w:val="toc 5"/>
    <w:next w:val="1"/>
    <w:uiPriority w:val="0"/>
    <w:pPr>
      <w:spacing w:after="57"/>
      <w:ind w:left="1134" w:right="0" w:firstLine="0"/>
    </w:pPr>
    <w:rPr>
      <w:rFonts w:ascii="Times New Roman" w:hAnsi="Times New Roman" w:eastAsia="宋体" w:cs="Times New Roman"/>
      <w:sz w:val="20"/>
      <w:szCs w:val="20"/>
      <w:lang w:val="en-US" w:eastAsia="zh-CN" w:bidi="ar-SA"/>
    </w:rPr>
  </w:style>
  <w:style w:type="paragraph" w:styleId="14">
    <w:name w:val="toc 3"/>
    <w:next w:val="1"/>
    <w:uiPriority w:val="0"/>
    <w:pPr>
      <w:spacing w:after="57"/>
      <w:ind w:left="567" w:right="0" w:firstLine="0"/>
    </w:pPr>
    <w:rPr>
      <w:rFonts w:ascii="Times New Roman" w:hAnsi="Times New Roman" w:eastAsia="宋体" w:cs="Times New Roman"/>
      <w:sz w:val="20"/>
      <w:szCs w:val="20"/>
      <w:lang w:val="en-US" w:eastAsia="zh-CN" w:bidi="ar-SA"/>
    </w:rPr>
  </w:style>
  <w:style w:type="paragraph" w:styleId="15">
    <w:name w:val="toc 8"/>
    <w:next w:val="1"/>
    <w:qFormat/>
    <w:uiPriority w:val="0"/>
    <w:pPr>
      <w:spacing w:after="57"/>
      <w:ind w:left="1984" w:right="0" w:firstLine="0"/>
    </w:pPr>
    <w:rPr>
      <w:rFonts w:ascii="Times New Roman" w:hAnsi="Times New Roman" w:eastAsia="宋体" w:cs="Times New Roman"/>
      <w:sz w:val="20"/>
      <w:szCs w:val="20"/>
      <w:lang w:val="en-US" w:eastAsia="zh-CN" w:bidi="ar-SA"/>
    </w:rPr>
  </w:style>
  <w:style w:type="paragraph" w:styleId="16">
    <w:name w:val="endnote text"/>
    <w:qFormat/>
    <w:uiPriority w:val="0"/>
    <w:pPr>
      <w:spacing w:after="0" w:line="240" w:lineRule="auto"/>
    </w:pPr>
    <w:rPr>
      <w:rFonts w:ascii="Times New Roman" w:hAnsi="Times New Roman" w:eastAsia="宋体" w:cs="Times New Roman"/>
      <w:sz w:val="20"/>
      <w:szCs w:val="20"/>
      <w:lang w:val="en-US" w:eastAsia="zh-CN" w:bidi="ar-SA"/>
    </w:rPr>
  </w:style>
  <w:style w:type="paragraph" w:styleId="17">
    <w:name w:val="footer"/>
    <w:qFormat/>
    <w:uiPriority w:val="0"/>
    <w:pPr>
      <w:tabs>
        <w:tab w:val="center" w:pos="7143"/>
        <w:tab w:val="right" w:pos="14287"/>
      </w:tabs>
      <w:spacing w:after="0" w:line="240" w:lineRule="auto"/>
    </w:pPr>
    <w:rPr>
      <w:rFonts w:ascii="Times New Roman" w:hAnsi="Times New Roman" w:eastAsia="宋体" w:cs="Times New Roman"/>
      <w:sz w:val="20"/>
      <w:szCs w:val="20"/>
      <w:lang w:val="en-US" w:eastAsia="zh-CN" w:bidi="ar-SA"/>
    </w:rPr>
  </w:style>
  <w:style w:type="paragraph" w:styleId="18">
    <w:name w:val="header"/>
    <w:qFormat/>
    <w:uiPriority w:val="0"/>
    <w:pPr>
      <w:tabs>
        <w:tab w:val="center" w:pos="7143"/>
        <w:tab w:val="right" w:pos="14287"/>
      </w:tabs>
      <w:spacing w:after="0" w:line="240" w:lineRule="auto"/>
    </w:pPr>
    <w:rPr>
      <w:rFonts w:ascii="Times New Roman" w:hAnsi="Times New Roman" w:eastAsia="宋体" w:cs="Times New Roman"/>
      <w:sz w:val="20"/>
      <w:szCs w:val="20"/>
      <w:lang w:val="en-US" w:eastAsia="zh-CN" w:bidi="ar-SA"/>
    </w:rPr>
  </w:style>
  <w:style w:type="paragraph" w:styleId="19">
    <w:name w:val="toc 1"/>
    <w:next w:val="1"/>
    <w:qFormat/>
    <w:uiPriority w:val="0"/>
    <w:pPr>
      <w:spacing w:after="57"/>
      <w:ind w:left="0" w:right="0" w:firstLine="0"/>
    </w:pPr>
    <w:rPr>
      <w:rFonts w:ascii="Times New Roman" w:hAnsi="Times New Roman" w:eastAsia="宋体" w:cs="Times New Roman"/>
      <w:sz w:val="20"/>
      <w:szCs w:val="20"/>
      <w:lang w:val="en-US" w:eastAsia="zh-CN" w:bidi="ar-SA"/>
    </w:rPr>
  </w:style>
  <w:style w:type="paragraph" w:styleId="20">
    <w:name w:val="toc 4"/>
    <w:next w:val="1"/>
    <w:qFormat/>
    <w:uiPriority w:val="0"/>
    <w:pPr>
      <w:spacing w:after="57"/>
      <w:ind w:left="850" w:right="0" w:firstLine="0"/>
    </w:pPr>
    <w:rPr>
      <w:rFonts w:ascii="Times New Roman" w:hAnsi="Times New Roman" w:eastAsia="宋体" w:cs="Times New Roman"/>
      <w:sz w:val="20"/>
      <w:szCs w:val="20"/>
      <w:lang w:val="en-US" w:eastAsia="zh-CN" w:bidi="ar-SA"/>
    </w:rPr>
  </w:style>
  <w:style w:type="paragraph" w:styleId="21">
    <w:name w:val="Subtitle"/>
    <w:qFormat/>
    <w:uiPriority w:val="0"/>
    <w:pPr>
      <w:spacing w:before="200" w:after="200"/>
    </w:pPr>
    <w:rPr>
      <w:rFonts w:ascii="Times New Roman" w:hAnsi="Times New Roman" w:eastAsia="宋体" w:cs="Times New Roman"/>
      <w:sz w:val="24"/>
      <w:szCs w:val="24"/>
      <w:lang w:val="en-US" w:eastAsia="zh-CN" w:bidi="ar-SA"/>
    </w:rPr>
  </w:style>
  <w:style w:type="paragraph" w:styleId="22">
    <w:name w:val="footnote text"/>
    <w:qFormat/>
    <w:uiPriority w:val="0"/>
    <w:pPr>
      <w:spacing w:after="40" w:line="240" w:lineRule="auto"/>
    </w:pPr>
    <w:rPr>
      <w:rFonts w:ascii="Times New Roman" w:hAnsi="Times New Roman" w:eastAsia="宋体" w:cs="Times New Roman"/>
      <w:sz w:val="18"/>
      <w:szCs w:val="20"/>
      <w:lang w:val="en-US" w:eastAsia="zh-CN" w:bidi="ar-SA"/>
    </w:rPr>
  </w:style>
  <w:style w:type="paragraph" w:styleId="23">
    <w:name w:val="toc 6"/>
    <w:next w:val="1"/>
    <w:qFormat/>
    <w:uiPriority w:val="0"/>
    <w:pPr>
      <w:spacing w:after="57"/>
      <w:ind w:left="1417" w:right="0" w:firstLine="0"/>
    </w:pPr>
    <w:rPr>
      <w:rFonts w:ascii="Times New Roman" w:hAnsi="Times New Roman" w:eastAsia="宋体" w:cs="Times New Roman"/>
      <w:sz w:val="20"/>
      <w:szCs w:val="20"/>
      <w:lang w:val="en-US" w:eastAsia="zh-CN" w:bidi="ar-SA"/>
    </w:rPr>
  </w:style>
  <w:style w:type="paragraph" w:styleId="24">
    <w:name w:val="toc 2"/>
    <w:next w:val="1"/>
    <w:qFormat/>
    <w:uiPriority w:val="0"/>
    <w:pPr>
      <w:spacing w:after="57"/>
      <w:ind w:left="283" w:right="0" w:firstLine="0"/>
    </w:pPr>
    <w:rPr>
      <w:rFonts w:ascii="Times New Roman" w:hAnsi="Times New Roman" w:eastAsia="宋体" w:cs="Times New Roman"/>
      <w:sz w:val="20"/>
      <w:szCs w:val="20"/>
      <w:lang w:val="en-US" w:eastAsia="zh-CN" w:bidi="ar-SA"/>
    </w:rPr>
  </w:style>
  <w:style w:type="paragraph" w:styleId="25">
    <w:name w:val="toc 9"/>
    <w:next w:val="1"/>
    <w:qFormat/>
    <w:uiPriority w:val="0"/>
    <w:pPr>
      <w:spacing w:after="57"/>
      <w:ind w:left="2268" w:right="0" w:firstLine="0"/>
    </w:pPr>
    <w:rPr>
      <w:rFonts w:ascii="Times New Roman" w:hAnsi="Times New Roman" w:eastAsia="宋体" w:cs="Times New Roman"/>
      <w:sz w:val="20"/>
      <w:szCs w:val="20"/>
      <w:lang w:val="en-US" w:eastAsia="zh-CN" w:bidi="ar-SA"/>
    </w:rPr>
  </w:style>
  <w:style w:type="paragraph" w:styleId="26">
    <w:name w:val="Title"/>
    <w:qFormat/>
    <w:uiPriority w:val="0"/>
    <w:pPr>
      <w:spacing w:before="300" w:after="200"/>
      <w:contextualSpacing/>
    </w:pPr>
    <w:rPr>
      <w:rFonts w:ascii="Times New Roman" w:hAnsi="Times New Roman" w:eastAsia="宋体" w:cs="Times New Roman"/>
      <w:sz w:val="48"/>
      <w:szCs w:val="48"/>
      <w:lang w:val="en-US" w:eastAsia="zh-CN" w:bidi="ar-SA"/>
    </w:rPr>
  </w:style>
  <w:style w:type="character" w:styleId="29">
    <w:name w:val="endnote reference"/>
    <w:qFormat/>
    <w:uiPriority w:val="0"/>
    <w:rPr>
      <w:vertAlign w:val="superscript"/>
    </w:rPr>
  </w:style>
  <w:style w:type="character" w:styleId="30">
    <w:name w:val="Hyperlink"/>
    <w:qFormat/>
    <w:uiPriority w:val="0"/>
    <w:rPr>
      <w:color w:val="0000FF"/>
      <w:u w:val="single"/>
    </w:rPr>
  </w:style>
  <w:style w:type="character" w:styleId="31">
    <w:name w:val="footnote reference"/>
    <w:qFormat/>
    <w:uiPriority w:val="0"/>
    <w:rPr>
      <w:vertAlign w:val="superscript"/>
    </w:rPr>
  </w:style>
  <w:style w:type="paragraph" w:styleId="32">
    <w:name w:val="List Paragraph"/>
    <w:qFormat/>
    <w:uiPriority w:val="0"/>
    <w:pPr>
      <w:ind w:left="720"/>
      <w:contextualSpacing/>
    </w:pPr>
    <w:rPr>
      <w:rFonts w:ascii="Times New Roman" w:hAnsi="Times New Roman" w:eastAsia="宋体" w:cs="Times New Roman"/>
      <w:sz w:val="20"/>
      <w:szCs w:val="20"/>
      <w:lang w:val="en-US" w:eastAsia="zh-CN" w:bidi="ar-SA"/>
    </w:rPr>
  </w:style>
  <w:style w:type="paragraph" w:styleId="33">
    <w:name w:val="No Spacing"/>
    <w:qFormat/>
    <w:uiPriority w:val="0"/>
    <w:pPr>
      <w:spacing w:before="0" w:after="0" w:line="240" w:lineRule="auto"/>
    </w:pPr>
    <w:rPr>
      <w:rFonts w:ascii="Times New Roman" w:hAnsi="Times New Roman" w:eastAsia="宋体" w:cs="Times New Roman"/>
      <w:sz w:val="20"/>
      <w:szCs w:val="20"/>
      <w:lang w:val="en-US" w:eastAsia="zh-CN" w:bidi="ar-SA"/>
    </w:rPr>
  </w:style>
  <w:style w:type="paragraph" w:styleId="34">
    <w:name w:val="Quote"/>
    <w:qFormat/>
    <w:uiPriority w:val="0"/>
    <w:pPr>
      <w:ind w:left="720" w:right="720"/>
    </w:pPr>
    <w:rPr>
      <w:rFonts w:ascii="Times New Roman" w:hAnsi="Times New Roman" w:eastAsia="宋体" w:cs="Times New Roman"/>
      <w:i/>
      <w:sz w:val="20"/>
      <w:szCs w:val="20"/>
      <w:lang w:val="en-US" w:eastAsia="zh-CN" w:bidi="ar-SA"/>
    </w:rPr>
  </w:style>
  <w:style w:type="paragraph" w:styleId="35">
    <w:name w:val="Intense Quote"/>
    <w:qFormat/>
    <w:uiPriority w:val="0"/>
    <w:pPr>
      <w:pBdr>
        <w:top w:val="single" w:color="FFFFFF" w:sz="4" w:space="5"/>
        <w:left w:val="single" w:color="FFFFFF" w:sz="4" w:space="10"/>
        <w:bottom w:val="single" w:color="FFFFFF" w:sz="4" w:space="5"/>
        <w:right w:val="single" w:color="FFFFFF" w:sz="4" w:space="10"/>
      </w:pBdr>
      <w:shd w:val="clear" w:color="F2F2F2" w:fill="F2F2F2"/>
      <w:ind w:left="720" w:right="720"/>
      <w:contextualSpacing w:val="0"/>
    </w:pPr>
    <w:rPr>
      <w:rFonts w:ascii="Times New Roman" w:hAnsi="Times New Roman" w:eastAsia="宋体" w:cs="Times New Roman"/>
      <w:i/>
      <w:sz w:val="20"/>
      <w:szCs w:val="20"/>
      <w:lang w:val="en-US" w:eastAsia="zh-CN" w:bidi="ar-SA"/>
    </w:rPr>
  </w:style>
  <w:style w:type="paragraph" w:customStyle="1" w:styleId="36">
    <w:name w:val="TOC Heading"/>
    <w:qFormat/>
    <w:uiPriority w:val="0"/>
    <w:rPr>
      <w:rFonts w:ascii="Times New Roman" w:hAnsi="Times New Roman" w:eastAsia="宋体" w:cs="Times New Roman"/>
      <w:sz w:val="20"/>
      <w:szCs w:val="20"/>
      <w:lang w:val="en-US" w:eastAsia="zh-CN" w:bidi="ar-SA"/>
    </w:rPr>
  </w:style>
  <w:style w:type="paragraph" w:customStyle="1" w:styleId="37">
    <w:name w:val="正文1"/>
    <w:link w:val="38"/>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38">
    <w:name w:val="正文1 Char"/>
    <w:basedOn w:val="28"/>
    <w:link w:val="37"/>
    <w:qFormat/>
    <w:uiPriority w:val="0"/>
    <w:rPr>
      <w:rFonts w:ascii="Times New Roman" w:hAnsi="Times New Roman" w:eastAsia="宋体" w:cs="Times New Roman"/>
      <w:sz w:val="21"/>
      <w:szCs w:val="24"/>
      <w:lang w:val="en-US" w:eastAsia="zh-CN" w:bidi="ar-SA"/>
    </w:rPr>
  </w:style>
  <w:style w:type="paragraph" w:customStyle="1" w:styleId="39">
    <w:name w:val="日期1"/>
    <w:basedOn w:val="37"/>
    <w:next w:val="37"/>
    <w:qFormat/>
    <w:uiPriority w:val="0"/>
    <w:pPr>
      <w:ind w:left="100"/>
    </w:pPr>
  </w:style>
  <w:style w:type="paragraph" w:customStyle="1" w:styleId="40">
    <w:name w:val="纯文本1"/>
    <w:basedOn w:val="37"/>
    <w:qFormat/>
    <w:uiPriority w:val="0"/>
    <w:rPr>
      <w:rFonts w:ascii="宋体" w:hAnsi="Courier New"/>
    </w:rPr>
  </w:style>
  <w:style w:type="paragraph" w:customStyle="1" w:styleId="41">
    <w:name w:val="普通(网站)1"/>
    <w:basedOn w:val="37"/>
    <w:qFormat/>
    <w:uiPriority w:val="0"/>
    <w:pPr>
      <w:widowControl/>
      <w:spacing w:before="100" w:beforeAutospacing="1" w:after="100" w:afterAutospacing="1"/>
      <w:jc w:val="left"/>
    </w:pPr>
    <w:rPr>
      <w:rFonts w:ascii="宋体"/>
      <w:color w:val="000000"/>
      <w:sz w:val="24"/>
    </w:rPr>
  </w:style>
  <w:style w:type="paragraph" w:customStyle="1" w:styleId="42">
    <w:name w:val="批注框文本1"/>
    <w:basedOn w:val="37"/>
    <w:qFormat/>
    <w:uiPriority w:val="0"/>
    <w:rPr>
      <w:sz w:val="18"/>
      <w:szCs w:val="18"/>
    </w:rPr>
  </w:style>
  <w:style w:type="paragraph" w:customStyle="1" w:styleId="43">
    <w:name w:val="正文文本缩进1"/>
    <w:basedOn w:val="37"/>
    <w:qFormat/>
    <w:uiPriority w:val="0"/>
    <w:pPr>
      <w:spacing w:line="360" w:lineRule="auto"/>
      <w:ind w:firstLine="200"/>
    </w:pPr>
    <w:rPr>
      <w:rFonts w:ascii="方正仿宋_GBK" w:eastAsia="方正仿宋_GBK"/>
      <w:sz w:val="30"/>
    </w:rPr>
  </w:style>
  <w:style w:type="paragraph" w:customStyle="1" w:styleId="44">
    <w:name w:val="正文文本1"/>
    <w:basedOn w:val="37"/>
    <w:qFormat/>
    <w:uiPriority w:val="0"/>
    <w:pPr>
      <w:spacing w:line="400" w:lineRule="atLeast"/>
    </w:pPr>
    <w:rPr>
      <w:rFonts w:ascii="楷体_GB2312" w:eastAsia="楷体_GB2312"/>
      <w:sz w:val="32"/>
    </w:rPr>
  </w:style>
  <w:style w:type="paragraph" w:customStyle="1" w:styleId="45">
    <w:name w:val="页眉1"/>
    <w:basedOn w:val="37"/>
    <w:qFormat/>
    <w:uiPriority w:val="0"/>
    <w:pPr>
      <w:pBdr>
        <w:bottom w:val="single" w:color="000000" w:sz="6" w:space="1"/>
      </w:pBdr>
      <w:tabs>
        <w:tab w:val="center" w:pos="4153"/>
        <w:tab w:val="right" w:pos="8306"/>
      </w:tabs>
      <w:jc w:val="center"/>
    </w:pPr>
    <w:rPr>
      <w:sz w:val="18"/>
      <w:szCs w:val="18"/>
    </w:rPr>
  </w:style>
  <w:style w:type="paragraph" w:customStyle="1" w:styleId="46">
    <w:name w:val="页脚1"/>
    <w:basedOn w:val="37"/>
    <w:qFormat/>
    <w:uiPriority w:val="0"/>
    <w:pPr>
      <w:tabs>
        <w:tab w:val="center" w:pos="4153"/>
        <w:tab w:val="right" w:pos="8306"/>
      </w:tabs>
      <w:jc w:val="left"/>
    </w:pPr>
    <w:rPr>
      <w:sz w:val="18"/>
      <w:szCs w:val="18"/>
    </w:rPr>
  </w:style>
  <w:style w:type="paragraph" w:customStyle="1" w:styleId="47">
    <w:name w:val="正文缩进1"/>
    <w:basedOn w:val="37"/>
    <w:qFormat/>
    <w:uiPriority w:val="0"/>
    <w:pPr>
      <w:ind w:firstLine="420"/>
    </w:pPr>
    <w:rPr>
      <w:rFonts w:ascii="Calibri" w:hAnsi="Calibr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2974</Words>
  <Characters>3196</Characters>
  <Lines>0</Lines>
  <Paragraphs>122</Paragraphs>
  <TotalTime>8</TotalTime>
  <ScaleCrop>false</ScaleCrop>
  <LinksUpToDate>false</LinksUpToDate>
  <CharactersWithSpaces>3234</CharactersWithSpaces>
  <Application>WPS Office_11.1.0.10009_F1E327BC-269C-435d-A152-05C5408002CA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2023-06-19T01:10:00Z</dcterms:created>
  <dc:creator>yj</dc:creator>
  <cp:lastModifiedBy>洛</cp:lastModifiedBy>
  <dcterms:modified xsi:type="dcterms:W3CDTF">2023-09-23T12:59:06Z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399CE117064349CEA2368AC2B6A2E819</vt:lpwstr>
  </property>
</Properties>
</file>