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kinsoku/>
        <w:wordWrap/>
        <w:overflowPunct/>
        <w:topLinePunct w:val="0"/>
        <w:bidi w:val="0"/>
        <w:adjustRightInd/>
        <w:snapToGrid/>
        <w:spacing w:before="0" w:after="0" w:line="600" w:lineRule="exact"/>
        <w:ind w:right="46"/>
        <w:jc w:val="center"/>
        <w:textAlignment w:val="auto"/>
        <w:rPr>
          <w:rFonts w:hint="eastAsia" w:ascii="Times New Roman" w:hAnsi="Times New Roman" w:eastAsia="方正大标宋简体" w:cs="Times New Roman"/>
          <w:color w:val="auto"/>
          <w:spacing w:val="0"/>
          <w:kern w:val="2"/>
          <w:sz w:val="44"/>
          <w:szCs w:val="44"/>
          <w:lang w:val="en-US" w:eastAsia="zh-CN" w:bidi="ar-SA"/>
        </w:rPr>
      </w:pPr>
      <w:r>
        <w:rPr>
          <w:rFonts w:hint="eastAsia" w:ascii="Times New Roman" w:hAnsi="Times New Roman" w:eastAsia="方正大标宋简体" w:cs="Times New Roman"/>
          <w:color w:val="auto"/>
          <w:spacing w:val="0"/>
          <w:kern w:val="2"/>
          <w:sz w:val="44"/>
          <w:szCs w:val="44"/>
          <w:lang w:val="en-US" w:eastAsia="zh-CN" w:bidi="ar-SA"/>
        </w:rPr>
        <w:t>株洲市石峰区政府投资项目管理实施细则</w:t>
      </w:r>
    </w:p>
    <w:p>
      <w:pPr>
        <w:pStyle w:val="2"/>
        <w:keepNext w:val="0"/>
        <w:keepLines w:val="0"/>
        <w:pageBreakBefore w:val="0"/>
        <w:widowControl w:val="0"/>
        <w:shd w:val="clear"/>
        <w:kinsoku/>
        <w:wordWrap/>
        <w:overflowPunct/>
        <w:topLinePunct w:val="0"/>
        <w:bidi w:val="0"/>
        <w:adjustRightInd/>
        <w:snapToGrid/>
        <w:spacing w:before="0" w:after="0" w:line="600" w:lineRule="exact"/>
        <w:ind w:right="46"/>
        <w:jc w:val="center"/>
        <w:textAlignment w:val="auto"/>
        <w:rPr>
          <w:rFonts w:hint="eastAsia" w:ascii="Times New Roman" w:hAnsi="Times New Roman" w:eastAsia="方正大标宋简体" w:cs="Times New Roman"/>
          <w:color w:val="auto"/>
          <w:spacing w:val="0"/>
          <w:kern w:val="2"/>
          <w:sz w:val="44"/>
          <w:szCs w:val="44"/>
          <w:lang w:val="en-US" w:eastAsia="zh-CN" w:bidi="ar-SA"/>
        </w:rPr>
      </w:pPr>
      <w:r>
        <w:rPr>
          <w:rFonts w:hint="eastAsia" w:ascii="Times New Roman" w:hAnsi="Times New Roman" w:eastAsia="方正大标宋简体" w:cs="Times New Roman"/>
          <w:color w:val="auto"/>
          <w:spacing w:val="0"/>
          <w:kern w:val="2"/>
          <w:sz w:val="44"/>
          <w:szCs w:val="44"/>
          <w:lang w:val="en-US" w:eastAsia="zh-CN" w:bidi="ar-SA"/>
        </w:rPr>
        <w:t>（征求意见稿）</w:t>
      </w:r>
    </w:p>
    <w:p>
      <w:pPr>
        <w:keepNext w:val="0"/>
        <w:keepLines w:val="0"/>
        <w:pageBreakBefore w:val="0"/>
        <w:widowControl w:val="0"/>
        <w:shd w:val="clear"/>
        <w:kinsoku/>
        <w:wordWrap/>
        <w:overflowPunct/>
        <w:topLinePunct w:val="0"/>
        <w:bidi w:val="0"/>
        <w:spacing w:before="0" w:after="0" w:line="600" w:lineRule="exact"/>
        <w:textAlignment w:val="auto"/>
        <w:rPr>
          <w:rFonts w:hint="eastAsia" w:ascii="Times New Roman" w:hAnsi="Times New Roman"/>
          <w:color w:val="auto"/>
          <w:spacing w:val="0"/>
          <w:sz w:val="48"/>
          <w:szCs w:val="48"/>
          <w:lang w:val="en-US" w:eastAsia="zh-CN"/>
        </w:rPr>
      </w:pPr>
    </w:p>
    <w:p>
      <w:pPr>
        <w:pStyle w:val="5"/>
        <w:keepNext w:val="0"/>
        <w:keepLines w:val="0"/>
        <w:pageBreakBefore w:val="0"/>
        <w:widowControl w:val="0"/>
        <w:shd w:val="clear"/>
        <w:kinsoku/>
        <w:wordWrap/>
        <w:overflowPunct/>
        <w:topLinePunct w:val="0"/>
        <w:bidi w:val="0"/>
        <w:adjustRightInd/>
        <w:snapToGrid/>
        <w:spacing w:before="0" w:after="0" w:line="600" w:lineRule="exact"/>
        <w:ind w:left="0" w:leftChars="0" w:right="0" w:firstLine="643" w:firstLineChars="200"/>
        <w:jc w:val="both"/>
        <w:textAlignment w:val="auto"/>
        <w:rPr>
          <w:rFonts w:hint="eastAsia" w:ascii="Times New Roman" w:hAnsi="Times New Roman" w:eastAsia="仿宋_GB2312" w:cs="仿宋_GB2312"/>
          <w:color w:val="auto"/>
          <w:spacing w:val="0"/>
          <w:sz w:val="32"/>
          <w:szCs w:val="32"/>
          <w:lang w:val="zh-CN" w:eastAsia="zh-CN"/>
        </w:rPr>
      </w:pPr>
      <w:r>
        <w:rPr>
          <w:rFonts w:hint="eastAsia" w:ascii="Times New Roman" w:hAnsi="Times New Roman" w:eastAsia="黑体" w:cs="黑体"/>
          <w:b/>
          <w:color w:val="auto"/>
          <w:spacing w:val="0"/>
          <w:sz w:val="32"/>
          <w:szCs w:val="32"/>
          <w:u w:val="none"/>
          <w:lang w:val="zh-CN" w:eastAsia="zh-CN" w:bidi="zh-CN"/>
        </w:rPr>
        <w:t>第一条</w:t>
      </w:r>
      <w:r>
        <w:rPr>
          <w:rFonts w:hint="eastAsia" w:ascii="Times New Roman" w:hAnsi="Times New Roman" w:eastAsia="黑体" w:cs="黑体"/>
          <w:b/>
          <w:color w:val="auto"/>
          <w:spacing w:val="0"/>
          <w:sz w:val="32"/>
          <w:szCs w:val="32"/>
          <w:u w:val="none"/>
          <w:lang w:val="en-US" w:eastAsia="zh-CN" w:bidi="zh-CN"/>
        </w:rPr>
        <w:t xml:space="preserve">  </w:t>
      </w:r>
      <w:r>
        <w:rPr>
          <w:rFonts w:hint="eastAsia" w:ascii="Times New Roman" w:hAnsi="Times New Roman" w:eastAsia="仿宋_GB2312" w:cs="仿宋_GB2312"/>
          <w:color w:val="auto"/>
          <w:spacing w:val="0"/>
          <w:sz w:val="32"/>
          <w:szCs w:val="32"/>
          <w:lang w:eastAsia="zh-CN"/>
        </w:rPr>
        <w:t>为进一步加强我区政府投资项目成本管控，节约财政资金，提高投资效益，根据《</w:t>
      </w:r>
      <w:r>
        <w:rPr>
          <w:rFonts w:hint="eastAsia" w:ascii="Times New Roman" w:hAnsi="Times New Roman" w:eastAsia="仿宋_GB2312" w:cs="仿宋_GB2312"/>
          <w:color w:val="auto"/>
          <w:spacing w:val="0"/>
          <w:sz w:val="32"/>
          <w:szCs w:val="32"/>
          <w:lang w:val="en-US" w:eastAsia="zh-CN"/>
        </w:rPr>
        <w:t>政府投资条例</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国令第712号</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株洲市政府投资项目成本控制管理暂行办法</w:t>
      </w:r>
      <w:r>
        <w:rPr>
          <w:rFonts w:hint="eastAsia" w:ascii="Times New Roman" w:hAnsi="Times New Roman" w:eastAsia="仿宋_GB2312" w:cs="仿宋_GB2312"/>
          <w:color w:val="auto"/>
          <w:spacing w:val="0"/>
          <w:sz w:val="32"/>
          <w:szCs w:val="32"/>
          <w:lang w:eastAsia="zh-CN"/>
        </w:rPr>
        <w:t>》（株政</w:t>
      </w:r>
      <w:r>
        <w:rPr>
          <w:rFonts w:hint="eastAsia" w:ascii="Times New Roman" w:hAnsi="Times New Roman" w:eastAsia="仿宋_GB2312" w:cs="仿宋_GB2312"/>
          <w:color w:val="auto"/>
          <w:spacing w:val="0"/>
          <w:sz w:val="32"/>
          <w:szCs w:val="32"/>
          <w:lang w:val="en-US" w:eastAsia="zh-CN"/>
        </w:rPr>
        <w:t>办</w:t>
      </w:r>
      <w:r>
        <w:rPr>
          <w:rFonts w:hint="eastAsia" w:ascii="Times New Roman" w:hAnsi="Times New Roman" w:eastAsia="仿宋_GB2312" w:cs="仿宋_GB2312"/>
          <w:color w:val="auto"/>
          <w:spacing w:val="0"/>
          <w:sz w:val="32"/>
          <w:szCs w:val="32"/>
          <w:lang w:eastAsia="zh-CN"/>
        </w:rPr>
        <w:t>发〔</w:t>
      </w:r>
      <w:bookmarkStart w:id="0" w:name="_GoBack"/>
      <w:bookmarkEnd w:id="0"/>
      <w:r>
        <w:rPr>
          <w:rFonts w:hint="eastAsia" w:ascii="Times New Roman" w:hAnsi="Times New Roman" w:eastAsia="仿宋_GB2312" w:cs="仿宋_GB2312"/>
          <w:color w:val="auto"/>
          <w:spacing w:val="0"/>
          <w:sz w:val="32"/>
          <w:szCs w:val="32"/>
          <w:lang w:eastAsia="zh-CN"/>
        </w:rPr>
        <w:t>20</w:t>
      </w:r>
      <w:r>
        <w:rPr>
          <w:rFonts w:hint="eastAsia" w:ascii="Times New Roman" w:hAnsi="Times New Roman" w:eastAsia="仿宋_GB2312" w:cs="仿宋_GB2312"/>
          <w:color w:val="auto"/>
          <w:spacing w:val="0"/>
          <w:sz w:val="32"/>
          <w:szCs w:val="32"/>
          <w:lang w:val="en-US" w:eastAsia="zh-CN"/>
        </w:rPr>
        <w:t>21</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17</w:t>
      </w:r>
      <w:r>
        <w:rPr>
          <w:rFonts w:hint="eastAsia" w:ascii="Times New Roman" w:hAnsi="Times New Roman" w:eastAsia="仿宋_GB2312" w:cs="仿宋_GB2312"/>
          <w:color w:val="auto"/>
          <w:spacing w:val="0"/>
          <w:sz w:val="32"/>
          <w:szCs w:val="32"/>
          <w:lang w:eastAsia="zh-CN"/>
        </w:rPr>
        <w:t>号）</w:t>
      </w:r>
      <w:r>
        <w:rPr>
          <w:rFonts w:hint="eastAsia" w:ascii="Times New Roman" w:hAnsi="Times New Roman" w:eastAsia="仿宋_GB2312" w:cs="仿宋_GB2312"/>
          <w:color w:val="auto"/>
          <w:spacing w:val="0"/>
          <w:sz w:val="32"/>
          <w:szCs w:val="32"/>
          <w:lang w:eastAsia="zh-CN"/>
        </w:rPr>
        <w:t>和</w:t>
      </w:r>
      <w:r>
        <w:rPr>
          <w:rFonts w:hint="eastAsia" w:ascii="Times New Roman" w:hAnsi="Times New Roman" w:eastAsia="仿宋_GB2312" w:cs="仿宋_GB2312"/>
          <w:color w:val="auto"/>
          <w:spacing w:val="0"/>
          <w:sz w:val="32"/>
          <w:szCs w:val="32"/>
          <w:lang w:eastAsia="zh-CN"/>
        </w:rPr>
        <w:t>《株洲市政府投资管理办法》（株政发〔20</w:t>
      </w:r>
      <w:r>
        <w:rPr>
          <w:rFonts w:hint="eastAsia" w:ascii="Times New Roman" w:hAnsi="Times New Roman" w:eastAsia="仿宋_GB2312" w:cs="仿宋_GB2312"/>
          <w:color w:val="auto"/>
          <w:spacing w:val="0"/>
          <w:sz w:val="32"/>
          <w:szCs w:val="32"/>
          <w:lang w:val="en-US" w:eastAsia="zh-CN"/>
        </w:rPr>
        <w:t>22</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8</w:t>
      </w:r>
      <w:r>
        <w:rPr>
          <w:rFonts w:hint="eastAsia" w:ascii="Times New Roman" w:hAnsi="Times New Roman" w:eastAsia="仿宋_GB2312" w:cs="仿宋_GB2312"/>
          <w:color w:val="auto"/>
          <w:spacing w:val="0"/>
          <w:sz w:val="32"/>
          <w:szCs w:val="32"/>
          <w:lang w:eastAsia="zh-CN"/>
        </w:rPr>
        <w:t>号）等</w:t>
      </w:r>
      <w:r>
        <w:rPr>
          <w:rFonts w:hint="eastAsia" w:ascii="Times New Roman" w:hAnsi="Times New Roman" w:eastAsia="仿宋_GB2312" w:cs="仿宋_GB2312"/>
          <w:color w:val="auto"/>
          <w:spacing w:val="0"/>
          <w:sz w:val="32"/>
          <w:szCs w:val="32"/>
          <w:lang w:val="en-US" w:eastAsia="zh-CN"/>
        </w:rPr>
        <w:t>规章</w:t>
      </w:r>
      <w:r>
        <w:rPr>
          <w:rFonts w:hint="eastAsia" w:ascii="Times New Roman" w:hAnsi="Times New Roman" w:eastAsia="仿宋_GB2312" w:cs="仿宋_GB2312"/>
          <w:color w:val="auto"/>
          <w:spacing w:val="0"/>
          <w:sz w:val="32"/>
          <w:szCs w:val="32"/>
          <w:lang w:val="zh-CN" w:eastAsia="zh-CN"/>
        </w:rPr>
        <w:t>，制定本实施细则。</w:t>
      </w:r>
    </w:p>
    <w:p>
      <w:pPr>
        <w:keepNext w:val="0"/>
        <w:keepLines w:val="0"/>
        <w:pageBreakBefore w:val="0"/>
        <w:widowControl w:val="0"/>
        <w:shd w:val="clear"/>
        <w:kinsoku/>
        <w:wordWrap/>
        <w:overflowPunct/>
        <w:topLinePunct w:val="0"/>
        <w:bidi w:val="0"/>
        <w:adjustRightInd/>
        <w:snapToGrid/>
        <w:spacing w:before="0" w:after="0" w:line="600" w:lineRule="exact"/>
        <w:ind w:left="0" w:leftChars="0" w:right="0" w:firstLine="643" w:firstLineChars="200"/>
        <w:jc w:val="both"/>
        <w:textAlignment w:val="auto"/>
        <w:rPr>
          <w:rFonts w:hint="default" w:ascii="Times New Roman" w:hAnsi="Times New Roman" w:eastAsia="仿宋_GB2312" w:cs="仿宋_GB2312"/>
          <w:color w:val="auto"/>
          <w:spacing w:val="0"/>
          <w:sz w:val="32"/>
          <w:szCs w:val="32"/>
          <w:lang w:val="en-US" w:eastAsia="zh-CN" w:bidi="zh-CN"/>
        </w:rPr>
      </w:pPr>
      <w:r>
        <w:rPr>
          <w:rFonts w:hint="eastAsia" w:ascii="Times New Roman" w:hAnsi="Times New Roman" w:eastAsia="黑体" w:cs="黑体"/>
          <w:b/>
          <w:color w:val="auto"/>
          <w:spacing w:val="0"/>
          <w:sz w:val="32"/>
          <w:szCs w:val="32"/>
          <w:u w:val="none"/>
          <w:lang w:val="zh-CN" w:eastAsia="zh-CN" w:bidi="zh-CN"/>
        </w:rPr>
        <w:t>第二条</w:t>
      </w:r>
      <w:r>
        <w:rPr>
          <w:rFonts w:hint="eastAsia" w:ascii="Times New Roman" w:hAnsi="Times New Roman" w:eastAsia="黑体" w:cs="黑体"/>
          <w:b/>
          <w:color w:val="auto"/>
          <w:spacing w:val="0"/>
          <w:sz w:val="32"/>
          <w:szCs w:val="32"/>
          <w:u w:val="none"/>
          <w:lang w:val="en-US" w:eastAsia="zh-CN" w:bidi="zh-CN"/>
        </w:rPr>
        <w:t xml:space="preserve"> </w:t>
      </w:r>
      <w:r>
        <w:rPr>
          <w:rFonts w:hint="eastAsia" w:ascii="Times New Roman" w:hAnsi="Times New Roman" w:cs="宋体"/>
          <w:b/>
          <w:bCs/>
          <w:color w:val="auto"/>
          <w:spacing w:val="0"/>
          <w:sz w:val="32"/>
          <w:szCs w:val="32"/>
          <w:lang w:val="en-US" w:eastAsia="zh-CN" w:bidi="zh-CN"/>
        </w:rPr>
        <w:t xml:space="preserve"> </w:t>
      </w:r>
      <w:r>
        <w:rPr>
          <w:rFonts w:hint="eastAsia" w:ascii="Times New Roman" w:hAnsi="Times New Roman" w:eastAsia="仿宋_GB2312" w:cs="仿宋_GB2312"/>
          <w:color w:val="auto"/>
          <w:spacing w:val="0"/>
          <w:sz w:val="32"/>
          <w:szCs w:val="32"/>
          <w:lang w:val="en-US" w:eastAsia="zh-CN" w:bidi="zh-CN"/>
        </w:rPr>
        <w:t>相关部门应</w:t>
      </w:r>
      <w:r>
        <w:rPr>
          <w:rFonts w:hint="eastAsia" w:ascii="Times New Roman" w:hAnsi="Times New Roman" w:eastAsia="仿宋_GB2312" w:cs="仿宋_GB2312"/>
          <w:color w:val="auto"/>
          <w:spacing w:val="0"/>
          <w:sz w:val="32"/>
          <w:szCs w:val="32"/>
          <w:lang w:val="zh-CN" w:eastAsia="zh-CN" w:bidi="zh-CN"/>
        </w:rPr>
        <w:t>依法依规简化审批手续。项目单位依法</w:t>
      </w:r>
      <w:r>
        <w:rPr>
          <w:rFonts w:hint="eastAsia" w:ascii="Times New Roman" w:hAnsi="Times New Roman" w:eastAsia="仿宋_GB2312" w:cs="仿宋_GB2312"/>
          <w:color w:val="auto"/>
          <w:spacing w:val="0"/>
          <w:sz w:val="32"/>
          <w:szCs w:val="32"/>
          <w:lang w:val="en-US" w:eastAsia="zh-CN" w:bidi="zh-CN"/>
        </w:rPr>
        <w:t>依规</w:t>
      </w:r>
      <w:r>
        <w:rPr>
          <w:rFonts w:hint="eastAsia" w:ascii="Times New Roman" w:hAnsi="Times New Roman" w:eastAsia="仿宋_GB2312" w:cs="仿宋_GB2312"/>
          <w:color w:val="auto"/>
          <w:spacing w:val="0"/>
          <w:sz w:val="32"/>
          <w:szCs w:val="32"/>
          <w:lang w:val="zh-CN" w:eastAsia="zh-CN" w:bidi="zh-CN"/>
        </w:rPr>
        <w:t>对勘察、设计、监理、施工等单位进行委托或招标。区级政府投资项目审批，分为立项、设计审批、财评、施工许可、联合验收移交等</w:t>
      </w:r>
      <w:r>
        <w:rPr>
          <w:rFonts w:hint="eastAsia" w:ascii="Times New Roman" w:hAnsi="Times New Roman" w:eastAsia="仿宋_GB2312" w:cs="仿宋_GB2312"/>
          <w:color w:val="auto"/>
          <w:spacing w:val="0"/>
          <w:sz w:val="32"/>
          <w:szCs w:val="32"/>
          <w:lang w:val="en-US" w:eastAsia="zh-CN" w:bidi="zh-CN"/>
        </w:rPr>
        <w:t>阶段，每个阶段分别由区发改局、区住建局、区财政局、区审计局、区城管局及行业主管部门牵头负责。</w:t>
      </w:r>
    </w:p>
    <w:p>
      <w:pPr>
        <w:pStyle w:val="5"/>
        <w:keepNext w:val="0"/>
        <w:keepLines w:val="0"/>
        <w:pageBreakBefore w:val="0"/>
        <w:widowControl w:val="0"/>
        <w:shd w:val="clear"/>
        <w:kinsoku/>
        <w:wordWrap/>
        <w:overflowPunct/>
        <w:topLinePunct w:val="0"/>
        <w:bidi w:val="0"/>
        <w:adjustRightInd/>
        <w:snapToGrid/>
        <w:spacing w:before="0" w:after="0" w:line="600" w:lineRule="exact"/>
        <w:ind w:left="0" w:leftChars="0" w:right="0" w:firstLine="640" w:firstLineChars="200"/>
        <w:jc w:val="both"/>
        <w:textAlignment w:val="auto"/>
        <w:rPr>
          <w:rFonts w:hint="default" w:ascii="Times New Roman" w:hAnsi="Times New Roman" w:eastAsia="Microsoft JhengHei"/>
          <w:b/>
          <w:color w:val="auto"/>
          <w:spacing w:val="0"/>
          <w:sz w:val="32"/>
          <w:szCs w:val="32"/>
          <w:lang w:val="en-US" w:eastAsia="zh-CN"/>
        </w:rPr>
      </w:pPr>
      <w:r>
        <w:rPr>
          <w:rFonts w:hint="eastAsia" w:ascii="Times New Roman" w:hAnsi="Times New Roman" w:eastAsia="Microsoft JhengHei"/>
          <w:b/>
          <w:color w:val="auto"/>
          <w:spacing w:val="0"/>
          <w:sz w:val="32"/>
          <w:szCs w:val="32"/>
          <w:lang w:val="en-US" w:eastAsia="zh-CN"/>
        </w:rPr>
        <w:t>第三条</w:t>
      </w:r>
      <w:r>
        <w:rPr>
          <w:rFonts w:hint="eastAsia" w:ascii="Times New Roman" w:hAnsi="Times New Roman" w:eastAsia="仿宋_GB2312" w:cs="仿宋_GB2312"/>
          <w:color w:val="auto"/>
          <w:spacing w:val="0"/>
          <w:sz w:val="32"/>
          <w:szCs w:val="32"/>
          <w:lang w:val="en-US" w:eastAsia="zh-CN" w:bidi="zh-CN"/>
        </w:rPr>
        <w:t xml:space="preserve">  加强中介服务项目采购规范化管理。</w:t>
      </w:r>
      <w:r>
        <w:rPr>
          <w:rFonts w:hint="eastAsia" w:ascii="Times New Roman" w:hAnsi="Times New Roman" w:eastAsia="仿宋_GB2312" w:cs="仿宋_GB2312"/>
          <w:color w:val="auto"/>
          <w:spacing w:val="0"/>
          <w:kern w:val="0"/>
          <w:sz w:val="32"/>
          <w:szCs w:val="32"/>
          <w:lang w:val="en-US" w:eastAsia="zh-CN" w:bidi="zh-CN"/>
        </w:rPr>
        <w:t>使用财政性资金购买在分散采购限额标准以内的中介服务项目（如勘察、设计、监理、造价咨询、环评等）除法律、法规、规章规定需要公开招投标或政府采购以外的，必须依程序在湖南省政府采购电子卖场选取中介机构。</w:t>
      </w:r>
    </w:p>
    <w:p>
      <w:pPr>
        <w:pStyle w:val="5"/>
        <w:keepNext w:val="0"/>
        <w:keepLines w:val="0"/>
        <w:pageBreakBefore w:val="0"/>
        <w:widowControl w:val="0"/>
        <w:shd w:val="clear"/>
        <w:kinsoku/>
        <w:wordWrap/>
        <w:overflowPunct/>
        <w:topLinePunct w:val="0"/>
        <w:bidi w:val="0"/>
        <w:adjustRightInd/>
        <w:snapToGrid/>
        <w:spacing w:before="0" w:after="0" w:line="600" w:lineRule="exact"/>
        <w:ind w:left="0" w:leftChars="0" w:right="0" w:firstLine="640" w:firstLineChars="200"/>
        <w:jc w:val="both"/>
        <w:textAlignment w:val="auto"/>
        <w:rPr>
          <w:rFonts w:hint="eastAsia" w:ascii="Times New Roman" w:hAnsi="Times New Roman" w:eastAsia="仿宋_GB2312"/>
          <w:b/>
          <w:color w:val="auto"/>
          <w:spacing w:val="0"/>
          <w:sz w:val="32"/>
          <w:szCs w:val="32"/>
          <w:lang w:val="en-US" w:eastAsia="zh-CN"/>
        </w:rPr>
      </w:pPr>
      <w:r>
        <w:rPr>
          <w:rFonts w:hint="eastAsia" w:ascii="Times New Roman" w:hAnsi="Times New Roman" w:eastAsia="Microsoft JhengHei"/>
          <w:b/>
          <w:color w:val="auto"/>
          <w:spacing w:val="0"/>
          <w:sz w:val="32"/>
          <w:szCs w:val="32"/>
          <w:lang w:val="en-US" w:eastAsia="zh-CN"/>
        </w:rPr>
        <w:t xml:space="preserve">第四条  </w:t>
      </w:r>
      <w:r>
        <w:rPr>
          <w:rFonts w:ascii="Times New Roman" w:hAnsi="Times New Roman" w:eastAsia="仿宋_GB2312" w:cs="仿宋_GB2312"/>
          <w:i w:val="0"/>
          <w:iCs w:val="0"/>
          <w:caps w:val="0"/>
          <w:color w:val="auto"/>
          <w:spacing w:val="0"/>
          <w:sz w:val="32"/>
          <w:szCs w:val="32"/>
          <w:shd w:val="clear" w:fill="FFFFFF"/>
        </w:rPr>
        <w:t>项目单位应当加强政府投资项目的前期工作，保证前期工作的深度达到规定的要求</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ascii="Times New Roman" w:hAnsi="Times New Roman" w:eastAsia="仿宋_GB2312" w:cs="仿宋_GB2312"/>
          <w:i w:val="0"/>
          <w:iCs w:val="0"/>
          <w:caps w:val="0"/>
          <w:color w:val="auto"/>
          <w:spacing w:val="0"/>
          <w:sz w:val="32"/>
          <w:szCs w:val="32"/>
          <w:shd w:val="clear" w:fill="FFFFFF"/>
        </w:rPr>
        <w:t>并对项目建议书、可行性研究报告、初步设计以及依法应当附具的其他文件的</w:t>
      </w:r>
      <w:r>
        <w:rPr>
          <w:rFonts w:hint="eastAsia" w:ascii="Times New Roman" w:hAnsi="Times New Roman" w:eastAsia="仿宋_GB2312" w:cs="仿宋_GB2312"/>
          <w:i w:val="0"/>
          <w:iCs w:val="0"/>
          <w:caps w:val="0"/>
          <w:color w:val="auto"/>
          <w:spacing w:val="0"/>
          <w:sz w:val="32"/>
          <w:szCs w:val="32"/>
          <w:shd w:val="clear" w:fill="FFFFFF"/>
          <w:lang w:val="en-US" w:eastAsia="zh-CN"/>
        </w:rPr>
        <w:t>合法性、</w:t>
      </w:r>
      <w:r>
        <w:rPr>
          <w:rFonts w:ascii="Times New Roman" w:hAnsi="Times New Roman" w:eastAsia="仿宋_GB2312" w:cs="仿宋_GB2312"/>
          <w:i w:val="0"/>
          <w:iCs w:val="0"/>
          <w:caps w:val="0"/>
          <w:color w:val="auto"/>
          <w:spacing w:val="0"/>
          <w:sz w:val="32"/>
          <w:szCs w:val="32"/>
          <w:shd w:val="clear" w:fill="FFFFFF"/>
        </w:rPr>
        <w:t>真实性负责。</w:t>
      </w:r>
    </w:p>
    <w:p>
      <w:pPr>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rPr>
          <w:rFonts w:hint="default" w:ascii="Times New Roman" w:hAnsi="Times New Roman" w:eastAsia="Microsoft JhengHei"/>
          <w:b/>
          <w:color w:val="auto"/>
          <w:spacing w:val="0"/>
          <w:sz w:val="32"/>
          <w:szCs w:val="32"/>
          <w:lang w:val="en-US" w:eastAsia="zh-CN"/>
        </w:rPr>
      </w:pPr>
      <w:r>
        <w:rPr>
          <w:rFonts w:hint="eastAsia" w:ascii="Times New Roman" w:hAnsi="Times New Roman" w:eastAsia="Microsoft JhengHei"/>
          <w:b/>
          <w:color w:val="auto"/>
          <w:spacing w:val="0"/>
          <w:sz w:val="32"/>
          <w:szCs w:val="32"/>
          <w:lang w:val="en-US" w:eastAsia="zh-CN"/>
        </w:rPr>
        <w:t xml:space="preserve"> </w:t>
      </w:r>
      <w:r>
        <w:rPr>
          <w:rFonts w:hint="eastAsia" w:ascii="Times New Roman" w:hAnsi="Times New Roman" w:eastAsia="仿宋_GB2312" w:cs="仿宋_GB2312"/>
          <w:color w:val="auto"/>
          <w:spacing w:val="0"/>
          <w:sz w:val="32"/>
          <w:szCs w:val="32"/>
          <w:lang w:val="en-US" w:eastAsia="zh-CN" w:bidi="zh-CN"/>
        </w:rPr>
        <w:t>加强设计方案管理和施工图统筹。设计方案引入经济技术比选，在规划方案阶段，项目单位要提供两个或两个以上规划方案，并引入经济技术比选。总投资60万以下项目由项目单位自行组织方案评审。</w:t>
      </w:r>
      <w:r>
        <w:rPr>
          <w:rFonts w:hint="eastAsia" w:ascii="Times New Roman" w:hAnsi="Times New Roman" w:eastAsia="仿宋_GB2312" w:cs="仿宋_GB2312"/>
          <w:b w:val="0"/>
          <w:bCs w:val="0"/>
          <w:color w:val="auto"/>
          <w:spacing w:val="0"/>
          <w:sz w:val="32"/>
          <w:szCs w:val="32"/>
          <w:lang w:val="en-US" w:eastAsia="zh-CN" w:bidi="zh-CN"/>
        </w:rPr>
        <w:t>总投资60万以上项目由资规部门牵头，项目单位具体负责，开展“设计方案联合审定”，形成书面审查意见。方案设计书面审查意见作为可行性研究批复的前置条件。</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0" w:after="0" w:line="600" w:lineRule="exact"/>
        <w:ind w:right="0" w:rightChars="0" w:firstLine="640" w:firstLineChars="200"/>
        <w:jc w:val="both"/>
        <w:textAlignment w:val="auto"/>
        <w:rPr>
          <w:rFonts w:hint="default" w:ascii="Times New Roman" w:hAnsi="Times New Roman" w:eastAsia="仿宋_GB2312" w:cs="仿宋_GB2312"/>
          <w:color w:val="auto"/>
          <w:spacing w:val="0"/>
          <w:sz w:val="32"/>
          <w:szCs w:val="32"/>
          <w:lang w:val="en-US" w:eastAsia="zh-CN" w:bidi="zh-CN"/>
        </w:rPr>
      </w:pPr>
      <w:r>
        <w:rPr>
          <w:rFonts w:hint="eastAsia" w:ascii="Times New Roman" w:hAnsi="Times New Roman" w:eastAsia="Microsoft JhengHei" w:cs="宋体"/>
          <w:b/>
          <w:color w:val="auto"/>
          <w:spacing w:val="0"/>
          <w:sz w:val="32"/>
          <w:szCs w:val="32"/>
          <w:lang w:val="en-US" w:eastAsia="zh-CN" w:bidi="zh-CN"/>
        </w:rPr>
        <w:t xml:space="preserve">第六条  </w:t>
      </w:r>
      <w:r>
        <w:rPr>
          <w:rFonts w:hint="eastAsia" w:ascii="Times New Roman" w:hAnsi="Times New Roman" w:eastAsia="仿宋_GB2312" w:cs="仿宋_GB2312"/>
          <w:color w:val="auto"/>
          <w:spacing w:val="0"/>
          <w:sz w:val="32"/>
          <w:szCs w:val="32"/>
          <w:lang w:val="en-US" w:eastAsia="zh-CN" w:bidi="zh-CN"/>
        </w:rPr>
        <w:t>把勘察质量控制关。勘察单位按国家规范制定好勘察方案。勘察合同中应予明确，因勘察单位原因，导致勘察成果文件有严重错误，且造成项目单位经济损失时，每处错误按项目单位实际经济损失的10%且不少于2000元扣除勘察费用，造成重大损失的依法追究相关法律责任。勘察服务费中应预留20%（且不少于2000元）作为勘察单位服务质保金，项目竣工验收后方予支付。</w:t>
      </w:r>
    </w:p>
    <w:p>
      <w:pPr>
        <w:keepNext w:val="0"/>
        <w:keepLines w:val="0"/>
        <w:pageBreakBefore w:val="0"/>
        <w:widowControl w:val="0"/>
        <w:shd w:val="clear" w:color="auto"/>
        <w:kinsoku/>
        <w:wordWrap/>
        <w:overflowPunct/>
        <w:topLinePunct w:val="0"/>
        <w:bidi w:val="0"/>
        <w:spacing w:before="0" w:after="0" w:line="600" w:lineRule="exact"/>
        <w:ind w:left="0" w:leftChars="0" w:right="0" w:firstLine="640" w:firstLineChars="200"/>
        <w:jc w:val="both"/>
        <w:textAlignment w:val="auto"/>
        <w:rPr>
          <w:rFonts w:hint="eastAsia" w:ascii="Times New Roman" w:hAnsi="Times New Roman" w:cs="宋体"/>
          <w:color w:val="auto"/>
          <w:spacing w:val="0"/>
          <w:sz w:val="32"/>
          <w:szCs w:val="32"/>
          <w:lang w:val="en-US" w:eastAsia="zh-CN" w:bidi="zh-CN"/>
        </w:rPr>
      </w:pPr>
      <w:r>
        <w:rPr>
          <w:rFonts w:hint="eastAsia" w:ascii="Times New Roman" w:hAnsi="Times New Roman" w:eastAsia="Microsoft JhengHei" w:cs="宋体"/>
          <w:b/>
          <w:color w:val="auto"/>
          <w:spacing w:val="0"/>
          <w:sz w:val="32"/>
          <w:szCs w:val="32"/>
          <w:lang w:val="en-US" w:eastAsia="zh-CN" w:bidi="zh-CN"/>
        </w:rPr>
        <w:t xml:space="preserve">第七条  </w:t>
      </w:r>
      <w:r>
        <w:rPr>
          <w:rFonts w:hint="eastAsia" w:ascii="Times New Roman" w:hAnsi="Times New Roman" w:eastAsia="仿宋_GB2312" w:cs="仿宋_GB2312"/>
          <w:color w:val="auto"/>
          <w:spacing w:val="0"/>
          <w:sz w:val="32"/>
          <w:szCs w:val="32"/>
          <w:lang w:val="en-US" w:eastAsia="zh-CN" w:bidi="zh-CN"/>
        </w:rPr>
        <w:t>严格限额设计。按估算控制概算、概算控制预算的原则控制项目投资。项目单位与设计单位签订设计合同时应专门设定限额设计条款，如需勘察的项目，无地质勘测资料不得启动设计。初勘完成后按批准的投资估算进行初步设计，详勘完成后按批准的概算进行施工图设计，预算由施工图设计单位同步编制完成。若因设计单位自身原因，导致设计文件存在严重错误，且造成项目单位经济损失的，每处错误按本项目设计费的10%且不少于2000元扣除设计费用。设计总费用中预留20%（且不少于2000元）作为设计单位服务质保金，项目竣工验收后方予支付。对超限额设计的，按设计合同中的约定扣罚相应设计费，超额10%以上的，依合同约定扣除全部设计费并将设计单位纳入不良信用记录，2年内禁止其承接全区范围内的政府投资项目，因设计原因造成重大损失的依法追究相关法律责任。60万以上政府投资项目设计费拨付完成拨付前，项目单位应将通过审核的方案或施工图纸质档和电子档提交区城乡建设技术服务中心存档后，方可完成支付。</w:t>
      </w:r>
    </w:p>
    <w:p>
      <w:pPr>
        <w:pStyle w:val="5"/>
        <w:keepNext w:val="0"/>
        <w:keepLines w:val="0"/>
        <w:pageBreakBefore w:val="0"/>
        <w:widowControl w:val="0"/>
        <w:shd w:val="clear"/>
        <w:kinsoku/>
        <w:wordWrap/>
        <w:overflowPunct/>
        <w:topLinePunct w:val="0"/>
        <w:bidi w:val="0"/>
        <w:adjustRightInd/>
        <w:snapToGrid/>
        <w:spacing w:before="0" w:after="0" w:line="600" w:lineRule="exact"/>
        <w:ind w:left="0" w:leftChars="0" w:right="0" w:firstLine="640" w:firstLineChars="200"/>
        <w:jc w:val="both"/>
        <w:textAlignment w:val="auto"/>
        <w:rPr>
          <w:rFonts w:hint="eastAsia" w:ascii="Times New Roman" w:hAnsi="Times New Roman" w:eastAsia="Microsoft JhengHei" w:cs="宋体"/>
          <w:b/>
          <w:color w:val="auto"/>
          <w:spacing w:val="0"/>
          <w:sz w:val="32"/>
          <w:szCs w:val="32"/>
          <w:lang w:val="en-US" w:eastAsia="zh-CN" w:bidi="zh-CN"/>
        </w:rPr>
      </w:pPr>
      <w:r>
        <w:rPr>
          <w:rFonts w:hint="eastAsia" w:ascii="Times New Roman" w:hAnsi="Times New Roman" w:eastAsia="Microsoft JhengHei" w:cs="宋体"/>
          <w:b/>
          <w:color w:val="auto"/>
          <w:spacing w:val="0"/>
          <w:sz w:val="32"/>
          <w:szCs w:val="32"/>
          <w:lang w:val="en-US" w:eastAsia="zh-CN" w:bidi="zh-CN"/>
        </w:rPr>
        <w:t xml:space="preserve">第八条  </w:t>
      </w:r>
      <w:r>
        <w:rPr>
          <w:rFonts w:hint="eastAsia" w:ascii="Times New Roman" w:hAnsi="Times New Roman" w:eastAsia="仿宋_GB2312" w:cs="仿宋_GB2312"/>
          <w:color w:val="auto"/>
          <w:spacing w:val="0"/>
          <w:sz w:val="32"/>
          <w:szCs w:val="32"/>
          <w:lang w:val="en-US" w:eastAsia="zh-CN" w:bidi="zh-CN"/>
        </w:rPr>
        <w:t>统筹全区项目土石方调配。方案（初步设计）设计阶段加强对项目土石方调配方案的审核工作，对不按要求编制土石方工程施工调配方案的不予审批方案（初步设计）设计及概算。对建设项目自身无法自我平衡的挖方及需回填的缺方，项目单位应及时将弃（缺）方情况报送至区住建局，由区住建局及时发布弃（缺）方信息，相互间可自行联系协调对口消纳，不能现场利用的土石方需原勘察单位鉴定并做出详细说明。</w:t>
      </w:r>
    </w:p>
    <w:p>
      <w:pPr>
        <w:pStyle w:val="5"/>
        <w:keepNext w:val="0"/>
        <w:keepLines w:val="0"/>
        <w:pageBreakBefore w:val="0"/>
        <w:widowControl w:val="0"/>
        <w:shd w:val="clear"/>
        <w:kinsoku/>
        <w:wordWrap/>
        <w:overflowPunct/>
        <w:topLinePunct w:val="0"/>
        <w:bidi w:val="0"/>
        <w:adjustRightInd/>
        <w:snapToGrid/>
        <w:spacing w:before="0" w:after="0" w:line="600" w:lineRule="exact"/>
        <w:ind w:left="0" w:leftChars="0" w:right="0" w:firstLine="640" w:firstLineChars="200"/>
        <w:jc w:val="both"/>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Microsoft JhengHei" w:cs="宋体"/>
          <w:b/>
          <w:color w:val="auto"/>
          <w:spacing w:val="0"/>
          <w:sz w:val="32"/>
          <w:szCs w:val="32"/>
          <w:lang w:val="en-US" w:eastAsia="zh-CN" w:bidi="zh-CN"/>
        </w:rPr>
        <w:t xml:space="preserve">第九条  </w:t>
      </w:r>
      <w:r>
        <w:rPr>
          <w:rFonts w:hint="eastAsia" w:ascii="Times New Roman" w:hAnsi="Times New Roman" w:eastAsia="仿宋_GB2312" w:cs="仿宋_GB2312"/>
          <w:color w:val="auto"/>
          <w:spacing w:val="0"/>
          <w:sz w:val="32"/>
          <w:szCs w:val="32"/>
          <w:lang w:eastAsia="zh-CN"/>
        </w:rPr>
        <w:t>加强预算及评审管理。政府投资项目</w:t>
      </w:r>
      <w:r>
        <w:rPr>
          <w:rFonts w:hint="eastAsia" w:ascii="Times New Roman" w:hAnsi="Times New Roman" w:eastAsia="仿宋_GB2312" w:cs="仿宋_GB2312"/>
          <w:color w:val="auto"/>
          <w:spacing w:val="0"/>
          <w:sz w:val="32"/>
          <w:szCs w:val="32"/>
          <w:lang w:val="en-US" w:eastAsia="zh-CN"/>
        </w:rPr>
        <w:t>工程建设</w:t>
      </w:r>
      <w:r>
        <w:rPr>
          <w:rFonts w:hint="eastAsia" w:ascii="Times New Roman" w:hAnsi="Times New Roman" w:eastAsia="仿宋_GB2312" w:cs="仿宋_GB2312"/>
          <w:color w:val="auto"/>
          <w:spacing w:val="0"/>
          <w:sz w:val="32"/>
          <w:szCs w:val="32"/>
          <w:lang w:eastAsia="zh-CN"/>
        </w:rPr>
        <w:t>费预算</w:t>
      </w:r>
      <w:r>
        <w:rPr>
          <w:rFonts w:hint="eastAsia" w:ascii="Times New Roman" w:hAnsi="Times New Roman" w:eastAsia="仿宋_GB2312" w:cs="仿宋_GB2312"/>
          <w:color w:val="auto"/>
          <w:spacing w:val="0"/>
          <w:sz w:val="32"/>
          <w:szCs w:val="32"/>
          <w:lang w:val="en-US" w:eastAsia="zh-CN"/>
        </w:rPr>
        <w:t>60</w:t>
      </w:r>
      <w:r>
        <w:rPr>
          <w:rFonts w:hint="eastAsia" w:ascii="Times New Roman" w:hAnsi="Times New Roman" w:eastAsia="仿宋_GB2312" w:cs="仿宋_GB2312"/>
          <w:color w:val="auto"/>
          <w:spacing w:val="0"/>
          <w:sz w:val="32"/>
          <w:szCs w:val="32"/>
          <w:lang w:eastAsia="zh-CN"/>
        </w:rPr>
        <w:t>万元以下的</w:t>
      </w:r>
      <w:r>
        <w:rPr>
          <w:rFonts w:hint="eastAsia" w:ascii="Times New Roman" w:hAnsi="Times New Roman" w:eastAsia="仿宋_GB2312" w:cs="仿宋_GB2312"/>
          <w:color w:val="auto"/>
          <w:spacing w:val="0"/>
          <w:sz w:val="32"/>
          <w:szCs w:val="32"/>
          <w:lang w:val="en-US" w:eastAsia="zh-CN"/>
        </w:rPr>
        <w:t>由项目单位自行组织预算评审；</w:t>
      </w:r>
      <w:r>
        <w:rPr>
          <w:rFonts w:hint="eastAsia" w:ascii="Times New Roman" w:hAnsi="Times New Roman" w:eastAsia="仿宋_GB2312" w:cs="仿宋_GB2312"/>
          <w:color w:val="auto"/>
          <w:spacing w:val="0"/>
          <w:sz w:val="32"/>
          <w:szCs w:val="32"/>
          <w:lang w:eastAsia="zh-CN"/>
        </w:rPr>
        <w:t>政府投资项目</w:t>
      </w:r>
      <w:r>
        <w:rPr>
          <w:rFonts w:hint="eastAsia" w:ascii="Times New Roman" w:hAnsi="Times New Roman" w:eastAsia="仿宋_GB2312" w:cs="仿宋_GB2312"/>
          <w:color w:val="auto"/>
          <w:spacing w:val="0"/>
          <w:sz w:val="32"/>
          <w:szCs w:val="32"/>
          <w:lang w:val="en-US" w:eastAsia="zh-CN"/>
        </w:rPr>
        <w:t>工程建设费</w:t>
      </w:r>
      <w:r>
        <w:rPr>
          <w:rFonts w:hint="eastAsia" w:ascii="Times New Roman" w:hAnsi="Times New Roman" w:eastAsia="仿宋_GB2312" w:cs="仿宋_GB2312"/>
          <w:color w:val="auto"/>
          <w:spacing w:val="0"/>
          <w:sz w:val="32"/>
          <w:szCs w:val="32"/>
          <w:lang w:eastAsia="zh-CN"/>
        </w:rPr>
        <w:t>预算</w:t>
      </w:r>
      <w:r>
        <w:rPr>
          <w:rFonts w:hint="eastAsia" w:ascii="Times New Roman" w:hAnsi="Times New Roman" w:eastAsia="仿宋_GB2312" w:cs="仿宋_GB2312"/>
          <w:color w:val="auto"/>
          <w:spacing w:val="0"/>
          <w:sz w:val="32"/>
          <w:szCs w:val="32"/>
          <w:lang w:val="en-US" w:eastAsia="zh-CN"/>
        </w:rPr>
        <w:t>60</w:t>
      </w:r>
      <w:r>
        <w:rPr>
          <w:rFonts w:hint="eastAsia" w:ascii="Times New Roman" w:hAnsi="Times New Roman" w:eastAsia="仿宋_GB2312" w:cs="仿宋_GB2312"/>
          <w:color w:val="auto"/>
          <w:spacing w:val="0"/>
          <w:sz w:val="32"/>
          <w:szCs w:val="32"/>
          <w:lang w:eastAsia="zh-CN"/>
        </w:rPr>
        <w:t>万元（含）以上的由区财政负</w:t>
      </w:r>
      <w:r>
        <w:rPr>
          <w:rFonts w:hint="eastAsia" w:ascii="Times New Roman" w:hAnsi="Times New Roman" w:eastAsia="仿宋_GB2312" w:cs="仿宋_GB2312"/>
          <w:color w:val="auto"/>
          <w:spacing w:val="0"/>
          <w:sz w:val="32"/>
          <w:szCs w:val="32"/>
          <w:lang w:eastAsia="zh-CN"/>
        </w:rPr>
        <w:t>责评审；</w:t>
      </w:r>
      <w:r>
        <w:rPr>
          <w:rFonts w:hint="eastAsia" w:ascii="Times New Roman" w:hAnsi="Times New Roman" w:eastAsia="仿宋_GB2312" w:cs="仿宋_GB2312"/>
          <w:color w:val="auto"/>
          <w:spacing w:val="0"/>
          <w:sz w:val="32"/>
          <w:szCs w:val="32"/>
          <w:lang w:val="en-US" w:eastAsia="zh-CN"/>
        </w:rPr>
        <w:t>区政府投融资公司自筹资金、自负盈亏的经营性投资项目实行核准制，政府只对项目建设必要性、规划建设方案可行性和投资规模进行决策，项目建设、投资控制由项目单位根据《公司法》有关规定进行管理，原则上财政部门不负责对其经营性投资项目进行评审，由财政国资部门按国有资产监督管理办法进行监督管理。</w:t>
      </w:r>
    </w:p>
    <w:p>
      <w:pPr>
        <w:pStyle w:val="5"/>
        <w:keepNext w:val="0"/>
        <w:keepLines w:val="0"/>
        <w:pageBreakBefore w:val="0"/>
        <w:widowControl w:val="0"/>
        <w:shd w:val="clear"/>
        <w:kinsoku/>
        <w:wordWrap/>
        <w:overflowPunct/>
        <w:topLinePunct w:val="0"/>
        <w:bidi w:val="0"/>
        <w:adjustRightInd/>
        <w:snapToGrid/>
        <w:spacing w:before="0" w:after="0" w:line="600" w:lineRule="exact"/>
        <w:ind w:left="0" w:leftChars="0" w:right="0" w:firstLine="640" w:firstLineChars="200"/>
        <w:jc w:val="both"/>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财政预算评审工作应按照“不唯增、不唯减、只唯实”的评审理念，审核施工图预算</w:t>
      </w:r>
      <w:r>
        <w:rPr>
          <w:rFonts w:hint="default" w:ascii="Times New Roman" w:hAnsi="Times New Roman" w:eastAsia="仿宋_GB2312" w:cs="仿宋_GB2312"/>
          <w:color w:val="auto"/>
          <w:spacing w:val="0"/>
          <w:sz w:val="32"/>
          <w:szCs w:val="32"/>
          <w:lang w:val="en-US" w:eastAsia="zh-CN"/>
        </w:rPr>
        <w:t>的真实性、准确性、完整性和时效性等</w:t>
      </w:r>
      <w:r>
        <w:rPr>
          <w:rFonts w:hint="eastAsia" w:ascii="Times New Roman" w:hAnsi="Times New Roman" w:eastAsia="仿宋_GB2312" w:cs="仿宋_GB2312"/>
          <w:color w:val="auto"/>
          <w:spacing w:val="0"/>
          <w:sz w:val="32"/>
          <w:szCs w:val="32"/>
          <w:lang w:val="en-US" w:eastAsia="zh-CN"/>
        </w:rPr>
        <w:t>，就工程量计算、预算定额选用、取费及材料价格等内容进行评审。</w:t>
      </w:r>
      <w:r>
        <w:rPr>
          <w:rFonts w:hint="eastAsia" w:ascii="Times New Roman" w:hAnsi="Times New Roman" w:eastAsia="仿宋_GB2312" w:cs="仿宋_GB2312"/>
          <w:color w:val="auto"/>
          <w:spacing w:val="0"/>
          <w:sz w:val="32"/>
          <w:szCs w:val="32"/>
          <w:lang w:eastAsia="zh-CN"/>
        </w:rPr>
        <w:t>依据以上流程所确定的最终</w:t>
      </w:r>
      <w:r>
        <w:rPr>
          <w:rFonts w:hint="eastAsia" w:ascii="Times New Roman" w:hAnsi="Times New Roman" w:eastAsia="仿宋_GB2312" w:cs="仿宋_GB2312"/>
          <w:color w:val="auto"/>
          <w:spacing w:val="0"/>
          <w:sz w:val="32"/>
          <w:szCs w:val="32"/>
          <w:lang w:val="en-US" w:eastAsia="zh-CN"/>
        </w:rPr>
        <w:t>预算评审</w:t>
      </w:r>
      <w:r>
        <w:rPr>
          <w:rFonts w:hint="eastAsia" w:ascii="Times New Roman" w:hAnsi="Times New Roman" w:eastAsia="仿宋_GB2312" w:cs="仿宋_GB2312"/>
          <w:color w:val="auto"/>
          <w:spacing w:val="0"/>
          <w:sz w:val="32"/>
          <w:szCs w:val="32"/>
          <w:lang w:eastAsia="zh-CN"/>
        </w:rPr>
        <w:t>价作为招标或政府采购控制价上限值的依据。</w:t>
      </w:r>
      <w:r>
        <w:rPr>
          <w:rFonts w:hint="eastAsia" w:ascii="Times New Roman" w:hAnsi="Times New Roman" w:eastAsia="仿宋_GB2312" w:cs="仿宋_GB2312"/>
          <w:color w:val="auto"/>
          <w:spacing w:val="0"/>
          <w:sz w:val="32"/>
          <w:szCs w:val="32"/>
          <w:lang w:val="en-US" w:eastAsia="zh-CN"/>
        </w:rPr>
        <w:t>政府采购的纯设备类项目（或设备占70%以上的）、货物类及服务类项目由项目单位组织预算评审，其评审结果作为政府采购的上限值。但属于区属国有企业代建的60万元以上的项目，必须参照区政府投资项目经过区财政局评审。</w:t>
      </w:r>
    </w:p>
    <w:p>
      <w:pPr>
        <w:pStyle w:val="5"/>
        <w:keepNext w:val="0"/>
        <w:keepLines w:val="0"/>
        <w:pageBreakBefore w:val="0"/>
        <w:widowControl w:val="0"/>
        <w:shd w:val="clear"/>
        <w:kinsoku/>
        <w:wordWrap/>
        <w:overflowPunct/>
        <w:topLinePunct w:val="0"/>
        <w:bidi w:val="0"/>
        <w:adjustRightInd/>
        <w:snapToGrid/>
        <w:spacing w:before="0" w:after="0" w:line="600" w:lineRule="exact"/>
        <w:ind w:left="0" w:leftChars="0" w:right="0" w:firstLine="640" w:firstLineChars="200"/>
        <w:jc w:val="both"/>
        <w:textAlignment w:val="auto"/>
        <w:rPr>
          <w:rFonts w:hint="default" w:ascii="Times New Roman" w:hAnsi="Times New Roman" w:eastAsia="仿宋_GB2312" w:cs="仿宋_GB2312"/>
          <w:color w:val="auto"/>
          <w:spacing w:val="0"/>
          <w:sz w:val="32"/>
          <w:szCs w:val="32"/>
          <w:lang w:val="en-US" w:eastAsia="zh-CN"/>
        </w:rPr>
      </w:pPr>
      <w:r>
        <w:rPr>
          <w:rFonts w:hint="eastAsia" w:ascii="Times New Roman" w:hAnsi="Times New Roman" w:eastAsia="Microsoft JhengHei" w:cs="宋体"/>
          <w:b/>
          <w:color w:val="auto"/>
          <w:spacing w:val="0"/>
          <w:sz w:val="32"/>
          <w:szCs w:val="32"/>
          <w:lang w:val="en-US" w:eastAsia="zh-CN" w:bidi="zh-CN"/>
        </w:rPr>
        <w:t xml:space="preserve">第十条 </w:t>
      </w:r>
      <w:r>
        <w:rPr>
          <w:rFonts w:hint="eastAsia" w:ascii="Times New Roman" w:hAnsi="Times New Roman" w:eastAsia="仿宋_GB2312" w:cs="仿宋_GB2312"/>
          <w:color w:val="auto"/>
          <w:spacing w:val="0"/>
          <w:sz w:val="32"/>
          <w:szCs w:val="32"/>
          <w:lang w:val="en-US" w:eastAsia="zh-CN"/>
        </w:rPr>
        <w:t xml:space="preserve"> 财政评审时限。项目预算价在60万元（含）至400万元以内（含）的工程项目，5个工作日处评审结果；项目预算价在400万元至5000万元以内（含）的工程项目，10个工作日内出评审结果；项目预算价在5000万元以上的工程项目，20个工作日出评审结果，财政评审单位需政府采购的，业主单位应提前告知（或按其时间相应顺延）。</w:t>
      </w:r>
    </w:p>
    <w:p>
      <w:pPr>
        <w:pStyle w:val="5"/>
        <w:keepNext w:val="0"/>
        <w:keepLines w:val="0"/>
        <w:pageBreakBefore w:val="0"/>
        <w:widowControl w:val="0"/>
        <w:shd w:val="clear"/>
        <w:kinsoku/>
        <w:wordWrap/>
        <w:overflowPunct/>
        <w:topLinePunct w:val="0"/>
        <w:bidi w:val="0"/>
        <w:adjustRightInd/>
        <w:snapToGrid/>
        <w:spacing w:before="0" w:after="0" w:line="600" w:lineRule="exact"/>
        <w:ind w:left="0" w:leftChars="0" w:right="0" w:firstLine="640" w:firstLineChars="200"/>
        <w:jc w:val="both"/>
        <w:textAlignment w:val="auto"/>
        <w:rPr>
          <w:rFonts w:hint="default" w:ascii="Times New Roman" w:hAnsi="Times New Roman"/>
          <w:color w:val="auto"/>
          <w:spacing w:val="0"/>
          <w:sz w:val="32"/>
          <w:szCs w:val="32"/>
          <w:lang w:val="en-US" w:eastAsia="zh-CN"/>
        </w:rPr>
      </w:pPr>
      <w:r>
        <w:rPr>
          <w:rFonts w:hint="eastAsia" w:ascii="Times New Roman" w:hAnsi="Times New Roman" w:eastAsia="Microsoft JhengHei" w:cs="宋体"/>
          <w:b/>
          <w:color w:val="auto"/>
          <w:spacing w:val="0"/>
          <w:sz w:val="32"/>
          <w:szCs w:val="32"/>
          <w:lang w:val="en-US" w:eastAsia="zh-CN" w:bidi="zh-CN"/>
        </w:rPr>
        <w:t xml:space="preserve">第十一条 </w:t>
      </w:r>
      <w:r>
        <w:rPr>
          <w:rFonts w:hint="eastAsia" w:ascii="Times New Roman" w:hAnsi="Times New Roman" w:eastAsia="仿宋_GB2312" w:cs="仿宋_GB2312"/>
          <w:color w:val="auto"/>
          <w:spacing w:val="0"/>
          <w:sz w:val="32"/>
          <w:szCs w:val="32"/>
          <w:lang w:val="en-US" w:eastAsia="zh-CN"/>
        </w:rPr>
        <w:t xml:space="preserve"> </w:t>
      </w:r>
      <w:r>
        <w:rPr>
          <w:rFonts w:hint="eastAsia" w:ascii="Times New Roman" w:hAnsi="Times New Roman" w:eastAsia="仿宋_GB2312" w:cs="仿宋_GB2312"/>
          <w:color w:val="auto"/>
          <w:spacing w:val="0"/>
          <w:sz w:val="32"/>
          <w:szCs w:val="32"/>
          <w:lang w:val="en-US" w:eastAsia="zh-CN"/>
        </w:rPr>
        <w:t>严格新材料、新工艺的询价和暂估价管理。</w:t>
      </w:r>
      <w:r>
        <w:rPr>
          <w:rFonts w:hint="eastAsia" w:ascii="Times New Roman" w:hAnsi="Times New Roman" w:eastAsia="仿宋_GB2312" w:cs="仿宋_GB2312"/>
          <w:color w:val="auto"/>
          <w:spacing w:val="0"/>
          <w:sz w:val="32"/>
          <w:szCs w:val="32"/>
          <w:lang w:val="en-US" w:eastAsia="zh-CN"/>
        </w:rPr>
        <w:t>区财评中心评审时，非必要不得设置暂估价，确需设定的，只能依项目单位申请或区财评中心出具情况说明后设置限额暂估价（不得超暂估价结算）。新材料、新工艺的询价，由项目单位组织财政、审计、发改、监理、主管部门等共同向供货方询价，应当取得相应的供货合同、发票作为证据，不配合提供相应证据的供应商应当排除出采购名单。询价完成后出具询价报告，未取得相应的供货合同、发票作为证据的询价报告不予认可。材料、设备暂估价的询价，由项目单位组织监理、施工单位，对不少于三家同等档次供应商询价后形成定价单，应当取得相应的报价函与市场询价记录作为附件。超招标控制价的询价参照新材料、新工艺的询价程序执行。</w:t>
      </w:r>
    </w:p>
    <w:p>
      <w:pPr>
        <w:keepNext w:val="0"/>
        <w:keepLines w:val="0"/>
        <w:pageBreakBefore w:val="0"/>
        <w:widowControl w:val="0"/>
        <w:shd w:val="clear" w:color="auto"/>
        <w:kinsoku/>
        <w:wordWrap/>
        <w:overflowPunct/>
        <w:topLinePunct w:val="0"/>
        <w:bidi w:val="0"/>
        <w:spacing w:before="0" w:after="0" w:line="600" w:lineRule="exact"/>
        <w:ind w:left="0" w:leftChars="0" w:right="0" w:firstLine="640" w:firstLineChars="200"/>
        <w:jc w:val="both"/>
        <w:textAlignment w:val="auto"/>
        <w:rPr>
          <w:rFonts w:hint="eastAsia" w:ascii="Times New Roman" w:hAnsi="Times New Roman" w:eastAsia="仿宋_GB2312" w:cs="仿宋_GB2312"/>
          <w:color w:val="auto"/>
          <w:spacing w:val="0"/>
          <w:sz w:val="32"/>
          <w:szCs w:val="32"/>
          <w:lang w:val="en-US" w:eastAsia="zh-CN" w:bidi="zh-CN"/>
        </w:rPr>
      </w:pPr>
      <w:r>
        <w:rPr>
          <w:rFonts w:hint="eastAsia" w:ascii="Times New Roman" w:hAnsi="Times New Roman" w:eastAsia="Microsoft JhengHei" w:cs="宋体"/>
          <w:b/>
          <w:color w:val="auto"/>
          <w:spacing w:val="0"/>
          <w:sz w:val="32"/>
          <w:szCs w:val="32"/>
          <w:lang w:val="en-US" w:eastAsia="zh-CN" w:bidi="zh-CN"/>
        </w:rPr>
        <w:t xml:space="preserve">第十二条  </w:t>
      </w:r>
      <w:r>
        <w:rPr>
          <w:rFonts w:hint="eastAsia" w:ascii="Times New Roman" w:hAnsi="Times New Roman" w:eastAsia="仿宋_GB2312" w:cs="仿宋_GB2312"/>
          <w:color w:val="auto"/>
          <w:spacing w:val="0"/>
          <w:sz w:val="32"/>
          <w:szCs w:val="32"/>
          <w:lang w:val="en-US" w:eastAsia="zh-CN" w:bidi="zh-CN"/>
        </w:rPr>
        <w:t>加强对监理单位、施工单位管理。项目单位派专人对监理单位、施工单位人员及设备到岗情况、组织、质量、安全、进度、造价、合同、资料管理及工作纪律等方面进行综合评定，若因监理单位管理不到位，造成质量、安全、投资等损失时，按本项目监理费的10%且不少于2000元扣除监理费用。监理费中预留20%（且不少于2000元）作为监理单位造成工程经济损失时的扣除资金。施工单位不按建设程序实施、不接受项目单位及监理单位的管理，造成质量、安全、投资等损失时，施工单位自行承担后果，并按要求进行整改，同时给予施工单位2000元每次处罚，造成严重后果的，依法追究相关法律责任。60万以上政府投资项目施工合同费拨付至95%前，项目单位应将通过审核的竣工图纸质档和电子档提交区城乡建设技术服务中心备案。</w:t>
      </w:r>
    </w:p>
    <w:p>
      <w:pPr>
        <w:pStyle w:val="5"/>
        <w:keepNext w:val="0"/>
        <w:keepLines w:val="0"/>
        <w:pageBreakBefore w:val="0"/>
        <w:widowControl w:val="0"/>
        <w:shd w:val="clear"/>
        <w:kinsoku/>
        <w:wordWrap/>
        <w:overflowPunct/>
        <w:topLinePunct w:val="0"/>
        <w:bidi w:val="0"/>
        <w:adjustRightInd/>
        <w:snapToGrid/>
        <w:spacing w:before="0" w:after="0" w:line="600" w:lineRule="exact"/>
        <w:ind w:left="0" w:leftChars="0" w:right="0" w:firstLine="640" w:firstLineChars="200"/>
        <w:jc w:val="both"/>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Microsoft JhengHei" w:cs="宋体"/>
          <w:b/>
          <w:color w:val="auto"/>
          <w:spacing w:val="0"/>
          <w:sz w:val="32"/>
          <w:szCs w:val="32"/>
          <w:lang w:val="en-US" w:eastAsia="zh-CN" w:bidi="zh-CN"/>
        </w:rPr>
        <w:t xml:space="preserve">第十三条 </w:t>
      </w:r>
      <w:r>
        <w:rPr>
          <w:rFonts w:hint="eastAsia" w:ascii="Times New Roman" w:hAnsi="Times New Roman" w:eastAsia="仿宋_GB2312" w:cs="仿宋_GB2312"/>
          <w:color w:val="auto"/>
          <w:spacing w:val="0"/>
          <w:sz w:val="32"/>
          <w:szCs w:val="32"/>
          <w:lang w:val="en-US" w:eastAsia="zh-CN" w:bidi="zh-CN"/>
        </w:rPr>
        <w:t xml:space="preserve"> 严格工程变更和签证。工程变更和签证应遵循“先批准，后变更”的原则。</w:t>
      </w:r>
    </w:p>
    <w:p>
      <w:pPr>
        <w:pStyle w:val="5"/>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spacing w:val="0"/>
          <w:sz w:val="32"/>
          <w:szCs w:val="32"/>
          <w:lang w:val="en-US" w:eastAsia="zh-CN" w:bidi="zh-CN"/>
        </w:rPr>
      </w:pPr>
      <w:r>
        <w:rPr>
          <w:rFonts w:hint="eastAsia" w:ascii="Times New Roman" w:hAnsi="Times New Roman" w:eastAsia="仿宋_GB2312" w:cs="仿宋_GB2312"/>
          <w:color w:val="auto"/>
          <w:spacing w:val="0"/>
          <w:sz w:val="32"/>
          <w:szCs w:val="32"/>
          <w:lang w:val="en-US" w:eastAsia="zh-CN" w:bidi="zh-CN"/>
        </w:rPr>
        <w:t>（一）不超批复概算的工程变更：</w:t>
      </w:r>
    </w:p>
    <w:p>
      <w:pPr>
        <w:pStyle w:val="8"/>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pacing w:val="0"/>
          <w:sz w:val="32"/>
          <w:szCs w:val="32"/>
          <w:lang w:val="en-US" w:eastAsia="zh-CN" w:bidi="zh-CN"/>
        </w:rPr>
      </w:pPr>
      <w:r>
        <w:rPr>
          <w:rFonts w:hint="eastAsia" w:ascii="Times New Roman" w:hAnsi="Times New Roman" w:eastAsia="仿宋_GB2312" w:cs="仿宋_GB2312"/>
          <w:color w:val="auto"/>
          <w:spacing w:val="0"/>
          <w:sz w:val="32"/>
          <w:szCs w:val="32"/>
          <w:lang w:val="en-US" w:eastAsia="zh-CN" w:bidi="zh-CN"/>
        </w:rPr>
        <w:t>1.单次变更金额在10万元以下，且累计变更后工程建安费仍在招标控制价范围内的，由监理、设计等单位初审后报项目单位审核批准；</w:t>
      </w:r>
    </w:p>
    <w:p>
      <w:pPr>
        <w:pStyle w:val="8"/>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pacing w:val="0"/>
          <w:sz w:val="32"/>
          <w:szCs w:val="32"/>
          <w:lang w:val="en-US" w:eastAsia="zh-CN" w:bidi="zh-CN"/>
        </w:rPr>
      </w:pPr>
      <w:r>
        <w:rPr>
          <w:rFonts w:hint="eastAsia" w:ascii="Times New Roman" w:hAnsi="Times New Roman" w:eastAsia="仿宋_GB2312" w:cs="仿宋_GB2312"/>
          <w:color w:val="auto"/>
          <w:spacing w:val="0"/>
          <w:sz w:val="32"/>
          <w:szCs w:val="32"/>
          <w:lang w:val="en-US" w:eastAsia="zh-CN" w:bidi="zh-CN"/>
        </w:rPr>
        <w:t>2.单次变更金额在10万元及以上，且累计变更后工程建安费仍在招标控制价范围内；或单次变更金额在10万元及以上，或累计变更导致工程建安费超过招标控制价范围但未超过批复概算建安费的，由区发改局会同财政等部门审核后批准。</w:t>
      </w:r>
    </w:p>
    <w:p>
      <w:pPr>
        <w:pStyle w:val="8"/>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pacing w:val="0"/>
          <w:sz w:val="32"/>
          <w:szCs w:val="32"/>
          <w:lang w:val="en-US" w:eastAsia="zh-CN" w:bidi="zh-CN"/>
        </w:rPr>
      </w:pPr>
      <w:r>
        <w:rPr>
          <w:rFonts w:hint="eastAsia" w:ascii="Times New Roman" w:hAnsi="Times New Roman" w:eastAsia="仿宋_GB2312" w:cs="仿宋_GB2312"/>
          <w:color w:val="auto"/>
          <w:spacing w:val="0"/>
          <w:sz w:val="32"/>
          <w:szCs w:val="32"/>
          <w:lang w:val="en-US" w:eastAsia="zh-CN" w:bidi="zh-CN"/>
        </w:rPr>
        <w:t>（二）超过批复概算的工程变更：</w:t>
      </w:r>
    </w:p>
    <w:p>
      <w:pPr>
        <w:pStyle w:val="8"/>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pacing w:val="0"/>
          <w:sz w:val="32"/>
          <w:szCs w:val="32"/>
          <w:lang w:val="en-US" w:eastAsia="zh-CN" w:bidi="zh-CN"/>
        </w:rPr>
      </w:pPr>
      <w:r>
        <w:rPr>
          <w:rFonts w:hint="eastAsia" w:ascii="Times New Roman" w:hAnsi="Times New Roman" w:eastAsia="仿宋_GB2312" w:cs="仿宋_GB2312"/>
          <w:color w:val="auto"/>
          <w:spacing w:val="0"/>
          <w:sz w:val="32"/>
          <w:szCs w:val="32"/>
          <w:lang w:val="en-US" w:eastAsia="zh-CN" w:bidi="zh-CN"/>
        </w:rPr>
        <w:t>1.单次变更金额在10万元及以上且累计工程变更导致项目建安费超过批复概算建安费，对于可以通过使用概算预备费解决的，项目单位组织初审并提出预备费使用申请后，由区发改局组织区财政、相关行业主管部门审核批准后实施。</w:t>
      </w:r>
    </w:p>
    <w:p>
      <w:pPr>
        <w:pStyle w:val="8"/>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pacing w:val="0"/>
          <w:sz w:val="32"/>
          <w:szCs w:val="32"/>
          <w:lang w:val="en-US" w:eastAsia="zh-CN" w:bidi="zh-CN"/>
        </w:rPr>
      </w:pPr>
      <w:r>
        <w:rPr>
          <w:rFonts w:hint="eastAsia" w:ascii="Times New Roman" w:hAnsi="Times New Roman" w:eastAsia="仿宋_GB2312" w:cs="仿宋_GB2312"/>
          <w:color w:val="auto"/>
          <w:spacing w:val="0"/>
          <w:sz w:val="32"/>
          <w:szCs w:val="32"/>
          <w:lang w:val="en-US" w:eastAsia="zh-CN" w:bidi="zh-CN"/>
        </w:rPr>
        <w:t>2.单项或累计工程变更导致项目建安费超过批复概算建安费，对于不能通过使用概算预备费解决的，需先取得项目概算调整的批复文件，由区发改局根据概算调整批复文件审核批复工程变更；</w:t>
      </w:r>
    </w:p>
    <w:p>
      <w:pPr>
        <w:pStyle w:val="8"/>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pacing w:val="0"/>
          <w:sz w:val="32"/>
          <w:szCs w:val="32"/>
          <w:lang w:val="en-US" w:eastAsia="zh-CN" w:bidi="zh-CN"/>
        </w:rPr>
      </w:pPr>
      <w:r>
        <w:rPr>
          <w:rFonts w:hint="eastAsia" w:ascii="Times New Roman" w:hAnsi="Times New Roman" w:eastAsia="仿宋_GB2312" w:cs="仿宋_GB2312"/>
          <w:color w:val="auto"/>
          <w:spacing w:val="0"/>
          <w:sz w:val="32"/>
          <w:szCs w:val="32"/>
          <w:lang w:val="en-US" w:eastAsia="zh-CN" w:bidi="zh-CN"/>
        </w:rPr>
        <w:t>3.在概算调整批复前，各相关单位不得超批复概算批准工程变更（设计变更、洽商签证），不得超批复概算进行工程结算,不得超批复概算拨付资金。</w:t>
      </w:r>
    </w:p>
    <w:p>
      <w:pPr>
        <w:pStyle w:val="8"/>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bidi="zh-CN"/>
        </w:rPr>
        <w:t>（三）工程变更未按以上规定报批的，不得作为工程结算和资金支付的依据。</w:t>
      </w:r>
    </w:p>
    <w:p>
      <w:pPr>
        <w:keepNext w:val="0"/>
        <w:keepLines w:val="0"/>
        <w:pageBreakBefore w:val="0"/>
        <w:widowControl w:val="0"/>
        <w:shd w:val="clear"/>
        <w:kinsoku/>
        <w:wordWrap/>
        <w:overflowPunct/>
        <w:topLinePunct w:val="0"/>
        <w:bidi w:val="0"/>
        <w:spacing w:before="0" w:after="0" w:line="600" w:lineRule="exact"/>
        <w:ind w:left="0" w:leftChars="0" w:right="0" w:firstLine="640" w:firstLineChars="200"/>
        <w:jc w:val="both"/>
        <w:textAlignment w:val="auto"/>
        <w:rPr>
          <w:rFonts w:hint="eastAsia" w:ascii="Times New Roman" w:hAnsi="Times New Roman" w:eastAsia="Microsoft JhengHei" w:cs="宋体"/>
          <w:b/>
          <w:color w:val="auto"/>
          <w:spacing w:val="0"/>
          <w:sz w:val="32"/>
          <w:szCs w:val="32"/>
          <w:lang w:val="en-US" w:eastAsia="zh-CN" w:bidi="zh-CN"/>
        </w:rPr>
      </w:pPr>
      <w:r>
        <w:rPr>
          <w:rFonts w:hint="eastAsia" w:ascii="Times New Roman" w:hAnsi="Times New Roman" w:eastAsia="Microsoft JhengHei" w:cs="宋体"/>
          <w:b/>
          <w:color w:val="auto"/>
          <w:spacing w:val="0"/>
          <w:sz w:val="32"/>
          <w:szCs w:val="32"/>
          <w:lang w:val="en-US" w:eastAsia="zh-CN" w:bidi="zh-CN"/>
        </w:rPr>
        <w:t>第十四条</w:t>
      </w:r>
      <w:r>
        <w:rPr>
          <w:rFonts w:hint="eastAsia" w:ascii="Times New Roman" w:hAnsi="Times New Roman" w:eastAsia="仿宋_GB2312" w:cs="仿宋_GB2312"/>
          <w:color w:val="auto"/>
          <w:spacing w:val="0"/>
          <w:sz w:val="32"/>
          <w:szCs w:val="32"/>
          <w:lang w:val="en-US" w:eastAsia="zh-CN" w:bidi="zh-CN"/>
        </w:rPr>
        <w:t xml:space="preserve"> </w:t>
      </w:r>
      <w:r>
        <w:rPr>
          <w:rFonts w:hint="eastAsia" w:ascii="Times New Roman" w:hAnsi="Times New Roman" w:eastAsia="仿宋_GB2312" w:cs="仿宋_GB2312"/>
          <w:color w:val="auto"/>
          <w:spacing w:val="0"/>
          <w:sz w:val="32"/>
          <w:szCs w:val="32"/>
          <w:lang w:val="en-US" w:eastAsia="zh-CN" w:bidi="zh-CN"/>
        </w:rPr>
        <w:t xml:space="preserve"> 加强项目单位工程现场管理。工程签证的管理实行“提前申报，实事求是，依法依规，资料齐全”的原则。项目建设实施过程中变更、签证工作是项目建设成本控制主要工作之一，项目单位工程管理应在保证安全、质量的前提下，加强成本控制。相关管理部门应积极配合其做好该项工作，保证项目建设顺利推进，同时有效控制建设成本。</w:t>
      </w:r>
      <w:r>
        <w:rPr>
          <w:rFonts w:hint="eastAsia" w:ascii="Times New Roman" w:hAnsi="Times New Roman" w:eastAsia="仿宋_GB2312" w:cs="仿宋_GB2312"/>
          <w:color w:val="auto"/>
          <w:spacing w:val="0"/>
          <w:sz w:val="32"/>
          <w:szCs w:val="32"/>
          <w:lang w:val="en-US" w:eastAsia="zh-CN" w:bidi="zh-CN"/>
        </w:rPr>
        <w:t>需工程签证时，单项变更签证10万以下的，《工程变更签证通用报审表》会签必须在会商确定变更事宜3天内完成，10万以上的单项变更签证在《工程变更签证通用报审表》会签完成后7天内完成上级审批。工程变更签证必须经项目单位或上级部门审批通过后才能实施。签证施工完成后，施工单位在3天内上报变更签证资料，因施工单位未能及时提交签证单、或签证附件不齐全等原因未能及时完成《工程变更签证单》审签，项目单位有权拒签《工程变更签证单》。所有签证必须按签证流程完成签证后才能生效。</w:t>
      </w:r>
    </w:p>
    <w:p>
      <w:pPr>
        <w:keepNext w:val="0"/>
        <w:keepLines w:val="0"/>
        <w:pageBreakBefore w:val="0"/>
        <w:widowControl w:val="0"/>
        <w:shd w:val="clear"/>
        <w:kinsoku/>
        <w:wordWrap/>
        <w:overflowPunct/>
        <w:topLinePunct w:val="0"/>
        <w:bidi w:val="0"/>
        <w:spacing w:before="0" w:after="0" w:line="600" w:lineRule="exact"/>
        <w:ind w:left="0" w:leftChars="0" w:right="0" w:firstLine="640" w:firstLineChars="200"/>
        <w:jc w:val="both"/>
        <w:textAlignment w:val="auto"/>
        <w:rPr>
          <w:rFonts w:hint="eastAsia" w:ascii="Times New Roman" w:hAnsi="Times New Roman" w:eastAsia="仿宋_GB2312" w:cs="仿宋_GB2312"/>
          <w:color w:val="auto"/>
          <w:spacing w:val="0"/>
          <w:sz w:val="32"/>
          <w:szCs w:val="32"/>
          <w:lang w:val="en-US" w:eastAsia="zh-CN" w:bidi="zh-CN"/>
        </w:rPr>
      </w:pPr>
      <w:r>
        <w:rPr>
          <w:rFonts w:hint="eastAsia" w:ascii="Times New Roman" w:hAnsi="Times New Roman" w:eastAsia="Microsoft JhengHei" w:cs="宋体"/>
          <w:b/>
          <w:color w:val="auto"/>
          <w:spacing w:val="0"/>
          <w:sz w:val="32"/>
          <w:szCs w:val="32"/>
          <w:lang w:val="en-US" w:eastAsia="zh-CN" w:bidi="zh-CN"/>
        </w:rPr>
        <w:t xml:space="preserve">第十五条  </w:t>
      </w:r>
      <w:r>
        <w:rPr>
          <w:rFonts w:hint="eastAsia" w:ascii="Times New Roman" w:hAnsi="Times New Roman" w:eastAsia="仿宋_GB2312" w:cs="仿宋_GB2312"/>
          <w:color w:val="auto"/>
          <w:spacing w:val="0"/>
          <w:sz w:val="32"/>
          <w:szCs w:val="32"/>
          <w:lang w:val="en-US" w:eastAsia="zh-CN" w:bidi="zh-CN"/>
        </w:rPr>
        <w:t>加强项目竣工结算管理。推行项目单位编制结算制度。项目单位应在竣工验收后 30 天内编制好结算文件，避免施工单位编制虚假结算资料虚增结算价套取政府建设资金的现象，施工单位应积极配合建设单位做好结算编制工作。施工单位有异议的，可提供相关证据与项目单位协商确认，也可依法提起诉讼。工程结算原则上应在竣工验收后 3 个月内办结，并同时将结算资料按规定报审计或财政部门进行监督，项目单位应严格按合同及时支付工程款，施工单位不得拖欠民工工资。审计或财政部门监督发现结算存在违规的，项目单位应及时纠正。</w:t>
      </w:r>
    </w:p>
    <w:p>
      <w:pPr>
        <w:keepNext w:val="0"/>
        <w:keepLines w:val="0"/>
        <w:pageBreakBefore w:val="0"/>
        <w:widowControl w:val="0"/>
        <w:shd w:val="clear"/>
        <w:kinsoku/>
        <w:wordWrap/>
        <w:overflowPunct/>
        <w:topLinePunct w:val="0"/>
        <w:bidi w:val="0"/>
        <w:spacing w:before="0" w:after="0" w:line="600" w:lineRule="exact"/>
        <w:ind w:left="0" w:leftChars="0" w:right="0" w:firstLine="640" w:firstLineChars="200"/>
        <w:jc w:val="both"/>
        <w:textAlignment w:val="auto"/>
        <w:rPr>
          <w:rFonts w:hint="default" w:ascii="Times New Roman" w:hAnsi="Times New Roman" w:eastAsia="Microsoft JhengHei" w:cs="宋体"/>
          <w:b/>
          <w:color w:val="auto"/>
          <w:spacing w:val="0"/>
          <w:sz w:val="32"/>
          <w:szCs w:val="32"/>
          <w:lang w:val="en-US" w:eastAsia="zh-CN" w:bidi="zh-CN"/>
        </w:rPr>
      </w:pPr>
      <w:r>
        <w:rPr>
          <w:rFonts w:hint="eastAsia" w:ascii="Times New Roman" w:hAnsi="Times New Roman" w:eastAsia="Microsoft JhengHei" w:cs="宋体"/>
          <w:b/>
          <w:color w:val="auto"/>
          <w:spacing w:val="0"/>
          <w:sz w:val="32"/>
          <w:szCs w:val="32"/>
          <w:lang w:val="en-US" w:eastAsia="zh-CN" w:bidi="zh-CN"/>
        </w:rPr>
        <w:t xml:space="preserve">第十六条 </w:t>
      </w:r>
      <w:r>
        <w:rPr>
          <w:rFonts w:hint="eastAsia" w:ascii="Times New Roman" w:hAnsi="Times New Roman" w:eastAsia="仿宋_GB2312" w:cs="仿宋_GB2312"/>
          <w:color w:val="auto"/>
          <w:spacing w:val="0"/>
          <w:sz w:val="32"/>
          <w:szCs w:val="32"/>
          <w:lang w:val="en-US" w:eastAsia="zh-CN" w:bidi="zh-CN"/>
        </w:rPr>
        <w:t xml:space="preserve"> </w:t>
      </w:r>
      <w:r>
        <w:rPr>
          <w:rFonts w:hint="eastAsia" w:ascii="Times New Roman" w:hAnsi="Times New Roman" w:eastAsia="仿宋_GB2312" w:cs="仿宋_GB2312"/>
          <w:color w:val="auto"/>
          <w:spacing w:val="0"/>
          <w:sz w:val="32"/>
          <w:szCs w:val="32"/>
          <w:lang w:val="en-US" w:eastAsia="zh-CN" w:bidi="zh-CN"/>
        </w:rPr>
        <w:t>强化项目单位预（结）算责任。项目单位须对报送预（结）算资料的真实性、完整性、准确性负责，必须将审减率控制在10%以内。如审减额度超过送审造价10%，评审费用由项目单位负责。项目单位要压实施工单位责任，将相应条款列入合同文件。项目单位虚报冒算严重、拒不配合或阻扰财政评审工作的，财政部门可予以通报，并视情况采取暂停拨付财政资金、压减部门公用经费等处理措施。违反法律法规的，依法追究相关责任人的法律责任。</w:t>
      </w:r>
    </w:p>
    <w:p>
      <w:pPr>
        <w:keepNext w:val="0"/>
        <w:keepLines w:val="0"/>
        <w:pageBreakBefore w:val="0"/>
        <w:widowControl w:val="0"/>
        <w:shd w:val="clear"/>
        <w:kinsoku/>
        <w:wordWrap/>
        <w:overflowPunct/>
        <w:topLinePunct w:val="0"/>
        <w:bidi w:val="0"/>
        <w:spacing w:before="0" w:after="0" w:line="600" w:lineRule="exact"/>
        <w:ind w:left="0" w:leftChars="0" w:right="0" w:firstLine="640" w:firstLineChars="200"/>
        <w:jc w:val="both"/>
        <w:textAlignment w:val="auto"/>
        <w:rPr>
          <w:rFonts w:hint="default" w:ascii="Times New Roman" w:hAnsi="Times New Roman" w:cs="宋体"/>
          <w:color w:val="auto"/>
          <w:spacing w:val="0"/>
          <w:sz w:val="32"/>
          <w:szCs w:val="32"/>
          <w:lang w:val="en-US" w:eastAsia="zh-CN" w:bidi="zh-CN"/>
        </w:rPr>
      </w:pPr>
      <w:r>
        <w:rPr>
          <w:rFonts w:hint="eastAsia" w:ascii="Times New Roman" w:hAnsi="Times New Roman" w:eastAsia="Microsoft JhengHei" w:cs="宋体"/>
          <w:b/>
          <w:color w:val="auto"/>
          <w:spacing w:val="0"/>
          <w:sz w:val="32"/>
          <w:szCs w:val="32"/>
          <w:lang w:val="en-US" w:eastAsia="zh-CN" w:bidi="zh-CN"/>
        </w:rPr>
        <w:t xml:space="preserve">第十七条 </w:t>
      </w:r>
      <w:r>
        <w:rPr>
          <w:rFonts w:hint="eastAsia" w:ascii="Times New Roman" w:hAnsi="Times New Roman" w:eastAsia="仿宋_GB2312" w:cs="仿宋_GB2312"/>
          <w:color w:val="auto"/>
          <w:spacing w:val="0"/>
          <w:sz w:val="32"/>
          <w:szCs w:val="32"/>
          <w:lang w:val="en-US" w:eastAsia="zh-CN" w:bidi="zh-CN"/>
        </w:rPr>
        <w:t xml:space="preserve"> </w:t>
      </w:r>
      <w:r>
        <w:rPr>
          <w:rFonts w:hint="eastAsia" w:ascii="Times New Roman" w:hAnsi="Times New Roman" w:eastAsia="仿宋_GB2312" w:cs="仿宋_GB2312"/>
          <w:color w:val="auto"/>
          <w:spacing w:val="0"/>
          <w:sz w:val="32"/>
          <w:szCs w:val="32"/>
          <w:lang w:val="en-US" w:eastAsia="zh-CN" w:bidi="zh-CN"/>
        </w:rPr>
        <w:t>加强工程建设项目移交管理。工程建设项目验收管理应遵循“报验及时、事件真实、资料齐全、程序合规”的原则。完成工程合同约定的各项内容即可竣工验收。市政公用设施质保期满前60天</w:t>
      </w:r>
      <w:r>
        <w:rPr>
          <w:rFonts w:hint="default" w:ascii="Times New Roman" w:hAnsi="Times New Roman" w:eastAsia="仿宋_GB2312" w:cs="仿宋_GB2312"/>
          <w:color w:val="auto"/>
          <w:spacing w:val="0"/>
          <w:sz w:val="32"/>
          <w:szCs w:val="32"/>
          <w:lang w:val="en-US" w:eastAsia="zh-CN" w:bidi="zh-CN"/>
        </w:rPr>
        <w:t>内，</w:t>
      </w:r>
      <w:r>
        <w:rPr>
          <w:rFonts w:hint="eastAsia" w:ascii="Times New Roman" w:hAnsi="Times New Roman" w:eastAsia="仿宋_GB2312" w:cs="仿宋_GB2312"/>
          <w:color w:val="auto"/>
          <w:spacing w:val="0"/>
          <w:sz w:val="32"/>
          <w:szCs w:val="32"/>
          <w:lang w:val="en-US" w:eastAsia="zh-CN" w:bidi="zh-CN"/>
        </w:rPr>
        <w:t>项目单位</w:t>
      </w:r>
      <w:r>
        <w:rPr>
          <w:rFonts w:hint="default" w:ascii="Times New Roman" w:hAnsi="Times New Roman" w:eastAsia="仿宋_GB2312" w:cs="仿宋_GB2312"/>
          <w:color w:val="auto"/>
          <w:spacing w:val="0"/>
          <w:sz w:val="32"/>
          <w:szCs w:val="32"/>
          <w:lang w:val="en-US" w:eastAsia="zh-CN" w:bidi="zh-CN"/>
        </w:rPr>
        <w:t>应</w:t>
      </w:r>
      <w:r>
        <w:rPr>
          <w:rFonts w:hint="eastAsia" w:ascii="Times New Roman" w:hAnsi="Times New Roman" w:eastAsia="仿宋_GB2312" w:cs="仿宋_GB2312"/>
          <w:color w:val="auto"/>
          <w:spacing w:val="0"/>
          <w:sz w:val="32"/>
          <w:szCs w:val="32"/>
          <w:lang w:val="en-US" w:eastAsia="zh-CN" w:bidi="zh-CN"/>
        </w:rPr>
        <w:t>组织施工单位</w:t>
      </w:r>
      <w:r>
        <w:rPr>
          <w:rFonts w:hint="default" w:ascii="Times New Roman" w:hAnsi="Times New Roman" w:eastAsia="仿宋_GB2312" w:cs="仿宋_GB2312"/>
          <w:color w:val="auto"/>
          <w:spacing w:val="0"/>
          <w:sz w:val="32"/>
          <w:szCs w:val="32"/>
          <w:lang w:val="en-US" w:eastAsia="zh-CN" w:bidi="zh-CN"/>
        </w:rPr>
        <w:t>向相关市政公用设施行政主管部门提出移交书面申请和齐全完整的资料。</w:t>
      </w:r>
      <w:r>
        <w:rPr>
          <w:rFonts w:hint="eastAsia" w:ascii="Times New Roman" w:hAnsi="Times New Roman" w:eastAsia="仿宋_GB2312" w:cs="仿宋_GB2312"/>
          <w:color w:val="auto"/>
          <w:spacing w:val="0"/>
          <w:sz w:val="32"/>
          <w:szCs w:val="32"/>
          <w:lang w:val="en-US" w:eastAsia="zh-CN" w:bidi="zh-CN"/>
        </w:rPr>
        <w:t>市政公用设施移交可实行城市道路、交通设施、环卫设施、园林绿化设施、公交设施、照明设施等分项移交。老旧小区改造项目质保期满前60天</w:t>
      </w:r>
      <w:r>
        <w:rPr>
          <w:rFonts w:hint="default" w:ascii="Times New Roman" w:hAnsi="Times New Roman" w:eastAsia="仿宋_GB2312" w:cs="仿宋_GB2312"/>
          <w:color w:val="auto"/>
          <w:spacing w:val="0"/>
          <w:sz w:val="32"/>
          <w:szCs w:val="32"/>
          <w:lang w:val="en-US" w:eastAsia="zh-CN" w:bidi="zh-CN"/>
        </w:rPr>
        <w:t>内</w:t>
      </w:r>
      <w:r>
        <w:rPr>
          <w:rFonts w:hint="eastAsia" w:ascii="Times New Roman" w:hAnsi="Times New Roman" w:eastAsia="仿宋_GB2312" w:cs="仿宋_GB2312"/>
          <w:color w:val="auto"/>
          <w:spacing w:val="0"/>
          <w:sz w:val="32"/>
          <w:szCs w:val="32"/>
          <w:lang w:val="en-US" w:eastAsia="zh-CN" w:bidi="zh-CN"/>
        </w:rPr>
        <w:t>，项目单位应组织施工单位向属地街道办事处（社区）进行移交，并签订书面移交接管单，相关职能部门（接管单位）应配合项目单位做好移交接管工作，不得以工程质量安全缺陷事项以外的事由拒绝接管。</w:t>
      </w:r>
    </w:p>
    <w:p>
      <w:pPr>
        <w:pStyle w:val="5"/>
        <w:keepNext w:val="0"/>
        <w:keepLines w:val="0"/>
        <w:pageBreakBefore w:val="0"/>
        <w:widowControl w:val="0"/>
        <w:shd w:val="clear"/>
        <w:kinsoku/>
        <w:wordWrap/>
        <w:overflowPunct/>
        <w:topLinePunct w:val="0"/>
        <w:bidi w:val="0"/>
        <w:adjustRightInd/>
        <w:snapToGrid/>
        <w:spacing w:before="0" w:after="0" w:line="600" w:lineRule="exact"/>
        <w:ind w:left="0" w:leftChars="0" w:right="0" w:firstLine="640" w:firstLineChars="200"/>
        <w:jc w:val="both"/>
        <w:textAlignment w:val="auto"/>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Microsoft JhengHei" w:cs="宋体"/>
          <w:b/>
          <w:color w:val="auto"/>
          <w:spacing w:val="0"/>
          <w:sz w:val="32"/>
          <w:szCs w:val="32"/>
          <w:lang w:val="zh-CN" w:eastAsia="zh-CN" w:bidi="zh-CN"/>
        </w:rPr>
        <w:t>第十</w:t>
      </w:r>
      <w:r>
        <w:rPr>
          <w:rFonts w:hint="eastAsia" w:ascii="Times New Roman" w:hAnsi="Times New Roman" w:eastAsia="Microsoft JhengHei" w:cs="宋体"/>
          <w:b/>
          <w:color w:val="auto"/>
          <w:spacing w:val="0"/>
          <w:sz w:val="32"/>
          <w:szCs w:val="32"/>
          <w:lang w:val="en-US" w:eastAsia="zh-CN" w:bidi="zh-CN"/>
        </w:rPr>
        <w:t>八</w:t>
      </w:r>
      <w:r>
        <w:rPr>
          <w:rFonts w:hint="eastAsia" w:ascii="Times New Roman" w:hAnsi="Times New Roman" w:eastAsia="Microsoft JhengHei" w:cs="宋体"/>
          <w:b/>
          <w:color w:val="auto"/>
          <w:spacing w:val="0"/>
          <w:sz w:val="32"/>
          <w:szCs w:val="32"/>
          <w:lang w:val="zh-CN" w:eastAsia="zh-CN" w:bidi="zh-CN"/>
        </w:rPr>
        <w:t>条</w:t>
      </w:r>
      <w:r>
        <w:rPr>
          <w:rFonts w:hint="eastAsia" w:ascii="Times New Roman" w:hAnsi="Times New Roman"/>
          <w:b/>
          <w:color w:val="auto"/>
          <w:spacing w:val="0"/>
          <w:sz w:val="32"/>
          <w:szCs w:val="32"/>
          <w:lang w:val="en-US" w:eastAsia="zh-CN"/>
        </w:rPr>
        <w:t xml:space="preserve">  </w:t>
      </w:r>
      <w:r>
        <w:rPr>
          <w:rFonts w:hint="eastAsia" w:ascii="Times New Roman" w:hAnsi="Times New Roman" w:eastAsia="仿宋_GB2312" w:cs="仿宋_GB2312"/>
          <w:color w:val="auto"/>
          <w:spacing w:val="0"/>
          <w:sz w:val="32"/>
          <w:szCs w:val="32"/>
          <w:lang w:val="en-US" w:eastAsia="zh-CN"/>
        </w:rPr>
        <w:t>加强结算审计管理。</w:t>
      </w:r>
      <w:r>
        <w:rPr>
          <w:rFonts w:hint="eastAsia" w:ascii="Times New Roman" w:hAnsi="Times New Roman" w:eastAsia="仿宋_GB2312" w:cs="仿宋_GB2312"/>
          <w:color w:val="auto"/>
          <w:spacing w:val="0"/>
          <w:sz w:val="32"/>
          <w:szCs w:val="32"/>
          <w:lang w:eastAsia="zh-CN"/>
        </w:rPr>
        <w:t>政府投资项目</w:t>
      </w:r>
      <w:r>
        <w:rPr>
          <w:rFonts w:hint="eastAsia" w:ascii="Times New Roman" w:hAnsi="Times New Roman" w:eastAsia="仿宋_GB2312" w:cs="仿宋_GB2312"/>
          <w:color w:val="auto"/>
          <w:spacing w:val="0"/>
          <w:sz w:val="32"/>
          <w:szCs w:val="32"/>
          <w:lang w:val="en-US" w:eastAsia="zh-CN"/>
        </w:rPr>
        <w:t>60</w:t>
      </w:r>
      <w:r>
        <w:rPr>
          <w:rFonts w:hint="eastAsia" w:ascii="Times New Roman" w:hAnsi="Times New Roman" w:eastAsia="仿宋_GB2312" w:cs="仿宋_GB2312"/>
          <w:color w:val="auto"/>
          <w:spacing w:val="0"/>
          <w:sz w:val="32"/>
          <w:szCs w:val="32"/>
          <w:lang w:eastAsia="zh-CN"/>
        </w:rPr>
        <w:t>万元（含）至400万元（含）以内的结算由区财政局负责评审结算；400万元以上的由区审计局负责审计结算。</w:t>
      </w:r>
      <w:r>
        <w:rPr>
          <w:rFonts w:hint="eastAsia" w:ascii="Times New Roman" w:hAnsi="Times New Roman" w:eastAsia="仿宋_GB2312" w:cs="仿宋_GB2312"/>
          <w:color w:val="auto"/>
          <w:spacing w:val="0"/>
          <w:sz w:val="32"/>
          <w:szCs w:val="32"/>
          <w:lang w:val="en-US" w:eastAsia="zh-CN"/>
        </w:rPr>
        <w:t>区属国有企业</w:t>
      </w:r>
      <w:r>
        <w:rPr>
          <w:rFonts w:hint="eastAsia" w:ascii="Times New Roman" w:hAnsi="Times New Roman" w:eastAsia="仿宋_GB2312" w:cs="仿宋_GB2312"/>
          <w:color w:val="auto"/>
          <w:spacing w:val="0"/>
          <w:sz w:val="32"/>
          <w:szCs w:val="32"/>
          <w:lang w:eastAsia="zh-CN"/>
        </w:rPr>
        <w:t>实施的政府</w:t>
      </w:r>
      <w:r>
        <w:rPr>
          <w:rFonts w:hint="eastAsia" w:ascii="Times New Roman" w:hAnsi="Times New Roman" w:eastAsia="仿宋_GB2312" w:cs="仿宋_GB2312"/>
          <w:color w:val="auto"/>
          <w:spacing w:val="0"/>
          <w:sz w:val="32"/>
          <w:szCs w:val="32"/>
          <w:lang w:val="en-US" w:eastAsia="zh-CN"/>
        </w:rPr>
        <w:t>投资</w:t>
      </w:r>
      <w:r>
        <w:rPr>
          <w:rFonts w:hint="eastAsia" w:ascii="Times New Roman" w:hAnsi="Times New Roman" w:eastAsia="仿宋_GB2312" w:cs="仿宋_GB2312"/>
          <w:color w:val="auto"/>
          <w:spacing w:val="0"/>
          <w:sz w:val="32"/>
          <w:szCs w:val="32"/>
          <w:lang w:eastAsia="zh-CN"/>
        </w:rPr>
        <w:t>项目</w:t>
      </w:r>
      <w:r>
        <w:rPr>
          <w:rFonts w:hint="eastAsia" w:ascii="Times New Roman" w:hAnsi="Times New Roman" w:eastAsia="仿宋_GB2312" w:cs="仿宋_GB2312"/>
          <w:color w:val="auto"/>
          <w:spacing w:val="0"/>
          <w:sz w:val="32"/>
          <w:szCs w:val="32"/>
          <w:lang w:val="en-US" w:eastAsia="zh-CN"/>
        </w:rPr>
        <w:t>以及</w:t>
      </w:r>
      <w:r>
        <w:rPr>
          <w:rFonts w:hint="eastAsia" w:ascii="Times New Roman" w:hAnsi="Times New Roman" w:eastAsia="仿宋_GB2312" w:cs="仿宋_GB2312"/>
          <w:color w:val="auto"/>
          <w:spacing w:val="0"/>
          <w:sz w:val="32"/>
          <w:szCs w:val="32"/>
          <w:lang w:eastAsia="zh-CN"/>
        </w:rPr>
        <w:t>1000万元（含）以上的</w:t>
      </w:r>
      <w:r>
        <w:rPr>
          <w:rFonts w:hint="eastAsia" w:ascii="Times New Roman" w:hAnsi="Times New Roman" w:eastAsia="仿宋_GB2312" w:cs="仿宋_GB2312"/>
          <w:color w:val="auto"/>
          <w:spacing w:val="0"/>
          <w:sz w:val="32"/>
          <w:szCs w:val="32"/>
          <w:lang w:val="en-US" w:eastAsia="zh-CN"/>
        </w:rPr>
        <w:t>经营性投资</w:t>
      </w:r>
      <w:r>
        <w:rPr>
          <w:rFonts w:hint="eastAsia" w:ascii="Times New Roman" w:hAnsi="Times New Roman" w:eastAsia="仿宋_GB2312" w:cs="仿宋_GB2312"/>
          <w:color w:val="auto"/>
          <w:spacing w:val="0"/>
          <w:sz w:val="32"/>
          <w:szCs w:val="32"/>
          <w:lang w:eastAsia="zh-CN"/>
        </w:rPr>
        <w:t>项目由区审计局负责审计结算。政府投资项目在</w:t>
      </w:r>
      <w:r>
        <w:rPr>
          <w:rFonts w:hint="eastAsia" w:ascii="Times New Roman" w:hAnsi="Times New Roman" w:eastAsia="仿宋_GB2312" w:cs="仿宋_GB2312"/>
          <w:color w:val="auto"/>
          <w:spacing w:val="0"/>
          <w:sz w:val="32"/>
          <w:szCs w:val="32"/>
          <w:lang w:val="en-US" w:eastAsia="zh-CN"/>
        </w:rPr>
        <w:t>60</w:t>
      </w:r>
      <w:r>
        <w:rPr>
          <w:rFonts w:hint="eastAsia" w:ascii="Times New Roman" w:hAnsi="Times New Roman" w:eastAsia="仿宋_GB2312" w:cs="仿宋_GB2312"/>
          <w:color w:val="auto"/>
          <w:spacing w:val="0"/>
          <w:sz w:val="32"/>
          <w:szCs w:val="32"/>
          <w:lang w:eastAsia="zh-CN"/>
        </w:rPr>
        <w:t>万元以内（含）的以及</w:t>
      </w:r>
      <w:r>
        <w:rPr>
          <w:rFonts w:hint="eastAsia" w:ascii="Times New Roman" w:hAnsi="Times New Roman" w:eastAsia="仿宋_GB2312" w:cs="仿宋_GB2312"/>
          <w:color w:val="auto"/>
          <w:spacing w:val="0"/>
          <w:sz w:val="32"/>
          <w:szCs w:val="32"/>
          <w:lang w:val="en-US" w:eastAsia="zh-CN"/>
        </w:rPr>
        <w:t>区属国有企业</w:t>
      </w:r>
      <w:r>
        <w:rPr>
          <w:rFonts w:hint="eastAsia" w:ascii="Times New Roman" w:hAnsi="Times New Roman" w:eastAsia="仿宋_GB2312" w:cs="仿宋_GB2312"/>
          <w:color w:val="auto"/>
          <w:spacing w:val="0"/>
          <w:sz w:val="32"/>
          <w:szCs w:val="32"/>
          <w:lang w:eastAsia="zh-CN"/>
        </w:rPr>
        <w:t>1000万元以下的</w:t>
      </w:r>
      <w:r>
        <w:rPr>
          <w:rFonts w:hint="eastAsia" w:ascii="Times New Roman" w:hAnsi="Times New Roman" w:eastAsia="仿宋_GB2312" w:cs="仿宋_GB2312"/>
          <w:color w:val="auto"/>
          <w:spacing w:val="0"/>
          <w:sz w:val="32"/>
          <w:szCs w:val="32"/>
          <w:lang w:val="en-US" w:eastAsia="zh-CN"/>
        </w:rPr>
        <w:t>经营性投资</w:t>
      </w:r>
      <w:r>
        <w:rPr>
          <w:rFonts w:hint="eastAsia" w:ascii="Times New Roman" w:hAnsi="Times New Roman" w:eastAsia="仿宋_GB2312" w:cs="仿宋_GB2312"/>
          <w:color w:val="auto"/>
          <w:spacing w:val="0"/>
          <w:sz w:val="32"/>
          <w:szCs w:val="32"/>
          <w:lang w:eastAsia="zh-CN"/>
        </w:rPr>
        <w:t>项目由</w:t>
      </w:r>
      <w:r>
        <w:rPr>
          <w:rFonts w:hint="eastAsia" w:ascii="Times New Roman" w:hAnsi="Times New Roman" w:eastAsia="仿宋_GB2312" w:cs="仿宋_GB2312"/>
          <w:color w:val="auto"/>
          <w:spacing w:val="0"/>
          <w:sz w:val="32"/>
          <w:szCs w:val="32"/>
          <w:lang w:val="en-US" w:eastAsia="zh-CN"/>
        </w:rPr>
        <w:t>项目单位</w:t>
      </w:r>
      <w:r>
        <w:rPr>
          <w:rFonts w:hint="eastAsia" w:ascii="Times New Roman" w:hAnsi="Times New Roman" w:eastAsia="仿宋_GB2312" w:cs="仿宋_GB2312"/>
          <w:color w:val="auto"/>
          <w:spacing w:val="0"/>
          <w:sz w:val="32"/>
          <w:szCs w:val="32"/>
          <w:lang w:eastAsia="zh-CN"/>
        </w:rPr>
        <w:t>自行办理结算并分别报区财政局或审计局备案，由财政局或审计局选取适当比例实施监督抽查。</w:t>
      </w:r>
    </w:p>
    <w:p>
      <w:pPr>
        <w:pStyle w:val="5"/>
        <w:keepNext w:val="0"/>
        <w:keepLines w:val="0"/>
        <w:pageBreakBefore w:val="0"/>
        <w:widowControl w:val="0"/>
        <w:shd w:val="clear"/>
        <w:kinsoku/>
        <w:wordWrap/>
        <w:overflowPunct/>
        <w:topLinePunct w:val="0"/>
        <w:bidi w:val="0"/>
        <w:adjustRightInd/>
        <w:snapToGrid/>
        <w:spacing w:before="0" w:after="0" w:line="600" w:lineRule="exact"/>
        <w:ind w:left="0" w:leftChars="0" w:right="0" w:firstLine="640" w:firstLineChars="200"/>
        <w:jc w:val="both"/>
        <w:textAlignment w:val="auto"/>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Microsoft JhengHei" w:cs="宋体"/>
          <w:b/>
          <w:color w:val="auto"/>
          <w:spacing w:val="0"/>
          <w:sz w:val="32"/>
          <w:szCs w:val="32"/>
          <w:lang w:val="zh-CN" w:eastAsia="zh-CN" w:bidi="zh-CN"/>
        </w:rPr>
        <w:t>第</w:t>
      </w:r>
      <w:r>
        <w:rPr>
          <w:rFonts w:hint="eastAsia" w:ascii="Times New Roman" w:hAnsi="Times New Roman" w:eastAsia="Microsoft JhengHei" w:cs="宋体"/>
          <w:b/>
          <w:color w:val="auto"/>
          <w:spacing w:val="0"/>
          <w:sz w:val="32"/>
          <w:szCs w:val="32"/>
          <w:lang w:val="en-US" w:eastAsia="zh-CN" w:bidi="zh-CN"/>
        </w:rPr>
        <w:t>十九</w:t>
      </w:r>
      <w:r>
        <w:rPr>
          <w:rFonts w:hint="eastAsia" w:ascii="Times New Roman" w:hAnsi="Times New Roman" w:eastAsia="Microsoft JhengHei" w:cs="宋体"/>
          <w:b/>
          <w:color w:val="auto"/>
          <w:spacing w:val="0"/>
          <w:sz w:val="32"/>
          <w:szCs w:val="32"/>
          <w:lang w:val="zh-CN" w:eastAsia="zh-CN" w:bidi="zh-CN"/>
        </w:rPr>
        <w:t>条</w:t>
      </w:r>
      <w:r>
        <w:rPr>
          <w:rFonts w:hint="eastAsia" w:ascii="Times New Roman" w:hAnsi="Times New Roman"/>
          <w:b/>
          <w:color w:val="auto"/>
          <w:spacing w:val="0"/>
          <w:sz w:val="32"/>
          <w:szCs w:val="32"/>
          <w:lang w:val="en-US" w:eastAsia="zh-CN"/>
        </w:rPr>
        <w:t xml:space="preserve">  </w:t>
      </w:r>
      <w:r>
        <w:rPr>
          <w:rFonts w:hint="eastAsia" w:ascii="Times New Roman" w:hAnsi="Times New Roman" w:eastAsia="仿宋_GB2312" w:cs="仿宋_GB2312"/>
          <w:color w:val="auto"/>
          <w:spacing w:val="0"/>
          <w:sz w:val="32"/>
          <w:szCs w:val="32"/>
          <w:lang w:eastAsia="zh-CN"/>
        </w:rPr>
        <w:t>结算</w:t>
      </w:r>
      <w:r>
        <w:rPr>
          <w:rFonts w:hint="eastAsia" w:ascii="Times New Roman" w:hAnsi="Times New Roman" w:eastAsia="仿宋_GB2312" w:cs="仿宋_GB2312"/>
          <w:color w:val="auto"/>
          <w:spacing w:val="0"/>
          <w:sz w:val="32"/>
          <w:szCs w:val="32"/>
          <w:lang w:val="en-US" w:eastAsia="zh-CN"/>
        </w:rPr>
        <w:t>评审</w:t>
      </w:r>
      <w:r>
        <w:rPr>
          <w:rFonts w:hint="eastAsia" w:ascii="Times New Roman" w:hAnsi="Times New Roman" w:eastAsia="仿宋_GB2312" w:cs="仿宋_GB2312"/>
          <w:color w:val="auto"/>
          <w:spacing w:val="0"/>
          <w:sz w:val="32"/>
          <w:szCs w:val="32"/>
          <w:lang w:eastAsia="zh-CN"/>
        </w:rPr>
        <w:t>时限。合同价在400万元以内（含）的工程项目，原则上在20个工作日内办结；合同价在400万元以上至5000万元以内（含）的工程项目，原则上在30个工作日以内办结；合同价在5000万元以上的工程项目，原则上在60个工作日以内办结。如因</w:t>
      </w:r>
      <w:r>
        <w:rPr>
          <w:rFonts w:hint="eastAsia" w:ascii="Times New Roman" w:hAnsi="Times New Roman" w:eastAsia="仿宋_GB2312" w:cs="仿宋_GB2312"/>
          <w:color w:val="auto"/>
          <w:spacing w:val="0"/>
          <w:sz w:val="32"/>
          <w:szCs w:val="32"/>
          <w:lang w:val="en-US" w:eastAsia="zh-CN"/>
        </w:rPr>
        <w:t>项目单位</w:t>
      </w:r>
      <w:r>
        <w:rPr>
          <w:rFonts w:hint="eastAsia" w:ascii="Times New Roman" w:hAnsi="Times New Roman" w:eastAsia="仿宋_GB2312" w:cs="仿宋_GB2312"/>
          <w:color w:val="auto"/>
          <w:spacing w:val="0"/>
          <w:sz w:val="32"/>
          <w:szCs w:val="32"/>
          <w:lang w:eastAsia="zh-CN"/>
        </w:rPr>
        <w:t>或施工单位资料不齐备等主观原因造成延误，办结时间则相应顺延。</w:t>
      </w:r>
      <w:r>
        <w:rPr>
          <w:rFonts w:hint="eastAsia" w:ascii="Times New Roman" w:hAnsi="Times New Roman" w:eastAsia="仿宋_GB2312" w:cs="仿宋_GB2312"/>
          <w:color w:val="auto"/>
          <w:spacing w:val="0"/>
          <w:sz w:val="32"/>
          <w:szCs w:val="32"/>
          <w:lang w:val="en-US" w:eastAsia="zh-CN"/>
        </w:rPr>
        <w:t>项目单位</w:t>
      </w:r>
      <w:r>
        <w:rPr>
          <w:rFonts w:hint="eastAsia" w:ascii="Times New Roman" w:hAnsi="Times New Roman" w:eastAsia="仿宋_GB2312" w:cs="仿宋_GB2312"/>
          <w:color w:val="auto"/>
          <w:spacing w:val="0"/>
          <w:sz w:val="32"/>
          <w:szCs w:val="32"/>
          <w:lang w:eastAsia="zh-CN"/>
        </w:rPr>
        <w:t>自收到区财政或区审计的结算评审意见起，应在10个工作日内予以回复，如在规定时限内不予回复的，则视同</w:t>
      </w:r>
      <w:r>
        <w:rPr>
          <w:rFonts w:hint="eastAsia" w:ascii="Times New Roman" w:hAnsi="Times New Roman" w:eastAsia="仿宋_GB2312" w:cs="仿宋_GB2312"/>
          <w:color w:val="auto"/>
          <w:spacing w:val="0"/>
          <w:sz w:val="32"/>
          <w:szCs w:val="32"/>
          <w:lang w:val="en-US" w:eastAsia="zh-CN"/>
        </w:rPr>
        <w:t>项目单位</w:t>
      </w:r>
      <w:r>
        <w:rPr>
          <w:rFonts w:hint="eastAsia" w:ascii="Times New Roman" w:hAnsi="Times New Roman" w:eastAsia="仿宋_GB2312" w:cs="仿宋_GB2312"/>
          <w:color w:val="auto"/>
          <w:spacing w:val="0"/>
          <w:sz w:val="32"/>
          <w:szCs w:val="32"/>
          <w:lang w:eastAsia="zh-CN"/>
        </w:rPr>
        <w:t>及施工</w:t>
      </w:r>
      <w:r>
        <w:rPr>
          <w:rFonts w:hint="eastAsia" w:ascii="Times New Roman" w:hAnsi="Times New Roman" w:eastAsia="仿宋_GB2312" w:cs="仿宋_GB2312"/>
          <w:color w:val="auto"/>
          <w:spacing w:val="0"/>
          <w:sz w:val="32"/>
          <w:szCs w:val="32"/>
          <w:lang w:val="en-US" w:eastAsia="zh-CN"/>
        </w:rPr>
        <w:t>单位</w:t>
      </w:r>
      <w:r>
        <w:rPr>
          <w:rFonts w:hint="eastAsia" w:ascii="Times New Roman" w:hAnsi="Times New Roman" w:eastAsia="仿宋_GB2312" w:cs="仿宋_GB2312"/>
          <w:color w:val="auto"/>
          <w:spacing w:val="0"/>
          <w:sz w:val="32"/>
          <w:szCs w:val="32"/>
          <w:lang w:eastAsia="zh-CN"/>
        </w:rPr>
        <w:t>无异议，区财政及区审计可直接定案。</w:t>
      </w:r>
    </w:p>
    <w:p>
      <w:pPr>
        <w:keepNext w:val="0"/>
        <w:keepLines w:val="0"/>
        <w:pageBreakBefore w:val="0"/>
        <w:widowControl w:val="0"/>
        <w:shd w:val="clear"/>
        <w:kinsoku/>
        <w:wordWrap/>
        <w:overflowPunct/>
        <w:topLinePunct w:val="0"/>
        <w:bidi w:val="0"/>
        <w:spacing w:before="0" w:after="0" w:line="600" w:lineRule="exact"/>
        <w:ind w:left="0" w:leftChars="0" w:right="0" w:firstLine="640" w:firstLineChars="200"/>
        <w:jc w:val="both"/>
        <w:textAlignment w:val="auto"/>
        <w:rPr>
          <w:rFonts w:hint="eastAsia" w:ascii="Times New Roman" w:hAnsi="Times New Roman" w:eastAsia="仿宋_GB2312" w:cs="仿宋_GB2312"/>
          <w:color w:val="auto"/>
          <w:spacing w:val="0"/>
          <w:sz w:val="32"/>
          <w:szCs w:val="32"/>
          <w:lang w:val="en-US" w:eastAsia="zh-CN" w:bidi="zh-CN"/>
        </w:rPr>
      </w:pPr>
      <w:r>
        <w:rPr>
          <w:rFonts w:hint="eastAsia" w:ascii="Times New Roman" w:hAnsi="Times New Roman" w:eastAsia="Microsoft JhengHei" w:cs="宋体"/>
          <w:b/>
          <w:color w:val="auto"/>
          <w:spacing w:val="0"/>
          <w:sz w:val="32"/>
          <w:szCs w:val="32"/>
          <w:lang w:val="zh-CN" w:eastAsia="zh-CN" w:bidi="zh-CN"/>
        </w:rPr>
        <w:t>第</w:t>
      </w:r>
      <w:r>
        <w:rPr>
          <w:rFonts w:hint="eastAsia" w:ascii="Times New Roman" w:hAnsi="Times New Roman" w:eastAsia="Microsoft JhengHei" w:cs="宋体"/>
          <w:b/>
          <w:color w:val="auto"/>
          <w:spacing w:val="0"/>
          <w:sz w:val="32"/>
          <w:szCs w:val="32"/>
          <w:lang w:val="en-US" w:eastAsia="zh-CN" w:bidi="zh-CN"/>
        </w:rPr>
        <w:t>二十</w:t>
      </w:r>
      <w:r>
        <w:rPr>
          <w:rFonts w:hint="eastAsia" w:ascii="Times New Roman" w:hAnsi="Times New Roman" w:eastAsia="Microsoft JhengHei" w:cs="宋体"/>
          <w:b/>
          <w:color w:val="auto"/>
          <w:spacing w:val="0"/>
          <w:sz w:val="32"/>
          <w:szCs w:val="32"/>
          <w:lang w:val="zh-CN" w:eastAsia="zh-CN" w:bidi="zh-CN"/>
        </w:rPr>
        <w:t>条</w:t>
      </w:r>
      <w:r>
        <w:rPr>
          <w:rFonts w:hint="eastAsia" w:ascii="Times New Roman" w:hAnsi="Times New Roman"/>
          <w:b/>
          <w:color w:val="auto"/>
          <w:spacing w:val="0"/>
          <w:sz w:val="32"/>
          <w:szCs w:val="32"/>
          <w:lang w:val="en-US" w:eastAsia="zh-CN"/>
        </w:rPr>
        <w:t xml:space="preserve">  </w:t>
      </w:r>
      <w:r>
        <w:rPr>
          <w:rFonts w:hint="eastAsia" w:ascii="Times New Roman" w:hAnsi="Times New Roman" w:eastAsia="仿宋_GB2312" w:cs="仿宋_GB2312"/>
          <w:color w:val="auto"/>
          <w:spacing w:val="0"/>
          <w:sz w:val="32"/>
          <w:szCs w:val="32"/>
          <w:lang w:val="en-US" w:eastAsia="zh-CN" w:bidi="zh-CN"/>
        </w:rPr>
        <w:t>加强档案管理。项目单位负责工程全过程档案资料的保管，保管期自办理结算之日起不得少于15年。总投资超过1亿元或政府直接投资超过3000万元的项目，档案资料移交市城建档案馆管理。其中施工单位准备存档文件原件不少于一式五份，分别交由项目单位、监理单位、市城建档案馆存留。</w:t>
      </w:r>
    </w:p>
    <w:p>
      <w:pPr>
        <w:keepNext w:val="0"/>
        <w:keepLines w:val="0"/>
        <w:pageBreakBefore w:val="0"/>
        <w:widowControl w:val="0"/>
        <w:shd w:val="clear"/>
        <w:kinsoku/>
        <w:wordWrap/>
        <w:overflowPunct/>
        <w:topLinePunct w:val="0"/>
        <w:bidi w:val="0"/>
        <w:spacing w:before="0" w:after="0" w:line="600" w:lineRule="exact"/>
        <w:ind w:left="0" w:leftChars="0" w:right="0" w:firstLine="640" w:firstLineChars="200"/>
        <w:jc w:val="both"/>
        <w:textAlignment w:val="auto"/>
        <w:rPr>
          <w:rFonts w:hint="default" w:ascii="Times New Roman" w:hAnsi="Times New Roman"/>
          <w:b/>
          <w:color w:val="auto"/>
          <w:spacing w:val="0"/>
          <w:sz w:val="32"/>
          <w:szCs w:val="32"/>
          <w:lang w:val="en-US" w:eastAsia="zh-CN"/>
        </w:rPr>
      </w:pPr>
      <w:r>
        <w:rPr>
          <w:rFonts w:hint="eastAsia" w:ascii="Times New Roman" w:hAnsi="Times New Roman" w:eastAsia="Microsoft JhengHei" w:cs="宋体"/>
          <w:b/>
          <w:color w:val="auto"/>
          <w:spacing w:val="0"/>
          <w:sz w:val="32"/>
          <w:szCs w:val="32"/>
          <w:lang w:val="en-US" w:eastAsia="zh-CN" w:bidi="zh-CN"/>
        </w:rPr>
        <w:t>第二十一条</w:t>
      </w:r>
      <w:r>
        <w:rPr>
          <w:rFonts w:hint="eastAsia" w:ascii="Times New Roman" w:hAnsi="Times New Roman"/>
          <w:b/>
          <w:color w:val="auto"/>
          <w:spacing w:val="0"/>
          <w:sz w:val="32"/>
          <w:szCs w:val="32"/>
          <w:lang w:val="en-US" w:eastAsia="zh-CN"/>
        </w:rPr>
        <w:t xml:space="preserve">  </w:t>
      </w:r>
      <w:r>
        <w:rPr>
          <w:rFonts w:hint="eastAsia" w:ascii="Times New Roman" w:hAnsi="Times New Roman" w:eastAsia="仿宋_GB2312" w:cs="仿宋_GB2312"/>
          <w:color w:val="auto"/>
          <w:spacing w:val="0"/>
          <w:sz w:val="32"/>
          <w:szCs w:val="32"/>
          <w:lang w:val="en-US" w:eastAsia="zh-CN" w:bidi="zh-CN"/>
        </w:rPr>
        <w:t>政府投资项目建立节约投资奖励机制，在项目竣工决算后确有节约投资，为有效节约财政性资金做出具体贡献的单位和个人，按照有关办法给与奖励。</w:t>
      </w:r>
    </w:p>
    <w:p>
      <w:pPr>
        <w:keepNext w:val="0"/>
        <w:keepLines w:val="0"/>
        <w:pageBreakBefore w:val="0"/>
        <w:widowControl w:val="0"/>
        <w:shd w:val="clear"/>
        <w:kinsoku/>
        <w:wordWrap/>
        <w:overflowPunct/>
        <w:topLinePunct w:val="0"/>
        <w:bidi w:val="0"/>
        <w:spacing w:before="0" w:after="0" w:line="600" w:lineRule="exact"/>
        <w:ind w:right="0" w:firstLine="640" w:firstLineChars="200"/>
        <w:jc w:val="both"/>
        <w:textAlignment w:val="auto"/>
        <w:rPr>
          <w:rFonts w:hint="eastAsia" w:ascii="Times New Roman" w:hAnsi="Times New Roman" w:eastAsia="仿宋_GB2312" w:cs="仿宋_GB2312"/>
          <w:color w:val="auto"/>
          <w:spacing w:val="0"/>
          <w:sz w:val="32"/>
          <w:szCs w:val="32"/>
          <w:lang w:val="en-US" w:eastAsia="zh-CN" w:bidi="zh-CN"/>
        </w:rPr>
      </w:pPr>
      <w:r>
        <w:rPr>
          <w:rFonts w:hint="eastAsia" w:ascii="Times New Roman" w:hAnsi="Times New Roman" w:eastAsia="Microsoft JhengHei" w:cs="宋体"/>
          <w:b/>
          <w:color w:val="auto"/>
          <w:spacing w:val="0"/>
          <w:sz w:val="32"/>
          <w:szCs w:val="32"/>
          <w:lang w:val="en-US" w:eastAsia="zh-CN" w:bidi="zh-CN"/>
        </w:rPr>
        <w:t xml:space="preserve">第二十二条  </w:t>
      </w:r>
      <w:r>
        <w:rPr>
          <w:rFonts w:hint="eastAsia" w:ascii="Times New Roman" w:hAnsi="Times New Roman" w:eastAsia="仿宋_GB2312" w:cs="仿宋_GB2312"/>
          <w:color w:val="auto"/>
          <w:spacing w:val="0"/>
          <w:sz w:val="32"/>
          <w:szCs w:val="32"/>
          <w:lang w:val="en-US" w:eastAsia="zh-CN" w:bidi="zh-CN"/>
        </w:rPr>
        <w:t>相关部门、单位的工作人员在工程管理过程中滥用职权、玩忽职守、谋取不正当利益的，将依法追究责任。</w:t>
      </w:r>
    </w:p>
    <w:p>
      <w:pPr>
        <w:keepNext w:val="0"/>
        <w:keepLines w:val="0"/>
        <w:pageBreakBefore w:val="0"/>
        <w:widowControl w:val="0"/>
        <w:shd w:val="clear"/>
        <w:kinsoku/>
        <w:wordWrap/>
        <w:overflowPunct/>
        <w:topLinePunct w:val="0"/>
        <w:bidi w:val="0"/>
        <w:spacing w:before="0" w:after="0" w:line="600" w:lineRule="exact"/>
        <w:ind w:left="0" w:leftChars="0" w:right="0" w:firstLine="640" w:firstLineChars="200"/>
        <w:jc w:val="both"/>
        <w:textAlignment w:val="auto"/>
        <w:rPr>
          <w:rFonts w:hint="default" w:ascii="Times New Roman" w:hAnsi="Times New Roman" w:eastAsia="仿宋_GB2312" w:cs="仿宋_GB2312"/>
          <w:color w:val="auto"/>
          <w:spacing w:val="0"/>
          <w:sz w:val="32"/>
          <w:szCs w:val="32"/>
          <w:lang w:val="en-US" w:eastAsia="zh-CN" w:bidi="zh-CN"/>
        </w:rPr>
      </w:pPr>
      <w:r>
        <w:rPr>
          <w:rFonts w:hint="eastAsia" w:ascii="Times New Roman" w:hAnsi="Times New Roman" w:eastAsia="Microsoft JhengHei" w:cs="宋体"/>
          <w:b/>
          <w:color w:val="auto"/>
          <w:spacing w:val="0"/>
          <w:sz w:val="32"/>
          <w:szCs w:val="32"/>
          <w:lang w:val="en-US" w:eastAsia="zh-CN" w:bidi="zh-CN"/>
        </w:rPr>
        <w:t>第二十三条</w:t>
      </w:r>
      <w:r>
        <w:rPr>
          <w:rFonts w:hint="eastAsia" w:ascii="Times New Roman" w:hAnsi="Times New Roman"/>
          <w:b/>
          <w:color w:val="auto"/>
          <w:spacing w:val="0"/>
          <w:sz w:val="32"/>
          <w:szCs w:val="32"/>
          <w:lang w:val="en-US" w:eastAsia="zh-CN"/>
        </w:rPr>
        <w:t xml:space="preserve">  </w:t>
      </w:r>
      <w:r>
        <w:rPr>
          <w:rFonts w:hint="eastAsia" w:ascii="Times New Roman" w:hAnsi="Times New Roman" w:eastAsia="仿宋_GB2312" w:cs="仿宋_GB2312"/>
          <w:color w:val="auto"/>
          <w:spacing w:val="0"/>
          <w:sz w:val="32"/>
          <w:szCs w:val="32"/>
          <w:lang w:val="en-US" w:eastAsia="zh-CN" w:bidi="zh-CN"/>
        </w:rPr>
        <w:t>本实施细则自印发之日起实施，区级平台公司参照执行。</w:t>
      </w:r>
    </w:p>
    <w:sectPr>
      <w:footerReference r:id="rId5" w:type="default"/>
      <w:pgSz w:w="11906" w:h="16838"/>
      <w:pgMar w:top="1984" w:right="1531" w:bottom="1701" w:left="1531" w:header="851" w:footer="992" w:gutter="0"/>
      <w:pgNumType w:fmt="decimal"/>
      <w:cols w:space="0" w:num="1"/>
      <w:rtlGutter w:val="0"/>
      <w:docGrid w:type="lines" w:linePitch="31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新宋体" w:hAnsi="新宋体" w:eastAsia="新宋体" w:cs="新宋体"/>
                              <w:sz w:val="24"/>
                              <w:szCs w:val="24"/>
                            </w:rPr>
                          </w:pPr>
                          <w:r>
                            <w:rPr>
                              <w:rFonts w:hint="eastAsia" w:ascii="新宋体" w:hAnsi="新宋体" w:eastAsia="新宋体" w:cs="新宋体"/>
                              <w:sz w:val="24"/>
                              <w:szCs w:val="24"/>
                            </w:rPr>
                            <w:t xml:space="preserve">— </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新宋体" w:hAnsi="新宋体" w:eastAsia="新宋体" w:cs="新宋体"/>
                        <w:sz w:val="24"/>
                        <w:szCs w:val="24"/>
                      </w:rPr>
                    </w:pPr>
                    <w:r>
                      <w:rPr>
                        <w:rFonts w:hint="eastAsia" w:ascii="新宋体" w:hAnsi="新宋体" w:eastAsia="新宋体" w:cs="新宋体"/>
                        <w:sz w:val="24"/>
                        <w:szCs w:val="24"/>
                      </w:rPr>
                      <w:t xml:space="preserve">— </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096CC"/>
    <w:multiLevelType w:val="singleLevel"/>
    <w:tmpl w:val="D18096CC"/>
    <w:lvl w:ilvl="0" w:tentative="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YzRjOGE1NWYxMjgxNzkxYjc1YmJmNTkyNmEyNDAifQ=="/>
  </w:docVars>
  <w:rsids>
    <w:rsidRoot w:val="00000000"/>
    <w:rsid w:val="002A28C4"/>
    <w:rsid w:val="004344A4"/>
    <w:rsid w:val="0091770D"/>
    <w:rsid w:val="030A0A72"/>
    <w:rsid w:val="0335006B"/>
    <w:rsid w:val="04D8056A"/>
    <w:rsid w:val="054B5371"/>
    <w:rsid w:val="062A142B"/>
    <w:rsid w:val="0C366094"/>
    <w:rsid w:val="0D1C7D1F"/>
    <w:rsid w:val="0F784FB5"/>
    <w:rsid w:val="113F0B6D"/>
    <w:rsid w:val="11765524"/>
    <w:rsid w:val="136F0A26"/>
    <w:rsid w:val="175C24DB"/>
    <w:rsid w:val="195B509A"/>
    <w:rsid w:val="19756D74"/>
    <w:rsid w:val="1C953B8A"/>
    <w:rsid w:val="1D3369BF"/>
    <w:rsid w:val="1FB55B24"/>
    <w:rsid w:val="21AB5906"/>
    <w:rsid w:val="22E53E7D"/>
    <w:rsid w:val="233E1417"/>
    <w:rsid w:val="23646B1B"/>
    <w:rsid w:val="253912B6"/>
    <w:rsid w:val="254C42B2"/>
    <w:rsid w:val="264502A4"/>
    <w:rsid w:val="27072755"/>
    <w:rsid w:val="27811B2B"/>
    <w:rsid w:val="28463A4A"/>
    <w:rsid w:val="2A954815"/>
    <w:rsid w:val="2A9975FA"/>
    <w:rsid w:val="2ABE4F41"/>
    <w:rsid w:val="2B391645"/>
    <w:rsid w:val="2C0711B7"/>
    <w:rsid w:val="2D022628"/>
    <w:rsid w:val="2D1C121E"/>
    <w:rsid w:val="2FA44F71"/>
    <w:rsid w:val="300102C6"/>
    <w:rsid w:val="300B46A8"/>
    <w:rsid w:val="30826FC0"/>
    <w:rsid w:val="328E1659"/>
    <w:rsid w:val="34897C32"/>
    <w:rsid w:val="360503E8"/>
    <w:rsid w:val="37793603"/>
    <w:rsid w:val="377F046C"/>
    <w:rsid w:val="398E34A3"/>
    <w:rsid w:val="39A305F6"/>
    <w:rsid w:val="3BBA6332"/>
    <w:rsid w:val="3BFF41E4"/>
    <w:rsid w:val="3C50010C"/>
    <w:rsid w:val="3DFC2867"/>
    <w:rsid w:val="3E751487"/>
    <w:rsid w:val="415D146A"/>
    <w:rsid w:val="41624C07"/>
    <w:rsid w:val="42FC2138"/>
    <w:rsid w:val="432F5438"/>
    <w:rsid w:val="44B47AC1"/>
    <w:rsid w:val="44FA5CD3"/>
    <w:rsid w:val="45366491"/>
    <w:rsid w:val="463D2A29"/>
    <w:rsid w:val="47A33674"/>
    <w:rsid w:val="49920446"/>
    <w:rsid w:val="4B6E01E9"/>
    <w:rsid w:val="4B815D50"/>
    <w:rsid w:val="4BF460E6"/>
    <w:rsid w:val="4CE913D4"/>
    <w:rsid w:val="4DC35387"/>
    <w:rsid w:val="4E3E0FAA"/>
    <w:rsid w:val="4F46432B"/>
    <w:rsid w:val="4FF37764"/>
    <w:rsid w:val="513A1925"/>
    <w:rsid w:val="52F15388"/>
    <w:rsid w:val="534031BD"/>
    <w:rsid w:val="54625195"/>
    <w:rsid w:val="55011F21"/>
    <w:rsid w:val="550D3076"/>
    <w:rsid w:val="55EA2F80"/>
    <w:rsid w:val="56511CC5"/>
    <w:rsid w:val="565F5158"/>
    <w:rsid w:val="5C385717"/>
    <w:rsid w:val="5C7560D1"/>
    <w:rsid w:val="5D150984"/>
    <w:rsid w:val="5EBE5D5D"/>
    <w:rsid w:val="5EEB05FF"/>
    <w:rsid w:val="614F4DA6"/>
    <w:rsid w:val="637504D2"/>
    <w:rsid w:val="63DE27AE"/>
    <w:rsid w:val="64C476ED"/>
    <w:rsid w:val="658C7FE7"/>
    <w:rsid w:val="65C36974"/>
    <w:rsid w:val="66770C98"/>
    <w:rsid w:val="66C86CE3"/>
    <w:rsid w:val="67DF7A52"/>
    <w:rsid w:val="6C631CD6"/>
    <w:rsid w:val="6D825CC3"/>
    <w:rsid w:val="6DC1585C"/>
    <w:rsid w:val="6E747520"/>
    <w:rsid w:val="6FFA3118"/>
    <w:rsid w:val="70744BA6"/>
    <w:rsid w:val="707A4C61"/>
    <w:rsid w:val="717610A1"/>
    <w:rsid w:val="71D64AC4"/>
    <w:rsid w:val="71E07A25"/>
    <w:rsid w:val="72035AD5"/>
    <w:rsid w:val="73170B87"/>
    <w:rsid w:val="754B7577"/>
    <w:rsid w:val="75680584"/>
    <w:rsid w:val="779F0F11"/>
    <w:rsid w:val="787013CF"/>
    <w:rsid w:val="78B13B95"/>
    <w:rsid w:val="7A3B55D7"/>
    <w:rsid w:val="7D950810"/>
    <w:rsid w:val="7ECC4E6B"/>
    <w:rsid w:val="7F3269AC"/>
    <w:rsid w:val="7F86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3"/>
    <w:basedOn w:val="1"/>
    <w:next w:val="1"/>
    <w:qFormat/>
    <w:uiPriority w:val="1"/>
    <w:pPr>
      <w:jc w:val="center"/>
      <w:outlineLvl w:val="3"/>
    </w:pPr>
    <w:rPr>
      <w:rFonts w:ascii="宋体" w:hAnsi="宋体" w:eastAsia="宋体" w:cs="宋体"/>
      <w:sz w:val="44"/>
      <w:szCs w:val="44"/>
      <w:lang w:val="zh-CN" w:eastAsia="zh-CN" w:bidi="zh-CN"/>
    </w:rPr>
  </w:style>
  <w:style w:type="paragraph" w:styleId="3">
    <w:name w:val="heading 5"/>
    <w:basedOn w:val="1"/>
    <w:next w:val="1"/>
    <w:qFormat/>
    <w:uiPriority w:val="1"/>
    <w:pPr>
      <w:ind w:left="909"/>
      <w:outlineLvl w:val="5"/>
    </w:pPr>
    <w:rPr>
      <w:rFonts w:ascii="Microsoft JhengHei" w:hAnsi="Microsoft JhengHei" w:eastAsia="Microsoft JhengHei" w:cs="Microsoft JhengHei"/>
      <w:b/>
      <w:bCs/>
      <w:sz w:val="32"/>
      <w:szCs w:val="32"/>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color w:val="333333"/>
      <w:kern w:val="0"/>
      <w:sz w:val="21"/>
      <w:szCs w:val="21"/>
      <w:lang w:val="en-US" w:eastAsia="zh-CN" w:bidi="ar"/>
    </w:rPr>
  </w:style>
  <w:style w:type="character" w:styleId="11">
    <w:name w:val="FollowedHyperlink"/>
    <w:basedOn w:val="10"/>
    <w:qFormat/>
    <w:uiPriority w:val="0"/>
    <w:rPr>
      <w:color w:val="333333"/>
      <w:u w:val="none"/>
    </w:rPr>
  </w:style>
  <w:style w:type="character" w:styleId="12">
    <w:name w:val="Emphasis"/>
    <w:basedOn w:val="10"/>
    <w:qFormat/>
    <w:uiPriority w:val="0"/>
  </w:style>
  <w:style w:type="character" w:styleId="13">
    <w:name w:val="HTML Definition"/>
    <w:basedOn w:val="10"/>
    <w:qFormat/>
    <w:uiPriority w:val="0"/>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qFormat/>
    <w:uiPriority w:val="0"/>
    <w:rPr>
      <w:color w:val="333333"/>
      <w:u w:val="none"/>
    </w:rPr>
  </w:style>
  <w:style w:type="character" w:styleId="17">
    <w:name w:val="HTML Code"/>
    <w:basedOn w:val="10"/>
    <w:qFormat/>
    <w:uiPriority w:val="0"/>
    <w:rPr>
      <w:rFonts w:ascii="微软雅黑" w:hAnsi="微软雅黑" w:eastAsia="微软雅黑" w:cs="微软雅黑"/>
      <w:color w:val="333333"/>
      <w:sz w:val="21"/>
      <w:szCs w:val="21"/>
    </w:rPr>
  </w:style>
  <w:style w:type="character" w:styleId="18">
    <w:name w:val="HTML Cite"/>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3713</Words>
  <Characters>3810</Characters>
  <Lines>0</Lines>
  <Paragraphs>0</Paragraphs>
  <TotalTime>1</TotalTime>
  <ScaleCrop>false</ScaleCrop>
  <LinksUpToDate>false</LinksUpToDate>
  <CharactersWithSpaces>3853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41848</dc:creator>
  <cp:lastModifiedBy>Administrator</cp:lastModifiedBy>
  <cp:lastPrinted>2023-09-19T03:50:00Z</cp:lastPrinted>
  <dcterms:modified xsi:type="dcterms:W3CDTF">2023-09-21T05:19:08Z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4FA96795BAE4472888118A955C1BF374_13</vt:lpwstr>
  </property>
  <property fmtid="{D5CDD505-2E9C-101B-9397-08002B2CF9AE}" pid="4" name="KSOSaveFontToCloudKey">
    <vt:lpwstr>339686486_btnclosed</vt:lpwstr>
  </property>
</Properties>
</file>