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pPr>
      <w:bookmarkStart w:id="0" w:name="_GoBack"/>
      <w:bookmarkEnd w:id="0"/>
      <w:r>
        <w:rPr>
          <w:rFonts w:hint="eastAsia"/>
          <w:lang w:val="en-US" w:eastAsia="zh-CN"/>
        </w:rPr>
        <w:t>2021年度</w:t>
      </w:r>
      <w:r>
        <w:rPr>
          <w:rFonts w:hint="eastAsia"/>
        </w:rPr>
        <w:t>义务教育教师课后服务费项目绩效评价指标评分表</w:t>
      </w:r>
    </w:p>
    <w:tbl>
      <w:tblPr>
        <w:tblStyle w:val="17"/>
        <w:tblW w:w="14304" w:type="dxa"/>
        <w:tblInd w:w="-24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911"/>
        <w:gridCol w:w="1175"/>
        <w:gridCol w:w="725"/>
        <w:gridCol w:w="3338"/>
        <w:gridCol w:w="3801"/>
        <w:gridCol w:w="2799"/>
        <w:gridCol w:w="8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blHeader/>
        </w:trPr>
        <w:tc>
          <w:tcPr>
            <w:tcW w:w="660"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一</w:t>
            </w:r>
            <w:r>
              <w:rPr>
                <w:rStyle w:val="44"/>
                <w:rFonts w:hint="default" w:ascii="仿宋" w:hAnsi="仿宋" w:eastAsia="仿宋" w:cs="仿宋"/>
                <w:color w:val="auto"/>
                <w:lang w:bidi="ar"/>
              </w:rPr>
              <w:t>级指标</w:t>
            </w:r>
          </w:p>
        </w:tc>
        <w:tc>
          <w:tcPr>
            <w:tcW w:w="911" w:type="dxa"/>
            <w:vAlign w:val="center"/>
          </w:tcPr>
          <w:p>
            <w:pPr>
              <w:widowControl/>
              <w:spacing w:line="240" w:lineRule="exact"/>
              <w:ind w:firstLine="0" w:firstLineChars="0"/>
              <w:contextualSpacing/>
              <w:jc w:val="center"/>
              <w:textAlignment w:val="center"/>
              <w:rPr>
                <w:rStyle w:val="44"/>
                <w:rFonts w:hint="default" w:ascii="仿宋" w:hAnsi="仿宋" w:eastAsia="仿宋" w:cs="仿宋"/>
                <w:color w:val="auto"/>
                <w:lang w:bidi="ar"/>
              </w:rPr>
            </w:pPr>
            <w:r>
              <w:rPr>
                <w:rFonts w:hint="eastAsia" w:ascii="仿宋" w:hAnsi="仿宋" w:eastAsia="仿宋" w:cs="仿宋"/>
                <w:b/>
                <w:bCs/>
                <w:kern w:val="0"/>
                <w:sz w:val="20"/>
                <w:szCs w:val="20"/>
                <w:lang w:bidi="ar"/>
              </w:rPr>
              <w:t>二</w:t>
            </w:r>
            <w:r>
              <w:rPr>
                <w:rStyle w:val="44"/>
                <w:rFonts w:hint="default" w:ascii="仿宋" w:hAnsi="仿宋" w:eastAsia="仿宋" w:cs="仿宋"/>
                <w:color w:val="auto"/>
                <w:lang w:bidi="ar"/>
              </w:rPr>
              <w:t>级</w:t>
            </w:r>
          </w:p>
          <w:p>
            <w:pPr>
              <w:widowControl/>
              <w:spacing w:line="240" w:lineRule="exact"/>
              <w:ind w:firstLine="0" w:firstLineChars="0"/>
              <w:contextualSpacing/>
              <w:jc w:val="center"/>
              <w:textAlignment w:val="center"/>
              <w:rPr>
                <w:rFonts w:ascii="仿宋" w:hAnsi="仿宋" w:eastAsia="仿宋" w:cs="仿宋"/>
                <w:b/>
                <w:bCs/>
                <w:sz w:val="20"/>
                <w:szCs w:val="20"/>
              </w:rPr>
            </w:pPr>
            <w:r>
              <w:rPr>
                <w:rStyle w:val="44"/>
                <w:rFonts w:hint="default" w:ascii="仿宋" w:hAnsi="仿宋" w:eastAsia="仿宋" w:cs="仿宋"/>
                <w:color w:val="auto"/>
                <w:lang w:bidi="ar"/>
              </w:rPr>
              <w:t>指标</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三</w:t>
            </w:r>
            <w:r>
              <w:rPr>
                <w:rStyle w:val="44"/>
                <w:rFonts w:hint="default" w:ascii="仿宋" w:hAnsi="仿宋" w:eastAsia="仿宋" w:cs="仿宋"/>
                <w:color w:val="auto"/>
                <w:lang w:bidi="ar"/>
              </w:rPr>
              <w:t>级指标</w:t>
            </w:r>
          </w:p>
        </w:tc>
        <w:tc>
          <w:tcPr>
            <w:tcW w:w="725" w:type="dxa"/>
            <w:vAlign w:val="center"/>
          </w:tcPr>
          <w:p>
            <w:pPr>
              <w:widowControl/>
              <w:spacing w:line="240" w:lineRule="exact"/>
              <w:ind w:firstLine="0" w:firstLineChars="0"/>
              <w:contextualSpacing/>
              <w:jc w:val="center"/>
              <w:textAlignment w:val="center"/>
              <w:rPr>
                <w:rFonts w:ascii="仿宋" w:hAnsi="仿宋" w:eastAsia="仿宋" w:cs="仿宋"/>
                <w:b/>
                <w:bCs/>
                <w:sz w:val="20"/>
                <w:szCs w:val="20"/>
              </w:rPr>
            </w:pPr>
            <w:r>
              <w:rPr>
                <w:rFonts w:hint="eastAsia" w:ascii="仿宋" w:hAnsi="仿宋" w:eastAsia="仿宋" w:cs="仿宋"/>
                <w:b/>
                <w:bCs/>
                <w:kern w:val="0"/>
                <w:sz w:val="20"/>
                <w:szCs w:val="20"/>
                <w:lang w:bidi="ar"/>
              </w:rPr>
              <w:t>分值</w:t>
            </w:r>
          </w:p>
        </w:tc>
        <w:tc>
          <w:tcPr>
            <w:tcW w:w="3338"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评分要点</w:t>
            </w:r>
          </w:p>
        </w:tc>
        <w:tc>
          <w:tcPr>
            <w:tcW w:w="3801"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评价标准</w:t>
            </w:r>
          </w:p>
        </w:tc>
        <w:tc>
          <w:tcPr>
            <w:tcW w:w="2799"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评分说明</w:t>
            </w:r>
          </w:p>
        </w:tc>
        <w:tc>
          <w:tcPr>
            <w:tcW w:w="895" w:type="dxa"/>
            <w:noWrap/>
            <w:vAlign w:val="center"/>
          </w:tcPr>
          <w:p>
            <w:pPr>
              <w:widowControl/>
              <w:spacing w:line="240" w:lineRule="exact"/>
              <w:ind w:firstLine="0" w:firstLineChars="0"/>
              <w:contextualSpacing/>
              <w:jc w:val="center"/>
              <w:textAlignment w:val="center"/>
              <w:rPr>
                <w:rFonts w:ascii="仿宋" w:hAnsi="仿宋" w:eastAsia="仿宋" w:cs="仿宋"/>
                <w:b/>
                <w:bCs/>
                <w:kern w:val="0"/>
                <w:sz w:val="20"/>
                <w:szCs w:val="20"/>
                <w:lang w:bidi="ar"/>
              </w:rPr>
            </w:pPr>
            <w:r>
              <w:rPr>
                <w:rFonts w:hint="eastAsia" w:ascii="仿宋" w:hAnsi="仿宋" w:eastAsia="仿宋" w:cs="仿宋"/>
                <w:b/>
                <w:bCs/>
                <w:kern w:val="0"/>
                <w:sz w:val="20"/>
                <w:szCs w:val="20"/>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1"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决</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策</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项目立项（6分）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项目立项依据充分性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top"/>
              <w:rPr>
                <w:rStyle w:val="41"/>
                <w:rFonts w:ascii="仿宋" w:hAnsi="仿宋" w:eastAsia="仿宋" w:cs="仿宋"/>
                <w:color w:val="auto"/>
                <w:spacing w:val="23"/>
                <w:lang w:bidi="ar"/>
              </w:rPr>
            </w:pPr>
            <w:r>
              <w:rPr>
                <w:rStyle w:val="41"/>
                <w:rFonts w:hint="eastAsia" w:ascii="仿宋" w:hAnsi="仿宋" w:eastAsia="仿宋" w:cs="仿宋"/>
                <w:color w:val="auto"/>
                <w:spacing w:val="23"/>
                <w:lang w:bidi="ar"/>
              </w:rPr>
              <w:t>预算支出决策是否符合法律法规、相关政策、发展规划，用以反映和考核决策的依据情况。</w:t>
            </w:r>
          </w:p>
        </w:tc>
        <w:tc>
          <w:tcPr>
            <w:tcW w:w="3801" w:type="dxa"/>
          </w:tcPr>
          <w:p>
            <w:pPr>
              <w:widowControl/>
              <w:spacing w:line="240" w:lineRule="exact"/>
              <w:ind w:firstLine="0" w:firstLineChars="0"/>
              <w:contextualSpacing/>
              <w:jc w:val="left"/>
              <w:textAlignment w:val="top"/>
              <w:rPr>
                <w:rStyle w:val="41"/>
                <w:rFonts w:ascii="仿宋" w:hAnsi="仿宋" w:eastAsia="仿宋" w:cs="仿宋"/>
                <w:color w:val="auto"/>
                <w:spacing w:val="23"/>
                <w:lang w:bidi="ar"/>
              </w:rPr>
            </w:pPr>
            <w:r>
              <w:rPr>
                <w:rStyle w:val="41"/>
                <w:rFonts w:hint="eastAsia" w:ascii="仿宋" w:hAnsi="仿宋" w:eastAsia="仿宋" w:cs="仿宋"/>
                <w:color w:val="auto"/>
                <w:spacing w:val="23"/>
                <w:lang w:bidi="ar"/>
              </w:rPr>
              <w:t>①项目立项符合国家法律法规、国民经济发展规划和相关政策，计1.5分；②项目立项符合行业发展规划和政策要求，计1.5分；否则，酌情扣分。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rPr>
            </w:pPr>
            <w:r>
              <w:rPr>
                <w:rFonts w:hint="eastAsia" w:ascii="仿宋" w:hAnsi="仿宋" w:eastAsia="仿宋" w:cs="仿宋"/>
                <w:spacing w:val="28"/>
                <w:sz w:val="20"/>
                <w:szCs w:val="20"/>
              </w:rPr>
              <w:t>项目立项符合国家法律法规、国民经济发展规划和相关政策；项目立项符合行业发展规划和政策要求。计3分。</w:t>
            </w:r>
          </w:p>
        </w:tc>
        <w:tc>
          <w:tcPr>
            <w:tcW w:w="895" w:type="dxa"/>
            <w:noWrap/>
            <w:vAlign w:val="center"/>
          </w:tcPr>
          <w:p>
            <w:pPr>
              <w:spacing w:line="240" w:lineRule="exact"/>
              <w:ind w:firstLine="0" w:firstLineChars="0"/>
              <w:contextualSpacing/>
              <w:jc w:val="center"/>
              <w:rPr>
                <w:rFonts w:ascii="仿宋" w:hAnsi="仿宋" w:eastAsia="仿宋" w:cs="仿宋"/>
                <w:spacing w:val="28"/>
                <w:sz w:val="20"/>
                <w:szCs w:val="20"/>
              </w:rPr>
            </w:pPr>
            <w:r>
              <w:rPr>
                <w:rFonts w:hint="eastAsia" w:ascii="仿宋" w:hAnsi="仿宋" w:eastAsia="仿宋" w:cs="仿宋"/>
                <w:spacing w:val="28"/>
                <w:sz w:val="20"/>
                <w:szCs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5"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sz w:val="20"/>
                <w:szCs w:val="20"/>
              </w:rPr>
            </w:pPr>
          </w:p>
        </w:tc>
        <w:tc>
          <w:tcPr>
            <w:tcW w:w="911"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立项程序规范性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top"/>
              <w:rPr>
                <w:rStyle w:val="41"/>
                <w:rFonts w:ascii="仿宋" w:hAnsi="仿宋" w:eastAsia="仿宋" w:cs="仿宋"/>
                <w:color w:val="auto"/>
                <w:spacing w:val="23"/>
                <w:lang w:bidi="ar"/>
              </w:rPr>
            </w:pPr>
            <w:r>
              <w:rPr>
                <w:rStyle w:val="41"/>
                <w:rFonts w:hint="eastAsia" w:ascii="仿宋" w:hAnsi="仿宋" w:eastAsia="仿宋" w:cs="仿宋"/>
                <w:color w:val="auto"/>
                <w:spacing w:val="23"/>
                <w:lang w:bidi="ar"/>
              </w:rPr>
              <w:t>预算支出申请、设立过程是否符合相关要求，用以反映和考核决策的规范情况。</w:t>
            </w:r>
          </w:p>
        </w:tc>
        <w:tc>
          <w:tcPr>
            <w:tcW w:w="3801" w:type="dxa"/>
          </w:tcPr>
          <w:p>
            <w:pPr>
              <w:widowControl/>
              <w:spacing w:line="240" w:lineRule="exact"/>
              <w:ind w:firstLine="0" w:firstLineChars="0"/>
              <w:contextualSpacing/>
              <w:jc w:val="left"/>
              <w:textAlignment w:val="top"/>
              <w:rPr>
                <w:rStyle w:val="41"/>
                <w:rFonts w:ascii="仿宋" w:hAnsi="仿宋" w:eastAsia="仿宋" w:cs="仿宋"/>
                <w:color w:val="auto"/>
                <w:spacing w:val="23"/>
                <w:lang w:bidi="ar"/>
              </w:rPr>
            </w:pPr>
            <w:r>
              <w:rPr>
                <w:rStyle w:val="41"/>
                <w:rFonts w:ascii="仿宋" w:hAnsi="仿宋" w:eastAsia="仿宋" w:cs="仿宋"/>
                <w:color w:val="auto"/>
                <w:spacing w:val="23"/>
                <w:lang w:bidi="ar"/>
              </w:rPr>
              <w:t>①项目按照规定的程序申请设立，计</w:t>
            </w:r>
            <w:r>
              <w:rPr>
                <w:rStyle w:val="41"/>
                <w:rFonts w:hint="eastAsia" w:ascii="仿宋" w:hAnsi="仿宋" w:eastAsia="仿宋" w:cs="仿宋"/>
                <w:color w:val="auto"/>
                <w:spacing w:val="23"/>
                <w:lang w:bidi="ar"/>
              </w:rPr>
              <w:t>1.5</w:t>
            </w:r>
            <w:r>
              <w:rPr>
                <w:rStyle w:val="41"/>
                <w:rFonts w:ascii="仿宋" w:hAnsi="仿宋" w:eastAsia="仿宋" w:cs="仿宋"/>
                <w:color w:val="auto"/>
                <w:spacing w:val="23"/>
                <w:lang w:bidi="ar"/>
              </w:rPr>
              <w:t>分；②审批文件、材料符合相关要求，计</w:t>
            </w:r>
            <w:r>
              <w:rPr>
                <w:rStyle w:val="41"/>
                <w:rFonts w:hint="eastAsia" w:ascii="仿宋" w:hAnsi="仿宋" w:eastAsia="仿宋" w:cs="仿宋"/>
                <w:color w:val="auto"/>
                <w:spacing w:val="23"/>
                <w:lang w:bidi="ar"/>
              </w:rPr>
              <w:t>1.5</w:t>
            </w:r>
            <w:r>
              <w:rPr>
                <w:rStyle w:val="41"/>
                <w:rFonts w:ascii="仿宋" w:hAnsi="仿宋" w:eastAsia="仿宋" w:cs="仿宋"/>
                <w:color w:val="auto"/>
                <w:spacing w:val="23"/>
                <w:lang w:bidi="ar"/>
              </w:rPr>
              <w:t>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rPr>
            </w:pPr>
            <w:r>
              <w:rPr>
                <w:rStyle w:val="41"/>
                <w:rFonts w:ascii="仿宋" w:hAnsi="仿宋" w:eastAsia="仿宋" w:cs="仿宋"/>
                <w:color w:val="auto"/>
                <w:spacing w:val="23"/>
                <w:lang w:bidi="ar"/>
              </w:rPr>
              <w:t>项目按照规定的程序申请</w:t>
            </w:r>
            <w:r>
              <w:rPr>
                <w:rStyle w:val="41"/>
                <w:rFonts w:hint="eastAsia" w:ascii="仿宋" w:hAnsi="仿宋" w:eastAsia="仿宋" w:cs="仿宋"/>
                <w:color w:val="auto"/>
                <w:spacing w:val="23"/>
                <w:lang w:bidi="ar"/>
              </w:rPr>
              <w:t>，</w:t>
            </w:r>
            <w:r>
              <w:rPr>
                <w:rStyle w:val="41"/>
                <w:rFonts w:ascii="仿宋" w:hAnsi="仿宋" w:eastAsia="仿宋" w:cs="仿宋"/>
                <w:color w:val="auto"/>
                <w:spacing w:val="23"/>
                <w:lang w:bidi="ar"/>
              </w:rPr>
              <w:t>审批文件、材料符合相关要求</w:t>
            </w:r>
            <w:r>
              <w:rPr>
                <w:rStyle w:val="41"/>
                <w:rFonts w:hint="eastAsia" w:ascii="仿宋" w:hAnsi="仿宋" w:eastAsia="仿宋" w:cs="仿宋"/>
                <w:color w:val="auto"/>
                <w:spacing w:val="23"/>
                <w:lang w:bidi="ar"/>
              </w:rPr>
              <w:t>。</w:t>
            </w:r>
            <w:r>
              <w:rPr>
                <w:rFonts w:hint="eastAsia" w:ascii="仿宋" w:hAnsi="仿宋" w:eastAsia="仿宋" w:cs="仿宋"/>
                <w:spacing w:val="23"/>
                <w:kern w:val="0"/>
                <w:sz w:val="20"/>
                <w:szCs w:val="20"/>
                <w:lang w:bidi="ar"/>
              </w:rPr>
              <w:t>计3分。</w:t>
            </w:r>
          </w:p>
        </w:tc>
        <w:tc>
          <w:tcPr>
            <w:tcW w:w="895" w:type="dxa"/>
            <w:noWrap/>
            <w:vAlign w:val="center"/>
          </w:tcPr>
          <w:p>
            <w:pPr>
              <w:spacing w:line="240" w:lineRule="exact"/>
              <w:ind w:firstLine="0" w:firstLineChars="0"/>
              <w:contextualSpacing/>
              <w:jc w:val="center"/>
              <w:rPr>
                <w:rFonts w:ascii="仿宋" w:hAnsi="仿宋" w:eastAsia="仿宋" w:cs="仿宋"/>
                <w:spacing w:val="28"/>
                <w:sz w:val="20"/>
                <w:szCs w:val="20"/>
              </w:rPr>
            </w:pPr>
            <w:r>
              <w:rPr>
                <w:rFonts w:hint="eastAsia" w:ascii="仿宋" w:hAnsi="仿宋" w:eastAsia="仿宋" w:cs="仿宋"/>
                <w:spacing w:val="28"/>
                <w:sz w:val="20"/>
                <w:szCs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9" w:hRule="atLeast"/>
        </w:trPr>
        <w:tc>
          <w:tcPr>
            <w:tcW w:w="660" w:type="dxa"/>
            <w:vMerge w:val="continue"/>
            <w:vAlign w:val="center"/>
          </w:tcPr>
          <w:p>
            <w:pPr>
              <w:spacing w:line="240" w:lineRule="exact"/>
              <w:ind w:firstLine="492"/>
              <w:contextualSpacing/>
              <w:jc w:val="center"/>
              <w:rPr>
                <w:rFonts w:ascii="仿宋" w:hAnsi="仿宋" w:eastAsia="仿宋" w:cs="仿宋"/>
                <w:spacing w:val="23"/>
                <w:sz w:val="20"/>
                <w:szCs w:val="20"/>
              </w:rPr>
            </w:pP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目标（10分）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绩效目标合理性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top"/>
              <w:rPr>
                <w:rStyle w:val="41"/>
                <w:rFonts w:ascii="仿宋" w:hAnsi="仿宋" w:eastAsia="仿宋" w:cs="仿宋"/>
                <w:color w:val="auto"/>
                <w:spacing w:val="23"/>
                <w:lang w:bidi="ar"/>
              </w:rPr>
            </w:pPr>
            <w:r>
              <w:rPr>
                <w:rStyle w:val="41"/>
                <w:rFonts w:hint="eastAsia" w:ascii="仿宋" w:hAnsi="仿宋" w:eastAsia="仿宋" w:cs="仿宋"/>
                <w:color w:val="auto"/>
                <w:spacing w:val="23"/>
                <w:lang w:bidi="ar"/>
              </w:rPr>
              <w:t>项目是否有制定绩效目标；目标是否通过清晰、可衡量的指标值全面反映项目应达到的数量、质量、时效、成本及预期效益。</w:t>
            </w:r>
          </w:p>
        </w:tc>
        <w:tc>
          <w:tcPr>
            <w:tcW w:w="3801" w:type="dxa"/>
          </w:tcPr>
          <w:p>
            <w:pPr>
              <w:widowControl/>
              <w:spacing w:line="240" w:lineRule="exact"/>
              <w:ind w:firstLine="0" w:firstLineChars="0"/>
              <w:contextualSpacing/>
              <w:jc w:val="left"/>
              <w:textAlignment w:val="top"/>
              <w:rPr>
                <w:rStyle w:val="41"/>
                <w:rFonts w:ascii="仿宋" w:hAnsi="仿宋" w:eastAsia="仿宋" w:cs="仿宋"/>
                <w:color w:val="auto"/>
                <w:spacing w:val="23"/>
                <w:lang w:bidi="ar"/>
              </w:rPr>
            </w:pPr>
            <w:r>
              <w:rPr>
                <w:rStyle w:val="41"/>
                <w:rFonts w:ascii="仿宋" w:hAnsi="仿宋" w:eastAsia="仿宋" w:cs="仿宋"/>
                <w:color w:val="auto"/>
                <w:spacing w:val="23"/>
                <w:lang w:bidi="ar"/>
              </w:rPr>
              <w:t>①项目有绩效目标，计</w:t>
            </w:r>
            <w:r>
              <w:rPr>
                <w:rStyle w:val="41"/>
                <w:rFonts w:hint="eastAsia" w:ascii="仿宋" w:hAnsi="仿宋" w:eastAsia="仿宋" w:cs="仿宋"/>
                <w:color w:val="auto"/>
                <w:spacing w:val="23"/>
                <w:lang w:bidi="ar"/>
              </w:rPr>
              <w:t>1</w:t>
            </w:r>
            <w:r>
              <w:rPr>
                <w:rStyle w:val="41"/>
                <w:rFonts w:ascii="仿宋" w:hAnsi="仿宋" w:eastAsia="仿宋" w:cs="仿宋"/>
                <w:color w:val="auto"/>
                <w:spacing w:val="23"/>
                <w:lang w:bidi="ar"/>
              </w:rPr>
              <w:t>分；</w:t>
            </w:r>
          </w:p>
          <w:p>
            <w:pPr>
              <w:widowControl/>
              <w:spacing w:line="240" w:lineRule="exact"/>
              <w:ind w:firstLine="0" w:firstLineChars="0"/>
              <w:contextualSpacing/>
              <w:jc w:val="left"/>
              <w:textAlignment w:val="top"/>
              <w:rPr>
                <w:rStyle w:val="41"/>
                <w:rFonts w:ascii="仿宋" w:hAnsi="仿宋" w:eastAsia="仿宋" w:cs="仿宋"/>
                <w:color w:val="auto"/>
                <w:spacing w:val="23"/>
                <w:lang w:bidi="ar"/>
              </w:rPr>
            </w:pPr>
            <w:r>
              <w:rPr>
                <w:rStyle w:val="41"/>
                <w:rFonts w:ascii="仿宋" w:hAnsi="仿宋" w:eastAsia="仿宋" w:cs="仿宋"/>
                <w:color w:val="auto"/>
                <w:spacing w:val="23"/>
                <w:lang w:bidi="ar"/>
              </w:rPr>
              <w:t>②项目绩效目标与实际工作内容具有相关性，计</w:t>
            </w:r>
            <w:r>
              <w:rPr>
                <w:rStyle w:val="41"/>
                <w:rFonts w:hint="eastAsia" w:ascii="仿宋" w:hAnsi="仿宋" w:eastAsia="仿宋" w:cs="仿宋"/>
                <w:color w:val="auto"/>
                <w:spacing w:val="23"/>
                <w:lang w:bidi="ar"/>
              </w:rPr>
              <w:t>2</w:t>
            </w:r>
            <w:r>
              <w:rPr>
                <w:rStyle w:val="41"/>
                <w:rFonts w:ascii="仿宋" w:hAnsi="仿宋" w:eastAsia="仿宋" w:cs="仿宋"/>
                <w:color w:val="auto"/>
                <w:spacing w:val="23"/>
                <w:lang w:bidi="ar"/>
              </w:rPr>
              <w:t>分；③</w:t>
            </w:r>
            <w:r>
              <w:rPr>
                <w:rStyle w:val="41"/>
                <w:rFonts w:hint="eastAsia" w:ascii="仿宋" w:hAnsi="仿宋" w:eastAsia="仿宋" w:cs="仿宋"/>
                <w:color w:val="auto"/>
                <w:spacing w:val="23"/>
                <w:lang w:bidi="ar"/>
              </w:rPr>
              <w:t>项目是否为促进事业发展所必需</w:t>
            </w:r>
            <w:r>
              <w:rPr>
                <w:rStyle w:val="41"/>
                <w:rFonts w:ascii="仿宋" w:hAnsi="仿宋" w:eastAsia="仿宋" w:cs="仿宋"/>
                <w:color w:val="auto"/>
                <w:spacing w:val="23"/>
                <w:lang w:bidi="ar"/>
              </w:rPr>
              <w:t>，计</w:t>
            </w:r>
            <w:r>
              <w:rPr>
                <w:rStyle w:val="41"/>
                <w:rFonts w:hint="eastAsia" w:ascii="仿宋" w:hAnsi="仿宋" w:eastAsia="仿宋" w:cs="仿宋"/>
                <w:color w:val="auto"/>
                <w:spacing w:val="23"/>
                <w:lang w:bidi="ar"/>
              </w:rPr>
              <w:t>1</w:t>
            </w:r>
            <w:r>
              <w:rPr>
                <w:rStyle w:val="41"/>
                <w:rFonts w:ascii="仿宋" w:hAnsi="仿宋" w:eastAsia="仿宋" w:cs="仿宋"/>
                <w:color w:val="auto"/>
                <w:spacing w:val="23"/>
                <w:lang w:bidi="ar"/>
              </w:rPr>
              <w:t>分；④项目预期产出效益和效果符合正常的业绩水平，计</w:t>
            </w:r>
            <w:r>
              <w:rPr>
                <w:rStyle w:val="41"/>
                <w:rFonts w:hint="eastAsia" w:ascii="仿宋" w:hAnsi="仿宋" w:eastAsia="仿宋" w:cs="仿宋"/>
                <w:color w:val="auto"/>
                <w:spacing w:val="23"/>
                <w:lang w:bidi="ar"/>
              </w:rPr>
              <w:t>1</w:t>
            </w:r>
            <w:r>
              <w:rPr>
                <w:rStyle w:val="41"/>
                <w:rFonts w:ascii="仿宋" w:hAnsi="仿宋" w:eastAsia="仿宋" w:cs="仿宋"/>
                <w:color w:val="auto"/>
                <w:spacing w:val="23"/>
                <w:lang w:bidi="ar"/>
              </w:rPr>
              <w:t>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rPr>
            </w:pPr>
            <w:r>
              <w:rPr>
                <w:rStyle w:val="41"/>
                <w:rFonts w:hint="eastAsia" w:ascii="仿宋" w:hAnsi="仿宋" w:eastAsia="仿宋" w:cs="仿宋"/>
                <w:color w:val="auto"/>
                <w:spacing w:val="23"/>
                <w:lang w:bidi="ar"/>
              </w:rPr>
              <w:t>绩效考核中的</w:t>
            </w:r>
            <w:r>
              <w:rPr>
                <w:rStyle w:val="41"/>
                <w:rFonts w:ascii="仿宋" w:hAnsi="仿宋" w:eastAsia="仿宋" w:cs="仿宋"/>
                <w:color w:val="auto"/>
                <w:spacing w:val="23"/>
                <w:lang w:bidi="ar"/>
              </w:rPr>
              <w:t>项目绩效目标与实际工作内容具有相关性</w:t>
            </w:r>
            <w:r>
              <w:rPr>
                <w:rStyle w:val="41"/>
                <w:rFonts w:hint="eastAsia" w:ascii="仿宋" w:hAnsi="仿宋" w:eastAsia="仿宋" w:cs="仿宋"/>
                <w:color w:val="auto"/>
                <w:spacing w:val="23"/>
                <w:lang w:bidi="ar"/>
              </w:rPr>
              <w:t>，</w:t>
            </w:r>
            <w:r>
              <w:rPr>
                <w:rStyle w:val="41"/>
                <w:rFonts w:ascii="仿宋" w:hAnsi="仿宋" w:eastAsia="仿宋" w:cs="仿宋"/>
                <w:color w:val="auto"/>
                <w:spacing w:val="23"/>
                <w:lang w:bidi="ar"/>
              </w:rPr>
              <w:t>项目预期产出效益和效果符合正常的业绩水平</w:t>
            </w:r>
            <w:r>
              <w:rPr>
                <w:rStyle w:val="41"/>
                <w:rFonts w:hint="eastAsia" w:ascii="仿宋" w:hAnsi="仿宋" w:eastAsia="仿宋" w:cs="仿宋"/>
                <w:color w:val="auto"/>
                <w:spacing w:val="23"/>
                <w:lang w:bidi="ar"/>
              </w:rPr>
              <w:t>，</w:t>
            </w:r>
            <w:r>
              <w:rPr>
                <w:rStyle w:val="41"/>
                <w:rFonts w:ascii="仿宋" w:hAnsi="仿宋" w:eastAsia="仿宋" w:cs="仿宋"/>
                <w:color w:val="auto"/>
                <w:spacing w:val="23"/>
                <w:lang w:bidi="ar"/>
              </w:rPr>
              <w:t>与预算确定的项目投资额或资金量相匹配</w:t>
            </w:r>
            <w:r>
              <w:rPr>
                <w:rStyle w:val="41"/>
                <w:rFonts w:hint="eastAsia" w:ascii="仿宋" w:hAnsi="仿宋" w:eastAsia="仿宋" w:cs="仿宋"/>
                <w:color w:val="auto"/>
                <w:spacing w:val="23"/>
                <w:lang w:bidi="ar"/>
              </w:rPr>
              <w:t>。计5分。</w:t>
            </w:r>
          </w:p>
        </w:tc>
        <w:tc>
          <w:tcPr>
            <w:tcW w:w="895" w:type="dxa"/>
            <w:noWrap/>
            <w:vAlign w:val="center"/>
          </w:tcPr>
          <w:p>
            <w:pPr>
              <w:spacing w:line="240" w:lineRule="exact"/>
              <w:ind w:firstLine="0" w:firstLineChars="0"/>
              <w:contextualSpacing/>
              <w:jc w:val="center"/>
              <w:rPr>
                <w:rFonts w:ascii="仿宋" w:hAnsi="仿宋" w:eastAsia="仿宋" w:cs="仿宋"/>
                <w:spacing w:val="28"/>
                <w:sz w:val="20"/>
                <w:szCs w:val="20"/>
              </w:rPr>
            </w:pPr>
            <w:r>
              <w:rPr>
                <w:rFonts w:hint="eastAsia" w:ascii="仿宋" w:hAnsi="仿宋" w:eastAsia="仿宋" w:cs="仿宋"/>
                <w:spacing w:val="28"/>
                <w:sz w:val="20"/>
                <w:szCs w:val="20"/>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60" w:hRule="atLeast"/>
        </w:trPr>
        <w:tc>
          <w:tcPr>
            <w:tcW w:w="660"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决</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策</w:t>
            </w:r>
          </w:p>
        </w:tc>
        <w:tc>
          <w:tcPr>
            <w:tcW w:w="911"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目标</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绩效指标明确性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sz w:val="20"/>
                <w:szCs w:val="20"/>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top"/>
              <w:rPr>
                <w:rStyle w:val="41"/>
                <w:rFonts w:ascii="仿宋" w:hAnsi="仿宋" w:eastAsia="仿宋" w:cs="仿宋"/>
                <w:color w:val="auto"/>
                <w:spacing w:val="23"/>
                <w:lang w:bidi="ar"/>
              </w:rPr>
            </w:pPr>
            <w:r>
              <w:rPr>
                <w:rStyle w:val="41"/>
                <w:rFonts w:hint="eastAsia" w:ascii="仿宋" w:hAnsi="仿宋" w:eastAsia="仿宋" w:cs="仿宋"/>
                <w:color w:val="auto"/>
                <w:spacing w:val="23"/>
                <w:lang w:bidi="ar"/>
              </w:rPr>
              <w:t>①是否将预算支出绩效目标细化分解为具体的绩效指标；②是否通过清晰、可衡量的指标值予以体现；③是否与预算支出目标任务数或计划数相对应。</w:t>
            </w:r>
          </w:p>
        </w:tc>
        <w:tc>
          <w:tcPr>
            <w:tcW w:w="3801" w:type="dxa"/>
          </w:tcPr>
          <w:p>
            <w:pPr>
              <w:widowControl/>
              <w:spacing w:line="240" w:lineRule="exact"/>
              <w:ind w:firstLine="0" w:firstLineChars="0"/>
              <w:contextualSpacing/>
              <w:jc w:val="left"/>
              <w:textAlignment w:val="top"/>
              <w:rPr>
                <w:rStyle w:val="41"/>
                <w:rFonts w:ascii="仿宋" w:hAnsi="仿宋" w:eastAsia="仿宋" w:cs="仿宋"/>
                <w:color w:val="auto"/>
                <w:spacing w:val="23"/>
                <w:lang w:bidi="ar"/>
              </w:rPr>
            </w:pPr>
            <w:r>
              <w:rPr>
                <w:rStyle w:val="41"/>
                <w:rFonts w:ascii="仿宋" w:hAnsi="仿宋" w:eastAsia="仿宋" w:cs="仿宋"/>
                <w:color w:val="auto"/>
                <w:spacing w:val="23"/>
                <w:lang w:bidi="ar"/>
              </w:rPr>
              <w:t>①将项目绩效目标细化分解为具体的绩效指标，计</w:t>
            </w:r>
            <w:r>
              <w:rPr>
                <w:rStyle w:val="41"/>
                <w:rFonts w:hint="eastAsia" w:ascii="仿宋" w:hAnsi="仿宋" w:eastAsia="仿宋" w:cs="仿宋"/>
                <w:color w:val="auto"/>
                <w:spacing w:val="23"/>
                <w:lang w:bidi="ar"/>
              </w:rPr>
              <w:t>1.5</w:t>
            </w:r>
            <w:r>
              <w:rPr>
                <w:rStyle w:val="41"/>
                <w:rFonts w:ascii="仿宋" w:hAnsi="仿宋" w:eastAsia="仿宋" w:cs="仿宋"/>
                <w:color w:val="auto"/>
                <w:spacing w:val="23"/>
                <w:lang w:bidi="ar"/>
              </w:rPr>
              <w:t>分；②</w:t>
            </w:r>
            <w:r>
              <w:rPr>
                <w:rStyle w:val="41"/>
                <w:rFonts w:hint="eastAsia" w:ascii="仿宋" w:hAnsi="仿宋" w:eastAsia="仿宋" w:cs="仿宋"/>
                <w:color w:val="auto"/>
                <w:spacing w:val="23"/>
                <w:lang w:bidi="ar"/>
              </w:rPr>
              <w:t>通过清晰、可衡量的指标值予以体现</w:t>
            </w:r>
            <w:r>
              <w:rPr>
                <w:rStyle w:val="41"/>
                <w:rFonts w:ascii="仿宋" w:hAnsi="仿宋" w:eastAsia="仿宋" w:cs="仿宋"/>
                <w:color w:val="auto"/>
                <w:spacing w:val="23"/>
                <w:lang w:bidi="ar"/>
              </w:rPr>
              <w:t>，计</w:t>
            </w:r>
            <w:r>
              <w:rPr>
                <w:rStyle w:val="41"/>
                <w:rFonts w:hint="eastAsia" w:ascii="仿宋" w:hAnsi="仿宋" w:eastAsia="仿宋" w:cs="仿宋"/>
                <w:color w:val="auto"/>
                <w:spacing w:val="23"/>
                <w:lang w:bidi="ar"/>
              </w:rPr>
              <w:t>1.5</w:t>
            </w:r>
            <w:r>
              <w:rPr>
                <w:rStyle w:val="41"/>
                <w:rFonts w:ascii="仿宋" w:hAnsi="仿宋" w:eastAsia="仿宋" w:cs="仿宋"/>
                <w:color w:val="auto"/>
                <w:spacing w:val="23"/>
                <w:lang w:bidi="ar"/>
              </w:rPr>
              <w:t>分；</w:t>
            </w:r>
          </w:p>
          <w:p>
            <w:pPr>
              <w:widowControl/>
              <w:spacing w:line="240" w:lineRule="exact"/>
              <w:ind w:firstLine="0" w:firstLineChars="0"/>
              <w:contextualSpacing/>
              <w:jc w:val="left"/>
              <w:textAlignment w:val="top"/>
              <w:rPr>
                <w:rStyle w:val="41"/>
                <w:rFonts w:ascii="仿宋" w:hAnsi="仿宋" w:eastAsia="仿宋" w:cs="仿宋"/>
                <w:color w:val="auto"/>
                <w:spacing w:val="23"/>
                <w:lang w:bidi="ar"/>
              </w:rPr>
            </w:pPr>
            <w:r>
              <w:rPr>
                <w:rStyle w:val="41"/>
                <w:rFonts w:ascii="仿宋" w:hAnsi="仿宋" w:eastAsia="仿宋" w:cs="仿宋"/>
                <w:color w:val="auto"/>
                <w:spacing w:val="23"/>
                <w:lang w:bidi="ar"/>
              </w:rPr>
              <w:t>③</w:t>
            </w:r>
            <w:r>
              <w:rPr>
                <w:rStyle w:val="41"/>
                <w:rFonts w:hint="eastAsia" w:ascii="仿宋" w:hAnsi="仿宋" w:eastAsia="仿宋" w:cs="仿宋"/>
                <w:color w:val="auto"/>
                <w:spacing w:val="23"/>
                <w:lang w:bidi="ar"/>
              </w:rPr>
              <w:t>与项目年度任务数或计划数相对应，计1分；</w:t>
            </w:r>
            <w:r>
              <w:rPr>
                <w:rStyle w:val="41"/>
                <w:rFonts w:ascii="仿宋" w:hAnsi="仿宋" w:eastAsia="仿宋" w:cs="仿宋"/>
                <w:color w:val="auto"/>
                <w:spacing w:val="23"/>
                <w:lang w:bidi="ar"/>
              </w:rPr>
              <w:t>④目标与资金匹配良好，逻辑关系明确，计1分。否则，酌情扣分。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8"/>
                <w:sz w:val="20"/>
                <w:szCs w:val="20"/>
                <w:highlight w:val="yellow"/>
              </w:rPr>
            </w:pPr>
            <w:r>
              <w:rPr>
                <w:rStyle w:val="41"/>
                <w:rFonts w:ascii="仿宋" w:hAnsi="仿宋" w:eastAsia="仿宋" w:cs="仿宋"/>
                <w:color w:val="auto"/>
                <w:spacing w:val="23"/>
                <w:lang w:bidi="ar"/>
              </w:rPr>
              <w:t>绩效目标细化</w:t>
            </w:r>
            <w:r>
              <w:rPr>
                <w:rStyle w:val="41"/>
                <w:rFonts w:hint="eastAsia" w:ascii="仿宋" w:hAnsi="仿宋" w:eastAsia="仿宋" w:cs="仿宋"/>
                <w:color w:val="auto"/>
                <w:spacing w:val="23"/>
                <w:lang w:bidi="ar"/>
              </w:rPr>
              <w:t>不够，对课程配置、作业完成率、课后服务时长等方面设定任务目标，扣1分。</w:t>
            </w:r>
          </w:p>
        </w:tc>
        <w:tc>
          <w:tcPr>
            <w:tcW w:w="895" w:type="dxa"/>
            <w:noWrap/>
            <w:vAlign w:val="center"/>
          </w:tcPr>
          <w:p>
            <w:pPr>
              <w:spacing w:line="240" w:lineRule="exact"/>
              <w:ind w:firstLine="0" w:firstLineChars="0"/>
              <w:contextualSpacing/>
              <w:jc w:val="center"/>
              <w:rPr>
                <w:rStyle w:val="41"/>
                <w:rFonts w:ascii="仿宋" w:hAnsi="仿宋" w:eastAsia="仿宋" w:cs="仿宋"/>
                <w:color w:val="auto"/>
                <w:spacing w:val="23"/>
                <w:lang w:bidi="ar"/>
              </w:rPr>
            </w:pPr>
            <w:r>
              <w:rPr>
                <w:rStyle w:val="41"/>
                <w:rFonts w:hint="eastAsia" w:ascii="仿宋" w:hAnsi="仿宋" w:eastAsia="仿宋" w:cs="仿宋"/>
                <w:color w:val="auto"/>
                <w:spacing w:val="23"/>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35" w:hRule="atLeast"/>
        </w:trPr>
        <w:tc>
          <w:tcPr>
            <w:tcW w:w="660"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程</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w:t>
            </w:r>
            <w:r>
              <w:rPr>
                <w:rFonts w:hint="eastAsia" w:ascii="仿宋" w:hAnsi="仿宋" w:eastAsia="仿宋" w:cs="仿宋"/>
                <w:spacing w:val="23"/>
                <w:kern w:val="0"/>
                <w:sz w:val="20"/>
                <w:szCs w:val="20"/>
                <w:lang w:bidi="ar"/>
              </w:rPr>
              <w:br w:type="textWrapping"/>
            </w:r>
            <w:r>
              <w:rPr>
                <w:rFonts w:hint="eastAsia" w:ascii="仿宋" w:hAnsi="仿宋" w:eastAsia="仿宋" w:cs="仿宋"/>
                <w:spacing w:val="23"/>
                <w:kern w:val="0"/>
                <w:sz w:val="20"/>
                <w:szCs w:val="20"/>
                <w:lang w:bidi="ar"/>
              </w:rPr>
              <w:t>管理（15分）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w:t>
            </w:r>
            <w:r>
              <w:rPr>
                <w:rFonts w:hint="eastAsia" w:ascii="仿宋" w:hAnsi="仿宋" w:eastAsia="仿宋" w:cs="仿宋"/>
                <w:spacing w:val="23"/>
                <w:kern w:val="0"/>
                <w:sz w:val="20"/>
                <w:szCs w:val="20"/>
                <w:lang w:eastAsia="en-US" w:bidi="ar"/>
              </w:rPr>
              <w:t>金到位率</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资金到位率=（实际到位资金/预算资金）×100%。实际到位资金：一定时期（本年度或预算支出期）内落实到具体预算支出的资金。</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预算资金：一定时期（本年度或预算支出期）内预算安排到具体预算支出的资金。</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根据项目实际到位资金占计划分配资金的比重计算得分（5分*资金到位率）</w:t>
            </w:r>
          </w:p>
        </w:tc>
        <w:tc>
          <w:tcPr>
            <w:tcW w:w="2799" w:type="dxa"/>
            <w:noWrap/>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2021年年初预算1875.72万元，年末到位资金1972.36万元，实际拨付1875.72万元，但枫叶中学2021年秋季课后服务收费金额96.64万元上缴非税未在2021年底前及时返还，扣1分。</w:t>
            </w:r>
          </w:p>
        </w:tc>
        <w:tc>
          <w:tcPr>
            <w:tcW w:w="89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660"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911"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w:t>
            </w:r>
            <w:r>
              <w:rPr>
                <w:rFonts w:hint="eastAsia" w:ascii="仿宋" w:hAnsi="仿宋" w:eastAsia="仿宋" w:cs="仿宋"/>
                <w:spacing w:val="23"/>
                <w:kern w:val="0"/>
                <w:sz w:val="20"/>
                <w:szCs w:val="20"/>
                <w:lang w:eastAsia="en-US" w:bidi="ar"/>
              </w:rPr>
              <w:t>算执行率</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预算执行率=（实际支出资金/实际到位资金）×100%。</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实际支出资金：一定时期（本年度或预算支出期）内预算支出实际拨付的资金。</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根据项目实际支出资金占实际到位资金的比重计算得分（4分*预算执行率）</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2021年度实际预算执行率=（1875.72/1972.36）×100%=95.1%。得分95.1%*4=3.8分。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660"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911" w:type="dxa"/>
            <w:vMerge w:val="continue"/>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资</w:t>
            </w:r>
            <w:r>
              <w:rPr>
                <w:rFonts w:hint="eastAsia" w:ascii="仿宋" w:hAnsi="仿宋" w:eastAsia="仿宋" w:cs="仿宋"/>
                <w:spacing w:val="23"/>
                <w:kern w:val="0"/>
                <w:sz w:val="20"/>
                <w:szCs w:val="20"/>
                <w:lang w:eastAsia="en-US" w:bidi="ar"/>
              </w:rPr>
              <w:t>金使用合规性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6</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①是否符合国家财经法规和财务管理制度以及有关专项资金管理办法的规定；</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②资金的拨付是否有完整的审批程序和手续；</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③是否符合预算支出预算批复或合同规定的用途；</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④是否存在截留、挤占、挪用、虐列支出等情况。</w:t>
            </w:r>
          </w:p>
        </w:tc>
        <w:tc>
          <w:tcPr>
            <w:tcW w:w="3801" w:type="dxa"/>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符合国家财经法规和财务管理制度以及有关专项资金管理办法的规定，计1.5分，1例不符合扣0.5分；②资金的支付有完整的审批程序和手续，计1.5分，1例不符合扣0.5分；③符合项目预算批复或合同规定的用途，计1.5分，1例不符合扣0.5分；④不存在截留、挤占、挪用、虚列支出等情况，不存在重复申报项目、虚报冒领资金，计1.5分，1例不符合全扣；</w:t>
            </w:r>
          </w:p>
        </w:tc>
        <w:tc>
          <w:tcPr>
            <w:tcW w:w="2799" w:type="dxa"/>
            <w:noWrap/>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现场检查发现杉木塘小学与培训机构签订培训协议支付培训费1.13万元不符合规定，扣0.5分。</w:t>
            </w:r>
          </w:p>
        </w:tc>
        <w:tc>
          <w:tcPr>
            <w:tcW w:w="89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6"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程</w:t>
            </w:r>
          </w:p>
        </w:tc>
        <w:tc>
          <w:tcPr>
            <w:tcW w:w="911" w:type="dxa"/>
            <w:vMerge w:val="restart"/>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组</w:t>
            </w:r>
            <w:r>
              <w:rPr>
                <w:rFonts w:hint="eastAsia" w:ascii="仿宋" w:hAnsi="仿宋" w:eastAsia="仿宋" w:cs="仿宋"/>
                <w:spacing w:val="23"/>
                <w:kern w:val="0"/>
                <w:sz w:val="20"/>
                <w:szCs w:val="20"/>
                <w:lang w:eastAsia="en-US" w:bidi="ar"/>
              </w:rPr>
              <w:t>织</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实施</w:t>
            </w:r>
            <w:r>
              <w:rPr>
                <w:rFonts w:hint="eastAsia" w:ascii="仿宋" w:hAnsi="仿宋" w:eastAsia="仿宋" w:cs="仿宋"/>
                <w:spacing w:val="23"/>
                <w:kern w:val="0"/>
                <w:sz w:val="20"/>
                <w:szCs w:val="20"/>
                <w:lang w:bidi="ar"/>
              </w:rPr>
              <w:t>（9分）</w:t>
            </w:r>
          </w:p>
        </w:tc>
        <w:tc>
          <w:tcPr>
            <w:tcW w:w="1175" w:type="dxa"/>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管理</w:t>
            </w:r>
            <w:r>
              <w:rPr>
                <w:rFonts w:hint="eastAsia" w:ascii="仿宋" w:hAnsi="仿宋" w:eastAsia="仿宋" w:cs="仿宋"/>
                <w:spacing w:val="23"/>
                <w:kern w:val="0"/>
                <w:sz w:val="20"/>
                <w:szCs w:val="20"/>
                <w:lang w:eastAsia="en-US" w:bidi="ar"/>
              </w:rPr>
              <w:t>制度健全性</w:t>
            </w:r>
          </w:p>
        </w:tc>
        <w:tc>
          <w:tcPr>
            <w:tcW w:w="725" w:type="dxa"/>
            <w:noWrap/>
            <w:vAlign w:val="center"/>
          </w:tcPr>
          <w:p>
            <w:pPr>
              <w:widowControl/>
              <w:spacing w:line="240" w:lineRule="exact"/>
              <w:ind w:firstLine="0" w:firstLineChars="0"/>
              <w:contextualSpacing/>
              <w:jc w:val="center"/>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①是否已制定或具有相应的业务管理制度；②财务和业务管理制度是否合法、合规、完整。</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①已制定或具有相应的财务和业务管理制度，计2分；②财务和业务管理制度合法、合规、完整，计1分。否则，酌情扣分。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已制定或具有相应的财务和业务管理制度；财务和业务管理制度合法、合规、完整。计3分。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6" w:hRule="atLeast"/>
        </w:trPr>
        <w:tc>
          <w:tcPr>
            <w:tcW w:w="660" w:type="dxa"/>
            <w:vMerge w:val="continue"/>
            <w:noWrap/>
            <w:vAlign w:val="bottom"/>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noWrap/>
            <w:vAlign w:val="bottom"/>
          </w:tcPr>
          <w:p>
            <w:pPr>
              <w:spacing w:line="240" w:lineRule="exact"/>
              <w:ind w:firstLine="492"/>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制度执行有效性</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6</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①是否遵守相关法律法规和相关管理规定；②预算支出调整及支出调整手续是否完备；③预算支出合同书、验收报告、技术鉴定等资料是否齐全并及时归档；</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④预算支出实施的人员条件、场地设备、信息支撑等是否落实到位。</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①遵守相关法律法规和相关管理规定，计2分，1例偏差扣0.5分；②项目调整及支出调整手续完备，计1.5分，1例不完备扣0.5分；③项目合同书、验收报告、技术鉴定等资料齐全，计1分，每缺少1个扣0.2分;及时归档计0.5分，1个不及时扣0.1分；</w:t>
            </w:r>
          </w:p>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④项目实施的人员条件、场地设备、信息支撑等落实到位，计1分。否则，酌情扣分。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遵守相关法律法规和相关管理规定，未严格执行《关于进一步明确中小学生校内课后服务相关事项的通知》监督、公示等相关规定，扣1.5分。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8"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出</w:t>
            </w:r>
          </w:p>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数量</w:t>
            </w:r>
            <w:r>
              <w:rPr>
                <w:rFonts w:hint="eastAsia" w:ascii="仿宋" w:hAnsi="仿宋" w:eastAsia="仿宋" w:cs="仿宋"/>
                <w:spacing w:val="23"/>
                <w:kern w:val="0"/>
                <w:sz w:val="20"/>
                <w:szCs w:val="20"/>
                <w:lang w:bidi="ar"/>
              </w:rPr>
              <w:t>（20分）</w:t>
            </w:r>
          </w:p>
        </w:tc>
        <w:tc>
          <w:tcPr>
            <w:tcW w:w="1175"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学生参与率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各学校的学生参与率是否大于等于85%。</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各学校的学生参与率均大于等于85%，计5分，每降低1%扣1分，扣完为止。</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先锋学校2021年春季参加课后服务775人，学生参与率77.66%，秋季参加832人，学生参与率87.39%，年均82.41%，扣2.59分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8"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课后服务收费</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中小学校开展课后服务收费标准是否符合相关文件规定</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城区（含县城）义务教育阶段学校最高不超过5元/课时，每天不超过10元。</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各校收费均为5元/课时，每天10元，符合规定计5分。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8"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课后服务时长</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实际课后服务时长是否符合相关文件规定</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实际课后服务时长符合相关文件规定(不超过18：00点）</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各校课后服务一般为2课时，未超过18：00点，符合规定计5分。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8"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课后服务课程</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实际课后服务的课程设置合理性是否符合相关文件规定</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实际课后服务课程设置：作业辅导时间不超过1课时，保证1课时的文艺体育活动时间，酌情判断给予计分。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抽查4所学校，其中枫叶中学课后服务课程均配置为语数英等学业课程，扣1.5分。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质量</w:t>
            </w:r>
            <w:r>
              <w:rPr>
                <w:rFonts w:hint="eastAsia" w:ascii="仿宋" w:hAnsi="仿宋" w:eastAsia="仿宋" w:cs="仿宋"/>
                <w:spacing w:val="23"/>
                <w:kern w:val="0"/>
                <w:sz w:val="20"/>
                <w:szCs w:val="20"/>
                <w:lang w:bidi="ar"/>
              </w:rPr>
              <w:t>（10分）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促进学生全面发展</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10</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是否促进学生全面发展，提升学生素质</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促进学生全面发展，提升学生素质，酌情判断给予计分。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highlight w:val="yellow"/>
                <w:lang w:bidi="ar"/>
              </w:rPr>
            </w:pPr>
            <w:r>
              <w:rPr>
                <w:rFonts w:hint="eastAsia" w:ascii="仿宋" w:hAnsi="仿宋" w:eastAsia="仿宋" w:cs="仿宋"/>
                <w:spacing w:val="23"/>
                <w:kern w:val="0"/>
                <w:sz w:val="20"/>
                <w:szCs w:val="20"/>
                <w:lang w:bidi="ar"/>
              </w:rPr>
              <w:t>课后服务课程配置较全面，计8分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660" w:type="dxa"/>
            <w:vMerge w:val="continue"/>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bidi="ar"/>
              </w:rPr>
              <w:t>时</w:t>
            </w:r>
            <w:r>
              <w:rPr>
                <w:rFonts w:hint="eastAsia" w:ascii="仿宋" w:hAnsi="仿宋" w:eastAsia="仿宋" w:cs="仿宋"/>
                <w:spacing w:val="23"/>
                <w:kern w:val="0"/>
                <w:sz w:val="20"/>
                <w:szCs w:val="20"/>
                <w:lang w:eastAsia="en-US" w:bidi="ar"/>
              </w:rPr>
              <w:t>效</w:t>
            </w:r>
            <w:r>
              <w:rPr>
                <w:rFonts w:hint="eastAsia" w:ascii="仿宋" w:hAnsi="仿宋" w:eastAsia="仿宋" w:cs="仿宋"/>
                <w:spacing w:val="23"/>
                <w:kern w:val="0"/>
                <w:sz w:val="20"/>
                <w:szCs w:val="20"/>
                <w:lang w:bidi="ar"/>
              </w:rPr>
              <w:t>（5分）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学生家作完成率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学生家作完成率是否达到100%</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学生家作完成率100%，计5分，每降低1%扣0.2分，扣完为止。</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发放问卷60份，其中32份可以全部完成，另外28份未能完成，作完成率=32/60*100%=53.33%，扣5分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Merge w:val="continue"/>
            <w:noWrap/>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成本（</w:t>
            </w:r>
            <w:r>
              <w:rPr>
                <w:rFonts w:hint="eastAsia" w:ascii="仿宋" w:hAnsi="仿宋" w:eastAsia="仿宋" w:cs="仿宋"/>
                <w:spacing w:val="23"/>
                <w:kern w:val="0"/>
                <w:sz w:val="20"/>
                <w:szCs w:val="20"/>
                <w:lang w:bidi="ar"/>
              </w:rPr>
              <w:t>10</w:t>
            </w:r>
            <w:r>
              <w:rPr>
                <w:rFonts w:hint="eastAsia" w:ascii="仿宋" w:hAnsi="仿宋" w:eastAsia="仿宋" w:cs="仿宋"/>
                <w:spacing w:val="23"/>
                <w:kern w:val="0"/>
                <w:sz w:val="20"/>
                <w:szCs w:val="20"/>
                <w:lang w:eastAsia="en-US" w:bidi="ar"/>
              </w:rPr>
              <w:t>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开支范围标准</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收取的课后服务费开支范围及标准是否符合相关文件规定</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课后服务费其中80-90%部分用于发放直接参与课后服务教师及行政管理人员补贴，10-20%部分用于设备维护成本等相关支出。</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现场检查课后服务费开支范围及标准未发现不符合规定情况，计5分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Merge w:val="continue"/>
            <w:noWrap/>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产</w:t>
            </w:r>
            <w:r>
              <w:rPr>
                <w:rFonts w:hint="eastAsia" w:ascii="仿宋" w:hAnsi="仿宋" w:eastAsia="仿宋" w:cs="仿宋"/>
                <w:spacing w:val="23"/>
                <w:kern w:val="0"/>
                <w:sz w:val="20"/>
                <w:szCs w:val="20"/>
                <w:lang w:eastAsia="en-US" w:bidi="ar"/>
              </w:rPr>
              <w:t>出</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成本</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成本节约率</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各项实际投入是否控制在预算范围内，预算资金使用率是否100%。</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全年项目实施成本未超过预算成本计5分，每超过5%扣0.3分，扣完为止。</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2021年年初预算1875.72万元，年末到位资金1972.36万元，实际拨付1875.72万元，成本节约率为105.15%，扣0.3分。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3" w:hRule="atLeast"/>
        </w:trPr>
        <w:tc>
          <w:tcPr>
            <w:tcW w:w="660" w:type="dxa"/>
            <w:vMerge w:val="restart"/>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效</w:t>
            </w:r>
            <w:r>
              <w:rPr>
                <w:rFonts w:hint="eastAsia" w:ascii="仿宋" w:hAnsi="仿宋" w:eastAsia="仿宋" w:cs="仿宋"/>
                <w:spacing w:val="23"/>
                <w:kern w:val="0"/>
                <w:sz w:val="20"/>
                <w:szCs w:val="20"/>
                <w:lang w:eastAsia="en-US" w:bidi="ar"/>
              </w:rPr>
              <w:br w:type="textWrapping"/>
            </w:r>
            <w:r>
              <w:rPr>
                <w:rFonts w:hint="eastAsia" w:ascii="仿宋" w:hAnsi="仿宋" w:eastAsia="仿宋" w:cs="仿宋"/>
                <w:spacing w:val="23"/>
                <w:kern w:val="0"/>
                <w:sz w:val="20"/>
                <w:szCs w:val="20"/>
                <w:lang w:eastAsia="en-US" w:bidi="ar"/>
              </w:rPr>
              <w:t>益</w:t>
            </w:r>
          </w:p>
        </w:tc>
        <w:tc>
          <w:tcPr>
            <w:tcW w:w="911"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社会</w:t>
            </w:r>
            <w:r>
              <w:rPr>
                <w:rFonts w:hint="eastAsia" w:ascii="仿宋" w:hAnsi="仿宋" w:eastAsia="仿宋" w:cs="仿宋"/>
                <w:spacing w:val="23"/>
                <w:kern w:val="0"/>
                <w:sz w:val="20"/>
                <w:szCs w:val="20"/>
                <w:lang w:eastAsia="en-US" w:bidi="ar"/>
              </w:rPr>
              <w:t>效益（</w:t>
            </w:r>
            <w:r>
              <w:rPr>
                <w:rFonts w:hint="eastAsia" w:ascii="仿宋" w:hAnsi="仿宋" w:eastAsia="仿宋" w:cs="仿宋"/>
                <w:spacing w:val="23"/>
                <w:kern w:val="0"/>
                <w:sz w:val="20"/>
                <w:szCs w:val="20"/>
                <w:lang w:bidi="ar"/>
              </w:rPr>
              <w:t>5</w:t>
            </w:r>
            <w:r>
              <w:rPr>
                <w:rFonts w:hint="eastAsia" w:ascii="仿宋" w:hAnsi="仿宋" w:eastAsia="仿宋" w:cs="仿宋"/>
                <w:spacing w:val="23"/>
                <w:kern w:val="0"/>
                <w:sz w:val="20"/>
                <w:szCs w:val="20"/>
                <w:lang w:eastAsia="en-US" w:bidi="ar"/>
              </w:rPr>
              <w:t>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群众获得感、幸福感</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是否提升了群众获得感、幸福感</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提升了群众获得感、幸福感</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现场调查询问群众获得感、幸福感有所提升.</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rPr>
        <w:tc>
          <w:tcPr>
            <w:tcW w:w="660" w:type="dxa"/>
            <w:vMerge w:val="continue"/>
            <w:vAlign w:val="center"/>
          </w:tcPr>
          <w:p>
            <w:pPr>
              <w:spacing w:line="240" w:lineRule="exact"/>
              <w:ind w:firstLine="0" w:firstLineChars="0"/>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可</w:t>
            </w:r>
            <w:r>
              <w:rPr>
                <w:rFonts w:hint="eastAsia" w:ascii="仿宋" w:hAnsi="仿宋" w:eastAsia="仿宋" w:cs="仿宋"/>
                <w:spacing w:val="23"/>
                <w:kern w:val="0"/>
                <w:sz w:val="20"/>
                <w:szCs w:val="20"/>
                <w:lang w:eastAsia="en-US" w:bidi="ar"/>
              </w:rPr>
              <w:t>持续</w:t>
            </w:r>
            <w:r>
              <w:rPr>
                <w:rFonts w:hint="eastAsia" w:ascii="仿宋" w:hAnsi="仿宋" w:eastAsia="仿宋" w:cs="仿宋"/>
                <w:spacing w:val="23"/>
                <w:kern w:val="0"/>
                <w:sz w:val="20"/>
                <w:szCs w:val="20"/>
                <w:lang w:bidi="ar"/>
              </w:rPr>
              <w:t>影响（5分）</w:t>
            </w:r>
          </w:p>
        </w:tc>
        <w:tc>
          <w:tcPr>
            <w:tcW w:w="1175" w:type="dxa"/>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可</w:t>
            </w:r>
            <w:r>
              <w:rPr>
                <w:rFonts w:hint="eastAsia" w:ascii="仿宋" w:hAnsi="仿宋" w:eastAsia="仿宋" w:cs="仿宋"/>
                <w:spacing w:val="23"/>
                <w:kern w:val="0"/>
                <w:sz w:val="20"/>
                <w:szCs w:val="20"/>
                <w:lang w:eastAsia="en-US" w:bidi="ar"/>
              </w:rPr>
              <w:t>持续性</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建立健全课后服务管理体系。</w:t>
            </w:r>
          </w:p>
        </w:tc>
        <w:tc>
          <w:tcPr>
            <w:tcW w:w="3801" w:type="dxa"/>
            <w:vAlign w:val="center"/>
          </w:tcPr>
          <w:p>
            <w:pPr>
              <w:widowControl/>
              <w:spacing w:line="240" w:lineRule="exact"/>
              <w:ind w:firstLine="0" w:firstLineChars="0"/>
              <w:contextualSpacing/>
              <w:jc w:val="left"/>
              <w:textAlignment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检查了解义务教育校内课后服务理体系的建立健全情况，酌情判断给予计分。</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建立了管理体系。</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8" w:hRule="atLeast"/>
        </w:trPr>
        <w:tc>
          <w:tcPr>
            <w:tcW w:w="660" w:type="dxa"/>
            <w:vMerge w:val="continue"/>
            <w:vAlign w:val="center"/>
          </w:tcPr>
          <w:p>
            <w:pPr>
              <w:spacing w:line="240" w:lineRule="exact"/>
              <w:ind w:firstLine="492"/>
              <w:contextualSpacing/>
              <w:jc w:val="center"/>
              <w:rPr>
                <w:rFonts w:ascii="仿宋" w:hAnsi="仿宋" w:eastAsia="仿宋" w:cs="仿宋"/>
                <w:spacing w:val="23"/>
                <w:kern w:val="0"/>
                <w:sz w:val="20"/>
                <w:szCs w:val="20"/>
                <w:lang w:bidi="ar"/>
              </w:rPr>
            </w:pPr>
          </w:p>
        </w:tc>
        <w:tc>
          <w:tcPr>
            <w:tcW w:w="91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满意度（5分）</w:t>
            </w:r>
          </w:p>
        </w:tc>
        <w:tc>
          <w:tcPr>
            <w:tcW w:w="1175"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服务对象满意度</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c>
          <w:tcPr>
            <w:tcW w:w="3338"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服务对象（学生及家长）满意度是否达到85%以上。</w:t>
            </w:r>
          </w:p>
        </w:tc>
        <w:tc>
          <w:tcPr>
            <w:tcW w:w="3801" w:type="dxa"/>
            <w:vAlign w:val="center"/>
          </w:tcPr>
          <w:p>
            <w:pPr>
              <w:spacing w:line="240" w:lineRule="exact"/>
              <w:ind w:firstLine="0" w:firstLineChars="0"/>
              <w:contextualSpacing/>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通过调查访问，满意度在85%得分计5分，每低于标准下降1%扣除0.2分，扣完为止。</w:t>
            </w:r>
          </w:p>
        </w:tc>
        <w:tc>
          <w:tcPr>
            <w:tcW w:w="2799" w:type="dxa"/>
            <w:noWrap/>
            <w:vAlign w:val="center"/>
          </w:tcPr>
          <w:p>
            <w:pPr>
              <w:spacing w:line="240" w:lineRule="exact"/>
              <w:ind w:firstLine="0" w:firstLineChars="0"/>
              <w:contextualSpacing/>
              <w:jc w:val="left"/>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发放问卷60份，其中53人填写满意，另外有7人为一般，满意度=53/60*100%=88.33%，计5分</w:t>
            </w: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9" w:hRule="atLeast"/>
        </w:trPr>
        <w:tc>
          <w:tcPr>
            <w:tcW w:w="2746" w:type="dxa"/>
            <w:gridSpan w:val="3"/>
            <w:vAlign w:val="center"/>
          </w:tcPr>
          <w:p>
            <w:pPr>
              <w:spacing w:line="240" w:lineRule="exact"/>
              <w:ind w:firstLine="482"/>
              <w:contextualSpacing/>
              <w:jc w:val="center"/>
              <w:rPr>
                <w:rFonts w:ascii="仿宋" w:hAnsi="仿宋" w:eastAsia="仿宋" w:cs="仿宋"/>
                <w:spacing w:val="23"/>
                <w:kern w:val="0"/>
                <w:sz w:val="24"/>
                <w:szCs w:val="24"/>
                <w:lang w:bidi="ar"/>
              </w:rPr>
            </w:pPr>
            <w:r>
              <w:rPr>
                <w:rFonts w:hint="eastAsia" w:ascii="仿宋" w:hAnsi="仿宋" w:eastAsia="仿宋" w:cs="仿宋"/>
                <w:b/>
                <w:bCs/>
                <w:kern w:val="0"/>
                <w:sz w:val="24"/>
                <w:szCs w:val="24"/>
                <w:lang w:bidi="ar"/>
              </w:rPr>
              <w:t>合计</w:t>
            </w:r>
          </w:p>
        </w:tc>
        <w:tc>
          <w:tcPr>
            <w:tcW w:w="72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100</w:t>
            </w:r>
          </w:p>
        </w:tc>
        <w:tc>
          <w:tcPr>
            <w:tcW w:w="3338" w:type="dxa"/>
            <w:vAlign w:val="center"/>
          </w:tcPr>
          <w:p>
            <w:pPr>
              <w:widowControl/>
              <w:spacing w:line="240" w:lineRule="exact"/>
              <w:ind w:firstLine="492"/>
              <w:contextualSpacing/>
              <w:jc w:val="left"/>
              <w:textAlignment w:val="center"/>
              <w:rPr>
                <w:rFonts w:ascii="仿宋" w:hAnsi="仿宋" w:eastAsia="仿宋" w:cs="仿宋"/>
                <w:spacing w:val="23"/>
                <w:kern w:val="0"/>
                <w:sz w:val="20"/>
                <w:szCs w:val="20"/>
                <w:lang w:bidi="ar"/>
              </w:rPr>
            </w:pPr>
          </w:p>
        </w:tc>
        <w:tc>
          <w:tcPr>
            <w:tcW w:w="3801" w:type="dxa"/>
            <w:vAlign w:val="center"/>
          </w:tcPr>
          <w:p>
            <w:pPr>
              <w:widowControl/>
              <w:spacing w:line="240" w:lineRule="exact"/>
              <w:ind w:firstLine="492"/>
              <w:contextualSpacing/>
              <w:jc w:val="left"/>
              <w:textAlignment w:val="center"/>
              <w:rPr>
                <w:rFonts w:ascii="仿宋" w:hAnsi="仿宋" w:eastAsia="仿宋" w:cs="仿宋"/>
                <w:spacing w:val="23"/>
                <w:kern w:val="0"/>
                <w:sz w:val="20"/>
                <w:szCs w:val="20"/>
                <w:lang w:bidi="ar"/>
              </w:rPr>
            </w:pPr>
          </w:p>
        </w:tc>
        <w:tc>
          <w:tcPr>
            <w:tcW w:w="2799" w:type="dxa"/>
            <w:noWrap/>
            <w:vAlign w:val="center"/>
          </w:tcPr>
          <w:p>
            <w:pPr>
              <w:spacing w:line="240" w:lineRule="exact"/>
              <w:ind w:firstLine="492"/>
              <w:contextualSpacing/>
              <w:rPr>
                <w:rFonts w:ascii="仿宋" w:hAnsi="仿宋" w:eastAsia="仿宋" w:cs="仿宋"/>
                <w:spacing w:val="23"/>
                <w:kern w:val="0"/>
                <w:sz w:val="20"/>
                <w:szCs w:val="20"/>
                <w:lang w:bidi="ar"/>
              </w:rPr>
            </w:pPr>
          </w:p>
        </w:tc>
        <w:tc>
          <w:tcPr>
            <w:tcW w:w="895" w:type="dxa"/>
            <w:noWrap/>
            <w:vAlign w:val="center"/>
          </w:tcPr>
          <w:p>
            <w:pPr>
              <w:spacing w:line="240" w:lineRule="exact"/>
              <w:ind w:firstLine="0" w:firstLineChars="0"/>
              <w:contextualSpacing/>
              <w:jc w:val="center"/>
              <w:rPr>
                <w:rFonts w:ascii="仿宋" w:hAnsi="仿宋" w:eastAsia="仿宋" w:cs="仿宋"/>
                <w:spacing w:val="23"/>
                <w:kern w:val="0"/>
                <w:sz w:val="20"/>
                <w:szCs w:val="20"/>
                <w:lang w:bidi="ar"/>
              </w:rPr>
            </w:pPr>
            <w:r>
              <w:rPr>
                <w:rFonts w:hint="eastAsia" w:ascii="仿宋" w:hAnsi="仿宋" w:eastAsia="仿宋" w:cs="仿宋"/>
                <w:spacing w:val="23"/>
                <w:kern w:val="0"/>
                <w:sz w:val="20"/>
                <w:szCs w:val="20"/>
                <w:lang w:bidi="ar"/>
              </w:rPr>
              <w:t>84.41</w:t>
            </w:r>
          </w:p>
        </w:tc>
      </w:tr>
    </w:tbl>
    <w:p>
      <w:pPr>
        <w:pStyle w:val="16"/>
        <w:ind w:firstLine="440"/>
        <w:rPr>
          <w:rFonts w:eastAsiaTheme="minorEastAsia"/>
        </w:rPr>
      </w:pPr>
    </w:p>
    <w:p>
      <w:pPr>
        <w:pStyle w:val="16"/>
        <w:ind w:firstLine="440"/>
        <w:rPr>
          <w:rFonts w:eastAsiaTheme="minorEastAsia"/>
        </w:rPr>
      </w:pPr>
    </w:p>
    <w:p>
      <w:pPr>
        <w:pStyle w:val="16"/>
        <w:ind w:firstLine="440"/>
        <w:rPr>
          <w:rFonts w:eastAsiaTheme="minorEastAsia"/>
        </w:rPr>
      </w:pPr>
    </w:p>
    <w:p>
      <w:pPr>
        <w:pStyle w:val="16"/>
        <w:ind w:firstLine="440"/>
        <w:rPr>
          <w:rFonts w:eastAsiaTheme="minorEastAsia"/>
        </w:rPr>
      </w:pPr>
    </w:p>
    <w:p>
      <w:pPr>
        <w:pStyle w:val="16"/>
        <w:ind w:firstLine="440"/>
        <w:rPr>
          <w:rFonts w:eastAsia="仿宋" w:cs="Times New Roman"/>
          <w:szCs w:val="32"/>
        </w:rPr>
      </w:pPr>
    </w:p>
    <w:sectPr>
      <w:headerReference r:id="rId5" w:type="default"/>
      <w:footerReference r:id="rId6" w:type="default"/>
      <w:pgSz w:w="16838" w:h="11906" w:orient="landscape"/>
      <w:pgMar w:top="1800" w:right="1440" w:bottom="1800" w:left="144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ì.">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736376"/>
    </w:sdtPr>
    <w:sdtContent>
      <w:p>
        <w:pPr>
          <w:pStyle w:val="10"/>
          <w:ind w:firstLine="360"/>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0B2A46"/>
    <w:rsid w:val="000001ED"/>
    <w:rsid w:val="00001BC0"/>
    <w:rsid w:val="0000294D"/>
    <w:rsid w:val="00002A19"/>
    <w:rsid w:val="00010891"/>
    <w:rsid w:val="000132B6"/>
    <w:rsid w:val="00015E13"/>
    <w:rsid w:val="00016CB1"/>
    <w:rsid w:val="00023064"/>
    <w:rsid w:val="00026028"/>
    <w:rsid w:val="00030F23"/>
    <w:rsid w:val="00033EB5"/>
    <w:rsid w:val="00040BC3"/>
    <w:rsid w:val="000434AC"/>
    <w:rsid w:val="00046935"/>
    <w:rsid w:val="00047344"/>
    <w:rsid w:val="000531EF"/>
    <w:rsid w:val="000564C8"/>
    <w:rsid w:val="00057196"/>
    <w:rsid w:val="00064313"/>
    <w:rsid w:val="00064ACA"/>
    <w:rsid w:val="000655A4"/>
    <w:rsid w:val="00071566"/>
    <w:rsid w:val="00071DCE"/>
    <w:rsid w:val="000800FD"/>
    <w:rsid w:val="00084D07"/>
    <w:rsid w:val="000857A5"/>
    <w:rsid w:val="00090DB8"/>
    <w:rsid w:val="00094356"/>
    <w:rsid w:val="0009472C"/>
    <w:rsid w:val="000977CD"/>
    <w:rsid w:val="000A00D0"/>
    <w:rsid w:val="000A0BE9"/>
    <w:rsid w:val="000A1855"/>
    <w:rsid w:val="000A257D"/>
    <w:rsid w:val="000A2BEF"/>
    <w:rsid w:val="000A4A19"/>
    <w:rsid w:val="000A68E9"/>
    <w:rsid w:val="000A7C36"/>
    <w:rsid w:val="000B2350"/>
    <w:rsid w:val="000B2A46"/>
    <w:rsid w:val="000B33FB"/>
    <w:rsid w:val="000B4252"/>
    <w:rsid w:val="000B538E"/>
    <w:rsid w:val="000B5748"/>
    <w:rsid w:val="000B5C77"/>
    <w:rsid w:val="000B5DC7"/>
    <w:rsid w:val="000B6E8F"/>
    <w:rsid w:val="000C027E"/>
    <w:rsid w:val="000C04FC"/>
    <w:rsid w:val="000C2470"/>
    <w:rsid w:val="000C5013"/>
    <w:rsid w:val="000C7701"/>
    <w:rsid w:val="000D0390"/>
    <w:rsid w:val="000D38CF"/>
    <w:rsid w:val="000D73E5"/>
    <w:rsid w:val="000E3110"/>
    <w:rsid w:val="000E38B3"/>
    <w:rsid w:val="000E432C"/>
    <w:rsid w:val="000E5063"/>
    <w:rsid w:val="000E5C2F"/>
    <w:rsid w:val="000E6929"/>
    <w:rsid w:val="000F294E"/>
    <w:rsid w:val="000F3B2F"/>
    <w:rsid w:val="000F3E6E"/>
    <w:rsid w:val="00100678"/>
    <w:rsid w:val="00102D14"/>
    <w:rsid w:val="00106308"/>
    <w:rsid w:val="00114096"/>
    <w:rsid w:val="00117427"/>
    <w:rsid w:val="001174AF"/>
    <w:rsid w:val="001200F1"/>
    <w:rsid w:val="001211A3"/>
    <w:rsid w:val="00121224"/>
    <w:rsid w:val="00124D0D"/>
    <w:rsid w:val="001264B9"/>
    <w:rsid w:val="00126511"/>
    <w:rsid w:val="00131E4B"/>
    <w:rsid w:val="00132C1F"/>
    <w:rsid w:val="0013526F"/>
    <w:rsid w:val="00136082"/>
    <w:rsid w:val="00137F91"/>
    <w:rsid w:val="001406F8"/>
    <w:rsid w:val="00140880"/>
    <w:rsid w:val="001461E2"/>
    <w:rsid w:val="00147667"/>
    <w:rsid w:val="00151557"/>
    <w:rsid w:val="00152608"/>
    <w:rsid w:val="00152E1A"/>
    <w:rsid w:val="00153087"/>
    <w:rsid w:val="001533B3"/>
    <w:rsid w:val="001542C2"/>
    <w:rsid w:val="001646BD"/>
    <w:rsid w:val="001658F9"/>
    <w:rsid w:val="00165B83"/>
    <w:rsid w:val="00166991"/>
    <w:rsid w:val="00172A30"/>
    <w:rsid w:val="00173624"/>
    <w:rsid w:val="00174AED"/>
    <w:rsid w:val="00180D58"/>
    <w:rsid w:val="001843C2"/>
    <w:rsid w:val="00191392"/>
    <w:rsid w:val="00193121"/>
    <w:rsid w:val="00195775"/>
    <w:rsid w:val="001A6CDA"/>
    <w:rsid w:val="001B166D"/>
    <w:rsid w:val="001B2428"/>
    <w:rsid w:val="001B26AF"/>
    <w:rsid w:val="001B43DC"/>
    <w:rsid w:val="001B7908"/>
    <w:rsid w:val="001C0D3A"/>
    <w:rsid w:val="001C1D34"/>
    <w:rsid w:val="001C44F6"/>
    <w:rsid w:val="001D25BC"/>
    <w:rsid w:val="001D7F74"/>
    <w:rsid w:val="001E2CD1"/>
    <w:rsid w:val="001E3316"/>
    <w:rsid w:val="001E3E05"/>
    <w:rsid w:val="001E4B7D"/>
    <w:rsid w:val="001E79F4"/>
    <w:rsid w:val="001F1EFB"/>
    <w:rsid w:val="001F4596"/>
    <w:rsid w:val="001F4C5F"/>
    <w:rsid w:val="001F7EEE"/>
    <w:rsid w:val="00202C70"/>
    <w:rsid w:val="002042E2"/>
    <w:rsid w:val="0020491B"/>
    <w:rsid w:val="00205C51"/>
    <w:rsid w:val="00206A83"/>
    <w:rsid w:val="0021453C"/>
    <w:rsid w:val="00220DB9"/>
    <w:rsid w:val="00222996"/>
    <w:rsid w:val="00223CBE"/>
    <w:rsid w:val="00227580"/>
    <w:rsid w:val="00230796"/>
    <w:rsid w:val="00233CBD"/>
    <w:rsid w:val="00234A67"/>
    <w:rsid w:val="0024434D"/>
    <w:rsid w:val="00244D76"/>
    <w:rsid w:val="00244EE2"/>
    <w:rsid w:val="00251E98"/>
    <w:rsid w:val="00254306"/>
    <w:rsid w:val="00254C9C"/>
    <w:rsid w:val="00254CC0"/>
    <w:rsid w:val="00257A5C"/>
    <w:rsid w:val="00261812"/>
    <w:rsid w:val="0026269C"/>
    <w:rsid w:val="00265974"/>
    <w:rsid w:val="00267BA6"/>
    <w:rsid w:val="00271051"/>
    <w:rsid w:val="002717C6"/>
    <w:rsid w:val="002753D1"/>
    <w:rsid w:val="0027771C"/>
    <w:rsid w:val="00277F93"/>
    <w:rsid w:val="002849E5"/>
    <w:rsid w:val="0028704F"/>
    <w:rsid w:val="002932DE"/>
    <w:rsid w:val="00295EBA"/>
    <w:rsid w:val="00297CD6"/>
    <w:rsid w:val="002A1868"/>
    <w:rsid w:val="002A1D15"/>
    <w:rsid w:val="002A2A14"/>
    <w:rsid w:val="002A4DEC"/>
    <w:rsid w:val="002A7C53"/>
    <w:rsid w:val="002B0701"/>
    <w:rsid w:val="002B0CB0"/>
    <w:rsid w:val="002B40FB"/>
    <w:rsid w:val="002C1522"/>
    <w:rsid w:val="002D054F"/>
    <w:rsid w:val="002D1804"/>
    <w:rsid w:val="002D3574"/>
    <w:rsid w:val="002D53CD"/>
    <w:rsid w:val="002D646A"/>
    <w:rsid w:val="002D701E"/>
    <w:rsid w:val="002D782E"/>
    <w:rsid w:val="002E4282"/>
    <w:rsid w:val="002E5F42"/>
    <w:rsid w:val="002E68A3"/>
    <w:rsid w:val="002F10A8"/>
    <w:rsid w:val="002F1CC4"/>
    <w:rsid w:val="002F31E1"/>
    <w:rsid w:val="002F353F"/>
    <w:rsid w:val="002F5B5A"/>
    <w:rsid w:val="002F72C7"/>
    <w:rsid w:val="00300FEB"/>
    <w:rsid w:val="00302EB8"/>
    <w:rsid w:val="00303E4F"/>
    <w:rsid w:val="00303FFE"/>
    <w:rsid w:val="0030593B"/>
    <w:rsid w:val="00305F9F"/>
    <w:rsid w:val="00312DE4"/>
    <w:rsid w:val="00313066"/>
    <w:rsid w:val="003132FE"/>
    <w:rsid w:val="00314F7F"/>
    <w:rsid w:val="003179E7"/>
    <w:rsid w:val="00322093"/>
    <w:rsid w:val="00323419"/>
    <w:rsid w:val="00327005"/>
    <w:rsid w:val="003314F8"/>
    <w:rsid w:val="0033676C"/>
    <w:rsid w:val="00340471"/>
    <w:rsid w:val="00346993"/>
    <w:rsid w:val="00347084"/>
    <w:rsid w:val="0034774C"/>
    <w:rsid w:val="0035085D"/>
    <w:rsid w:val="0035253C"/>
    <w:rsid w:val="00353E5C"/>
    <w:rsid w:val="00356020"/>
    <w:rsid w:val="0036518C"/>
    <w:rsid w:val="003658B7"/>
    <w:rsid w:val="00375BF4"/>
    <w:rsid w:val="00376256"/>
    <w:rsid w:val="0037691A"/>
    <w:rsid w:val="00380E28"/>
    <w:rsid w:val="0038198C"/>
    <w:rsid w:val="00382CC4"/>
    <w:rsid w:val="0038302A"/>
    <w:rsid w:val="003862BE"/>
    <w:rsid w:val="00387289"/>
    <w:rsid w:val="0039213A"/>
    <w:rsid w:val="00392950"/>
    <w:rsid w:val="00393A5D"/>
    <w:rsid w:val="00394156"/>
    <w:rsid w:val="003955CC"/>
    <w:rsid w:val="00396C2A"/>
    <w:rsid w:val="003A0888"/>
    <w:rsid w:val="003A4828"/>
    <w:rsid w:val="003A5836"/>
    <w:rsid w:val="003A5D67"/>
    <w:rsid w:val="003A6AA6"/>
    <w:rsid w:val="003B40D9"/>
    <w:rsid w:val="003B50B7"/>
    <w:rsid w:val="003C5532"/>
    <w:rsid w:val="003C74E8"/>
    <w:rsid w:val="003D0DDF"/>
    <w:rsid w:val="003D1F76"/>
    <w:rsid w:val="003D469D"/>
    <w:rsid w:val="003D4C5F"/>
    <w:rsid w:val="003D6567"/>
    <w:rsid w:val="003E448E"/>
    <w:rsid w:val="003E75C6"/>
    <w:rsid w:val="003F1D0C"/>
    <w:rsid w:val="003F1EE3"/>
    <w:rsid w:val="003F33B8"/>
    <w:rsid w:val="003F560B"/>
    <w:rsid w:val="003F5894"/>
    <w:rsid w:val="00404544"/>
    <w:rsid w:val="00405C43"/>
    <w:rsid w:val="004063C9"/>
    <w:rsid w:val="0040729F"/>
    <w:rsid w:val="0041060A"/>
    <w:rsid w:val="0042295A"/>
    <w:rsid w:val="00422F15"/>
    <w:rsid w:val="00423499"/>
    <w:rsid w:val="00424C90"/>
    <w:rsid w:val="004271E8"/>
    <w:rsid w:val="00432EED"/>
    <w:rsid w:val="0043399F"/>
    <w:rsid w:val="00433BB7"/>
    <w:rsid w:val="00433F31"/>
    <w:rsid w:val="0043421D"/>
    <w:rsid w:val="004364D8"/>
    <w:rsid w:val="00443CD4"/>
    <w:rsid w:val="0044416B"/>
    <w:rsid w:val="00447025"/>
    <w:rsid w:val="004519AD"/>
    <w:rsid w:val="00455277"/>
    <w:rsid w:val="00455E89"/>
    <w:rsid w:val="004568C5"/>
    <w:rsid w:val="004619E7"/>
    <w:rsid w:val="00463B06"/>
    <w:rsid w:val="004640D4"/>
    <w:rsid w:val="00464954"/>
    <w:rsid w:val="00464B29"/>
    <w:rsid w:val="004663B8"/>
    <w:rsid w:val="00473118"/>
    <w:rsid w:val="0047382A"/>
    <w:rsid w:val="00473984"/>
    <w:rsid w:val="00473BF7"/>
    <w:rsid w:val="00475C67"/>
    <w:rsid w:val="00476F33"/>
    <w:rsid w:val="00480333"/>
    <w:rsid w:val="00480E77"/>
    <w:rsid w:val="00485F22"/>
    <w:rsid w:val="00493C7A"/>
    <w:rsid w:val="00494FBD"/>
    <w:rsid w:val="004A039D"/>
    <w:rsid w:val="004A1133"/>
    <w:rsid w:val="004A2A20"/>
    <w:rsid w:val="004B081F"/>
    <w:rsid w:val="004B3DB7"/>
    <w:rsid w:val="004B5644"/>
    <w:rsid w:val="004C0C2F"/>
    <w:rsid w:val="004C7884"/>
    <w:rsid w:val="004D5645"/>
    <w:rsid w:val="004E0BC1"/>
    <w:rsid w:val="004E321C"/>
    <w:rsid w:val="004E4F0A"/>
    <w:rsid w:val="004F5E98"/>
    <w:rsid w:val="004F7425"/>
    <w:rsid w:val="004F7666"/>
    <w:rsid w:val="0050077C"/>
    <w:rsid w:val="0050148C"/>
    <w:rsid w:val="00501649"/>
    <w:rsid w:val="005061AE"/>
    <w:rsid w:val="00506B19"/>
    <w:rsid w:val="0050724C"/>
    <w:rsid w:val="005152D9"/>
    <w:rsid w:val="005167E0"/>
    <w:rsid w:val="00516F60"/>
    <w:rsid w:val="00517C64"/>
    <w:rsid w:val="005202E0"/>
    <w:rsid w:val="00520CA6"/>
    <w:rsid w:val="00521EB9"/>
    <w:rsid w:val="00523A2F"/>
    <w:rsid w:val="00523E15"/>
    <w:rsid w:val="00530C7C"/>
    <w:rsid w:val="00533519"/>
    <w:rsid w:val="00536FEF"/>
    <w:rsid w:val="00542DED"/>
    <w:rsid w:val="00544605"/>
    <w:rsid w:val="00546904"/>
    <w:rsid w:val="00551644"/>
    <w:rsid w:val="005520A3"/>
    <w:rsid w:val="00552CD3"/>
    <w:rsid w:val="005531CA"/>
    <w:rsid w:val="00554867"/>
    <w:rsid w:val="00554C41"/>
    <w:rsid w:val="00555085"/>
    <w:rsid w:val="00555796"/>
    <w:rsid w:val="00556A83"/>
    <w:rsid w:val="005572B5"/>
    <w:rsid w:val="0056396C"/>
    <w:rsid w:val="00563EEB"/>
    <w:rsid w:val="005644BA"/>
    <w:rsid w:val="00566ACE"/>
    <w:rsid w:val="005724CB"/>
    <w:rsid w:val="00575F9E"/>
    <w:rsid w:val="00577B5D"/>
    <w:rsid w:val="005820CD"/>
    <w:rsid w:val="00582DCE"/>
    <w:rsid w:val="0058613B"/>
    <w:rsid w:val="0059016C"/>
    <w:rsid w:val="005959B3"/>
    <w:rsid w:val="005A03CE"/>
    <w:rsid w:val="005A225B"/>
    <w:rsid w:val="005A3245"/>
    <w:rsid w:val="005A4508"/>
    <w:rsid w:val="005A4E6E"/>
    <w:rsid w:val="005A4F11"/>
    <w:rsid w:val="005A73A6"/>
    <w:rsid w:val="005B2873"/>
    <w:rsid w:val="005B413A"/>
    <w:rsid w:val="005B6E25"/>
    <w:rsid w:val="005C0F86"/>
    <w:rsid w:val="005C1627"/>
    <w:rsid w:val="005C7D0E"/>
    <w:rsid w:val="005D089B"/>
    <w:rsid w:val="005D0BC7"/>
    <w:rsid w:val="005D195B"/>
    <w:rsid w:val="005D1F27"/>
    <w:rsid w:val="005D54E3"/>
    <w:rsid w:val="005D5ECA"/>
    <w:rsid w:val="005D6895"/>
    <w:rsid w:val="005E021A"/>
    <w:rsid w:val="005E2D26"/>
    <w:rsid w:val="005E622A"/>
    <w:rsid w:val="005E735E"/>
    <w:rsid w:val="005F42F0"/>
    <w:rsid w:val="005F7D87"/>
    <w:rsid w:val="00600C95"/>
    <w:rsid w:val="00601E2B"/>
    <w:rsid w:val="006027A0"/>
    <w:rsid w:val="00604A8B"/>
    <w:rsid w:val="006066FA"/>
    <w:rsid w:val="00607393"/>
    <w:rsid w:val="006102F7"/>
    <w:rsid w:val="00614AEE"/>
    <w:rsid w:val="00617C62"/>
    <w:rsid w:val="006206DE"/>
    <w:rsid w:val="00621D6B"/>
    <w:rsid w:val="00624C7A"/>
    <w:rsid w:val="0062643B"/>
    <w:rsid w:val="00627561"/>
    <w:rsid w:val="006275EF"/>
    <w:rsid w:val="0063239B"/>
    <w:rsid w:val="0063356A"/>
    <w:rsid w:val="00636C3F"/>
    <w:rsid w:val="006377B5"/>
    <w:rsid w:val="006378D7"/>
    <w:rsid w:val="006407E0"/>
    <w:rsid w:val="00644309"/>
    <w:rsid w:val="00644C22"/>
    <w:rsid w:val="00647855"/>
    <w:rsid w:val="006526DA"/>
    <w:rsid w:val="00652972"/>
    <w:rsid w:val="006547D8"/>
    <w:rsid w:val="006548A7"/>
    <w:rsid w:val="00654B0E"/>
    <w:rsid w:val="00656472"/>
    <w:rsid w:val="006569C9"/>
    <w:rsid w:val="00656E2C"/>
    <w:rsid w:val="006604A2"/>
    <w:rsid w:val="00663261"/>
    <w:rsid w:val="00665A54"/>
    <w:rsid w:val="00667B7D"/>
    <w:rsid w:val="00670414"/>
    <w:rsid w:val="006707D0"/>
    <w:rsid w:val="00673059"/>
    <w:rsid w:val="0067371C"/>
    <w:rsid w:val="00675A53"/>
    <w:rsid w:val="006771CC"/>
    <w:rsid w:val="00677C9C"/>
    <w:rsid w:val="0068041C"/>
    <w:rsid w:val="00680E23"/>
    <w:rsid w:val="00681DE4"/>
    <w:rsid w:val="00681E3D"/>
    <w:rsid w:val="0068266F"/>
    <w:rsid w:val="006837D1"/>
    <w:rsid w:val="006A09FB"/>
    <w:rsid w:val="006A0F79"/>
    <w:rsid w:val="006A1221"/>
    <w:rsid w:val="006A268C"/>
    <w:rsid w:val="006A2967"/>
    <w:rsid w:val="006A45BC"/>
    <w:rsid w:val="006A57C7"/>
    <w:rsid w:val="006A5E19"/>
    <w:rsid w:val="006A690E"/>
    <w:rsid w:val="006A76B5"/>
    <w:rsid w:val="006B002E"/>
    <w:rsid w:val="006B0B87"/>
    <w:rsid w:val="006B3232"/>
    <w:rsid w:val="006B338C"/>
    <w:rsid w:val="006B3BA8"/>
    <w:rsid w:val="006C08DA"/>
    <w:rsid w:val="006C113B"/>
    <w:rsid w:val="006C25BB"/>
    <w:rsid w:val="006C312E"/>
    <w:rsid w:val="006D2046"/>
    <w:rsid w:val="006D2A1A"/>
    <w:rsid w:val="006D585B"/>
    <w:rsid w:val="006D6965"/>
    <w:rsid w:val="006E423C"/>
    <w:rsid w:val="006E4DA3"/>
    <w:rsid w:val="006E561A"/>
    <w:rsid w:val="006F3787"/>
    <w:rsid w:val="00701B5F"/>
    <w:rsid w:val="00702098"/>
    <w:rsid w:val="00702EF7"/>
    <w:rsid w:val="00710366"/>
    <w:rsid w:val="00710E0C"/>
    <w:rsid w:val="00710F6C"/>
    <w:rsid w:val="007114C1"/>
    <w:rsid w:val="00711E6E"/>
    <w:rsid w:val="0071521F"/>
    <w:rsid w:val="0071663B"/>
    <w:rsid w:val="00720496"/>
    <w:rsid w:val="007207CF"/>
    <w:rsid w:val="00727045"/>
    <w:rsid w:val="007321EB"/>
    <w:rsid w:val="00732751"/>
    <w:rsid w:val="007366C5"/>
    <w:rsid w:val="007431AE"/>
    <w:rsid w:val="007439EA"/>
    <w:rsid w:val="00744648"/>
    <w:rsid w:val="00756956"/>
    <w:rsid w:val="00757623"/>
    <w:rsid w:val="00761B3D"/>
    <w:rsid w:val="00765A93"/>
    <w:rsid w:val="00771DB1"/>
    <w:rsid w:val="0077399C"/>
    <w:rsid w:val="00773ED3"/>
    <w:rsid w:val="00775297"/>
    <w:rsid w:val="00775682"/>
    <w:rsid w:val="0077643E"/>
    <w:rsid w:val="00781919"/>
    <w:rsid w:val="0078467F"/>
    <w:rsid w:val="00791A7C"/>
    <w:rsid w:val="00792A23"/>
    <w:rsid w:val="007934A1"/>
    <w:rsid w:val="00793A06"/>
    <w:rsid w:val="00794108"/>
    <w:rsid w:val="007941C2"/>
    <w:rsid w:val="007958E0"/>
    <w:rsid w:val="00795A72"/>
    <w:rsid w:val="007A293E"/>
    <w:rsid w:val="007A57BD"/>
    <w:rsid w:val="007A6A7F"/>
    <w:rsid w:val="007B040B"/>
    <w:rsid w:val="007B0426"/>
    <w:rsid w:val="007B09DF"/>
    <w:rsid w:val="007B0E01"/>
    <w:rsid w:val="007B1EF9"/>
    <w:rsid w:val="007B6B2D"/>
    <w:rsid w:val="007C7640"/>
    <w:rsid w:val="007D48DC"/>
    <w:rsid w:val="007E1BE4"/>
    <w:rsid w:val="007E259D"/>
    <w:rsid w:val="007E5BE2"/>
    <w:rsid w:val="007E7649"/>
    <w:rsid w:val="007F3CE6"/>
    <w:rsid w:val="007F567F"/>
    <w:rsid w:val="007F683B"/>
    <w:rsid w:val="007F6DAD"/>
    <w:rsid w:val="00800541"/>
    <w:rsid w:val="0080148A"/>
    <w:rsid w:val="00803BE9"/>
    <w:rsid w:val="00804D08"/>
    <w:rsid w:val="00804D5D"/>
    <w:rsid w:val="00810B13"/>
    <w:rsid w:val="00810D9C"/>
    <w:rsid w:val="00815F80"/>
    <w:rsid w:val="00817F8E"/>
    <w:rsid w:val="00824391"/>
    <w:rsid w:val="008305FB"/>
    <w:rsid w:val="00832ABD"/>
    <w:rsid w:val="00832B19"/>
    <w:rsid w:val="00834ADF"/>
    <w:rsid w:val="00835E82"/>
    <w:rsid w:val="00835F0B"/>
    <w:rsid w:val="00844160"/>
    <w:rsid w:val="00847CEA"/>
    <w:rsid w:val="00847DC2"/>
    <w:rsid w:val="00851862"/>
    <w:rsid w:val="008552E4"/>
    <w:rsid w:val="0085658A"/>
    <w:rsid w:val="00860DA6"/>
    <w:rsid w:val="0086314B"/>
    <w:rsid w:val="00863D1A"/>
    <w:rsid w:val="00866BE5"/>
    <w:rsid w:val="00866E31"/>
    <w:rsid w:val="00870290"/>
    <w:rsid w:val="008733EE"/>
    <w:rsid w:val="00874934"/>
    <w:rsid w:val="00875F32"/>
    <w:rsid w:val="008837F7"/>
    <w:rsid w:val="0088391E"/>
    <w:rsid w:val="00884C41"/>
    <w:rsid w:val="00886681"/>
    <w:rsid w:val="008909C5"/>
    <w:rsid w:val="008936AB"/>
    <w:rsid w:val="00896B08"/>
    <w:rsid w:val="008A1DE4"/>
    <w:rsid w:val="008A237F"/>
    <w:rsid w:val="008A3DA6"/>
    <w:rsid w:val="008A507A"/>
    <w:rsid w:val="008A6127"/>
    <w:rsid w:val="008B4C55"/>
    <w:rsid w:val="008C038B"/>
    <w:rsid w:val="008C2C71"/>
    <w:rsid w:val="008C5D17"/>
    <w:rsid w:val="008C5FB9"/>
    <w:rsid w:val="008D2E94"/>
    <w:rsid w:val="008D4C82"/>
    <w:rsid w:val="008D6707"/>
    <w:rsid w:val="008E27B0"/>
    <w:rsid w:val="008E64BA"/>
    <w:rsid w:val="008F075E"/>
    <w:rsid w:val="008F69CE"/>
    <w:rsid w:val="00901AC9"/>
    <w:rsid w:val="0090441F"/>
    <w:rsid w:val="00905A6B"/>
    <w:rsid w:val="009072BC"/>
    <w:rsid w:val="00907604"/>
    <w:rsid w:val="009114E7"/>
    <w:rsid w:val="00912BAF"/>
    <w:rsid w:val="009149B1"/>
    <w:rsid w:val="0091664B"/>
    <w:rsid w:val="00920057"/>
    <w:rsid w:val="009207E1"/>
    <w:rsid w:val="00922E96"/>
    <w:rsid w:val="0092313B"/>
    <w:rsid w:val="0092472C"/>
    <w:rsid w:val="00925F3D"/>
    <w:rsid w:val="00930F30"/>
    <w:rsid w:val="00935F87"/>
    <w:rsid w:val="00940C36"/>
    <w:rsid w:val="00952A43"/>
    <w:rsid w:val="00961194"/>
    <w:rsid w:val="0096200A"/>
    <w:rsid w:val="00962237"/>
    <w:rsid w:val="00962CCA"/>
    <w:rsid w:val="00963380"/>
    <w:rsid w:val="009655CF"/>
    <w:rsid w:val="00967EE7"/>
    <w:rsid w:val="009746C5"/>
    <w:rsid w:val="0097516F"/>
    <w:rsid w:val="00975DC9"/>
    <w:rsid w:val="009779F5"/>
    <w:rsid w:val="009820CD"/>
    <w:rsid w:val="0098619E"/>
    <w:rsid w:val="00987C71"/>
    <w:rsid w:val="0099138E"/>
    <w:rsid w:val="00992749"/>
    <w:rsid w:val="00993449"/>
    <w:rsid w:val="009938C1"/>
    <w:rsid w:val="009976F4"/>
    <w:rsid w:val="009A070C"/>
    <w:rsid w:val="009A5FC5"/>
    <w:rsid w:val="009A692E"/>
    <w:rsid w:val="009A7A94"/>
    <w:rsid w:val="009A7BD8"/>
    <w:rsid w:val="009B2D56"/>
    <w:rsid w:val="009B44D5"/>
    <w:rsid w:val="009B57CB"/>
    <w:rsid w:val="009B6847"/>
    <w:rsid w:val="009C310E"/>
    <w:rsid w:val="009C32C5"/>
    <w:rsid w:val="009C50D5"/>
    <w:rsid w:val="009C561B"/>
    <w:rsid w:val="009C5C1A"/>
    <w:rsid w:val="009C5E39"/>
    <w:rsid w:val="009C5E9A"/>
    <w:rsid w:val="009C6D4E"/>
    <w:rsid w:val="009C72C3"/>
    <w:rsid w:val="009D00D1"/>
    <w:rsid w:val="009E0204"/>
    <w:rsid w:val="009E0392"/>
    <w:rsid w:val="009E2547"/>
    <w:rsid w:val="009E2857"/>
    <w:rsid w:val="009E2DF6"/>
    <w:rsid w:val="009E527B"/>
    <w:rsid w:val="009E6943"/>
    <w:rsid w:val="009F7A52"/>
    <w:rsid w:val="00A02350"/>
    <w:rsid w:val="00A02443"/>
    <w:rsid w:val="00A02D7F"/>
    <w:rsid w:val="00A04F33"/>
    <w:rsid w:val="00A0562C"/>
    <w:rsid w:val="00A06E11"/>
    <w:rsid w:val="00A1199B"/>
    <w:rsid w:val="00A122D9"/>
    <w:rsid w:val="00A127DC"/>
    <w:rsid w:val="00A1430A"/>
    <w:rsid w:val="00A14F33"/>
    <w:rsid w:val="00A15183"/>
    <w:rsid w:val="00A15D34"/>
    <w:rsid w:val="00A30BC9"/>
    <w:rsid w:val="00A333AB"/>
    <w:rsid w:val="00A36718"/>
    <w:rsid w:val="00A373FA"/>
    <w:rsid w:val="00A45307"/>
    <w:rsid w:val="00A47B33"/>
    <w:rsid w:val="00A5038B"/>
    <w:rsid w:val="00A54C8B"/>
    <w:rsid w:val="00A569DC"/>
    <w:rsid w:val="00A627B4"/>
    <w:rsid w:val="00A6524C"/>
    <w:rsid w:val="00A65D4F"/>
    <w:rsid w:val="00A71753"/>
    <w:rsid w:val="00A71BE9"/>
    <w:rsid w:val="00A71C20"/>
    <w:rsid w:val="00A73516"/>
    <w:rsid w:val="00A7451D"/>
    <w:rsid w:val="00A747B2"/>
    <w:rsid w:val="00A77A85"/>
    <w:rsid w:val="00A824FB"/>
    <w:rsid w:val="00A83897"/>
    <w:rsid w:val="00A869EB"/>
    <w:rsid w:val="00A87F2A"/>
    <w:rsid w:val="00A910D5"/>
    <w:rsid w:val="00A92D72"/>
    <w:rsid w:val="00A937A8"/>
    <w:rsid w:val="00A93C40"/>
    <w:rsid w:val="00A964E8"/>
    <w:rsid w:val="00AA6BFF"/>
    <w:rsid w:val="00AA6E6E"/>
    <w:rsid w:val="00AB21A9"/>
    <w:rsid w:val="00AB3F85"/>
    <w:rsid w:val="00AC00B9"/>
    <w:rsid w:val="00AC0E0E"/>
    <w:rsid w:val="00AC30C0"/>
    <w:rsid w:val="00AC30D7"/>
    <w:rsid w:val="00AC47B8"/>
    <w:rsid w:val="00AC4919"/>
    <w:rsid w:val="00AC6CBD"/>
    <w:rsid w:val="00AD4B04"/>
    <w:rsid w:val="00AD5CE6"/>
    <w:rsid w:val="00AD658F"/>
    <w:rsid w:val="00AE46F1"/>
    <w:rsid w:val="00AF1CD4"/>
    <w:rsid w:val="00AF2068"/>
    <w:rsid w:val="00AF226C"/>
    <w:rsid w:val="00AF2F50"/>
    <w:rsid w:val="00AF4C6A"/>
    <w:rsid w:val="00B02E55"/>
    <w:rsid w:val="00B03BD4"/>
    <w:rsid w:val="00B066BB"/>
    <w:rsid w:val="00B07E5A"/>
    <w:rsid w:val="00B104C5"/>
    <w:rsid w:val="00B1380D"/>
    <w:rsid w:val="00B145A5"/>
    <w:rsid w:val="00B16FF4"/>
    <w:rsid w:val="00B21B34"/>
    <w:rsid w:val="00B23067"/>
    <w:rsid w:val="00B24718"/>
    <w:rsid w:val="00B27093"/>
    <w:rsid w:val="00B3027A"/>
    <w:rsid w:val="00B329E0"/>
    <w:rsid w:val="00B36E72"/>
    <w:rsid w:val="00B37FDE"/>
    <w:rsid w:val="00B46037"/>
    <w:rsid w:val="00B4620A"/>
    <w:rsid w:val="00B47303"/>
    <w:rsid w:val="00B479AB"/>
    <w:rsid w:val="00B47BF5"/>
    <w:rsid w:val="00B541D7"/>
    <w:rsid w:val="00B54CBB"/>
    <w:rsid w:val="00B57574"/>
    <w:rsid w:val="00B6166C"/>
    <w:rsid w:val="00B6177C"/>
    <w:rsid w:val="00B64140"/>
    <w:rsid w:val="00B73BDE"/>
    <w:rsid w:val="00B7430F"/>
    <w:rsid w:val="00B76758"/>
    <w:rsid w:val="00B76B24"/>
    <w:rsid w:val="00B77AC7"/>
    <w:rsid w:val="00B902ED"/>
    <w:rsid w:val="00B906CA"/>
    <w:rsid w:val="00B922E0"/>
    <w:rsid w:val="00B936E1"/>
    <w:rsid w:val="00B956E0"/>
    <w:rsid w:val="00B97763"/>
    <w:rsid w:val="00BA22E4"/>
    <w:rsid w:val="00BA2F34"/>
    <w:rsid w:val="00BA670A"/>
    <w:rsid w:val="00BA67E8"/>
    <w:rsid w:val="00BA72DB"/>
    <w:rsid w:val="00BB09C5"/>
    <w:rsid w:val="00BB4AF9"/>
    <w:rsid w:val="00BC1F6D"/>
    <w:rsid w:val="00BC420D"/>
    <w:rsid w:val="00BC49C2"/>
    <w:rsid w:val="00BC5B1C"/>
    <w:rsid w:val="00BD2CD7"/>
    <w:rsid w:val="00BD4599"/>
    <w:rsid w:val="00BD559C"/>
    <w:rsid w:val="00BD66BD"/>
    <w:rsid w:val="00BE1E5C"/>
    <w:rsid w:val="00BE514C"/>
    <w:rsid w:val="00BF203B"/>
    <w:rsid w:val="00BF2F08"/>
    <w:rsid w:val="00BF3A62"/>
    <w:rsid w:val="00BF7C44"/>
    <w:rsid w:val="00C022B9"/>
    <w:rsid w:val="00C03E8B"/>
    <w:rsid w:val="00C041DC"/>
    <w:rsid w:val="00C11D89"/>
    <w:rsid w:val="00C15683"/>
    <w:rsid w:val="00C15C04"/>
    <w:rsid w:val="00C16F91"/>
    <w:rsid w:val="00C1797C"/>
    <w:rsid w:val="00C20F52"/>
    <w:rsid w:val="00C21030"/>
    <w:rsid w:val="00C23E4F"/>
    <w:rsid w:val="00C26438"/>
    <w:rsid w:val="00C26618"/>
    <w:rsid w:val="00C33093"/>
    <w:rsid w:val="00C41B16"/>
    <w:rsid w:val="00C43858"/>
    <w:rsid w:val="00C44548"/>
    <w:rsid w:val="00C46BB7"/>
    <w:rsid w:val="00C512CF"/>
    <w:rsid w:val="00C53166"/>
    <w:rsid w:val="00C53972"/>
    <w:rsid w:val="00C609F1"/>
    <w:rsid w:val="00C63B80"/>
    <w:rsid w:val="00C64BC6"/>
    <w:rsid w:val="00C65DC5"/>
    <w:rsid w:val="00C66A97"/>
    <w:rsid w:val="00C70A19"/>
    <w:rsid w:val="00C70DA3"/>
    <w:rsid w:val="00C72E45"/>
    <w:rsid w:val="00C73C19"/>
    <w:rsid w:val="00C74314"/>
    <w:rsid w:val="00C743A4"/>
    <w:rsid w:val="00C77F36"/>
    <w:rsid w:val="00C838F0"/>
    <w:rsid w:val="00C8677B"/>
    <w:rsid w:val="00C878B7"/>
    <w:rsid w:val="00C937DC"/>
    <w:rsid w:val="00C9775A"/>
    <w:rsid w:val="00C9785E"/>
    <w:rsid w:val="00C97D96"/>
    <w:rsid w:val="00CA07F1"/>
    <w:rsid w:val="00CA1E81"/>
    <w:rsid w:val="00CA3800"/>
    <w:rsid w:val="00CA4754"/>
    <w:rsid w:val="00CA5E0C"/>
    <w:rsid w:val="00CB008D"/>
    <w:rsid w:val="00CB184C"/>
    <w:rsid w:val="00CB34FB"/>
    <w:rsid w:val="00CB3A64"/>
    <w:rsid w:val="00CB52B2"/>
    <w:rsid w:val="00CB5C46"/>
    <w:rsid w:val="00CB6EE3"/>
    <w:rsid w:val="00CB7486"/>
    <w:rsid w:val="00CC0382"/>
    <w:rsid w:val="00CC0A8C"/>
    <w:rsid w:val="00CC1DAF"/>
    <w:rsid w:val="00CC482D"/>
    <w:rsid w:val="00CC492A"/>
    <w:rsid w:val="00CC4F5D"/>
    <w:rsid w:val="00CC73BE"/>
    <w:rsid w:val="00CD55AA"/>
    <w:rsid w:val="00CD5A0F"/>
    <w:rsid w:val="00CE1A75"/>
    <w:rsid w:val="00CE69DD"/>
    <w:rsid w:val="00CE6FC1"/>
    <w:rsid w:val="00CE7076"/>
    <w:rsid w:val="00CF01CF"/>
    <w:rsid w:val="00CF116B"/>
    <w:rsid w:val="00CF1AA8"/>
    <w:rsid w:val="00CF3B57"/>
    <w:rsid w:val="00CF5291"/>
    <w:rsid w:val="00D02676"/>
    <w:rsid w:val="00D03740"/>
    <w:rsid w:val="00D0392E"/>
    <w:rsid w:val="00D063D5"/>
    <w:rsid w:val="00D13286"/>
    <w:rsid w:val="00D14432"/>
    <w:rsid w:val="00D17D0E"/>
    <w:rsid w:val="00D21EC0"/>
    <w:rsid w:val="00D237B8"/>
    <w:rsid w:val="00D2416D"/>
    <w:rsid w:val="00D24D9D"/>
    <w:rsid w:val="00D305ED"/>
    <w:rsid w:val="00D33DD2"/>
    <w:rsid w:val="00D42BBE"/>
    <w:rsid w:val="00D43012"/>
    <w:rsid w:val="00D43302"/>
    <w:rsid w:val="00D44813"/>
    <w:rsid w:val="00D45C87"/>
    <w:rsid w:val="00D469C1"/>
    <w:rsid w:val="00D469FA"/>
    <w:rsid w:val="00D47078"/>
    <w:rsid w:val="00D50C07"/>
    <w:rsid w:val="00D51B3C"/>
    <w:rsid w:val="00D55925"/>
    <w:rsid w:val="00D60538"/>
    <w:rsid w:val="00D612CB"/>
    <w:rsid w:val="00D7763D"/>
    <w:rsid w:val="00D81796"/>
    <w:rsid w:val="00D86F21"/>
    <w:rsid w:val="00D8733B"/>
    <w:rsid w:val="00D919CE"/>
    <w:rsid w:val="00D92988"/>
    <w:rsid w:val="00D94288"/>
    <w:rsid w:val="00DA1E92"/>
    <w:rsid w:val="00DA2FA9"/>
    <w:rsid w:val="00DA4046"/>
    <w:rsid w:val="00DA5B53"/>
    <w:rsid w:val="00DA6B1C"/>
    <w:rsid w:val="00DB0211"/>
    <w:rsid w:val="00DB38B2"/>
    <w:rsid w:val="00DC08F3"/>
    <w:rsid w:val="00DC675C"/>
    <w:rsid w:val="00DD0D4C"/>
    <w:rsid w:val="00DD174B"/>
    <w:rsid w:val="00DD1B98"/>
    <w:rsid w:val="00DD4263"/>
    <w:rsid w:val="00DD4D64"/>
    <w:rsid w:val="00DD62F2"/>
    <w:rsid w:val="00DE3219"/>
    <w:rsid w:val="00DF14B8"/>
    <w:rsid w:val="00DF6880"/>
    <w:rsid w:val="00DF7353"/>
    <w:rsid w:val="00E01661"/>
    <w:rsid w:val="00E01BFF"/>
    <w:rsid w:val="00E01D33"/>
    <w:rsid w:val="00E03637"/>
    <w:rsid w:val="00E06CBE"/>
    <w:rsid w:val="00E148A3"/>
    <w:rsid w:val="00E15E78"/>
    <w:rsid w:val="00E17D1E"/>
    <w:rsid w:val="00E20140"/>
    <w:rsid w:val="00E239E2"/>
    <w:rsid w:val="00E27A88"/>
    <w:rsid w:val="00E3275A"/>
    <w:rsid w:val="00E3287E"/>
    <w:rsid w:val="00E33B00"/>
    <w:rsid w:val="00E33FCD"/>
    <w:rsid w:val="00E346B1"/>
    <w:rsid w:val="00E34E23"/>
    <w:rsid w:val="00E3754E"/>
    <w:rsid w:val="00E40D60"/>
    <w:rsid w:val="00E40DA4"/>
    <w:rsid w:val="00E44BA7"/>
    <w:rsid w:val="00E45DCF"/>
    <w:rsid w:val="00E46928"/>
    <w:rsid w:val="00E47055"/>
    <w:rsid w:val="00E52BD7"/>
    <w:rsid w:val="00E534CC"/>
    <w:rsid w:val="00E60F5F"/>
    <w:rsid w:val="00E65024"/>
    <w:rsid w:val="00E72444"/>
    <w:rsid w:val="00E75A69"/>
    <w:rsid w:val="00E76714"/>
    <w:rsid w:val="00E83095"/>
    <w:rsid w:val="00E83D06"/>
    <w:rsid w:val="00E84117"/>
    <w:rsid w:val="00E84D06"/>
    <w:rsid w:val="00E866AD"/>
    <w:rsid w:val="00E900DD"/>
    <w:rsid w:val="00E90985"/>
    <w:rsid w:val="00E92CDA"/>
    <w:rsid w:val="00E94F05"/>
    <w:rsid w:val="00E96250"/>
    <w:rsid w:val="00EA1E05"/>
    <w:rsid w:val="00EA2DB4"/>
    <w:rsid w:val="00EB01DA"/>
    <w:rsid w:val="00EB1570"/>
    <w:rsid w:val="00EB4BC6"/>
    <w:rsid w:val="00EC2282"/>
    <w:rsid w:val="00EC2418"/>
    <w:rsid w:val="00EC374A"/>
    <w:rsid w:val="00EC3CCF"/>
    <w:rsid w:val="00EC61D0"/>
    <w:rsid w:val="00ED113C"/>
    <w:rsid w:val="00ED1BBF"/>
    <w:rsid w:val="00ED3AD1"/>
    <w:rsid w:val="00ED3FC2"/>
    <w:rsid w:val="00EE008A"/>
    <w:rsid w:val="00EE1B93"/>
    <w:rsid w:val="00EE3D8C"/>
    <w:rsid w:val="00EF0833"/>
    <w:rsid w:val="00EF0C61"/>
    <w:rsid w:val="00EF3591"/>
    <w:rsid w:val="00EF5477"/>
    <w:rsid w:val="00F01DEA"/>
    <w:rsid w:val="00F03831"/>
    <w:rsid w:val="00F0431B"/>
    <w:rsid w:val="00F1178A"/>
    <w:rsid w:val="00F13642"/>
    <w:rsid w:val="00F15FDE"/>
    <w:rsid w:val="00F2092A"/>
    <w:rsid w:val="00F2311B"/>
    <w:rsid w:val="00F23B64"/>
    <w:rsid w:val="00F269E6"/>
    <w:rsid w:val="00F26DD0"/>
    <w:rsid w:val="00F27B1F"/>
    <w:rsid w:val="00F3148D"/>
    <w:rsid w:val="00F33895"/>
    <w:rsid w:val="00F36B1E"/>
    <w:rsid w:val="00F40705"/>
    <w:rsid w:val="00F40C93"/>
    <w:rsid w:val="00F41D9E"/>
    <w:rsid w:val="00F421D0"/>
    <w:rsid w:val="00F450D2"/>
    <w:rsid w:val="00F50024"/>
    <w:rsid w:val="00F509FA"/>
    <w:rsid w:val="00F5431D"/>
    <w:rsid w:val="00F54518"/>
    <w:rsid w:val="00F62C7C"/>
    <w:rsid w:val="00F65DAB"/>
    <w:rsid w:val="00F661A9"/>
    <w:rsid w:val="00F717FD"/>
    <w:rsid w:val="00F71A79"/>
    <w:rsid w:val="00F76587"/>
    <w:rsid w:val="00F771A0"/>
    <w:rsid w:val="00F83038"/>
    <w:rsid w:val="00F874B0"/>
    <w:rsid w:val="00F95C8B"/>
    <w:rsid w:val="00F961D1"/>
    <w:rsid w:val="00F97D85"/>
    <w:rsid w:val="00FA0CEA"/>
    <w:rsid w:val="00FA2ADB"/>
    <w:rsid w:val="00FA3AF8"/>
    <w:rsid w:val="00FA5D9B"/>
    <w:rsid w:val="00FB24AD"/>
    <w:rsid w:val="00FB3249"/>
    <w:rsid w:val="00FB3638"/>
    <w:rsid w:val="00FB47F2"/>
    <w:rsid w:val="00FB4A8F"/>
    <w:rsid w:val="00FB54D2"/>
    <w:rsid w:val="00FC2A77"/>
    <w:rsid w:val="00FC39AB"/>
    <w:rsid w:val="00FC6140"/>
    <w:rsid w:val="00FD2F9E"/>
    <w:rsid w:val="00FD370F"/>
    <w:rsid w:val="00FD3F8A"/>
    <w:rsid w:val="00FD7609"/>
    <w:rsid w:val="00FD7DF3"/>
    <w:rsid w:val="00FE3B5E"/>
    <w:rsid w:val="00FE47F2"/>
    <w:rsid w:val="00FE7C56"/>
    <w:rsid w:val="00FF00DB"/>
    <w:rsid w:val="00FF142F"/>
    <w:rsid w:val="00FF200F"/>
    <w:rsid w:val="00FF65AF"/>
    <w:rsid w:val="00FF75D6"/>
    <w:rsid w:val="015920E6"/>
    <w:rsid w:val="01611D08"/>
    <w:rsid w:val="0173141C"/>
    <w:rsid w:val="01825879"/>
    <w:rsid w:val="01A32CB5"/>
    <w:rsid w:val="01A73D87"/>
    <w:rsid w:val="01A9721C"/>
    <w:rsid w:val="01B84666"/>
    <w:rsid w:val="01DD3042"/>
    <w:rsid w:val="01E1590B"/>
    <w:rsid w:val="02340B36"/>
    <w:rsid w:val="02742605"/>
    <w:rsid w:val="0275218D"/>
    <w:rsid w:val="027A149C"/>
    <w:rsid w:val="02AA4224"/>
    <w:rsid w:val="02E3110C"/>
    <w:rsid w:val="02E70357"/>
    <w:rsid w:val="02FB3938"/>
    <w:rsid w:val="033E696D"/>
    <w:rsid w:val="03471C1E"/>
    <w:rsid w:val="038E2101"/>
    <w:rsid w:val="03E219EE"/>
    <w:rsid w:val="040F44C6"/>
    <w:rsid w:val="0418019F"/>
    <w:rsid w:val="04822FF9"/>
    <w:rsid w:val="048576E1"/>
    <w:rsid w:val="04942F7C"/>
    <w:rsid w:val="04A46A36"/>
    <w:rsid w:val="04C27CE5"/>
    <w:rsid w:val="04D37589"/>
    <w:rsid w:val="05394AAC"/>
    <w:rsid w:val="0577446C"/>
    <w:rsid w:val="05871AEA"/>
    <w:rsid w:val="05A63CFA"/>
    <w:rsid w:val="05ED7736"/>
    <w:rsid w:val="0613433A"/>
    <w:rsid w:val="066566A7"/>
    <w:rsid w:val="068D6E29"/>
    <w:rsid w:val="06C929F2"/>
    <w:rsid w:val="06CF0753"/>
    <w:rsid w:val="06F25662"/>
    <w:rsid w:val="06FC2AA6"/>
    <w:rsid w:val="07320671"/>
    <w:rsid w:val="07C15A04"/>
    <w:rsid w:val="07C84A57"/>
    <w:rsid w:val="07DF6A52"/>
    <w:rsid w:val="07F21F92"/>
    <w:rsid w:val="08016A14"/>
    <w:rsid w:val="080A2694"/>
    <w:rsid w:val="080D64B7"/>
    <w:rsid w:val="08413B8A"/>
    <w:rsid w:val="08547BF7"/>
    <w:rsid w:val="08651387"/>
    <w:rsid w:val="086A7463"/>
    <w:rsid w:val="08CF1E16"/>
    <w:rsid w:val="08D252A4"/>
    <w:rsid w:val="09094614"/>
    <w:rsid w:val="094E6ACB"/>
    <w:rsid w:val="09551226"/>
    <w:rsid w:val="099869CD"/>
    <w:rsid w:val="09AD3F1D"/>
    <w:rsid w:val="09B74F28"/>
    <w:rsid w:val="09BC4A90"/>
    <w:rsid w:val="09C73836"/>
    <w:rsid w:val="0A3D0D5A"/>
    <w:rsid w:val="0A8F212D"/>
    <w:rsid w:val="0AB01254"/>
    <w:rsid w:val="0AC165A9"/>
    <w:rsid w:val="0AFA3909"/>
    <w:rsid w:val="0B3E6584"/>
    <w:rsid w:val="0B430333"/>
    <w:rsid w:val="0B546181"/>
    <w:rsid w:val="0B5C44E3"/>
    <w:rsid w:val="0B756B9C"/>
    <w:rsid w:val="0BA20CD1"/>
    <w:rsid w:val="0BE44DC9"/>
    <w:rsid w:val="0BFC732F"/>
    <w:rsid w:val="0C2313C8"/>
    <w:rsid w:val="0C6C0293"/>
    <w:rsid w:val="0C714F14"/>
    <w:rsid w:val="0C8A418B"/>
    <w:rsid w:val="0C8F023A"/>
    <w:rsid w:val="0CBB102F"/>
    <w:rsid w:val="0CDB30F1"/>
    <w:rsid w:val="0CF12082"/>
    <w:rsid w:val="0D643474"/>
    <w:rsid w:val="0D696822"/>
    <w:rsid w:val="0DD03919"/>
    <w:rsid w:val="0DE163E5"/>
    <w:rsid w:val="0DE36FF1"/>
    <w:rsid w:val="0DF44C4A"/>
    <w:rsid w:val="0E0D24FD"/>
    <w:rsid w:val="0E11118B"/>
    <w:rsid w:val="0E3905FF"/>
    <w:rsid w:val="0EB11AE3"/>
    <w:rsid w:val="0EE553EB"/>
    <w:rsid w:val="0F397164"/>
    <w:rsid w:val="0F3B37B8"/>
    <w:rsid w:val="0F421593"/>
    <w:rsid w:val="0F447E87"/>
    <w:rsid w:val="0F4B48EC"/>
    <w:rsid w:val="0F4B669A"/>
    <w:rsid w:val="0F5D5F23"/>
    <w:rsid w:val="0F8E6586"/>
    <w:rsid w:val="0F911DF1"/>
    <w:rsid w:val="0FCD5FB9"/>
    <w:rsid w:val="0FDA0EA5"/>
    <w:rsid w:val="10023B88"/>
    <w:rsid w:val="10044FC4"/>
    <w:rsid w:val="102F44BA"/>
    <w:rsid w:val="105C16A5"/>
    <w:rsid w:val="10675D2D"/>
    <w:rsid w:val="10733F2A"/>
    <w:rsid w:val="107863ED"/>
    <w:rsid w:val="10931D92"/>
    <w:rsid w:val="109B0A1A"/>
    <w:rsid w:val="10F2164B"/>
    <w:rsid w:val="11026703"/>
    <w:rsid w:val="11455A88"/>
    <w:rsid w:val="116E1ADD"/>
    <w:rsid w:val="117F0B57"/>
    <w:rsid w:val="1186426C"/>
    <w:rsid w:val="119F3307"/>
    <w:rsid w:val="12151986"/>
    <w:rsid w:val="121A6877"/>
    <w:rsid w:val="12245B7F"/>
    <w:rsid w:val="12D26BBE"/>
    <w:rsid w:val="12D544CC"/>
    <w:rsid w:val="12F55664"/>
    <w:rsid w:val="12F733B4"/>
    <w:rsid w:val="133178B9"/>
    <w:rsid w:val="135E7CE0"/>
    <w:rsid w:val="13B735D4"/>
    <w:rsid w:val="13DB7E84"/>
    <w:rsid w:val="1416608E"/>
    <w:rsid w:val="145818E3"/>
    <w:rsid w:val="14903F3F"/>
    <w:rsid w:val="14B577AF"/>
    <w:rsid w:val="14BB24BD"/>
    <w:rsid w:val="14CE5342"/>
    <w:rsid w:val="14D95EC6"/>
    <w:rsid w:val="14F607B7"/>
    <w:rsid w:val="14FA7AE6"/>
    <w:rsid w:val="152754B3"/>
    <w:rsid w:val="15630C6B"/>
    <w:rsid w:val="156A53A0"/>
    <w:rsid w:val="15F80154"/>
    <w:rsid w:val="1600153F"/>
    <w:rsid w:val="16223EF5"/>
    <w:rsid w:val="162C494E"/>
    <w:rsid w:val="1672254E"/>
    <w:rsid w:val="16805D7F"/>
    <w:rsid w:val="16933481"/>
    <w:rsid w:val="16D06A17"/>
    <w:rsid w:val="17175957"/>
    <w:rsid w:val="171C4DC0"/>
    <w:rsid w:val="17383306"/>
    <w:rsid w:val="176340ED"/>
    <w:rsid w:val="17726F7A"/>
    <w:rsid w:val="17A57D87"/>
    <w:rsid w:val="180C01B6"/>
    <w:rsid w:val="181563CA"/>
    <w:rsid w:val="185D62AD"/>
    <w:rsid w:val="18A075FE"/>
    <w:rsid w:val="18B9593C"/>
    <w:rsid w:val="1906620F"/>
    <w:rsid w:val="19080C81"/>
    <w:rsid w:val="192F5582"/>
    <w:rsid w:val="193E608B"/>
    <w:rsid w:val="19526D01"/>
    <w:rsid w:val="19E93E9E"/>
    <w:rsid w:val="19F618F8"/>
    <w:rsid w:val="1A1800E4"/>
    <w:rsid w:val="1A35028C"/>
    <w:rsid w:val="1A3A297A"/>
    <w:rsid w:val="1A484FF9"/>
    <w:rsid w:val="1A5359A4"/>
    <w:rsid w:val="1A9D0F2A"/>
    <w:rsid w:val="1AA255DC"/>
    <w:rsid w:val="1AB16733"/>
    <w:rsid w:val="1AB46FAD"/>
    <w:rsid w:val="1ADA264D"/>
    <w:rsid w:val="1ADB636E"/>
    <w:rsid w:val="1B0908BC"/>
    <w:rsid w:val="1B117DC7"/>
    <w:rsid w:val="1B136DFE"/>
    <w:rsid w:val="1B376A4D"/>
    <w:rsid w:val="1B577FCF"/>
    <w:rsid w:val="1B6A0C73"/>
    <w:rsid w:val="1B7233E6"/>
    <w:rsid w:val="1B8067FE"/>
    <w:rsid w:val="1BAA0BEC"/>
    <w:rsid w:val="1BF21E51"/>
    <w:rsid w:val="1C0F799E"/>
    <w:rsid w:val="1C106D1C"/>
    <w:rsid w:val="1C2F794E"/>
    <w:rsid w:val="1C44431C"/>
    <w:rsid w:val="1C805B16"/>
    <w:rsid w:val="1CA44AB0"/>
    <w:rsid w:val="1CD97ADD"/>
    <w:rsid w:val="1CE04199"/>
    <w:rsid w:val="1CF7454D"/>
    <w:rsid w:val="1D496AD9"/>
    <w:rsid w:val="1D552DD9"/>
    <w:rsid w:val="1D9F2509"/>
    <w:rsid w:val="1DB573D4"/>
    <w:rsid w:val="1DE2689E"/>
    <w:rsid w:val="1E146174"/>
    <w:rsid w:val="1E4F563A"/>
    <w:rsid w:val="1EA272B7"/>
    <w:rsid w:val="1ED77EE3"/>
    <w:rsid w:val="1EFA59E6"/>
    <w:rsid w:val="1F3D3B25"/>
    <w:rsid w:val="1F457B15"/>
    <w:rsid w:val="1F795976"/>
    <w:rsid w:val="1F7B7654"/>
    <w:rsid w:val="1F8B4449"/>
    <w:rsid w:val="1FBF75C7"/>
    <w:rsid w:val="1FF9153B"/>
    <w:rsid w:val="201C1179"/>
    <w:rsid w:val="20557218"/>
    <w:rsid w:val="2083271B"/>
    <w:rsid w:val="20A60CCB"/>
    <w:rsid w:val="20A96C60"/>
    <w:rsid w:val="20CC7A26"/>
    <w:rsid w:val="20D0588A"/>
    <w:rsid w:val="20D8185A"/>
    <w:rsid w:val="21171034"/>
    <w:rsid w:val="21264D64"/>
    <w:rsid w:val="214544DA"/>
    <w:rsid w:val="216257F0"/>
    <w:rsid w:val="218C400A"/>
    <w:rsid w:val="21A458A4"/>
    <w:rsid w:val="2216474F"/>
    <w:rsid w:val="22266FD1"/>
    <w:rsid w:val="223C2976"/>
    <w:rsid w:val="2268177D"/>
    <w:rsid w:val="22800999"/>
    <w:rsid w:val="22963B02"/>
    <w:rsid w:val="22A279BF"/>
    <w:rsid w:val="22D6114B"/>
    <w:rsid w:val="22D831A9"/>
    <w:rsid w:val="231F2568"/>
    <w:rsid w:val="232903AC"/>
    <w:rsid w:val="23DF494C"/>
    <w:rsid w:val="23F04359"/>
    <w:rsid w:val="23F46316"/>
    <w:rsid w:val="24170DE9"/>
    <w:rsid w:val="242A54E4"/>
    <w:rsid w:val="242F386F"/>
    <w:rsid w:val="244E60DE"/>
    <w:rsid w:val="2491511F"/>
    <w:rsid w:val="24A96F98"/>
    <w:rsid w:val="24AA3D99"/>
    <w:rsid w:val="24D46CDA"/>
    <w:rsid w:val="250F1AC0"/>
    <w:rsid w:val="251F4893"/>
    <w:rsid w:val="2523752A"/>
    <w:rsid w:val="253347D8"/>
    <w:rsid w:val="253634F0"/>
    <w:rsid w:val="25536D5B"/>
    <w:rsid w:val="256750AC"/>
    <w:rsid w:val="258A2697"/>
    <w:rsid w:val="25A07392"/>
    <w:rsid w:val="25A41359"/>
    <w:rsid w:val="25C61268"/>
    <w:rsid w:val="2643359D"/>
    <w:rsid w:val="2657069D"/>
    <w:rsid w:val="265F514C"/>
    <w:rsid w:val="26D0570B"/>
    <w:rsid w:val="26F8740E"/>
    <w:rsid w:val="27210D94"/>
    <w:rsid w:val="27324EE5"/>
    <w:rsid w:val="274B1F69"/>
    <w:rsid w:val="2779092B"/>
    <w:rsid w:val="279839C7"/>
    <w:rsid w:val="279F004F"/>
    <w:rsid w:val="27C906B5"/>
    <w:rsid w:val="27E86F85"/>
    <w:rsid w:val="27EC7E96"/>
    <w:rsid w:val="27F16513"/>
    <w:rsid w:val="27F43F50"/>
    <w:rsid w:val="283B415B"/>
    <w:rsid w:val="2848356F"/>
    <w:rsid w:val="284E5770"/>
    <w:rsid w:val="28500E2B"/>
    <w:rsid w:val="286E0F2E"/>
    <w:rsid w:val="28787D0E"/>
    <w:rsid w:val="288F385B"/>
    <w:rsid w:val="288F6E7B"/>
    <w:rsid w:val="28B179AF"/>
    <w:rsid w:val="292E4CE2"/>
    <w:rsid w:val="294D77B2"/>
    <w:rsid w:val="297A2178"/>
    <w:rsid w:val="29A24CB1"/>
    <w:rsid w:val="29F84AD3"/>
    <w:rsid w:val="29FA5D05"/>
    <w:rsid w:val="2A1357D7"/>
    <w:rsid w:val="2A172188"/>
    <w:rsid w:val="2A181423"/>
    <w:rsid w:val="2A383867"/>
    <w:rsid w:val="2A394EC7"/>
    <w:rsid w:val="2A652511"/>
    <w:rsid w:val="2A960114"/>
    <w:rsid w:val="2AA42CAA"/>
    <w:rsid w:val="2AC33EDF"/>
    <w:rsid w:val="2ADB39F8"/>
    <w:rsid w:val="2B353B2B"/>
    <w:rsid w:val="2B423886"/>
    <w:rsid w:val="2B577935"/>
    <w:rsid w:val="2B7F744F"/>
    <w:rsid w:val="2B844FB6"/>
    <w:rsid w:val="2B8C1CD0"/>
    <w:rsid w:val="2B8E7BE2"/>
    <w:rsid w:val="2BAB35CB"/>
    <w:rsid w:val="2BB26D80"/>
    <w:rsid w:val="2BE33868"/>
    <w:rsid w:val="2BEB0715"/>
    <w:rsid w:val="2C01352A"/>
    <w:rsid w:val="2C836836"/>
    <w:rsid w:val="2CE6422E"/>
    <w:rsid w:val="2D2500D2"/>
    <w:rsid w:val="2D3129E8"/>
    <w:rsid w:val="2D736DAD"/>
    <w:rsid w:val="2D933DAA"/>
    <w:rsid w:val="2DAB7D54"/>
    <w:rsid w:val="2DB53F37"/>
    <w:rsid w:val="2DD54163"/>
    <w:rsid w:val="2DDD76C0"/>
    <w:rsid w:val="2DF455BF"/>
    <w:rsid w:val="2EF96966"/>
    <w:rsid w:val="2F8B61E7"/>
    <w:rsid w:val="2F9A04D8"/>
    <w:rsid w:val="2FE03EC3"/>
    <w:rsid w:val="30092845"/>
    <w:rsid w:val="301A6814"/>
    <w:rsid w:val="303665F6"/>
    <w:rsid w:val="305B3E0B"/>
    <w:rsid w:val="30661C84"/>
    <w:rsid w:val="3087545A"/>
    <w:rsid w:val="30880A63"/>
    <w:rsid w:val="30963C93"/>
    <w:rsid w:val="30C646AA"/>
    <w:rsid w:val="30E84101"/>
    <w:rsid w:val="30E953E9"/>
    <w:rsid w:val="30F46739"/>
    <w:rsid w:val="30FC0F7E"/>
    <w:rsid w:val="31066AFC"/>
    <w:rsid w:val="31301EB6"/>
    <w:rsid w:val="313F0430"/>
    <w:rsid w:val="31545480"/>
    <w:rsid w:val="316E153C"/>
    <w:rsid w:val="31815AF3"/>
    <w:rsid w:val="31A661E9"/>
    <w:rsid w:val="32132BEF"/>
    <w:rsid w:val="32332B67"/>
    <w:rsid w:val="324C5100"/>
    <w:rsid w:val="32564177"/>
    <w:rsid w:val="325E68C3"/>
    <w:rsid w:val="3281008A"/>
    <w:rsid w:val="328B19A1"/>
    <w:rsid w:val="32BC7387"/>
    <w:rsid w:val="32C719E6"/>
    <w:rsid w:val="32DB5B99"/>
    <w:rsid w:val="33150BE9"/>
    <w:rsid w:val="3324383F"/>
    <w:rsid w:val="336929CE"/>
    <w:rsid w:val="338B0EE5"/>
    <w:rsid w:val="34256C0A"/>
    <w:rsid w:val="34351158"/>
    <w:rsid w:val="34367069"/>
    <w:rsid w:val="34521F12"/>
    <w:rsid w:val="34572B3B"/>
    <w:rsid w:val="34586FDF"/>
    <w:rsid w:val="34BC5AA2"/>
    <w:rsid w:val="34D01D12"/>
    <w:rsid w:val="34D61BCB"/>
    <w:rsid w:val="34FC46A9"/>
    <w:rsid w:val="350727D8"/>
    <w:rsid w:val="3521003B"/>
    <w:rsid w:val="35264036"/>
    <w:rsid w:val="353414F4"/>
    <w:rsid w:val="35476703"/>
    <w:rsid w:val="35A8339B"/>
    <w:rsid w:val="35B279D7"/>
    <w:rsid w:val="35B32DBE"/>
    <w:rsid w:val="35C757CF"/>
    <w:rsid w:val="35F75441"/>
    <w:rsid w:val="35FA2992"/>
    <w:rsid w:val="360847DF"/>
    <w:rsid w:val="3609551D"/>
    <w:rsid w:val="363B7E93"/>
    <w:rsid w:val="367B7AD8"/>
    <w:rsid w:val="36A80778"/>
    <w:rsid w:val="36B1113A"/>
    <w:rsid w:val="36E83F1F"/>
    <w:rsid w:val="370603D9"/>
    <w:rsid w:val="370611C3"/>
    <w:rsid w:val="371A057C"/>
    <w:rsid w:val="3721097A"/>
    <w:rsid w:val="372A1CAD"/>
    <w:rsid w:val="37427AD3"/>
    <w:rsid w:val="377C3699"/>
    <w:rsid w:val="37976071"/>
    <w:rsid w:val="37B073FC"/>
    <w:rsid w:val="37ED7A3F"/>
    <w:rsid w:val="380C5B74"/>
    <w:rsid w:val="3814534F"/>
    <w:rsid w:val="3852506B"/>
    <w:rsid w:val="38536AC6"/>
    <w:rsid w:val="387B600A"/>
    <w:rsid w:val="38B40BAC"/>
    <w:rsid w:val="38C46044"/>
    <w:rsid w:val="38DD121D"/>
    <w:rsid w:val="38E057F5"/>
    <w:rsid w:val="38E60DDB"/>
    <w:rsid w:val="38ED6BD3"/>
    <w:rsid w:val="38EE64E2"/>
    <w:rsid w:val="39493F75"/>
    <w:rsid w:val="39974106"/>
    <w:rsid w:val="399927BE"/>
    <w:rsid w:val="39A43FF6"/>
    <w:rsid w:val="39A809C7"/>
    <w:rsid w:val="39B56DEF"/>
    <w:rsid w:val="39C830EE"/>
    <w:rsid w:val="39CB1BC4"/>
    <w:rsid w:val="39E845E7"/>
    <w:rsid w:val="3A10448D"/>
    <w:rsid w:val="3A192DF0"/>
    <w:rsid w:val="3A323902"/>
    <w:rsid w:val="3A4063E0"/>
    <w:rsid w:val="3A456846"/>
    <w:rsid w:val="3A4965C5"/>
    <w:rsid w:val="3A5E693A"/>
    <w:rsid w:val="3A7166BD"/>
    <w:rsid w:val="3A73024C"/>
    <w:rsid w:val="3A7A541A"/>
    <w:rsid w:val="3A80225F"/>
    <w:rsid w:val="3A821CFB"/>
    <w:rsid w:val="3A933FEA"/>
    <w:rsid w:val="3A9B113B"/>
    <w:rsid w:val="3ACF4D74"/>
    <w:rsid w:val="3B0F0973"/>
    <w:rsid w:val="3B19211E"/>
    <w:rsid w:val="3B247060"/>
    <w:rsid w:val="3B326F4F"/>
    <w:rsid w:val="3B3B7B62"/>
    <w:rsid w:val="3B7F0D79"/>
    <w:rsid w:val="3BB8271A"/>
    <w:rsid w:val="3BDC0DF6"/>
    <w:rsid w:val="3C03153C"/>
    <w:rsid w:val="3C2A00B5"/>
    <w:rsid w:val="3C2E1FF8"/>
    <w:rsid w:val="3C3E2F5F"/>
    <w:rsid w:val="3C7544A7"/>
    <w:rsid w:val="3C891C87"/>
    <w:rsid w:val="3CA302E4"/>
    <w:rsid w:val="3CB609C6"/>
    <w:rsid w:val="3CD0249D"/>
    <w:rsid w:val="3D0C4116"/>
    <w:rsid w:val="3D253D2C"/>
    <w:rsid w:val="3D4826A6"/>
    <w:rsid w:val="3D91286A"/>
    <w:rsid w:val="3D9F71C7"/>
    <w:rsid w:val="3DBD3F86"/>
    <w:rsid w:val="3DD3486E"/>
    <w:rsid w:val="3DD57D5C"/>
    <w:rsid w:val="3DDB5685"/>
    <w:rsid w:val="3DE17E36"/>
    <w:rsid w:val="3DE50E59"/>
    <w:rsid w:val="3DFA4C63"/>
    <w:rsid w:val="3E0F61E1"/>
    <w:rsid w:val="3E170518"/>
    <w:rsid w:val="3E1E1586"/>
    <w:rsid w:val="3E5C7CA4"/>
    <w:rsid w:val="3E8E099B"/>
    <w:rsid w:val="3EC23B02"/>
    <w:rsid w:val="3F176A5E"/>
    <w:rsid w:val="3F2A5585"/>
    <w:rsid w:val="3F561FEA"/>
    <w:rsid w:val="3F7E0BF9"/>
    <w:rsid w:val="3F8438EC"/>
    <w:rsid w:val="3FC45529"/>
    <w:rsid w:val="3FCB0B78"/>
    <w:rsid w:val="3FDA6A2B"/>
    <w:rsid w:val="40135F5A"/>
    <w:rsid w:val="40247DAB"/>
    <w:rsid w:val="40873BF2"/>
    <w:rsid w:val="409E03DB"/>
    <w:rsid w:val="40A14E3F"/>
    <w:rsid w:val="40A3492D"/>
    <w:rsid w:val="40A92971"/>
    <w:rsid w:val="40AB40F8"/>
    <w:rsid w:val="40C664F6"/>
    <w:rsid w:val="40EC0381"/>
    <w:rsid w:val="40F00603"/>
    <w:rsid w:val="40F938F8"/>
    <w:rsid w:val="41070391"/>
    <w:rsid w:val="414E64B5"/>
    <w:rsid w:val="41544578"/>
    <w:rsid w:val="415D3FFD"/>
    <w:rsid w:val="41712E0B"/>
    <w:rsid w:val="41741F1B"/>
    <w:rsid w:val="4191623F"/>
    <w:rsid w:val="41B56275"/>
    <w:rsid w:val="41D4434B"/>
    <w:rsid w:val="41EC2144"/>
    <w:rsid w:val="4211360F"/>
    <w:rsid w:val="428D79AE"/>
    <w:rsid w:val="42AD6EE1"/>
    <w:rsid w:val="42DB3FE5"/>
    <w:rsid w:val="43211E1C"/>
    <w:rsid w:val="43363E2D"/>
    <w:rsid w:val="43491F7F"/>
    <w:rsid w:val="438A2629"/>
    <w:rsid w:val="43A71023"/>
    <w:rsid w:val="43CC2A86"/>
    <w:rsid w:val="43DB1D05"/>
    <w:rsid w:val="43F347D7"/>
    <w:rsid w:val="44267B0A"/>
    <w:rsid w:val="443323D4"/>
    <w:rsid w:val="443A225E"/>
    <w:rsid w:val="44437CFC"/>
    <w:rsid w:val="445E0465"/>
    <w:rsid w:val="4475773A"/>
    <w:rsid w:val="4481029E"/>
    <w:rsid w:val="44A44E84"/>
    <w:rsid w:val="44E14641"/>
    <w:rsid w:val="44EB71FD"/>
    <w:rsid w:val="44EC63D1"/>
    <w:rsid w:val="456015CE"/>
    <w:rsid w:val="456078F8"/>
    <w:rsid w:val="459B4B14"/>
    <w:rsid w:val="45B04682"/>
    <w:rsid w:val="45CA4637"/>
    <w:rsid w:val="45ED34DC"/>
    <w:rsid w:val="46056D65"/>
    <w:rsid w:val="4608335F"/>
    <w:rsid w:val="461026A2"/>
    <w:rsid w:val="4621493F"/>
    <w:rsid w:val="4640231D"/>
    <w:rsid w:val="467F02B7"/>
    <w:rsid w:val="46815710"/>
    <w:rsid w:val="469B2D5C"/>
    <w:rsid w:val="46DA03EF"/>
    <w:rsid w:val="47095C3B"/>
    <w:rsid w:val="47155509"/>
    <w:rsid w:val="473F5675"/>
    <w:rsid w:val="4789430D"/>
    <w:rsid w:val="47BD60DB"/>
    <w:rsid w:val="481F2C01"/>
    <w:rsid w:val="48233009"/>
    <w:rsid w:val="4841210D"/>
    <w:rsid w:val="484A0A49"/>
    <w:rsid w:val="484A67E7"/>
    <w:rsid w:val="486C1A8C"/>
    <w:rsid w:val="48962542"/>
    <w:rsid w:val="48C14BD4"/>
    <w:rsid w:val="48D97E77"/>
    <w:rsid w:val="48DB38E3"/>
    <w:rsid w:val="48F12A72"/>
    <w:rsid w:val="49342FB4"/>
    <w:rsid w:val="495919C2"/>
    <w:rsid w:val="49A70172"/>
    <w:rsid w:val="49CC7DFC"/>
    <w:rsid w:val="49F45A3A"/>
    <w:rsid w:val="4A0B7270"/>
    <w:rsid w:val="4A19210A"/>
    <w:rsid w:val="4A604E4C"/>
    <w:rsid w:val="4A79791C"/>
    <w:rsid w:val="4A801C5C"/>
    <w:rsid w:val="4A8316BD"/>
    <w:rsid w:val="4ADD3943"/>
    <w:rsid w:val="4AF03B50"/>
    <w:rsid w:val="4B785BF4"/>
    <w:rsid w:val="4B860091"/>
    <w:rsid w:val="4B8B7843"/>
    <w:rsid w:val="4B9506C1"/>
    <w:rsid w:val="4B955098"/>
    <w:rsid w:val="4BAD6C18"/>
    <w:rsid w:val="4BD039EB"/>
    <w:rsid w:val="4BEA4098"/>
    <w:rsid w:val="4BFC6663"/>
    <w:rsid w:val="4C0F46EA"/>
    <w:rsid w:val="4C352FE2"/>
    <w:rsid w:val="4C59349D"/>
    <w:rsid w:val="4C622062"/>
    <w:rsid w:val="4C730C63"/>
    <w:rsid w:val="4C775653"/>
    <w:rsid w:val="4C811DF6"/>
    <w:rsid w:val="4C8B4B3C"/>
    <w:rsid w:val="4CA9764B"/>
    <w:rsid w:val="4CD56CBE"/>
    <w:rsid w:val="4CDE0C40"/>
    <w:rsid w:val="4D5818C9"/>
    <w:rsid w:val="4D5C2F53"/>
    <w:rsid w:val="4D93478D"/>
    <w:rsid w:val="4DA92202"/>
    <w:rsid w:val="4DBE3EFF"/>
    <w:rsid w:val="4E1B697C"/>
    <w:rsid w:val="4E2D2E33"/>
    <w:rsid w:val="4E516C38"/>
    <w:rsid w:val="4E6543E4"/>
    <w:rsid w:val="4E98738B"/>
    <w:rsid w:val="4EB946C7"/>
    <w:rsid w:val="4EC674BE"/>
    <w:rsid w:val="4ECF2AAF"/>
    <w:rsid w:val="4EF478FA"/>
    <w:rsid w:val="4F152E9B"/>
    <w:rsid w:val="4F2354DB"/>
    <w:rsid w:val="4F282E77"/>
    <w:rsid w:val="4F2851C3"/>
    <w:rsid w:val="4F40347D"/>
    <w:rsid w:val="4F92129E"/>
    <w:rsid w:val="4FA76C67"/>
    <w:rsid w:val="4FCF7562"/>
    <w:rsid w:val="50036379"/>
    <w:rsid w:val="50254A94"/>
    <w:rsid w:val="50371D47"/>
    <w:rsid w:val="505A57A1"/>
    <w:rsid w:val="505F4D69"/>
    <w:rsid w:val="506E3221"/>
    <w:rsid w:val="50B87F7E"/>
    <w:rsid w:val="511755F5"/>
    <w:rsid w:val="51183927"/>
    <w:rsid w:val="51475134"/>
    <w:rsid w:val="515E4F14"/>
    <w:rsid w:val="51E44509"/>
    <w:rsid w:val="51FB565D"/>
    <w:rsid w:val="523C3E33"/>
    <w:rsid w:val="524D13AE"/>
    <w:rsid w:val="52633E29"/>
    <w:rsid w:val="529272B9"/>
    <w:rsid w:val="529B340B"/>
    <w:rsid w:val="52A207A6"/>
    <w:rsid w:val="52C3292C"/>
    <w:rsid w:val="5339222D"/>
    <w:rsid w:val="535138C9"/>
    <w:rsid w:val="53581468"/>
    <w:rsid w:val="53AC0356"/>
    <w:rsid w:val="53B93A20"/>
    <w:rsid w:val="53DD3569"/>
    <w:rsid w:val="53E27FDB"/>
    <w:rsid w:val="54714BDF"/>
    <w:rsid w:val="54797CCC"/>
    <w:rsid w:val="547B3235"/>
    <w:rsid w:val="54AE080A"/>
    <w:rsid w:val="54BB7D42"/>
    <w:rsid w:val="54E233C8"/>
    <w:rsid w:val="55061CE8"/>
    <w:rsid w:val="551103BD"/>
    <w:rsid w:val="55D74992"/>
    <w:rsid w:val="55F03770"/>
    <w:rsid w:val="55FC5887"/>
    <w:rsid w:val="560A5E51"/>
    <w:rsid w:val="563D0D00"/>
    <w:rsid w:val="56714A0D"/>
    <w:rsid w:val="56741A7C"/>
    <w:rsid w:val="569862FC"/>
    <w:rsid w:val="57045D3E"/>
    <w:rsid w:val="57306D5D"/>
    <w:rsid w:val="57565179"/>
    <w:rsid w:val="578B2EEC"/>
    <w:rsid w:val="579F3D6A"/>
    <w:rsid w:val="57A91580"/>
    <w:rsid w:val="57B066D3"/>
    <w:rsid w:val="57B9103C"/>
    <w:rsid w:val="57E8089C"/>
    <w:rsid w:val="57F21036"/>
    <w:rsid w:val="5821600A"/>
    <w:rsid w:val="5835224D"/>
    <w:rsid w:val="583F7361"/>
    <w:rsid w:val="585E4CD2"/>
    <w:rsid w:val="58924389"/>
    <w:rsid w:val="58A56FE7"/>
    <w:rsid w:val="58B14DB8"/>
    <w:rsid w:val="58ED6CE9"/>
    <w:rsid w:val="58EE7DAA"/>
    <w:rsid w:val="58F27555"/>
    <w:rsid w:val="590B5B1F"/>
    <w:rsid w:val="590D47E1"/>
    <w:rsid w:val="594D7925"/>
    <w:rsid w:val="594E41F4"/>
    <w:rsid w:val="59694245"/>
    <w:rsid w:val="59E2127A"/>
    <w:rsid w:val="59F567E0"/>
    <w:rsid w:val="5A08585D"/>
    <w:rsid w:val="5A3E5414"/>
    <w:rsid w:val="5A4770AD"/>
    <w:rsid w:val="5A5B5BE3"/>
    <w:rsid w:val="5A832180"/>
    <w:rsid w:val="5AC42429"/>
    <w:rsid w:val="5AE51E0C"/>
    <w:rsid w:val="5AF42CBF"/>
    <w:rsid w:val="5B4C6547"/>
    <w:rsid w:val="5B5D0039"/>
    <w:rsid w:val="5B667984"/>
    <w:rsid w:val="5B6B6161"/>
    <w:rsid w:val="5B7164CB"/>
    <w:rsid w:val="5B937BE6"/>
    <w:rsid w:val="5BB40D34"/>
    <w:rsid w:val="5BE71255"/>
    <w:rsid w:val="5C480E38"/>
    <w:rsid w:val="5C510F06"/>
    <w:rsid w:val="5C5E2802"/>
    <w:rsid w:val="5CBB6B36"/>
    <w:rsid w:val="5CCB5787"/>
    <w:rsid w:val="5D0478E4"/>
    <w:rsid w:val="5D255095"/>
    <w:rsid w:val="5D320E83"/>
    <w:rsid w:val="5D3F5640"/>
    <w:rsid w:val="5D544B4E"/>
    <w:rsid w:val="5D725030"/>
    <w:rsid w:val="5DA1287F"/>
    <w:rsid w:val="5DC43975"/>
    <w:rsid w:val="5DD078AB"/>
    <w:rsid w:val="5DDE4E3B"/>
    <w:rsid w:val="5DF74058"/>
    <w:rsid w:val="5E0C0DC1"/>
    <w:rsid w:val="5E0D2339"/>
    <w:rsid w:val="5E1F2EC5"/>
    <w:rsid w:val="5E2F5841"/>
    <w:rsid w:val="5E4E4E2C"/>
    <w:rsid w:val="5E770480"/>
    <w:rsid w:val="5EAC0514"/>
    <w:rsid w:val="5EAE755D"/>
    <w:rsid w:val="5EC2340F"/>
    <w:rsid w:val="5EE25574"/>
    <w:rsid w:val="5F117840"/>
    <w:rsid w:val="5F2F0478"/>
    <w:rsid w:val="5F446FFB"/>
    <w:rsid w:val="5F59580D"/>
    <w:rsid w:val="5F595AF2"/>
    <w:rsid w:val="5F8C5394"/>
    <w:rsid w:val="5F8F4C25"/>
    <w:rsid w:val="5FA05ED8"/>
    <w:rsid w:val="5FFC4FB5"/>
    <w:rsid w:val="602B305C"/>
    <w:rsid w:val="60952FFE"/>
    <w:rsid w:val="610138B7"/>
    <w:rsid w:val="610D6150"/>
    <w:rsid w:val="61184394"/>
    <w:rsid w:val="6142341A"/>
    <w:rsid w:val="61645EBC"/>
    <w:rsid w:val="618F2E4D"/>
    <w:rsid w:val="619A5DDF"/>
    <w:rsid w:val="61AC3F25"/>
    <w:rsid w:val="61C6573B"/>
    <w:rsid w:val="61EA03F8"/>
    <w:rsid w:val="621D2D40"/>
    <w:rsid w:val="62726C79"/>
    <w:rsid w:val="62854B94"/>
    <w:rsid w:val="62985920"/>
    <w:rsid w:val="629B6C99"/>
    <w:rsid w:val="62E7653E"/>
    <w:rsid w:val="634C40FB"/>
    <w:rsid w:val="634E5B0A"/>
    <w:rsid w:val="63513AC7"/>
    <w:rsid w:val="63552D03"/>
    <w:rsid w:val="63CA5649"/>
    <w:rsid w:val="63CE6F3B"/>
    <w:rsid w:val="63D1389A"/>
    <w:rsid w:val="64197774"/>
    <w:rsid w:val="64484544"/>
    <w:rsid w:val="64A77044"/>
    <w:rsid w:val="64A84B6A"/>
    <w:rsid w:val="64CD18D8"/>
    <w:rsid w:val="64CE5DC8"/>
    <w:rsid w:val="64E909F5"/>
    <w:rsid w:val="64EC0432"/>
    <w:rsid w:val="64FE28E7"/>
    <w:rsid w:val="650B0439"/>
    <w:rsid w:val="653C112C"/>
    <w:rsid w:val="656066AE"/>
    <w:rsid w:val="656C43A8"/>
    <w:rsid w:val="656F48EB"/>
    <w:rsid w:val="657A6D59"/>
    <w:rsid w:val="65984BDE"/>
    <w:rsid w:val="65A63D13"/>
    <w:rsid w:val="65B26CAC"/>
    <w:rsid w:val="65B30767"/>
    <w:rsid w:val="65B6647C"/>
    <w:rsid w:val="65DE0956"/>
    <w:rsid w:val="66215519"/>
    <w:rsid w:val="662916C7"/>
    <w:rsid w:val="6676035D"/>
    <w:rsid w:val="670C369C"/>
    <w:rsid w:val="672A227F"/>
    <w:rsid w:val="67696832"/>
    <w:rsid w:val="67802B96"/>
    <w:rsid w:val="67A5489B"/>
    <w:rsid w:val="67A71109"/>
    <w:rsid w:val="67AE7C37"/>
    <w:rsid w:val="67C730AF"/>
    <w:rsid w:val="68116078"/>
    <w:rsid w:val="681A1E86"/>
    <w:rsid w:val="6840624D"/>
    <w:rsid w:val="686142B9"/>
    <w:rsid w:val="686818E4"/>
    <w:rsid w:val="686C1C15"/>
    <w:rsid w:val="68715612"/>
    <w:rsid w:val="68E2163E"/>
    <w:rsid w:val="6922313D"/>
    <w:rsid w:val="694035C3"/>
    <w:rsid w:val="69C75A92"/>
    <w:rsid w:val="69F05006"/>
    <w:rsid w:val="69F34AD9"/>
    <w:rsid w:val="69FE6692"/>
    <w:rsid w:val="69FF347E"/>
    <w:rsid w:val="6A1761DD"/>
    <w:rsid w:val="6A307F0F"/>
    <w:rsid w:val="6A4546C6"/>
    <w:rsid w:val="6A5345C0"/>
    <w:rsid w:val="6A6F10BF"/>
    <w:rsid w:val="6AA84C1D"/>
    <w:rsid w:val="6AB75F22"/>
    <w:rsid w:val="6AC0339F"/>
    <w:rsid w:val="6AC65715"/>
    <w:rsid w:val="6AE424BE"/>
    <w:rsid w:val="6B3A350C"/>
    <w:rsid w:val="6B58105A"/>
    <w:rsid w:val="6B5C045C"/>
    <w:rsid w:val="6B91249E"/>
    <w:rsid w:val="6BAC5BE1"/>
    <w:rsid w:val="6BC27BCA"/>
    <w:rsid w:val="6BCA495D"/>
    <w:rsid w:val="6BCF5332"/>
    <w:rsid w:val="6BD017DB"/>
    <w:rsid w:val="6BF14FCE"/>
    <w:rsid w:val="6C1A5DC4"/>
    <w:rsid w:val="6C1B3E73"/>
    <w:rsid w:val="6C4203E9"/>
    <w:rsid w:val="6C5F485F"/>
    <w:rsid w:val="6C635F46"/>
    <w:rsid w:val="6CA91E6F"/>
    <w:rsid w:val="6CDF5CCB"/>
    <w:rsid w:val="6D312C35"/>
    <w:rsid w:val="6D793547"/>
    <w:rsid w:val="6D7F747E"/>
    <w:rsid w:val="6D965C65"/>
    <w:rsid w:val="6D9B170F"/>
    <w:rsid w:val="6DA57560"/>
    <w:rsid w:val="6E573888"/>
    <w:rsid w:val="6E58315D"/>
    <w:rsid w:val="6E8309E3"/>
    <w:rsid w:val="6E932AFE"/>
    <w:rsid w:val="6E9C21AB"/>
    <w:rsid w:val="6EF76A7F"/>
    <w:rsid w:val="6F072749"/>
    <w:rsid w:val="6F1F0B75"/>
    <w:rsid w:val="6F926572"/>
    <w:rsid w:val="6FB115B0"/>
    <w:rsid w:val="6FB149D1"/>
    <w:rsid w:val="6FCF388A"/>
    <w:rsid w:val="6FFF541D"/>
    <w:rsid w:val="703B0F88"/>
    <w:rsid w:val="706F62CF"/>
    <w:rsid w:val="70742E18"/>
    <w:rsid w:val="70B5002E"/>
    <w:rsid w:val="70D3460C"/>
    <w:rsid w:val="70D95D90"/>
    <w:rsid w:val="70ED728E"/>
    <w:rsid w:val="70EE076C"/>
    <w:rsid w:val="70FF76AA"/>
    <w:rsid w:val="71126FD1"/>
    <w:rsid w:val="71461992"/>
    <w:rsid w:val="71565CF0"/>
    <w:rsid w:val="71656118"/>
    <w:rsid w:val="71A304AC"/>
    <w:rsid w:val="71B47047"/>
    <w:rsid w:val="71C9254D"/>
    <w:rsid w:val="71DD399C"/>
    <w:rsid w:val="72605D30"/>
    <w:rsid w:val="727367B7"/>
    <w:rsid w:val="727A50F1"/>
    <w:rsid w:val="727C326A"/>
    <w:rsid w:val="729907D5"/>
    <w:rsid w:val="72B06D12"/>
    <w:rsid w:val="72C5768A"/>
    <w:rsid w:val="73124222"/>
    <w:rsid w:val="73625693"/>
    <w:rsid w:val="736B748E"/>
    <w:rsid w:val="73856AFA"/>
    <w:rsid w:val="73A63534"/>
    <w:rsid w:val="73AC64BF"/>
    <w:rsid w:val="73E1362B"/>
    <w:rsid w:val="744160AB"/>
    <w:rsid w:val="748B5D31"/>
    <w:rsid w:val="74945E56"/>
    <w:rsid w:val="74963EC4"/>
    <w:rsid w:val="74AE541B"/>
    <w:rsid w:val="74C4154C"/>
    <w:rsid w:val="74CA2E60"/>
    <w:rsid w:val="74DE6AFF"/>
    <w:rsid w:val="74E6224E"/>
    <w:rsid w:val="74EB6AD9"/>
    <w:rsid w:val="750B31FF"/>
    <w:rsid w:val="752E10BB"/>
    <w:rsid w:val="75426BFE"/>
    <w:rsid w:val="754674BF"/>
    <w:rsid w:val="7593201E"/>
    <w:rsid w:val="7595033C"/>
    <w:rsid w:val="75AB6268"/>
    <w:rsid w:val="75B11932"/>
    <w:rsid w:val="75D66698"/>
    <w:rsid w:val="75D7067F"/>
    <w:rsid w:val="75DB4D9F"/>
    <w:rsid w:val="75E75C1A"/>
    <w:rsid w:val="7630448E"/>
    <w:rsid w:val="7634629C"/>
    <w:rsid w:val="764B6139"/>
    <w:rsid w:val="76614DF7"/>
    <w:rsid w:val="766478D6"/>
    <w:rsid w:val="76CC5B98"/>
    <w:rsid w:val="76F97940"/>
    <w:rsid w:val="77461F0E"/>
    <w:rsid w:val="77562203"/>
    <w:rsid w:val="778666CA"/>
    <w:rsid w:val="778B00FF"/>
    <w:rsid w:val="77C52CF4"/>
    <w:rsid w:val="77F030E2"/>
    <w:rsid w:val="780C1EAE"/>
    <w:rsid w:val="78EF290F"/>
    <w:rsid w:val="79673CDA"/>
    <w:rsid w:val="79F353D9"/>
    <w:rsid w:val="7A002B46"/>
    <w:rsid w:val="7A03360D"/>
    <w:rsid w:val="7A2919FD"/>
    <w:rsid w:val="7A550536"/>
    <w:rsid w:val="7A893619"/>
    <w:rsid w:val="7ACA7190"/>
    <w:rsid w:val="7AF96BF7"/>
    <w:rsid w:val="7AFE797C"/>
    <w:rsid w:val="7B03673F"/>
    <w:rsid w:val="7B163C17"/>
    <w:rsid w:val="7B1D4256"/>
    <w:rsid w:val="7B2A360C"/>
    <w:rsid w:val="7B9026EC"/>
    <w:rsid w:val="7BB21510"/>
    <w:rsid w:val="7BB57E40"/>
    <w:rsid w:val="7C057252"/>
    <w:rsid w:val="7C263DB7"/>
    <w:rsid w:val="7C3C72F2"/>
    <w:rsid w:val="7C72007E"/>
    <w:rsid w:val="7CB320DF"/>
    <w:rsid w:val="7CDD7C81"/>
    <w:rsid w:val="7D0E25C7"/>
    <w:rsid w:val="7D0E3C95"/>
    <w:rsid w:val="7D3461CD"/>
    <w:rsid w:val="7DE838B9"/>
    <w:rsid w:val="7E2268C0"/>
    <w:rsid w:val="7E2A2879"/>
    <w:rsid w:val="7E2B1373"/>
    <w:rsid w:val="7E70004F"/>
    <w:rsid w:val="7E881FFB"/>
    <w:rsid w:val="7EB03A15"/>
    <w:rsid w:val="7EC04D09"/>
    <w:rsid w:val="7ECE0E8F"/>
    <w:rsid w:val="7EDC3331"/>
    <w:rsid w:val="7EFA0629"/>
    <w:rsid w:val="7F064A03"/>
    <w:rsid w:val="7F286B7B"/>
    <w:rsid w:val="7F343772"/>
    <w:rsid w:val="7F3D4B93"/>
    <w:rsid w:val="7F637AC1"/>
    <w:rsid w:val="7F6B2BE4"/>
    <w:rsid w:val="7F9E16B9"/>
    <w:rsid w:val="7FAA3B1E"/>
    <w:rsid w:val="7FB02B75"/>
    <w:rsid w:val="7FB12CF8"/>
    <w:rsid w:val="7FFF2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黑体"/>
      <w:kern w:val="2"/>
      <w:sz w:val="32"/>
      <w:szCs w:val="22"/>
      <w:lang w:val="en-US" w:eastAsia="zh-CN" w:bidi="ar-SA"/>
    </w:rPr>
  </w:style>
  <w:style w:type="paragraph" w:styleId="3">
    <w:name w:val="heading 1"/>
    <w:basedOn w:val="1"/>
    <w:next w:val="1"/>
    <w:link w:val="30"/>
    <w:qFormat/>
    <w:uiPriority w:val="9"/>
    <w:pPr>
      <w:keepNext/>
      <w:keepLines/>
      <w:outlineLvl w:val="0"/>
    </w:pPr>
    <w:rPr>
      <w:rFonts w:eastAsia="黑体"/>
      <w:bCs/>
      <w:kern w:val="44"/>
      <w:szCs w:val="44"/>
    </w:rPr>
  </w:style>
  <w:style w:type="paragraph" w:styleId="4">
    <w:name w:val="heading 2"/>
    <w:basedOn w:val="1"/>
    <w:next w:val="1"/>
    <w:link w:val="31"/>
    <w:unhideWhenUsed/>
    <w:qFormat/>
    <w:uiPriority w:val="9"/>
    <w:pPr>
      <w:keepNext/>
      <w:keepLines/>
      <w:outlineLvl w:val="1"/>
    </w:pPr>
    <w:rPr>
      <w:rFonts w:ascii="Cambria" w:hAnsi="Cambria" w:eastAsia="楷体"/>
      <w:b/>
      <w:bCs/>
      <w:szCs w:val="32"/>
    </w:rPr>
  </w:style>
  <w:style w:type="paragraph" w:styleId="5">
    <w:name w:val="heading 3"/>
    <w:basedOn w:val="1"/>
    <w:next w:val="1"/>
    <w:link w:val="46"/>
    <w:semiHidden/>
    <w:unhideWhenUsed/>
    <w:qFormat/>
    <w:uiPriority w:val="9"/>
    <w:pPr>
      <w:keepNext/>
      <w:keepLines/>
      <w:spacing w:before="260" w:after="260" w:line="416"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Document Map"/>
    <w:basedOn w:val="1"/>
    <w:link w:val="34"/>
    <w:semiHidden/>
    <w:unhideWhenUsed/>
    <w:qFormat/>
    <w:uiPriority w:val="0"/>
    <w:rPr>
      <w:rFonts w:ascii="宋体"/>
      <w:sz w:val="18"/>
      <w:szCs w:val="18"/>
    </w:rPr>
  </w:style>
  <w:style w:type="paragraph" w:styleId="7">
    <w:name w:val="annotation text"/>
    <w:basedOn w:val="1"/>
    <w:link w:val="35"/>
    <w:semiHidden/>
    <w:unhideWhenUsed/>
    <w:qFormat/>
    <w:uiPriority w:val="0"/>
    <w:pPr>
      <w:jc w:val="left"/>
    </w:pPr>
  </w:style>
  <w:style w:type="paragraph" w:styleId="8">
    <w:name w:val="Body Text Indent"/>
    <w:basedOn w:val="1"/>
    <w:qFormat/>
    <w:uiPriority w:val="0"/>
    <w:rPr>
      <w:rFonts w:ascii="宋体" w:hAnsi="宋体"/>
      <w:szCs w:val="20"/>
    </w:rPr>
  </w:style>
  <w:style w:type="paragraph" w:styleId="9">
    <w:name w:val="Balloon Text"/>
    <w:basedOn w:val="1"/>
    <w:link w:val="29"/>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15">
    <w:name w:val="annotation subject"/>
    <w:basedOn w:val="7"/>
    <w:next w:val="7"/>
    <w:link w:val="36"/>
    <w:semiHidden/>
    <w:unhideWhenUsed/>
    <w:qFormat/>
    <w:uiPriority w:val="0"/>
    <w:rPr>
      <w:b/>
      <w:bCs/>
    </w:rPr>
  </w:style>
  <w:style w:type="paragraph" w:styleId="16">
    <w:name w:val="Body Text First Indent 2"/>
    <w:basedOn w:val="8"/>
    <w:qFormat/>
    <w:uiPriority w:val="99"/>
    <w:pPr>
      <w:widowControl/>
      <w:ind w:firstLine="420"/>
      <w:jc w:val="left"/>
    </w:pPr>
    <w:rPr>
      <w:rFonts w:ascii="Calibri" w:hAnsi="Calibri" w:eastAsia="Times New Roman"/>
      <w:sz w:val="22"/>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Hyperlink"/>
    <w:basedOn w:val="19"/>
    <w:unhideWhenUsed/>
    <w:qFormat/>
    <w:uiPriority w:val="99"/>
    <w:rPr>
      <w:color w:val="0000FF"/>
      <w:u w:val="none"/>
    </w:rPr>
  </w:style>
  <w:style w:type="character" w:styleId="21">
    <w:name w:val="annotation reference"/>
    <w:basedOn w:val="19"/>
    <w:semiHidden/>
    <w:unhideWhenUsed/>
    <w:qFormat/>
    <w:uiPriority w:val="0"/>
    <w:rPr>
      <w:sz w:val="21"/>
      <w:szCs w:val="21"/>
    </w:rPr>
  </w:style>
  <w:style w:type="paragraph" w:customStyle="1" w:styleId="22">
    <w:name w:val="Default"/>
    <w:basedOn w:val="1"/>
    <w:qFormat/>
    <w:uiPriority w:val="0"/>
    <w:pPr>
      <w:autoSpaceDE w:val="0"/>
      <w:autoSpaceDN w:val="0"/>
      <w:adjustRightInd w:val="0"/>
      <w:jc w:val="left"/>
    </w:pPr>
    <w:rPr>
      <w:rFonts w:ascii="..ì." w:hAnsi="..ì." w:eastAsia="..ì." w:cs="Times New Roman"/>
      <w:color w:val="000000"/>
      <w:kern w:val="0"/>
      <w:sz w:val="24"/>
    </w:rPr>
  </w:style>
  <w:style w:type="paragraph" w:customStyle="1" w:styleId="23">
    <w:name w:val="正文文本1"/>
    <w:basedOn w:val="1"/>
    <w:qFormat/>
    <w:uiPriority w:val="99"/>
  </w:style>
  <w:style w:type="paragraph" w:customStyle="1" w:styleId="2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5">
    <w:name w:val="列出段落1"/>
    <w:basedOn w:val="1"/>
    <w:qFormat/>
    <w:uiPriority w:val="34"/>
    <w:pPr>
      <w:ind w:firstLine="420"/>
    </w:pPr>
  </w:style>
  <w:style w:type="paragraph" w:customStyle="1" w:styleId="26">
    <w:name w:val="TOC 标题1"/>
    <w:basedOn w:val="3"/>
    <w:next w:val="1"/>
    <w:unhideWhenUsed/>
    <w:qFormat/>
    <w:uiPriority w:val="39"/>
    <w:pPr>
      <w:widowControl/>
      <w:spacing w:before="480" w:line="276" w:lineRule="auto"/>
      <w:jc w:val="left"/>
      <w:outlineLvl w:val="9"/>
    </w:pPr>
    <w:rPr>
      <w:rFonts w:ascii="Cambria" w:hAnsi="Cambria"/>
      <w:color w:val="365F90"/>
      <w:kern w:val="0"/>
      <w:sz w:val="28"/>
      <w:szCs w:val="28"/>
    </w:rPr>
  </w:style>
  <w:style w:type="character" w:customStyle="1" w:styleId="27">
    <w:name w:val="页眉 Char"/>
    <w:link w:val="11"/>
    <w:semiHidden/>
    <w:qFormat/>
    <w:uiPriority w:val="99"/>
    <w:rPr>
      <w:sz w:val="18"/>
      <w:szCs w:val="18"/>
    </w:rPr>
  </w:style>
  <w:style w:type="character" w:customStyle="1" w:styleId="28">
    <w:name w:val="页脚 Char"/>
    <w:link w:val="10"/>
    <w:qFormat/>
    <w:uiPriority w:val="99"/>
    <w:rPr>
      <w:sz w:val="18"/>
      <w:szCs w:val="18"/>
    </w:rPr>
  </w:style>
  <w:style w:type="character" w:customStyle="1" w:styleId="29">
    <w:name w:val="批注框文本 Char"/>
    <w:link w:val="9"/>
    <w:semiHidden/>
    <w:qFormat/>
    <w:uiPriority w:val="99"/>
    <w:rPr>
      <w:sz w:val="18"/>
      <w:szCs w:val="18"/>
    </w:rPr>
  </w:style>
  <w:style w:type="character" w:customStyle="1" w:styleId="30">
    <w:name w:val="标题 1 Char"/>
    <w:link w:val="3"/>
    <w:qFormat/>
    <w:uiPriority w:val="9"/>
    <w:rPr>
      <w:rFonts w:eastAsia="黑体" w:cs="黑体"/>
      <w:bCs/>
      <w:kern w:val="44"/>
      <w:sz w:val="32"/>
      <w:szCs w:val="44"/>
    </w:rPr>
  </w:style>
  <w:style w:type="character" w:customStyle="1" w:styleId="31">
    <w:name w:val="标题 2 Char"/>
    <w:link w:val="4"/>
    <w:qFormat/>
    <w:uiPriority w:val="9"/>
    <w:rPr>
      <w:rFonts w:ascii="Cambria" w:hAnsi="Cambria" w:eastAsia="楷体" w:cs="黑体"/>
      <w:b/>
      <w:bCs/>
      <w:kern w:val="2"/>
      <w:sz w:val="32"/>
      <w:szCs w:val="32"/>
    </w:rPr>
  </w:style>
  <w:style w:type="paragraph" w:customStyle="1" w:styleId="32">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33">
    <w:name w:val="List Paragraph"/>
    <w:basedOn w:val="1"/>
    <w:qFormat/>
    <w:uiPriority w:val="34"/>
    <w:pPr>
      <w:ind w:firstLine="420"/>
    </w:pPr>
  </w:style>
  <w:style w:type="character" w:customStyle="1" w:styleId="34">
    <w:name w:val="文档结构图 Char"/>
    <w:basedOn w:val="19"/>
    <w:link w:val="6"/>
    <w:semiHidden/>
    <w:qFormat/>
    <w:uiPriority w:val="0"/>
    <w:rPr>
      <w:rFonts w:ascii="宋体" w:hAnsi="Calibri" w:cs="黑体"/>
      <w:kern w:val="2"/>
      <w:sz w:val="18"/>
      <w:szCs w:val="18"/>
    </w:rPr>
  </w:style>
  <w:style w:type="character" w:customStyle="1" w:styleId="35">
    <w:name w:val="批注文字 Char"/>
    <w:basedOn w:val="19"/>
    <w:link w:val="7"/>
    <w:semiHidden/>
    <w:qFormat/>
    <w:uiPriority w:val="0"/>
    <w:rPr>
      <w:rFonts w:ascii="Calibri" w:hAnsi="Calibri" w:cs="黑体"/>
      <w:kern w:val="2"/>
      <w:sz w:val="21"/>
      <w:szCs w:val="22"/>
    </w:rPr>
  </w:style>
  <w:style w:type="character" w:customStyle="1" w:styleId="36">
    <w:name w:val="批注主题 Char"/>
    <w:basedOn w:val="35"/>
    <w:link w:val="15"/>
    <w:semiHidden/>
    <w:qFormat/>
    <w:uiPriority w:val="0"/>
    <w:rPr>
      <w:rFonts w:ascii="Calibri" w:hAnsi="Calibri" w:cs="黑体"/>
      <w:b/>
      <w:bCs/>
      <w:kern w:val="2"/>
      <w:sz w:val="21"/>
      <w:szCs w:val="22"/>
    </w:rPr>
  </w:style>
  <w:style w:type="paragraph" w:customStyle="1" w:styleId="37">
    <w:name w:val="修订1"/>
    <w:hidden/>
    <w:unhideWhenUsed/>
    <w:qFormat/>
    <w:uiPriority w:val="99"/>
    <w:rPr>
      <w:rFonts w:ascii="Calibri" w:hAnsi="Calibri" w:eastAsia="宋体" w:cs="黑体"/>
      <w:kern w:val="2"/>
      <w:sz w:val="21"/>
      <w:szCs w:val="22"/>
      <w:lang w:val="en-US" w:eastAsia="zh-CN" w:bidi="ar-SA"/>
    </w:rPr>
  </w:style>
  <w:style w:type="character" w:customStyle="1" w:styleId="38">
    <w:name w:val="font91"/>
    <w:basedOn w:val="19"/>
    <w:qFormat/>
    <w:uiPriority w:val="0"/>
    <w:rPr>
      <w:rFonts w:hint="eastAsia" w:ascii="宋体" w:hAnsi="宋体" w:eastAsia="宋体" w:cs="宋体"/>
      <w:b/>
      <w:color w:val="000000"/>
      <w:sz w:val="20"/>
      <w:szCs w:val="20"/>
      <w:u w:val="none"/>
    </w:rPr>
  </w:style>
  <w:style w:type="character" w:customStyle="1" w:styleId="39">
    <w:name w:val="font81"/>
    <w:basedOn w:val="19"/>
    <w:qFormat/>
    <w:uiPriority w:val="0"/>
    <w:rPr>
      <w:rFonts w:hint="eastAsia" w:ascii="宋体" w:hAnsi="宋体" w:eastAsia="宋体" w:cs="宋体"/>
      <w:color w:val="000000"/>
      <w:sz w:val="20"/>
      <w:szCs w:val="20"/>
      <w:u w:val="none"/>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01"/>
    <w:basedOn w:val="19"/>
    <w:qFormat/>
    <w:uiPriority w:val="0"/>
    <w:rPr>
      <w:rFonts w:hint="default" w:ascii="Times New Roman" w:hAnsi="Times New Roman" w:cs="Times New Roman"/>
      <w:color w:val="000000"/>
      <w:sz w:val="20"/>
      <w:szCs w:val="20"/>
      <w:u w:val="none"/>
    </w:rPr>
  </w:style>
  <w:style w:type="character" w:customStyle="1" w:styleId="42">
    <w:name w:val="font51"/>
    <w:basedOn w:val="19"/>
    <w:qFormat/>
    <w:uiPriority w:val="0"/>
    <w:rPr>
      <w:rFonts w:hint="eastAsia" w:ascii="宋体" w:hAnsi="宋体" w:eastAsia="宋体" w:cs="宋体"/>
      <w:color w:val="FF0000"/>
      <w:sz w:val="20"/>
      <w:szCs w:val="20"/>
      <w:u w:val="none"/>
    </w:rPr>
  </w:style>
  <w:style w:type="character" w:customStyle="1" w:styleId="43">
    <w:name w:val="font31"/>
    <w:qFormat/>
    <w:uiPriority w:val="0"/>
    <w:rPr>
      <w:rFonts w:ascii="Arial" w:hAnsi="Arial" w:cs="Arial"/>
      <w:b/>
      <w:bCs/>
      <w:color w:val="000000"/>
      <w:sz w:val="20"/>
      <w:szCs w:val="20"/>
      <w:u w:val="none"/>
    </w:rPr>
  </w:style>
  <w:style w:type="character" w:customStyle="1" w:styleId="44">
    <w:name w:val="font21"/>
    <w:qFormat/>
    <w:uiPriority w:val="0"/>
    <w:rPr>
      <w:rFonts w:hint="eastAsia" w:ascii="宋体" w:hAnsi="宋体" w:eastAsia="宋体" w:cs="宋体"/>
      <w:b/>
      <w:bCs/>
      <w:color w:val="000000"/>
      <w:sz w:val="20"/>
      <w:szCs w:val="20"/>
      <w:u w:val="none"/>
    </w:rPr>
  </w:style>
  <w:style w:type="character" w:customStyle="1" w:styleId="45">
    <w:name w:val="font41"/>
    <w:qFormat/>
    <w:uiPriority w:val="0"/>
    <w:rPr>
      <w:rFonts w:hint="default" w:ascii="Times New Roman" w:hAnsi="Times New Roman" w:cs="Times New Roman"/>
      <w:color w:val="000000"/>
      <w:sz w:val="21"/>
      <w:szCs w:val="21"/>
      <w:u w:val="none"/>
    </w:rPr>
  </w:style>
  <w:style w:type="character" w:customStyle="1" w:styleId="46">
    <w:name w:val="标题 3 Char"/>
    <w:basedOn w:val="19"/>
    <w:link w:val="5"/>
    <w:semiHidden/>
    <w:qFormat/>
    <w:uiPriority w:val="9"/>
    <w:rPr>
      <w:rFonts w:eastAsia="仿宋_GB2312" w:cs="黑体"/>
      <w:b/>
      <w:bCs/>
      <w:kern w:val="2"/>
      <w:sz w:val="32"/>
      <w:szCs w:val="32"/>
    </w:rPr>
  </w:style>
  <w:style w:type="paragraph" w:customStyle="1" w:styleId="47">
    <w:name w:val="正文首行缩进1"/>
    <w:basedOn w:val="1"/>
    <w:qFormat/>
    <w:uiPriority w:val="0"/>
    <w:pPr>
      <w:spacing w:after="120"/>
      <w:ind w:firstLine="420" w:firstLineChars="100"/>
    </w:pPr>
    <w:rPr>
      <w:rFonts w:hint="eastAsia"/>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DD09-A325-473E-8A43-7B675ADFB6A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9677</Words>
  <Characters>10531</Characters>
  <Lines>82</Lines>
  <Paragraphs>23</Paragraphs>
  <TotalTime>6</TotalTime>
  <ScaleCrop>false</ScaleCrop>
  <LinksUpToDate>false</LinksUpToDate>
  <CharactersWithSpaces>10649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2022-11-01T01:52:00Z</dcterms:created>
  <dc:creator>Microsoft</dc:creator>
  <cp:lastModifiedBy>Administrator</cp:lastModifiedBy>
  <cp:lastPrinted>2020-09-14T08:15:00Z</cp:lastPrinted>
  <dcterms:modified xsi:type="dcterms:W3CDTF">2023-09-15T09:16:24Z</dcterms:modified>
  <dc:title>零陵区财政项目支出绩效评价报告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DD0153D24D4B4B86851EE9A7FE047C2C</vt:lpwstr>
  </property>
</Properties>
</file>