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pPr>
      <w:r>
        <w:rPr>
          <w:rFonts w:hint="eastAsia"/>
          <w:lang w:val="en-US" w:eastAsia="zh-CN"/>
        </w:rPr>
        <w:t>2021年度</w:t>
      </w:r>
      <w:r>
        <w:rPr>
          <w:rFonts w:hint="eastAsia"/>
        </w:rPr>
        <w:t>基层医疗机构专项经费项目绩效评价指标评分表</w:t>
      </w:r>
    </w:p>
    <w:tbl>
      <w:tblPr>
        <w:tblStyle w:val="18"/>
        <w:tblW w:w="14307" w:type="dxa"/>
        <w:tblInd w:w="-24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660"/>
        <w:gridCol w:w="911"/>
        <w:gridCol w:w="1175"/>
        <w:gridCol w:w="725"/>
        <w:gridCol w:w="3338"/>
        <w:gridCol w:w="3801"/>
        <w:gridCol w:w="2799"/>
        <w:gridCol w:w="8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0" w:hRule="atLeast"/>
          <w:tblHeader/>
        </w:trPr>
        <w:tc>
          <w:tcPr>
            <w:tcW w:w="660" w:type="dxa"/>
            <w:vAlign w:val="center"/>
          </w:tcPr>
          <w:p>
            <w:pPr>
              <w:widowControl/>
              <w:spacing w:line="240" w:lineRule="exact"/>
              <w:ind w:firstLine="0" w:firstLineChars="0"/>
              <w:contextualSpacing/>
              <w:jc w:val="center"/>
              <w:textAlignment w:val="center"/>
              <w:rPr>
                <w:rFonts w:ascii="仿宋" w:hAnsi="仿宋" w:eastAsia="仿宋" w:cs="仿宋"/>
                <w:b/>
                <w:bCs/>
                <w:sz w:val="20"/>
                <w:szCs w:val="20"/>
              </w:rPr>
            </w:pPr>
            <w:r>
              <w:rPr>
                <w:rFonts w:hint="eastAsia" w:ascii="仿宋" w:hAnsi="仿宋" w:eastAsia="仿宋" w:cs="仿宋"/>
                <w:b/>
                <w:bCs/>
                <w:kern w:val="0"/>
                <w:sz w:val="20"/>
                <w:szCs w:val="20"/>
                <w:lang w:bidi="ar"/>
              </w:rPr>
              <w:t>一</w:t>
            </w:r>
            <w:r>
              <w:rPr>
                <w:rStyle w:val="45"/>
                <w:rFonts w:hint="default" w:ascii="仿宋" w:hAnsi="仿宋" w:eastAsia="仿宋" w:cs="仿宋"/>
                <w:color w:val="auto"/>
                <w:lang w:bidi="ar"/>
              </w:rPr>
              <w:t>级指标</w:t>
            </w:r>
          </w:p>
        </w:tc>
        <w:tc>
          <w:tcPr>
            <w:tcW w:w="911" w:type="dxa"/>
            <w:vAlign w:val="center"/>
          </w:tcPr>
          <w:p>
            <w:pPr>
              <w:widowControl/>
              <w:spacing w:line="240" w:lineRule="exact"/>
              <w:ind w:firstLine="0" w:firstLineChars="0"/>
              <w:contextualSpacing/>
              <w:jc w:val="center"/>
              <w:textAlignment w:val="center"/>
              <w:rPr>
                <w:rStyle w:val="45"/>
                <w:rFonts w:hint="default" w:ascii="仿宋" w:hAnsi="仿宋" w:eastAsia="仿宋" w:cs="仿宋"/>
                <w:color w:val="auto"/>
                <w:lang w:bidi="ar"/>
              </w:rPr>
            </w:pPr>
            <w:r>
              <w:rPr>
                <w:rFonts w:hint="eastAsia" w:ascii="仿宋" w:hAnsi="仿宋" w:eastAsia="仿宋" w:cs="仿宋"/>
                <w:b/>
                <w:bCs/>
                <w:kern w:val="0"/>
                <w:sz w:val="20"/>
                <w:szCs w:val="20"/>
                <w:lang w:bidi="ar"/>
              </w:rPr>
              <w:t>二</w:t>
            </w:r>
            <w:r>
              <w:rPr>
                <w:rStyle w:val="45"/>
                <w:rFonts w:hint="default" w:ascii="仿宋" w:hAnsi="仿宋" w:eastAsia="仿宋" w:cs="仿宋"/>
                <w:color w:val="auto"/>
                <w:lang w:bidi="ar"/>
              </w:rPr>
              <w:t>级</w:t>
            </w:r>
          </w:p>
          <w:p>
            <w:pPr>
              <w:widowControl/>
              <w:spacing w:line="240" w:lineRule="exact"/>
              <w:ind w:firstLine="0" w:firstLineChars="0"/>
              <w:contextualSpacing/>
              <w:jc w:val="center"/>
              <w:textAlignment w:val="center"/>
              <w:rPr>
                <w:rFonts w:ascii="仿宋" w:hAnsi="仿宋" w:eastAsia="仿宋" w:cs="仿宋"/>
                <w:b/>
                <w:bCs/>
                <w:sz w:val="20"/>
                <w:szCs w:val="20"/>
              </w:rPr>
            </w:pPr>
            <w:r>
              <w:rPr>
                <w:rStyle w:val="45"/>
                <w:rFonts w:hint="default" w:ascii="仿宋" w:hAnsi="仿宋" w:eastAsia="仿宋" w:cs="仿宋"/>
                <w:color w:val="auto"/>
                <w:lang w:bidi="ar"/>
              </w:rPr>
              <w:t>指标</w:t>
            </w:r>
          </w:p>
        </w:tc>
        <w:tc>
          <w:tcPr>
            <w:tcW w:w="1175" w:type="dxa"/>
            <w:vAlign w:val="center"/>
          </w:tcPr>
          <w:p>
            <w:pPr>
              <w:widowControl/>
              <w:spacing w:line="240" w:lineRule="exact"/>
              <w:ind w:firstLine="0" w:firstLineChars="0"/>
              <w:contextualSpacing/>
              <w:jc w:val="center"/>
              <w:textAlignment w:val="center"/>
              <w:rPr>
                <w:rFonts w:ascii="仿宋" w:hAnsi="仿宋" w:eastAsia="仿宋" w:cs="仿宋"/>
                <w:b/>
                <w:bCs/>
                <w:sz w:val="20"/>
                <w:szCs w:val="20"/>
              </w:rPr>
            </w:pPr>
            <w:r>
              <w:rPr>
                <w:rFonts w:hint="eastAsia" w:ascii="仿宋" w:hAnsi="仿宋" w:eastAsia="仿宋" w:cs="仿宋"/>
                <w:b/>
                <w:bCs/>
                <w:kern w:val="0"/>
                <w:sz w:val="20"/>
                <w:szCs w:val="20"/>
                <w:lang w:bidi="ar"/>
              </w:rPr>
              <w:t>三</w:t>
            </w:r>
            <w:r>
              <w:rPr>
                <w:rStyle w:val="45"/>
                <w:rFonts w:hint="default" w:ascii="仿宋" w:hAnsi="仿宋" w:eastAsia="仿宋" w:cs="仿宋"/>
                <w:color w:val="auto"/>
                <w:lang w:bidi="ar"/>
              </w:rPr>
              <w:t>级指标</w:t>
            </w:r>
          </w:p>
        </w:tc>
        <w:tc>
          <w:tcPr>
            <w:tcW w:w="725" w:type="dxa"/>
            <w:vAlign w:val="center"/>
          </w:tcPr>
          <w:p>
            <w:pPr>
              <w:widowControl/>
              <w:spacing w:line="240" w:lineRule="exact"/>
              <w:ind w:firstLine="0" w:firstLineChars="0"/>
              <w:contextualSpacing/>
              <w:jc w:val="center"/>
              <w:textAlignment w:val="center"/>
              <w:rPr>
                <w:rFonts w:ascii="仿宋" w:hAnsi="仿宋" w:eastAsia="仿宋" w:cs="仿宋"/>
                <w:b/>
                <w:bCs/>
                <w:sz w:val="20"/>
                <w:szCs w:val="20"/>
              </w:rPr>
            </w:pPr>
            <w:r>
              <w:rPr>
                <w:rFonts w:hint="eastAsia" w:ascii="仿宋" w:hAnsi="仿宋" w:eastAsia="仿宋" w:cs="仿宋"/>
                <w:b/>
                <w:bCs/>
                <w:kern w:val="0"/>
                <w:sz w:val="20"/>
                <w:szCs w:val="20"/>
                <w:lang w:bidi="ar"/>
              </w:rPr>
              <w:t>分值</w:t>
            </w:r>
          </w:p>
        </w:tc>
        <w:tc>
          <w:tcPr>
            <w:tcW w:w="3338" w:type="dxa"/>
            <w:noWrap/>
            <w:vAlign w:val="center"/>
          </w:tcPr>
          <w:p>
            <w:pPr>
              <w:widowControl/>
              <w:spacing w:line="240" w:lineRule="exact"/>
              <w:ind w:firstLine="0" w:firstLineChars="0"/>
              <w:contextualSpacing/>
              <w:jc w:val="center"/>
              <w:textAlignment w:val="center"/>
              <w:rPr>
                <w:rFonts w:ascii="仿宋" w:hAnsi="仿宋" w:eastAsia="仿宋" w:cs="仿宋"/>
                <w:b/>
                <w:bCs/>
                <w:kern w:val="0"/>
                <w:sz w:val="20"/>
                <w:szCs w:val="20"/>
                <w:lang w:bidi="ar"/>
              </w:rPr>
            </w:pPr>
            <w:r>
              <w:rPr>
                <w:rFonts w:hint="eastAsia" w:ascii="仿宋" w:hAnsi="仿宋" w:eastAsia="仿宋" w:cs="仿宋"/>
                <w:b/>
                <w:bCs/>
                <w:kern w:val="0"/>
                <w:sz w:val="20"/>
                <w:szCs w:val="20"/>
                <w:lang w:bidi="ar"/>
              </w:rPr>
              <w:t>评分要点</w:t>
            </w:r>
          </w:p>
        </w:tc>
        <w:tc>
          <w:tcPr>
            <w:tcW w:w="3801" w:type="dxa"/>
            <w:noWrap/>
            <w:vAlign w:val="center"/>
          </w:tcPr>
          <w:p>
            <w:pPr>
              <w:widowControl/>
              <w:spacing w:line="240" w:lineRule="exact"/>
              <w:ind w:firstLine="0" w:firstLineChars="0"/>
              <w:contextualSpacing/>
              <w:jc w:val="center"/>
              <w:textAlignment w:val="center"/>
              <w:rPr>
                <w:rFonts w:ascii="仿宋" w:hAnsi="仿宋" w:eastAsia="仿宋" w:cs="仿宋"/>
                <w:b/>
                <w:bCs/>
                <w:kern w:val="0"/>
                <w:sz w:val="20"/>
                <w:szCs w:val="20"/>
                <w:lang w:bidi="ar"/>
              </w:rPr>
            </w:pPr>
            <w:r>
              <w:rPr>
                <w:rFonts w:hint="eastAsia" w:ascii="仿宋" w:hAnsi="仿宋" w:eastAsia="仿宋" w:cs="仿宋"/>
                <w:b/>
                <w:bCs/>
                <w:kern w:val="0"/>
                <w:sz w:val="20"/>
                <w:szCs w:val="20"/>
                <w:lang w:bidi="ar"/>
              </w:rPr>
              <w:t>评价标准</w:t>
            </w:r>
          </w:p>
        </w:tc>
        <w:tc>
          <w:tcPr>
            <w:tcW w:w="2799" w:type="dxa"/>
            <w:noWrap/>
            <w:vAlign w:val="center"/>
          </w:tcPr>
          <w:p>
            <w:pPr>
              <w:widowControl/>
              <w:spacing w:line="240" w:lineRule="exact"/>
              <w:ind w:firstLine="0" w:firstLineChars="0"/>
              <w:contextualSpacing/>
              <w:jc w:val="center"/>
              <w:textAlignment w:val="center"/>
              <w:rPr>
                <w:rFonts w:ascii="仿宋" w:hAnsi="仿宋" w:eastAsia="仿宋" w:cs="仿宋"/>
                <w:b/>
                <w:bCs/>
                <w:kern w:val="0"/>
                <w:sz w:val="20"/>
                <w:szCs w:val="20"/>
                <w:lang w:bidi="ar"/>
              </w:rPr>
            </w:pPr>
            <w:r>
              <w:rPr>
                <w:rFonts w:hint="eastAsia" w:ascii="仿宋" w:hAnsi="仿宋" w:eastAsia="仿宋" w:cs="仿宋"/>
                <w:b/>
                <w:bCs/>
                <w:kern w:val="0"/>
                <w:sz w:val="20"/>
                <w:szCs w:val="20"/>
                <w:lang w:bidi="ar"/>
              </w:rPr>
              <w:t>评分说明</w:t>
            </w:r>
          </w:p>
        </w:tc>
        <w:tc>
          <w:tcPr>
            <w:tcW w:w="898" w:type="dxa"/>
            <w:noWrap/>
            <w:vAlign w:val="center"/>
          </w:tcPr>
          <w:p>
            <w:pPr>
              <w:widowControl/>
              <w:spacing w:line="240" w:lineRule="exact"/>
              <w:ind w:firstLine="0" w:firstLineChars="0"/>
              <w:contextualSpacing/>
              <w:jc w:val="center"/>
              <w:textAlignment w:val="center"/>
              <w:rPr>
                <w:rFonts w:ascii="仿宋" w:hAnsi="仿宋" w:eastAsia="仿宋" w:cs="仿宋"/>
                <w:b/>
                <w:bCs/>
                <w:kern w:val="0"/>
                <w:sz w:val="20"/>
                <w:szCs w:val="20"/>
                <w:lang w:bidi="ar"/>
              </w:rPr>
            </w:pPr>
            <w:r>
              <w:rPr>
                <w:rFonts w:hint="eastAsia" w:ascii="仿宋" w:hAnsi="仿宋" w:eastAsia="仿宋" w:cs="仿宋"/>
                <w:b/>
                <w:bCs/>
                <w:kern w:val="0"/>
                <w:sz w:val="20"/>
                <w:szCs w:val="20"/>
                <w:lang w:bidi="ar"/>
              </w:rPr>
              <w:t>分值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11" w:hRule="atLeast"/>
        </w:trPr>
        <w:tc>
          <w:tcPr>
            <w:tcW w:w="660" w:type="dxa"/>
            <w:vMerge w:val="restart"/>
            <w:vAlign w:val="center"/>
          </w:tcPr>
          <w:p>
            <w:pPr>
              <w:spacing w:line="240" w:lineRule="exact"/>
              <w:ind w:firstLine="0" w:firstLineChars="0"/>
              <w:contextualSpacing/>
              <w:jc w:val="center"/>
              <w:rPr>
                <w:rFonts w:ascii="仿宋" w:hAnsi="仿宋" w:eastAsia="仿宋" w:cs="仿宋"/>
                <w:spacing w:val="23"/>
                <w:sz w:val="20"/>
                <w:szCs w:val="20"/>
              </w:rPr>
            </w:pPr>
            <w:r>
              <w:rPr>
                <w:rFonts w:hint="eastAsia" w:ascii="仿宋" w:hAnsi="仿宋" w:eastAsia="仿宋" w:cs="仿宋"/>
                <w:spacing w:val="23"/>
                <w:kern w:val="0"/>
                <w:sz w:val="20"/>
                <w:szCs w:val="20"/>
                <w:lang w:bidi="ar"/>
              </w:rPr>
              <w:t>决</w:t>
            </w:r>
            <w:r>
              <w:rPr>
                <w:rFonts w:hint="eastAsia" w:ascii="仿宋" w:hAnsi="仿宋" w:eastAsia="仿宋" w:cs="仿宋"/>
                <w:spacing w:val="23"/>
                <w:kern w:val="0"/>
                <w:sz w:val="20"/>
                <w:szCs w:val="20"/>
                <w:lang w:bidi="ar"/>
              </w:rPr>
              <w:br w:type="textWrapping"/>
            </w:r>
            <w:r>
              <w:rPr>
                <w:rFonts w:hint="eastAsia" w:ascii="仿宋" w:hAnsi="仿宋" w:eastAsia="仿宋" w:cs="仿宋"/>
                <w:spacing w:val="23"/>
                <w:kern w:val="0"/>
                <w:sz w:val="20"/>
                <w:szCs w:val="20"/>
                <w:lang w:bidi="ar"/>
              </w:rPr>
              <w:t>策</w:t>
            </w:r>
          </w:p>
        </w:tc>
        <w:tc>
          <w:tcPr>
            <w:tcW w:w="911" w:type="dxa"/>
            <w:vMerge w:val="restart"/>
            <w:vAlign w:val="center"/>
          </w:tcPr>
          <w:p>
            <w:pPr>
              <w:widowControl/>
              <w:spacing w:line="240" w:lineRule="exact"/>
              <w:ind w:firstLine="0" w:firstLineChars="0"/>
              <w:contextualSpacing/>
              <w:jc w:val="center"/>
              <w:textAlignment w:val="center"/>
              <w:rPr>
                <w:rFonts w:ascii="仿宋" w:hAnsi="仿宋" w:eastAsia="仿宋" w:cs="仿宋"/>
                <w:spacing w:val="23"/>
                <w:sz w:val="20"/>
                <w:szCs w:val="20"/>
              </w:rPr>
            </w:pPr>
            <w:r>
              <w:rPr>
                <w:rFonts w:hint="eastAsia" w:ascii="仿宋" w:hAnsi="仿宋" w:eastAsia="仿宋" w:cs="仿宋"/>
                <w:spacing w:val="23"/>
                <w:kern w:val="0"/>
                <w:sz w:val="20"/>
                <w:szCs w:val="20"/>
                <w:lang w:bidi="ar"/>
              </w:rPr>
              <w:t>项目立项（</w:t>
            </w:r>
            <w:r>
              <w:rPr>
                <w:rFonts w:hint="eastAsia" w:ascii="仿宋" w:hAnsi="仿宋" w:eastAsia="仿宋" w:cs="仿宋"/>
                <w:spacing w:val="23"/>
                <w:kern w:val="0"/>
                <w:sz w:val="20"/>
                <w:szCs w:val="20"/>
                <w:lang w:val="en-US" w:eastAsia="zh-CN" w:bidi="ar"/>
              </w:rPr>
              <w:t>2</w:t>
            </w:r>
            <w:r>
              <w:rPr>
                <w:rFonts w:hint="eastAsia" w:ascii="仿宋" w:hAnsi="仿宋" w:eastAsia="仿宋" w:cs="仿宋"/>
                <w:spacing w:val="23"/>
                <w:kern w:val="0"/>
                <w:sz w:val="20"/>
                <w:szCs w:val="20"/>
                <w:lang w:bidi="ar"/>
              </w:rPr>
              <w:t>分）</w:t>
            </w:r>
          </w:p>
        </w:tc>
        <w:tc>
          <w:tcPr>
            <w:tcW w:w="1175" w:type="dxa"/>
            <w:vAlign w:val="center"/>
          </w:tcPr>
          <w:p>
            <w:pPr>
              <w:widowControl/>
              <w:spacing w:line="240" w:lineRule="exact"/>
              <w:ind w:firstLine="0" w:firstLineChars="0"/>
              <w:contextualSpacing/>
              <w:jc w:val="center"/>
              <w:textAlignment w:val="center"/>
              <w:rPr>
                <w:rFonts w:ascii="仿宋" w:hAnsi="仿宋" w:eastAsia="仿宋" w:cs="仿宋"/>
                <w:spacing w:val="23"/>
                <w:sz w:val="20"/>
                <w:szCs w:val="20"/>
              </w:rPr>
            </w:pPr>
            <w:r>
              <w:rPr>
                <w:rFonts w:hint="eastAsia" w:ascii="仿宋" w:hAnsi="仿宋" w:eastAsia="仿宋" w:cs="仿宋"/>
                <w:spacing w:val="23"/>
                <w:kern w:val="0"/>
                <w:sz w:val="20"/>
                <w:szCs w:val="20"/>
                <w:lang w:bidi="ar"/>
              </w:rPr>
              <w:t>项目立项依据充分性</w:t>
            </w:r>
          </w:p>
        </w:tc>
        <w:tc>
          <w:tcPr>
            <w:tcW w:w="725" w:type="dxa"/>
            <w:noWrap/>
            <w:vAlign w:val="center"/>
          </w:tcPr>
          <w:p>
            <w:pPr>
              <w:widowControl/>
              <w:spacing w:line="240" w:lineRule="exact"/>
              <w:ind w:firstLine="0" w:firstLineChars="0"/>
              <w:contextualSpacing/>
              <w:jc w:val="center"/>
              <w:textAlignment w:val="center"/>
              <w:rPr>
                <w:rFonts w:hint="eastAsia" w:ascii="仿宋" w:hAnsi="仿宋" w:eastAsia="仿宋" w:cs="仿宋"/>
                <w:spacing w:val="23"/>
                <w:sz w:val="20"/>
                <w:szCs w:val="20"/>
                <w:lang w:eastAsia="zh-CN"/>
              </w:rPr>
            </w:pPr>
            <w:r>
              <w:rPr>
                <w:rFonts w:hint="eastAsia" w:ascii="仿宋" w:hAnsi="仿宋" w:eastAsia="仿宋" w:cs="仿宋"/>
                <w:spacing w:val="23"/>
                <w:kern w:val="0"/>
                <w:sz w:val="20"/>
                <w:szCs w:val="20"/>
                <w:lang w:val="en-US" w:eastAsia="zh-CN" w:bidi="ar"/>
              </w:rPr>
              <w:t>2</w:t>
            </w:r>
          </w:p>
        </w:tc>
        <w:tc>
          <w:tcPr>
            <w:tcW w:w="3338" w:type="dxa"/>
            <w:vAlign w:val="center"/>
          </w:tcPr>
          <w:p>
            <w:pPr>
              <w:widowControl/>
              <w:spacing w:line="240" w:lineRule="exact"/>
              <w:ind w:firstLine="0" w:firstLineChars="0"/>
              <w:contextualSpacing/>
              <w:jc w:val="left"/>
              <w:textAlignment w:val="top"/>
              <w:rPr>
                <w:rStyle w:val="42"/>
                <w:rFonts w:ascii="仿宋" w:hAnsi="仿宋" w:eastAsia="仿宋" w:cs="仿宋"/>
                <w:color w:val="auto"/>
                <w:spacing w:val="23"/>
                <w:lang w:bidi="ar"/>
              </w:rPr>
            </w:pPr>
            <w:r>
              <w:rPr>
                <w:rStyle w:val="42"/>
                <w:rFonts w:hint="eastAsia" w:ascii="仿宋" w:hAnsi="仿宋" w:eastAsia="仿宋" w:cs="仿宋"/>
                <w:color w:val="auto"/>
                <w:spacing w:val="23"/>
                <w:lang w:bidi="ar"/>
              </w:rPr>
              <w:t>预算支出决策是否符合法律法规、相关政策、发展规划，用以反映和考核决策的依据情况。</w:t>
            </w:r>
          </w:p>
        </w:tc>
        <w:tc>
          <w:tcPr>
            <w:tcW w:w="3801" w:type="dxa"/>
          </w:tcPr>
          <w:p>
            <w:pPr>
              <w:widowControl/>
              <w:spacing w:line="240" w:lineRule="exact"/>
              <w:ind w:firstLine="0" w:firstLineChars="0"/>
              <w:contextualSpacing/>
              <w:jc w:val="left"/>
              <w:textAlignment w:val="top"/>
              <w:rPr>
                <w:rStyle w:val="42"/>
                <w:rFonts w:ascii="仿宋" w:hAnsi="仿宋" w:eastAsia="仿宋" w:cs="仿宋"/>
                <w:color w:val="auto"/>
                <w:spacing w:val="23"/>
                <w:lang w:bidi="ar"/>
              </w:rPr>
            </w:pPr>
            <w:r>
              <w:rPr>
                <w:rStyle w:val="42"/>
                <w:rFonts w:hint="eastAsia" w:ascii="仿宋" w:hAnsi="仿宋" w:eastAsia="仿宋" w:cs="仿宋"/>
                <w:color w:val="auto"/>
                <w:spacing w:val="23"/>
                <w:lang w:bidi="ar"/>
              </w:rPr>
              <w:t>①项目立项符合国家法律法规、国民经济发展规划和相</w:t>
            </w:r>
            <w:bookmarkStart w:id="0" w:name="_GoBack"/>
            <w:bookmarkEnd w:id="0"/>
            <w:r>
              <w:rPr>
                <w:rStyle w:val="42"/>
                <w:rFonts w:hint="eastAsia" w:ascii="仿宋" w:hAnsi="仿宋" w:eastAsia="仿宋" w:cs="仿宋"/>
                <w:color w:val="auto"/>
                <w:spacing w:val="23"/>
                <w:lang w:bidi="ar"/>
              </w:rPr>
              <w:t>关政策，计1分；②项目立项符合行业发展规划和政策要求，计1分；否则，酌情扣分。</w:t>
            </w:r>
          </w:p>
        </w:tc>
        <w:tc>
          <w:tcPr>
            <w:tcW w:w="2799" w:type="dxa"/>
            <w:noWrap/>
            <w:vAlign w:val="center"/>
          </w:tcPr>
          <w:p>
            <w:pPr>
              <w:spacing w:line="240" w:lineRule="exact"/>
              <w:ind w:firstLine="0" w:firstLineChars="0"/>
              <w:contextualSpacing/>
              <w:jc w:val="left"/>
              <w:rPr>
                <w:rFonts w:ascii="仿宋" w:hAnsi="仿宋" w:eastAsia="仿宋" w:cs="仿宋"/>
                <w:spacing w:val="28"/>
                <w:sz w:val="20"/>
                <w:szCs w:val="20"/>
              </w:rPr>
            </w:pPr>
            <w:r>
              <w:rPr>
                <w:rFonts w:hint="eastAsia" w:ascii="仿宋" w:hAnsi="仿宋" w:eastAsia="仿宋" w:cs="仿宋"/>
                <w:spacing w:val="28"/>
                <w:sz w:val="20"/>
                <w:szCs w:val="20"/>
              </w:rPr>
              <w:t>项目立项符合国家法律法规、国民经济发展规划和相关政策；项目立项符合行业发展规划和政策要求。计2分。</w:t>
            </w:r>
          </w:p>
        </w:tc>
        <w:tc>
          <w:tcPr>
            <w:tcW w:w="898" w:type="dxa"/>
            <w:noWrap/>
            <w:vAlign w:val="center"/>
          </w:tcPr>
          <w:p>
            <w:pPr>
              <w:spacing w:line="240" w:lineRule="exact"/>
              <w:ind w:firstLine="0" w:firstLineChars="0"/>
              <w:contextualSpacing/>
              <w:jc w:val="center"/>
              <w:rPr>
                <w:rFonts w:hint="eastAsia" w:ascii="仿宋" w:hAnsi="仿宋" w:eastAsia="仿宋" w:cs="仿宋"/>
                <w:spacing w:val="28"/>
                <w:sz w:val="20"/>
                <w:szCs w:val="20"/>
                <w:lang w:eastAsia="zh-CN"/>
              </w:rPr>
            </w:pPr>
            <w:r>
              <w:rPr>
                <w:rFonts w:hint="eastAsia" w:ascii="仿宋" w:hAnsi="仿宋" w:eastAsia="仿宋" w:cs="仿宋"/>
                <w:spacing w:val="28"/>
                <w:sz w:val="20"/>
                <w:szCs w:val="20"/>
                <w:lang w:val="en-US" w:eastAsia="zh-CN"/>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05" w:hRule="atLeast"/>
        </w:trPr>
        <w:tc>
          <w:tcPr>
            <w:tcW w:w="660" w:type="dxa"/>
            <w:vMerge w:val="continue"/>
            <w:vAlign w:val="center"/>
          </w:tcPr>
          <w:p>
            <w:pPr>
              <w:spacing w:line="240" w:lineRule="exact"/>
              <w:ind w:firstLine="0" w:firstLineChars="0"/>
              <w:contextualSpacing/>
              <w:jc w:val="center"/>
              <w:rPr>
                <w:rFonts w:ascii="仿宋" w:hAnsi="仿宋" w:eastAsia="仿宋" w:cs="仿宋"/>
                <w:spacing w:val="23"/>
                <w:sz w:val="20"/>
                <w:szCs w:val="20"/>
              </w:rPr>
            </w:pPr>
          </w:p>
        </w:tc>
        <w:tc>
          <w:tcPr>
            <w:tcW w:w="911" w:type="dxa"/>
            <w:vMerge w:val="continue"/>
            <w:vAlign w:val="center"/>
          </w:tcPr>
          <w:p>
            <w:pPr>
              <w:widowControl/>
              <w:spacing w:line="240" w:lineRule="exact"/>
              <w:ind w:firstLine="0" w:firstLineChars="0"/>
              <w:contextualSpacing/>
              <w:jc w:val="center"/>
              <w:textAlignment w:val="center"/>
              <w:rPr>
                <w:rFonts w:ascii="仿宋" w:hAnsi="仿宋" w:eastAsia="仿宋" w:cs="仿宋"/>
                <w:spacing w:val="23"/>
                <w:sz w:val="20"/>
                <w:szCs w:val="20"/>
              </w:rPr>
            </w:pPr>
          </w:p>
        </w:tc>
        <w:tc>
          <w:tcPr>
            <w:tcW w:w="1175" w:type="dxa"/>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立项程序规范性</w:t>
            </w:r>
          </w:p>
        </w:tc>
        <w:tc>
          <w:tcPr>
            <w:tcW w:w="725" w:type="dxa"/>
            <w:noWrap/>
            <w:vAlign w:val="center"/>
          </w:tcPr>
          <w:p>
            <w:pPr>
              <w:widowControl/>
              <w:spacing w:line="240" w:lineRule="exact"/>
              <w:ind w:firstLine="0" w:firstLineChars="0"/>
              <w:contextualSpacing/>
              <w:jc w:val="center"/>
              <w:textAlignment w:val="center"/>
              <w:rPr>
                <w:rFonts w:hint="eastAsia" w:ascii="仿宋" w:hAnsi="仿宋" w:eastAsia="仿宋" w:cs="仿宋"/>
                <w:spacing w:val="23"/>
                <w:kern w:val="0"/>
                <w:sz w:val="20"/>
                <w:szCs w:val="20"/>
                <w:lang w:eastAsia="zh-CN" w:bidi="ar"/>
              </w:rPr>
            </w:pPr>
            <w:r>
              <w:rPr>
                <w:rFonts w:hint="eastAsia" w:ascii="仿宋" w:hAnsi="仿宋" w:eastAsia="仿宋" w:cs="仿宋"/>
                <w:spacing w:val="23"/>
                <w:kern w:val="0"/>
                <w:sz w:val="20"/>
                <w:szCs w:val="20"/>
                <w:lang w:val="en-US" w:eastAsia="zh-CN" w:bidi="ar"/>
              </w:rPr>
              <w:t>2</w:t>
            </w:r>
          </w:p>
        </w:tc>
        <w:tc>
          <w:tcPr>
            <w:tcW w:w="3338" w:type="dxa"/>
            <w:vAlign w:val="center"/>
          </w:tcPr>
          <w:p>
            <w:pPr>
              <w:widowControl/>
              <w:spacing w:line="240" w:lineRule="exact"/>
              <w:ind w:firstLine="0" w:firstLineChars="0"/>
              <w:contextualSpacing/>
              <w:jc w:val="left"/>
              <w:textAlignment w:val="top"/>
              <w:rPr>
                <w:rStyle w:val="42"/>
                <w:rFonts w:ascii="仿宋" w:hAnsi="仿宋" w:eastAsia="仿宋" w:cs="仿宋"/>
                <w:color w:val="auto"/>
                <w:spacing w:val="23"/>
                <w:lang w:bidi="ar"/>
              </w:rPr>
            </w:pPr>
            <w:r>
              <w:rPr>
                <w:rStyle w:val="42"/>
                <w:rFonts w:hint="eastAsia" w:ascii="仿宋" w:hAnsi="仿宋" w:eastAsia="仿宋" w:cs="仿宋"/>
                <w:color w:val="auto"/>
                <w:spacing w:val="23"/>
                <w:lang w:bidi="ar"/>
              </w:rPr>
              <w:t>预算支出申请、设立过程是否符合相关要求，用以反映和考核决策的规范情况。</w:t>
            </w:r>
          </w:p>
        </w:tc>
        <w:tc>
          <w:tcPr>
            <w:tcW w:w="3801" w:type="dxa"/>
          </w:tcPr>
          <w:p>
            <w:pPr>
              <w:widowControl/>
              <w:spacing w:line="240" w:lineRule="exact"/>
              <w:ind w:firstLine="0" w:firstLineChars="0"/>
              <w:contextualSpacing/>
              <w:jc w:val="left"/>
              <w:textAlignment w:val="top"/>
              <w:rPr>
                <w:rStyle w:val="42"/>
                <w:rFonts w:ascii="仿宋" w:hAnsi="仿宋" w:eastAsia="仿宋" w:cs="仿宋"/>
                <w:color w:val="auto"/>
                <w:spacing w:val="23"/>
                <w:lang w:bidi="ar"/>
              </w:rPr>
            </w:pPr>
            <w:r>
              <w:rPr>
                <w:rStyle w:val="42"/>
                <w:rFonts w:ascii="仿宋" w:hAnsi="仿宋" w:eastAsia="仿宋" w:cs="仿宋"/>
                <w:color w:val="auto"/>
                <w:spacing w:val="23"/>
                <w:lang w:bidi="ar"/>
              </w:rPr>
              <w:t>①项目按照规定的程序申请设立，计</w:t>
            </w:r>
            <w:r>
              <w:rPr>
                <w:rStyle w:val="42"/>
                <w:rFonts w:hint="eastAsia" w:ascii="仿宋" w:hAnsi="仿宋" w:eastAsia="仿宋" w:cs="仿宋"/>
                <w:color w:val="auto"/>
                <w:spacing w:val="23"/>
                <w:lang w:bidi="ar"/>
              </w:rPr>
              <w:t>1</w:t>
            </w:r>
            <w:r>
              <w:rPr>
                <w:rStyle w:val="42"/>
                <w:rFonts w:ascii="仿宋" w:hAnsi="仿宋" w:eastAsia="仿宋" w:cs="仿宋"/>
                <w:color w:val="auto"/>
                <w:spacing w:val="23"/>
                <w:lang w:bidi="ar"/>
              </w:rPr>
              <w:t>分；②审批文件、材料符合相关要求，计</w:t>
            </w:r>
            <w:r>
              <w:rPr>
                <w:rStyle w:val="42"/>
                <w:rFonts w:hint="eastAsia" w:ascii="仿宋" w:hAnsi="仿宋" w:eastAsia="仿宋" w:cs="仿宋"/>
                <w:color w:val="auto"/>
                <w:spacing w:val="23"/>
                <w:lang w:bidi="ar"/>
              </w:rPr>
              <w:t>1</w:t>
            </w:r>
            <w:r>
              <w:rPr>
                <w:rStyle w:val="42"/>
                <w:rFonts w:ascii="仿宋" w:hAnsi="仿宋" w:eastAsia="仿宋" w:cs="仿宋"/>
                <w:color w:val="auto"/>
                <w:spacing w:val="23"/>
                <w:lang w:bidi="ar"/>
              </w:rPr>
              <w:t>分。否则，酌情扣分。</w:t>
            </w:r>
          </w:p>
        </w:tc>
        <w:tc>
          <w:tcPr>
            <w:tcW w:w="2799" w:type="dxa"/>
            <w:noWrap/>
            <w:vAlign w:val="center"/>
          </w:tcPr>
          <w:p>
            <w:pPr>
              <w:spacing w:line="240" w:lineRule="exact"/>
              <w:ind w:firstLine="0" w:firstLineChars="0"/>
              <w:contextualSpacing/>
              <w:jc w:val="left"/>
              <w:rPr>
                <w:rFonts w:ascii="仿宋" w:hAnsi="仿宋" w:eastAsia="仿宋" w:cs="仿宋"/>
                <w:spacing w:val="28"/>
                <w:sz w:val="20"/>
                <w:szCs w:val="20"/>
              </w:rPr>
            </w:pPr>
            <w:r>
              <w:rPr>
                <w:rStyle w:val="42"/>
                <w:rFonts w:ascii="仿宋" w:hAnsi="仿宋" w:eastAsia="仿宋" w:cs="仿宋"/>
                <w:color w:val="auto"/>
                <w:spacing w:val="23"/>
                <w:lang w:bidi="ar"/>
              </w:rPr>
              <w:t>项目按照规定的程序申请</w:t>
            </w:r>
            <w:r>
              <w:rPr>
                <w:rStyle w:val="42"/>
                <w:rFonts w:hint="eastAsia" w:ascii="仿宋" w:hAnsi="仿宋" w:eastAsia="仿宋" w:cs="仿宋"/>
                <w:color w:val="auto"/>
                <w:spacing w:val="23"/>
                <w:lang w:bidi="ar"/>
              </w:rPr>
              <w:t>，</w:t>
            </w:r>
            <w:r>
              <w:rPr>
                <w:rStyle w:val="42"/>
                <w:rFonts w:ascii="仿宋" w:hAnsi="仿宋" w:eastAsia="仿宋" w:cs="仿宋"/>
                <w:color w:val="auto"/>
                <w:spacing w:val="23"/>
                <w:lang w:bidi="ar"/>
              </w:rPr>
              <w:t>审批文件、材料符合相关要求</w:t>
            </w:r>
            <w:r>
              <w:rPr>
                <w:rStyle w:val="42"/>
                <w:rFonts w:hint="eastAsia" w:ascii="仿宋" w:hAnsi="仿宋" w:eastAsia="仿宋" w:cs="仿宋"/>
                <w:color w:val="auto"/>
                <w:spacing w:val="23"/>
                <w:lang w:bidi="ar"/>
              </w:rPr>
              <w:t>。</w:t>
            </w:r>
            <w:r>
              <w:rPr>
                <w:rFonts w:hint="eastAsia" w:ascii="仿宋" w:hAnsi="仿宋" w:eastAsia="仿宋" w:cs="仿宋"/>
                <w:spacing w:val="23"/>
                <w:kern w:val="0"/>
                <w:sz w:val="20"/>
                <w:szCs w:val="20"/>
                <w:lang w:bidi="ar"/>
              </w:rPr>
              <w:t>计2分。</w:t>
            </w:r>
          </w:p>
        </w:tc>
        <w:tc>
          <w:tcPr>
            <w:tcW w:w="898" w:type="dxa"/>
            <w:noWrap/>
            <w:vAlign w:val="center"/>
          </w:tcPr>
          <w:p>
            <w:pPr>
              <w:spacing w:line="240" w:lineRule="exact"/>
              <w:ind w:firstLine="0" w:firstLineChars="0"/>
              <w:contextualSpacing/>
              <w:jc w:val="center"/>
              <w:rPr>
                <w:rFonts w:hint="eastAsia" w:ascii="仿宋" w:hAnsi="仿宋" w:eastAsia="仿宋" w:cs="仿宋"/>
                <w:spacing w:val="28"/>
                <w:sz w:val="20"/>
                <w:szCs w:val="20"/>
                <w:lang w:eastAsia="zh-CN"/>
              </w:rPr>
            </w:pPr>
            <w:r>
              <w:rPr>
                <w:rFonts w:hint="eastAsia" w:ascii="仿宋" w:hAnsi="仿宋" w:eastAsia="仿宋" w:cs="仿宋"/>
                <w:spacing w:val="28"/>
                <w:sz w:val="20"/>
                <w:szCs w:val="20"/>
                <w:lang w:val="en-US" w:eastAsia="zh-CN"/>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79" w:hRule="atLeast"/>
        </w:trPr>
        <w:tc>
          <w:tcPr>
            <w:tcW w:w="660" w:type="dxa"/>
            <w:vMerge w:val="continue"/>
            <w:vAlign w:val="center"/>
          </w:tcPr>
          <w:p>
            <w:pPr>
              <w:spacing w:line="240" w:lineRule="exact"/>
              <w:ind w:firstLine="492"/>
              <w:contextualSpacing/>
              <w:jc w:val="center"/>
              <w:rPr>
                <w:rFonts w:ascii="仿宋" w:hAnsi="仿宋" w:eastAsia="仿宋" w:cs="仿宋"/>
                <w:spacing w:val="23"/>
                <w:sz w:val="20"/>
                <w:szCs w:val="20"/>
              </w:rPr>
            </w:pPr>
          </w:p>
        </w:tc>
        <w:tc>
          <w:tcPr>
            <w:tcW w:w="911" w:type="dxa"/>
            <w:vAlign w:val="center"/>
          </w:tcPr>
          <w:p>
            <w:pPr>
              <w:widowControl/>
              <w:spacing w:line="240" w:lineRule="exact"/>
              <w:ind w:firstLine="0" w:firstLineChars="0"/>
              <w:contextualSpacing/>
              <w:jc w:val="center"/>
              <w:textAlignment w:val="center"/>
              <w:rPr>
                <w:rFonts w:ascii="仿宋" w:hAnsi="仿宋" w:eastAsia="仿宋" w:cs="仿宋"/>
                <w:spacing w:val="23"/>
                <w:sz w:val="20"/>
                <w:szCs w:val="20"/>
              </w:rPr>
            </w:pPr>
            <w:r>
              <w:rPr>
                <w:rFonts w:hint="eastAsia" w:ascii="仿宋" w:hAnsi="仿宋" w:eastAsia="仿宋" w:cs="仿宋"/>
                <w:spacing w:val="23"/>
                <w:kern w:val="0"/>
                <w:sz w:val="20"/>
                <w:szCs w:val="20"/>
                <w:lang w:bidi="ar"/>
              </w:rPr>
              <w:t>绩效</w:t>
            </w:r>
            <w:r>
              <w:rPr>
                <w:rFonts w:hint="eastAsia" w:ascii="仿宋" w:hAnsi="仿宋" w:eastAsia="仿宋" w:cs="仿宋"/>
                <w:spacing w:val="23"/>
                <w:kern w:val="0"/>
                <w:sz w:val="20"/>
                <w:szCs w:val="20"/>
                <w:lang w:bidi="ar"/>
              </w:rPr>
              <w:br w:type="textWrapping"/>
            </w:r>
            <w:r>
              <w:rPr>
                <w:rFonts w:hint="eastAsia" w:ascii="仿宋" w:hAnsi="仿宋" w:eastAsia="仿宋" w:cs="仿宋"/>
                <w:spacing w:val="23"/>
                <w:kern w:val="0"/>
                <w:sz w:val="20"/>
                <w:szCs w:val="20"/>
                <w:lang w:bidi="ar"/>
              </w:rPr>
              <w:t>目标（</w:t>
            </w:r>
            <w:r>
              <w:rPr>
                <w:rFonts w:hint="eastAsia" w:ascii="仿宋" w:hAnsi="仿宋" w:eastAsia="仿宋" w:cs="仿宋"/>
                <w:spacing w:val="23"/>
                <w:kern w:val="0"/>
                <w:sz w:val="20"/>
                <w:szCs w:val="20"/>
                <w:lang w:val="en-US" w:eastAsia="zh-CN" w:bidi="ar"/>
              </w:rPr>
              <w:t>9</w:t>
            </w:r>
            <w:r>
              <w:rPr>
                <w:rFonts w:hint="eastAsia" w:ascii="仿宋" w:hAnsi="仿宋" w:eastAsia="仿宋" w:cs="仿宋"/>
                <w:spacing w:val="23"/>
                <w:kern w:val="0"/>
                <w:sz w:val="20"/>
                <w:szCs w:val="20"/>
                <w:lang w:bidi="ar"/>
              </w:rPr>
              <w:t>分）</w:t>
            </w:r>
          </w:p>
        </w:tc>
        <w:tc>
          <w:tcPr>
            <w:tcW w:w="1175" w:type="dxa"/>
            <w:vAlign w:val="center"/>
          </w:tcPr>
          <w:p>
            <w:pPr>
              <w:widowControl/>
              <w:spacing w:line="240" w:lineRule="exact"/>
              <w:ind w:firstLine="0" w:firstLineChars="0"/>
              <w:contextualSpacing/>
              <w:jc w:val="center"/>
              <w:textAlignment w:val="center"/>
              <w:rPr>
                <w:rFonts w:ascii="仿宋" w:hAnsi="仿宋" w:eastAsia="仿宋" w:cs="仿宋"/>
                <w:spacing w:val="23"/>
                <w:sz w:val="20"/>
                <w:szCs w:val="20"/>
              </w:rPr>
            </w:pPr>
            <w:r>
              <w:rPr>
                <w:rFonts w:hint="eastAsia" w:ascii="仿宋" w:hAnsi="仿宋" w:eastAsia="仿宋" w:cs="仿宋"/>
                <w:spacing w:val="23"/>
                <w:kern w:val="0"/>
                <w:sz w:val="20"/>
                <w:szCs w:val="20"/>
                <w:lang w:bidi="ar"/>
              </w:rPr>
              <w:t>绩效目标合理性</w:t>
            </w:r>
          </w:p>
        </w:tc>
        <w:tc>
          <w:tcPr>
            <w:tcW w:w="725" w:type="dxa"/>
            <w:noWrap/>
            <w:vAlign w:val="center"/>
          </w:tcPr>
          <w:p>
            <w:pPr>
              <w:widowControl/>
              <w:spacing w:line="240" w:lineRule="exact"/>
              <w:ind w:firstLine="0" w:firstLineChars="0"/>
              <w:contextualSpacing/>
              <w:jc w:val="center"/>
              <w:textAlignment w:val="center"/>
              <w:rPr>
                <w:rFonts w:hint="eastAsia" w:ascii="仿宋" w:hAnsi="仿宋" w:eastAsia="仿宋" w:cs="仿宋"/>
                <w:spacing w:val="23"/>
                <w:sz w:val="20"/>
                <w:szCs w:val="20"/>
                <w:lang w:eastAsia="zh-CN"/>
              </w:rPr>
            </w:pPr>
            <w:r>
              <w:rPr>
                <w:rFonts w:hint="eastAsia" w:ascii="仿宋" w:hAnsi="仿宋" w:eastAsia="仿宋" w:cs="仿宋"/>
                <w:spacing w:val="23"/>
                <w:kern w:val="0"/>
                <w:sz w:val="20"/>
                <w:szCs w:val="20"/>
                <w:lang w:val="en-US" w:eastAsia="zh-CN" w:bidi="ar"/>
              </w:rPr>
              <w:t>4</w:t>
            </w:r>
          </w:p>
        </w:tc>
        <w:tc>
          <w:tcPr>
            <w:tcW w:w="3338" w:type="dxa"/>
            <w:vAlign w:val="center"/>
          </w:tcPr>
          <w:p>
            <w:pPr>
              <w:widowControl/>
              <w:spacing w:line="240" w:lineRule="exact"/>
              <w:ind w:firstLine="0" w:firstLineChars="0"/>
              <w:contextualSpacing/>
              <w:jc w:val="left"/>
              <w:textAlignment w:val="top"/>
              <w:rPr>
                <w:rStyle w:val="42"/>
                <w:rFonts w:ascii="仿宋" w:hAnsi="仿宋" w:eastAsia="仿宋" w:cs="仿宋"/>
                <w:color w:val="auto"/>
                <w:spacing w:val="23"/>
                <w:lang w:bidi="ar"/>
              </w:rPr>
            </w:pPr>
            <w:r>
              <w:rPr>
                <w:rStyle w:val="42"/>
                <w:rFonts w:hint="eastAsia" w:ascii="仿宋" w:hAnsi="仿宋" w:eastAsia="仿宋" w:cs="仿宋"/>
                <w:color w:val="auto"/>
                <w:spacing w:val="23"/>
                <w:lang w:bidi="ar"/>
              </w:rPr>
              <w:t>项目是否有制定绩效目标；目标是否通过清晰、可衡量的指标值全面反映项目应达到的数量、质量、时效、成本及预期效益。</w:t>
            </w:r>
          </w:p>
        </w:tc>
        <w:tc>
          <w:tcPr>
            <w:tcW w:w="3801" w:type="dxa"/>
          </w:tcPr>
          <w:p>
            <w:pPr>
              <w:widowControl/>
              <w:spacing w:line="240" w:lineRule="exact"/>
              <w:ind w:firstLine="0" w:firstLineChars="0"/>
              <w:contextualSpacing/>
              <w:jc w:val="left"/>
              <w:textAlignment w:val="top"/>
              <w:rPr>
                <w:rStyle w:val="42"/>
                <w:rFonts w:ascii="仿宋" w:hAnsi="仿宋" w:eastAsia="仿宋" w:cs="仿宋"/>
                <w:color w:val="auto"/>
                <w:spacing w:val="23"/>
                <w:lang w:bidi="ar"/>
              </w:rPr>
            </w:pPr>
            <w:r>
              <w:rPr>
                <w:rStyle w:val="42"/>
                <w:rFonts w:ascii="仿宋" w:hAnsi="仿宋" w:eastAsia="仿宋" w:cs="仿宋"/>
                <w:color w:val="auto"/>
                <w:spacing w:val="23"/>
                <w:lang w:bidi="ar"/>
              </w:rPr>
              <w:t>①项目有绩效目标，计</w:t>
            </w:r>
            <w:r>
              <w:rPr>
                <w:rStyle w:val="42"/>
                <w:rFonts w:hint="eastAsia" w:ascii="仿宋" w:hAnsi="仿宋" w:eastAsia="仿宋" w:cs="仿宋"/>
                <w:color w:val="auto"/>
                <w:spacing w:val="23"/>
                <w:lang w:bidi="ar"/>
              </w:rPr>
              <w:t>1</w:t>
            </w:r>
            <w:r>
              <w:rPr>
                <w:rStyle w:val="42"/>
                <w:rFonts w:ascii="仿宋" w:hAnsi="仿宋" w:eastAsia="仿宋" w:cs="仿宋"/>
                <w:color w:val="auto"/>
                <w:spacing w:val="23"/>
                <w:lang w:bidi="ar"/>
              </w:rPr>
              <w:t>分；</w:t>
            </w:r>
          </w:p>
          <w:p>
            <w:pPr>
              <w:widowControl/>
              <w:spacing w:line="240" w:lineRule="exact"/>
              <w:ind w:firstLine="0" w:firstLineChars="0"/>
              <w:contextualSpacing/>
              <w:jc w:val="left"/>
              <w:textAlignment w:val="top"/>
              <w:rPr>
                <w:rStyle w:val="42"/>
                <w:rFonts w:ascii="仿宋" w:hAnsi="仿宋" w:eastAsia="仿宋" w:cs="仿宋"/>
                <w:color w:val="auto"/>
                <w:spacing w:val="23"/>
                <w:lang w:bidi="ar"/>
              </w:rPr>
            </w:pPr>
            <w:r>
              <w:rPr>
                <w:rStyle w:val="42"/>
                <w:rFonts w:ascii="仿宋" w:hAnsi="仿宋" w:eastAsia="仿宋" w:cs="仿宋"/>
                <w:color w:val="auto"/>
                <w:spacing w:val="23"/>
                <w:lang w:bidi="ar"/>
              </w:rPr>
              <w:t>②项目绩效目标与实际工作内容具有相关性，计</w:t>
            </w:r>
            <w:r>
              <w:rPr>
                <w:rStyle w:val="42"/>
                <w:rFonts w:hint="eastAsia" w:ascii="仿宋" w:hAnsi="仿宋" w:eastAsia="仿宋" w:cs="仿宋"/>
                <w:color w:val="auto"/>
                <w:spacing w:val="23"/>
                <w:lang w:val="en-US" w:eastAsia="zh-CN" w:bidi="ar"/>
              </w:rPr>
              <w:t>1</w:t>
            </w:r>
            <w:r>
              <w:rPr>
                <w:rStyle w:val="42"/>
                <w:rFonts w:ascii="仿宋" w:hAnsi="仿宋" w:eastAsia="仿宋" w:cs="仿宋"/>
                <w:color w:val="auto"/>
                <w:spacing w:val="23"/>
                <w:lang w:bidi="ar"/>
              </w:rPr>
              <w:t>分；③</w:t>
            </w:r>
            <w:r>
              <w:rPr>
                <w:rStyle w:val="42"/>
                <w:rFonts w:hint="eastAsia" w:ascii="仿宋" w:hAnsi="仿宋" w:eastAsia="仿宋" w:cs="仿宋"/>
                <w:color w:val="auto"/>
                <w:spacing w:val="23"/>
                <w:lang w:bidi="ar"/>
              </w:rPr>
              <w:t>项目是否为促进事业发展所必需</w:t>
            </w:r>
            <w:r>
              <w:rPr>
                <w:rStyle w:val="42"/>
                <w:rFonts w:ascii="仿宋" w:hAnsi="仿宋" w:eastAsia="仿宋" w:cs="仿宋"/>
                <w:color w:val="auto"/>
                <w:spacing w:val="23"/>
                <w:lang w:bidi="ar"/>
              </w:rPr>
              <w:t>，计</w:t>
            </w:r>
            <w:r>
              <w:rPr>
                <w:rStyle w:val="42"/>
                <w:rFonts w:hint="eastAsia" w:ascii="仿宋" w:hAnsi="仿宋" w:eastAsia="仿宋" w:cs="仿宋"/>
                <w:color w:val="auto"/>
                <w:spacing w:val="23"/>
                <w:lang w:bidi="ar"/>
              </w:rPr>
              <w:t>1</w:t>
            </w:r>
            <w:r>
              <w:rPr>
                <w:rStyle w:val="42"/>
                <w:rFonts w:ascii="仿宋" w:hAnsi="仿宋" w:eastAsia="仿宋" w:cs="仿宋"/>
                <w:color w:val="auto"/>
                <w:spacing w:val="23"/>
                <w:lang w:bidi="ar"/>
              </w:rPr>
              <w:t>分；④项目预期产出效益和效果符合正常的业绩水平，计</w:t>
            </w:r>
            <w:r>
              <w:rPr>
                <w:rStyle w:val="42"/>
                <w:rFonts w:hint="eastAsia" w:ascii="仿宋" w:hAnsi="仿宋" w:eastAsia="仿宋" w:cs="仿宋"/>
                <w:color w:val="auto"/>
                <w:spacing w:val="23"/>
                <w:lang w:bidi="ar"/>
              </w:rPr>
              <w:t>1</w:t>
            </w:r>
            <w:r>
              <w:rPr>
                <w:rStyle w:val="42"/>
                <w:rFonts w:ascii="仿宋" w:hAnsi="仿宋" w:eastAsia="仿宋" w:cs="仿宋"/>
                <w:color w:val="auto"/>
                <w:spacing w:val="23"/>
                <w:lang w:bidi="ar"/>
              </w:rPr>
              <w:t>分。否则，酌情扣分。</w:t>
            </w:r>
          </w:p>
        </w:tc>
        <w:tc>
          <w:tcPr>
            <w:tcW w:w="2799" w:type="dxa"/>
            <w:noWrap/>
            <w:vAlign w:val="center"/>
          </w:tcPr>
          <w:p>
            <w:pPr>
              <w:spacing w:line="240" w:lineRule="exact"/>
              <w:ind w:firstLine="0" w:firstLineChars="0"/>
              <w:contextualSpacing/>
              <w:jc w:val="left"/>
              <w:rPr>
                <w:rFonts w:ascii="仿宋" w:hAnsi="仿宋" w:eastAsia="仿宋" w:cs="仿宋"/>
                <w:spacing w:val="28"/>
                <w:sz w:val="20"/>
                <w:szCs w:val="20"/>
              </w:rPr>
            </w:pPr>
            <w:r>
              <w:rPr>
                <w:rStyle w:val="42"/>
                <w:rFonts w:hint="eastAsia" w:ascii="仿宋" w:hAnsi="仿宋" w:eastAsia="仿宋" w:cs="仿宋"/>
                <w:color w:val="auto"/>
                <w:spacing w:val="23"/>
                <w:lang w:bidi="ar"/>
              </w:rPr>
              <w:t>绩效考核中的</w:t>
            </w:r>
            <w:r>
              <w:rPr>
                <w:rStyle w:val="42"/>
                <w:rFonts w:ascii="仿宋" w:hAnsi="仿宋" w:eastAsia="仿宋" w:cs="仿宋"/>
                <w:color w:val="auto"/>
                <w:spacing w:val="23"/>
                <w:lang w:bidi="ar"/>
              </w:rPr>
              <w:t>项目绩效目标与实际工作内容具有相关性</w:t>
            </w:r>
            <w:r>
              <w:rPr>
                <w:rStyle w:val="42"/>
                <w:rFonts w:hint="eastAsia" w:ascii="仿宋" w:hAnsi="仿宋" w:eastAsia="仿宋" w:cs="仿宋"/>
                <w:color w:val="auto"/>
                <w:spacing w:val="23"/>
                <w:lang w:bidi="ar"/>
              </w:rPr>
              <w:t>，</w:t>
            </w:r>
            <w:r>
              <w:rPr>
                <w:rStyle w:val="42"/>
                <w:rFonts w:ascii="仿宋" w:hAnsi="仿宋" w:eastAsia="仿宋" w:cs="仿宋"/>
                <w:color w:val="auto"/>
                <w:spacing w:val="23"/>
                <w:lang w:bidi="ar"/>
              </w:rPr>
              <w:t>项目预期产出效益和效果符合正常的业绩水平</w:t>
            </w:r>
            <w:r>
              <w:rPr>
                <w:rStyle w:val="42"/>
                <w:rFonts w:hint="eastAsia" w:ascii="仿宋" w:hAnsi="仿宋" w:eastAsia="仿宋" w:cs="仿宋"/>
                <w:color w:val="auto"/>
                <w:spacing w:val="23"/>
                <w:lang w:bidi="ar"/>
              </w:rPr>
              <w:t>。计</w:t>
            </w:r>
            <w:r>
              <w:rPr>
                <w:rStyle w:val="42"/>
                <w:rFonts w:hint="eastAsia" w:ascii="仿宋" w:hAnsi="仿宋" w:eastAsia="仿宋" w:cs="仿宋"/>
                <w:color w:val="auto"/>
                <w:spacing w:val="23"/>
                <w:lang w:val="en-US" w:eastAsia="zh-CN" w:bidi="ar"/>
              </w:rPr>
              <w:t>4</w:t>
            </w:r>
            <w:r>
              <w:rPr>
                <w:rStyle w:val="42"/>
                <w:rFonts w:hint="eastAsia" w:ascii="仿宋" w:hAnsi="仿宋" w:eastAsia="仿宋" w:cs="仿宋"/>
                <w:color w:val="auto"/>
                <w:spacing w:val="23"/>
                <w:lang w:bidi="ar"/>
              </w:rPr>
              <w:t>分。</w:t>
            </w:r>
          </w:p>
        </w:tc>
        <w:tc>
          <w:tcPr>
            <w:tcW w:w="898" w:type="dxa"/>
            <w:noWrap/>
            <w:vAlign w:val="center"/>
          </w:tcPr>
          <w:p>
            <w:pPr>
              <w:spacing w:line="240" w:lineRule="exact"/>
              <w:ind w:firstLine="0" w:firstLineChars="0"/>
              <w:contextualSpacing/>
              <w:jc w:val="center"/>
              <w:rPr>
                <w:rFonts w:hint="eastAsia" w:ascii="仿宋" w:hAnsi="仿宋" w:eastAsia="仿宋" w:cs="仿宋"/>
                <w:spacing w:val="28"/>
                <w:sz w:val="20"/>
                <w:szCs w:val="20"/>
                <w:lang w:eastAsia="zh-CN"/>
              </w:rPr>
            </w:pPr>
            <w:r>
              <w:rPr>
                <w:rFonts w:hint="eastAsia" w:ascii="仿宋" w:hAnsi="仿宋" w:eastAsia="仿宋" w:cs="仿宋"/>
                <w:spacing w:val="28"/>
                <w:sz w:val="20"/>
                <w:szCs w:val="20"/>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460" w:hRule="atLeast"/>
        </w:trPr>
        <w:tc>
          <w:tcPr>
            <w:tcW w:w="660" w:type="dxa"/>
            <w:vMerge w:val="restart"/>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决</w:t>
            </w:r>
            <w:r>
              <w:rPr>
                <w:rFonts w:hint="eastAsia" w:ascii="仿宋" w:hAnsi="仿宋" w:eastAsia="仿宋" w:cs="仿宋"/>
                <w:spacing w:val="23"/>
                <w:kern w:val="0"/>
                <w:sz w:val="20"/>
                <w:szCs w:val="20"/>
                <w:lang w:bidi="ar"/>
              </w:rPr>
              <w:br w:type="textWrapping"/>
            </w:r>
            <w:r>
              <w:rPr>
                <w:rFonts w:hint="eastAsia" w:ascii="仿宋" w:hAnsi="仿宋" w:eastAsia="仿宋" w:cs="仿宋"/>
                <w:spacing w:val="23"/>
                <w:kern w:val="0"/>
                <w:sz w:val="20"/>
                <w:szCs w:val="20"/>
                <w:lang w:bidi="ar"/>
              </w:rPr>
              <w:t>策</w:t>
            </w:r>
          </w:p>
        </w:tc>
        <w:tc>
          <w:tcPr>
            <w:tcW w:w="911" w:type="dxa"/>
            <w:vAlign w:val="center"/>
          </w:tcPr>
          <w:p>
            <w:pPr>
              <w:widowControl/>
              <w:spacing w:line="240" w:lineRule="exact"/>
              <w:ind w:firstLine="0" w:firstLineChars="0"/>
              <w:contextualSpacing/>
              <w:jc w:val="center"/>
              <w:textAlignment w:val="center"/>
              <w:rPr>
                <w:rFonts w:ascii="仿宋" w:hAnsi="仿宋" w:eastAsia="仿宋" w:cs="仿宋"/>
                <w:spacing w:val="23"/>
                <w:sz w:val="20"/>
                <w:szCs w:val="20"/>
              </w:rPr>
            </w:pPr>
            <w:r>
              <w:rPr>
                <w:rFonts w:hint="eastAsia" w:ascii="仿宋" w:hAnsi="仿宋" w:eastAsia="仿宋" w:cs="仿宋"/>
                <w:spacing w:val="23"/>
                <w:kern w:val="0"/>
                <w:sz w:val="20"/>
                <w:szCs w:val="20"/>
                <w:lang w:bidi="ar"/>
              </w:rPr>
              <w:t>绩效</w:t>
            </w:r>
            <w:r>
              <w:rPr>
                <w:rFonts w:hint="eastAsia" w:ascii="仿宋" w:hAnsi="仿宋" w:eastAsia="仿宋" w:cs="仿宋"/>
                <w:spacing w:val="23"/>
                <w:kern w:val="0"/>
                <w:sz w:val="20"/>
                <w:szCs w:val="20"/>
                <w:lang w:bidi="ar"/>
              </w:rPr>
              <w:br w:type="textWrapping"/>
            </w:r>
            <w:r>
              <w:rPr>
                <w:rFonts w:hint="eastAsia" w:ascii="仿宋" w:hAnsi="仿宋" w:eastAsia="仿宋" w:cs="仿宋"/>
                <w:spacing w:val="23"/>
                <w:kern w:val="0"/>
                <w:sz w:val="20"/>
                <w:szCs w:val="20"/>
                <w:lang w:bidi="ar"/>
              </w:rPr>
              <w:t>目标</w:t>
            </w:r>
          </w:p>
        </w:tc>
        <w:tc>
          <w:tcPr>
            <w:tcW w:w="1175" w:type="dxa"/>
            <w:vAlign w:val="center"/>
          </w:tcPr>
          <w:p>
            <w:pPr>
              <w:widowControl/>
              <w:spacing w:line="240" w:lineRule="exact"/>
              <w:ind w:firstLine="0" w:firstLineChars="0"/>
              <w:contextualSpacing/>
              <w:jc w:val="center"/>
              <w:textAlignment w:val="center"/>
              <w:rPr>
                <w:rFonts w:ascii="仿宋" w:hAnsi="仿宋" w:eastAsia="仿宋" w:cs="仿宋"/>
                <w:spacing w:val="23"/>
                <w:sz w:val="20"/>
                <w:szCs w:val="20"/>
              </w:rPr>
            </w:pPr>
            <w:r>
              <w:rPr>
                <w:rFonts w:hint="eastAsia" w:ascii="仿宋" w:hAnsi="仿宋" w:eastAsia="仿宋" w:cs="仿宋"/>
                <w:spacing w:val="23"/>
                <w:kern w:val="0"/>
                <w:sz w:val="20"/>
                <w:szCs w:val="20"/>
                <w:lang w:bidi="ar"/>
              </w:rPr>
              <w:t>绩效指标明确性</w:t>
            </w:r>
          </w:p>
        </w:tc>
        <w:tc>
          <w:tcPr>
            <w:tcW w:w="725" w:type="dxa"/>
            <w:noWrap/>
            <w:vAlign w:val="center"/>
          </w:tcPr>
          <w:p>
            <w:pPr>
              <w:widowControl/>
              <w:spacing w:line="240" w:lineRule="exact"/>
              <w:ind w:firstLine="0" w:firstLineChars="0"/>
              <w:contextualSpacing/>
              <w:jc w:val="center"/>
              <w:textAlignment w:val="center"/>
              <w:rPr>
                <w:rFonts w:ascii="仿宋" w:hAnsi="仿宋" w:eastAsia="仿宋" w:cs="仿宋"/>
                <w:spacing w:val="23"/>
                <w:sz w:val="20"/>
                <w:szCs w:val="20"/>
              </w:rPr>
            </w:pPr>
            <w:r>
              <w:rPr>
                <w:rFonts w:hint="eastAsia" w:ascii="仿宋" w:hAnsi="仿宋" w:eastAsia="仿宋" w:cs="仿宋"/>
                <w:spacing w:val="23"/>
                <w:kern w:val="0"/>
                <w:sz w:val="20"/>
                <w:szCs w:val="20"/>
                <w:lang w:bidi="ar"/>
              </w:rPr>
              <w:t>5</w:t>
            </w:r>
          </w:p>
        </w:tc>
        <w:tc>
          <w:tcPr>
            <w:tcW w:w="3338" w:type="dxa"/>
            <w:vAlign w:val="center"/>
          </w:tcPr>
          <w:p>
            <w:pPr>
              <w:widowControl/>
              <w:spacing w:line="240" w:lineRule="exact"/>
              <w:ind w:firstLine="0" w:firstLineChars="0"/>
              <w:contextualSpacing/>
              <w:jc w:val="left"/>
              <w:textAlignment w:val="top"/>
              <w:rPr>
                <w:rStyle w:val="42"/>
                <w:rFonts w:ascii="仿宋" w:hAnsi="仿宋" w:eastAsia="仿宋" w:cs="仿宋"/>
                <w:color w:val="auto"/>
                <w:spacing w:val="23"/>
                <w:lang w:bidi="ar"/>
              </w:rPr>
            </w:pPr>
            <w:r>
              <w:rPr>
                <w:rStyle w:val="42"/>
                <w:rFonts w:hint="eastAsia" w:ascii="仿宋" w:hAnsi="仿宋" w:eastAsia="仿宋" w:cs="仿宋"/>
                <w:color w:val="auto"/>
                <w:spacing w:val="23"/>
                <w:lang w:bidi="ar"/>
              </w:rPr>
              <w:t>①是否将预算支出绩效目标细化分解为具体的绩效指标；②是否通过清晰、可衡量的指标值予以体现；③是否与预算支出目标任务数或计划数相对应。</w:t>
            </w:r>
          </w:p>
        </w:tc>
        <w:tc>
          <w:tcPr>
            <w:tcW w:w="3801" w:type="dxa"/>
          </w:tcPr>
          <w:p>
            <w:pPr>
              <w:widowControl/>
              <w:spacing w:line="240" w:lineRule="exact"/>
              <w:ind w:firstLine="0" w:firstLineChars="0"/>
              <w:contextualSpacing/>
              <w:jc w:val="left"/>
              <w:textAlignment w:val="top"/>
              <w:rPr>
                <w:rStyle w:val="42"/>
                <w:rFonts w:ascii="仿宋" w:hAnsi="仿宋" w:eastAsia="仿宋" w:cs="仿宋"/>
                <w:color w:val="auto"/>
                <w:spacing w:val="23"/>
                <w:lang w:bidi="ar"/>
              </w:rPr>
            </w:pPr>
            <w:r>
              <w:rPr>
                <w:rStyle w:val="42"/>
                <w:rFonts w:ascii="仿宋" w:hAnsi="仿宋" w:eastAsia="仿宋" w:cs="仿宋"/>
                <w:color w:val="auto"/>
                <w:spacing w:val="23"/>
                <w:lang w:bidi="ar"/>
              </w:rPr>
              <w:t>①将项目绩效目标细化分解为具体的绩效指标，计</w:t>
            </w:r>
            <w:r>
              <w:rPr>
                <w:rStyle w:val="42"/>
                <w:rFonts w:hint="eastAsia" w:ascii="仿宋" w:hAnsi="仿宋" w:eastAsia="仿宋" w:cs="仿宋"/>
                <w:color w:val="auto"/>
                <w:spacing w:val="23"/>
                <w:lang w:bidi="ar"/>
              </w:rPr>
              <w:t>1.5</w:t>
            </w:r>
            <w:r>
              <w:rPr>
                <w:rStyle w:val="42"/>
                <w:rFonts w:ascii="仿宋" w:hAnsi="仿宋" w:eastAsia="仿宋" w:cs="仿宋"/>
                <w:color w:val="auto"/>
                <w:spacing w:val="23"/>
                <w:lang w:bidi="ar"/>
              </w:rPr>
              <w:t>分；②</w:t>
            </w:r>
            <w:r>
              <w:rPr>
                <w:rStyle w:val="42"/>
                <w:rFonts w:hint="eastAsia" w:ascii="仿宋" w:hAnsi="仿宋" w:eastAsia="仿宋" w:cs="仿宋"/>
                <w:color w:val="auto"/>
                <w:spacing w:val="23"/>
                <w:lang w:bidi="ar"/>
              </w:rPr>
              <w:t>通过清晰、可衡量的指标值予以体现</w:t>
            </w:r>
            <w:r>
              <w:rPr>
                <w:rStyle w:val="42"/>
                <w:rFonts w:ascii="仿宋" w:hAnsi="仿宋" w:eastAsia="仿宋" w:cs="仿宋"/>
                <w:color w:val="auto"/>
                <w:spacing w:val="23"/>
                <w:lang w:bidi="ar"/>
              </w:rPr>
              <w:t>，计</w:t>
            </w:r>
            <w:r>
              <w:rPr>
                <w:rStyle w:val="42"/>
                <w:rFonts w:hint="eastAsia" w:ascii="仿宋" w:hAnsi="仿宋" w:eastAsia="仿宋" w:cs="仿宋"/>
                <w:color w:val="auto"/>
                <w:spacing w:val="23"/>
                <w:lang w:bidi="ar"/>
              </w:rPr>
              <w:t>1.5</w:t>
            </w:r>
            <w:r>
              <w:rPr>
                <w:rStyle w:val="42"/>
                <w:rFonts w:ascii="仿宋" w:hAnsi="仿宋" w:eastAsia="仿宋" w:cs="仿宋"/>
                <w:color w:val="auto"/>
                <w:spacing w:val="23"/>
                <w:lang w:bidi="ar"/>
              </w:rPr>
              <w:t>分；</w:t>
            </w:r>
          </w:p>
          <w:p>
            <w:pPr>
              <w:widowControl/>
              <w:spacing w:line="240" w:lineRule="exact"/>
              <w:ind w:firstLine="0" w:firstLineChars="0"/>
              <w:contextualSpacing/>
              <w:jc w:val="left"/>
              <w:textAlignment w:val="top"/>
              <w:rPr>
                <w:rStyle w:val="42"/>
                <w:rFonts w:ascii="仿宋" w:hAnsi="仿宋" w:eastAsia="仿宋" w:cs="仿宋"/>
                <w:color w:val="auto"/>
                <w:spacing w:val="23"/>
                <w:lang w:bidi="ar"/>
              </w:rPr>
            </w:pPr>
            <w:r>
              <w:rPr>
                <w:rStyle w:val="42"/>
                <w:rFonts w:ascii="仿宋" w:hAnsi="仿宋" w:eastAsia="仿宋" w:cs="仿宋"/>
                <w:color w:val="auto"/>
                <w:spacing w:val="23"/>
                <w:lang w:bidi="ar"/>
              </w:rPr>
              <w:t>③</w:t>
            </w:r>
            <w:r>
              <w:rPr>
                <w:rStyle w:val="42"/>
                <w:rFonts w:hint="eastAsia" w:ascii="仿宋" w:hAnsi="仿宋" w:eastAsia="仿宋" w:cs="仿宋"/>
                <w:color w:val="auto"/>
                <w:spacing w:val="23"/>
                <w:lang w:bidi="ar"/>
              </w:rPr>
              <w:t>与项目年度任务数或计划数相对应，计1分；</w:t>
            </w:r>
            <w:r>
              <w:rPr>
                <w:rStyle w:val="42"/>
                <w:rFonts w:ascii="仿宋" w:hAnsi="仿宋" w:eastAsia="仿宋" w:cs="仿宋"/>
                <w:color w:val="auto"/>
                <w:spacing w:val="23"/>
                <w:lang w:bidi="ar"/>
              </w:rPr>
              <w:t>④目标与资金匹配良好，逻辑关系明确，计1分。否则，酌情扣分。</w:t>
            </w:r>
          </w:p>
        </w:tc>
        <w:tc>
          <w:tcPr>
            <w:tcW w:w="2799" w:type="dxa"/>
            <w:noWrap/>
            <w:vAlign w:val="center"/>
          </w:tcPr>
          <w:p>
            <w:pPr>
              <w:spacing w:line="240" w:lineRule="exact"/>
              <w:ind w:firstLine="0" w:firstLineChars="0"/>
              <w:contextualSpacing/>
              <w:jc w:val="left"/>
              <w:rPr>
                <w:rFonts w:ascii="仿宋" w:hAnsi="仿宋" w:eastAsia="仿宋" w:cs="仿宋"/>
                <w:spacing w:val="28"/>
                <w:sz w:val="20"/>
                <w:szCs w:val="20"/>
                <w:highlight w:val="yellow"/>
              </w:rPr>
            </w:pPr>
            <w:r>
              <w:rPr>
                <w:rStyle w:val="42"/>
                <w:rFonts w:ascii="仿宋" w:hAnsi="仿宋" w:eastAsia="仿宋" w:cs="仿宋"/>
                <w:color w:val="auto"/>
                <w:spacing w:val="23"/>
                <w:lang w:bidi="ar"/>
              </w:rPr>
              <w:t>绩效目标</w:t>
            </w:r>
            <w:r>
              <w:rPr>
                <w:rStyle w:val="42"/>
                <w:rFonts w:hint="eastAsia" w:ascii="仿宋" w:hAnsi="仿宋" w:eastAsia="仿宋" w:cs="仿宋"/>
                <w:color w:val="auto"/>
                <w:spacing w:val="23"/>
                <w:lang w:val="en-US" w:eastAsia="zh-CN" w:bidi="ar"/>
              </w:rPr>
              <w:t>设置</w:t>
            </w:r>
            <w:r>
              <w:rPr>
                <w:rStyle w:val="42"/>
                <w:rFonts w:hint="eastAsia" w:ascii="仿宋" w:hAnsi="仿宋" w:eastAsia="仿宋" w:cs="仿宋"/>
                <w:color w:val="auto"/>
                <w:spacing w:val="23"/>
                <w:lang w:bidi="ar"/>
              </w:rPr>
              <w:t>清晰、可衡量，</w:t>
            </w:r>
            <w:r>
              <w:rPr>
                <w:rStyle w:val="42"/>
                <w:rFonts w:hint="eastAsia" w:ascii="仿宋" w:hAnsi="仿宋" w:eastAsia="仿宋" w:cs="仿宋"/>
                <w:color w:val="auto"/>
                <w:spacing w:val="23"/>
                <w:lang w:val="en-US" w:eastAsia="zh-CN" w:bidi="ar"/>
              </w:rPr>
              <w:t>计5</w:t>
            </w:r>
            <w:r>
              <w:rPr>
                <w:rStyle w:val="42"/>
                <w:rFonts w:hint="eastAsia" w:ascii="仿宋" w:hAnsi="仿宋" w:eastAsia="仿宋" w:cs="仿宋"/>
                <w:color w:val="auto"/>
                <w:spacing w:val="23"/>
                <w:lang w:bidi="ar"/>
              </w:rPr>
              <w:t>分。</w:t>
            </w:r>
          </w:p>
        </w:tc>
        <w:tc>
          <w:tcPr>
            <w:tcW w:w="898" w:type="dxa"/>
            <w:noWrap/>
            <w:vAlign w:val="center"/>
          </w:tcPr>
          <w:p>
            <w:pPr>
              <w:spacing w:line="240" w:lineRule="exact"/>
              <w:ind w:firstLine="0" w:firstLineChars="0"/>
              <w:contextualSpacing/>
              <w:jc w:val="center"/>
              <w:rPr>
                <w:rStyle w:val="42"/>
                <w:rFonts w:hint="eastAsia" w:ascii="仿宋" w:hAnsi="仿宋" w:eastAsia="仿宋" w:cs="仿宋"/>
                <w:color w:val="auto"/>
                <w:spacing w:val="23"/>
                <w:lang w:eastAsia="zh-CN" w:bidi="ar"/>
              </w:rPr>
            </w:pPr>
            <w:r>
              <w:rPr>
                <w:rStyle w:val="42"/>
                <w:rFonts w:hint="eastAsia" w:ascii="仿宋" w:hAnsi="仿宋" w:eastAsia="仿宋" w:cs="仿宋"/>
                <w:color w:val="auto"/>
                <w:spacing w:val="23"/>
                <w:lang w:val="en-US" w:eastAsia="zh-CN" w:bidi="ar"/>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460" w:hRule="atLeast"/>
        </w:trPr>
        <w:tc>
          <w:tcPr>
            <w:tcW w:w="660" w:type="dxa"/>
            <w:vMerge w:val="continue"/>
            <w:vAlign w:val="center"/>
          </w:tcPr>
          <w:p>
            <w:pPr>
              <w:spacing w:line="240" w:lineRule="exact"/>
              <w:ind w:firstLine="0" w:firstLineChars="0"/>
              <w:contextualSpacing/>
              <w:jc w:val="center"/>
              <w:rPr>
                <w:rFonts w:hint="eastAsia" w:ascii="仿宋" w:hAnsi="仿宋" w:eastAsia="仿宋" w:cs="仿宋"/>
                <w:spacing w:val="23"/>
                <w:kern w:val="0"/>
                <w:sz w:val="20"/>
                <w:szCs w:val="20"/>
                <w:lang w:bidi="ar"/>
              </w:rPr>
            </w:pPr>
          </w:p>
        </w:tc>
        <w:tc>
          <w:tcPr>
            <w:tcW w:w="911" w:type="dxa"/>
            <w:vAlign w:val="center"/>
          </w:tcPr>
          <w:p>
            <w:pPr>
              <w:widowControl/>
              <w:spacing w:line="240" w:lineRule="exact"/>
              <w:ind w:firstLine="0" w:firstLineChars="0"/>
              <w:contextualSpacing/>
              <w:jc w:val="center"/>
              <w:textAlignment w:val="center"/>
              <w:rPr>
                <w:rFonts w:hint="eastAsia"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资金</w:t>
            </w:r>
            <w:r>
              <w:rPr>
                <w:rFonts w:hint="eastAsia" w:ascii="仿宋" w:hAnsi="仿宋" w:eastAsia="仿宋" w:cs="仿宋"/>
                <w:spacing w:val="23"/>
                <w:kern w:val="0"/>
                <w:sz w:val="20"/>
                <w:szCs w:val="20"/>
                <w:lang w:bidi="ar"/>
              </w:rPr>
              <w:br w:type="textWrapping"/>
            </w:r>
            <w:r>
              <w:rPr>
                <w:rFonts w:hint="eastAsia" w:ascii="仿宋" w:hAnsi="仿宋" w:eastAsia="仿宋" w:cs="仿宋"/>
                <w:spacing w:val="23"/>
                <w:kern w:val="0"/>
                <w:sz w:val="20"/>
                <w:szCs w:val="20"/>
                <w:lang w:bidi="ar"/>
              </w:rPr>
              <w:t>投入</w:t>
            </w:r>
            <w:r>
              <w:rPr>
                <w:rFonts w:hint="eastAsia" w:ascii="仿宋" w:hAnsi="仿宋" w:eastAsia="仿宋" w:cs="仿宋"/>
                <w:spacing w:val="23"/>
                <w:kern w:val="0"/>
                <w:sz w:val="20"/>
                <w:szCs w:val="20"/>
                <w:lang w:eastAsia="zh-CN" w:bidi="ar"/>
              </w:rPr>
              <w:t>（</w:t>
            </w:r>
            <w:r>
              <w:rPr>
                <w:rFonts w:hint="eastAsia" w:ascii="仿宋" w:hAnsi="仿宋" w:eastAsia="仿宋" w:cs="仿宋"/>
                <w:spacing w:val="23"/>
                <w:kern w:val="0"/>
                <w:sz w:val="20"/>
                <w:szCs w:val="20"/>
                <w:lang w:val="en-US" w:eastAsia="zh-CN" w:bidi="ar"/>
              </w:rPr>
              <w:t>3分）</w:t>
            </w:r>
          </w:p>
        </w:tc>
        <w:tc>
          <w:tcPr>
            <w:tcW w:w="1175" w:type="dxa"/>
            <w:vAlign w:val="center"/>
          </w:tcPr>
          <w:p>
            <w:pPr>
              <w:widowControl/>
              <w:spacing w:line="240" w:lineRule="exact"/>
              <w:ind w:firstLine="0" w:firstLineChars="0"/>
              <w:contextualSpacing/>
              <w:jc w:val="center"/>
              <w:textAlignment w:val="center"/>
              <w:rPr>
                <w:rFonts w:hint="eastAsia"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预算编制科学性</w:t>
            </w:r>
          </w:p>
        </w:tc>
        <w:tc>
          <w:tcPr>
            <w:tcW w:w="725" w:type="dxa"/>
            <w:noWrap/>
            <w:vAlign w:val="center"/>
          </w:tcPr>
          <w:p>
            <w:pPr>
              <w:widowControl/>
              <w:spacing w:line="240" w:lineRule="exact"/>
              <w:ind w:firstLine="0" w:firstLineChars="0"/>
              <w:contextualSpacing/>
              <w:jc w:val="center"/>
              <w:textAlignment w:val="center"/>
              <w:rPr>
                <w:rFonts w:hint="eastAsia"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3</w:t>
            </w:r>
          </w:p>
        </w:tc>
        <w:tc>
          <w:tcPr>
            <w:tcW w:w="3338" w:type="dxa"/>
            <w:vAlign w:val="center"/>
          </w:tcPr>
          <w:p>
            <w:pPr>
              <w:widowControl/>
              <w:spacing w:line="240" w:lineRule="exact"/>
              <w:ind w:firstLine="0" w:firstLineChars="0"/>
              <w:contextualSpacing/>
              <w:jc w:val="left"/>
              <w:textAlignment w:val="top"/>
              <w:rPr>
                <w:rStyle w:val="42"/>
                <w:rFonts w:ascii="仿宋" w:hAnsi="仿宋" w:eastAsia="仿宋" w:cs="仿宋"/>
                <w:color w:val="auto"/>
                <w:spacing w:val="23"/>
                <w:lang w:bidi="ar"/>
              </w:rPr>
            </w:pPr>
            <w:r>
              <w:rPr>
                <w:rStyle w:val="42"/>
                <w:rFonts w:hint="eastAsia" w:ascii="仿宋" w:hAnsi="仿宋" w:eastAsia="仿宋" w:cs="仿宋"/>
                <w:color w:val="auto"/>
                <w:spacing w:val="23"/>
                <w:lang w:bidi="ar"/>
              </w:rPr>
              <w:t>①预算编制是否经过科学论证；</w:t>
            </w:r>
          </w:p>
          <w:p>
            <w:pPr>
              <w:widowControl/>
              <w:spacing w:line="240" w:lineRule="exact"/>
              <w:ind w:firstLine="0" w:firstLineChars="0"/>
              <w:contextualSpacing/>
              <w:jc w:val="left"/>
              <w:textAlignment w:val="top"/>
              <w:rPr>
                <w:rStyle w:val="42"/>
                <w:rFonts w:hint="eastAsia" w:ascii="仿宋" w:hAnsi="仿宋" w:eastAsia="仿宋" w:cs="仿宋"/>
                <w:color w:val="auto"/>
                <w:spacing w:val="23"/>
                <w:lang w:bidi="ar"/>
              </w:rPr>
            </w:pPr>
            <w:r>
              <w:rPr>
                <w:rStyle w:val="42"/>
                <w:rFonts w:hint="eastAsia" w:ascii="仿宋" w:hAnsi="仿宋" w:eastAsia="仿宋" w:cs="仿宋"/>
                <w:color w:val="auto"/>
                <w:spacing w:val="23"/>
                <w:lang w:bidi="ar"/>
              </w:rPr>
              <w:t>②预算内容与支出内容是否匹配；③预算额度测算依据是否充分，是否按照标准编制；④预算确定的预算支出投资额或资金量是否与工作任务相匹配。</w:t>
            </w:r>
          </w:p>
        </w:tc>
        <w:tc>
          <w:tcPr>
            <w:tcW w:w="3801" w:type="dxa"/>
            <w:vAlign w:val="center"/>
          </w:tcPr>
          <w:p>
            <w:pPr>
              <w:widowControl/>
              <w:spacing w:line="240" w:lineRule="exact"/>
              <w:ind w:firstLine="0" w:firstLineChars="0"/>
              <w:contextualSpacing/>
              <w:jc w:val="left"/>
              <w:textAlignment w:val="top"/>
              <w:rPr>
                <w:rStyle w:val="42"/>
                <w:rFonts w:ascii="仿宋" w:hAnsi="仿宋" w:eastAsia="仿宋" w:cs="仿宋"/>
                <w:color w:val="auto"/>
                <w:spacing w:val="23"/>
                <w:lang w:bidi="ar"/>
              </w:rPr>
            </w:pPr>
            <w:r>
              <w:rPr>
                <w:rStyle w:val="42"/>
                <w:rFonts w:hint="eastAsia" w:ascii="仿宋" w:hAnsi="仿宋" w:eastAsia="仿宋" w:cs="仿宋"/>
                <w:color w:val="auto"/>
                <w:spacing w:val="23"/>
                <w:lang w:bidi="ar"/>
              </w:rPr>
              <w:t>①预算编制经过科学论证，计0.5分；②预算内容与项目内容匹配，计0.5分；③预算额度测算依据充分，按照标准编制，计1分；</w:t>
            </w:r>
          </w:p>
          <w:p>
            <w:pPr>
              <w:widowControl/>
              <w:spacing w:line="240" w:lineRule="exact"/>
              <w:ind w:firstLine="0" w:firstLineChars="0"/>
              <w:contextualSpacing/>
              <w:jc w:val="left"/>
              <w:textAlignment w:val="top"/>
              <w:rPr>
                <w:rStyle w:val="42"/>
                <w:rFonts w:ascii="仿宋" w:hAnsi="仿宋" w:eastAsia="仿宋" w:cs="仿宋"/>
                <w:color w:val="auto"/>
                <w:spacing w:val="23"/>
                <w:lang w:bidi="ar"/>
              </w:rPr>
            </w:pPr>
            <w:r>
              <w:rPr>
                <w:rStyle w:val="42"/>
                <w:rFonts w:hint="eastAsia" w:ascii="仿宋" w:hAnsi="仿宋" w:eastAsia="仿宋" w:cs="仿宋"/>
                <w:color w:val="auto"/>
                <w:spacing w:val="23"/>
                <w:lang w:bidi="ar"/>
              </w:rPr>
              <w:t>④预算确定的项目投资额或资金量与工作任务相匹配，计1分。</w:t>
            </w:r>
          </w:p>
          <w:p>
            <w:pPr>
              <w:widowControl/>
              <w:spacing w:line="240" w:lineRule="exact"/>
              <w:ind w:firstLine="0" w:firstLineChars="0"/>
              <w:contextualSpacing/>
              <w:jc w:val="left"/>
              <w:textAlignment w:val="top"/>
              <w:rPr>
                <w:rStyle w:val="42"/>
                <w:rFonts w:ascii="仿宋" w:hAnsi="仿宋" w:eastAsia="仿宋" w:cs="仿宋"/>
                <w:color w:val="auto"/>
                <w:spacing w:val="23"/>
                <w:lang w:bidi="ar"/>
              </w:rPr>
            </w:pPr>
            <w:r>
              <w:rPr>
                <w:rStyle w:val="42"/>
                <w:rFonts w:hint="eastAsia" w:ascii="仿宋" w:hAnsi="仿宋" w:eastAsia="仿宋" w:cs="仿宋"/>
                <w:color w:val="auto"/>
                <w:spacing w:val="23"/>
                <w:lang w:bidi="ar"/>
              </w:rPr>
              <w:t>否则，酌情扣分。</w:t>
            </w:r>
          </w:p>
        </w:tc>
        <w:tc>
          <w:tcPr>
            <w:tcW w:w="2799" w:type="dxa"/>
            <w:noWrap/>
            <w:vAlign w:val="center"/>
          </w:tcPr>
          <w:p>
            <w:pPr>
              <w:spacing w:line="240" w:lineRule="exact"/>
              <w:ind w:firstLine="0" w:firstLineChars="0"/>
              <w:contextualSpacing/>
              <w:jc w:val="left"/>
              <w:rPr>
                <w:rStyle w:val="42"/>
                <w:rFonts w:ascii="仿宋" w:hAnsi="仿宋" w:eastAsia="仿宋" w:cs="仿宋"/>
                <w:color w:val="auto"/>
                <w:spacing w:val="23"/>
                <w:lang w:bidi="ar"/>
              </w:rPr>
            </w:pPr>
            <w:r>
              <w:rPr>
                <w:rFonts w:hint="eastAsia" w:ascii="仿宋" w:hAnsi="仿宋" w:eastAsia="仿宋" w:cs="仿宋"/>
                <w:spacing w:val="23"/>
                <w:kern w:val="0"/>
                <w:sz w:val="20"/>
                <w:szCs w:val="20"/>
                <w:lang w:bidi="ar"/>
              </w:rPr>
              <w:t>年初预算200.00万元，2021年度实际拨付375.19万元，年中调增175.19万元上级补助资金</w:t>
            </w:r>
            <w:r>
              <w:rPr>
                <w:rFonts w:hint="eastAsia" w:ascii="仿宋" w:hAnsi="仿宋" w:eastAsia="仿宋" w:cs="仿宋"/>
                <w:spacing w:val="23"/>
                <w:kern w:val="0"/>
                <w:sz w:val="20"/>
                <w:szCs w:val="20"/>
                <w:lang w:val="en-US" w:eastAsia="zh-CN" w:bidi="ar"/>
              </w:rPr>
              <w:t>未纳入年初预算</w:t>
            </w:r>
            <w:r>
              <w:rPr>
                <w:rFonts w:hint="eastAsia" w:ascii="仿宋" w:hAnsi="仿宋" w:eastAsia="仿宋" w:cs="仿宋"/>
                <w:spacing w:val="23"/>
                <w:kern w:val="0"/>
                <w:sz w:val="20"/>
                <w:szCs w:val="20"/>
                <w:lang w:bidi="ar"/>
              </w:rPr>
              <w:t>，</w:t>
            </w:r>
            <w:r>
              <w:rPr>
                <w:rFonts w:hint="eastAsia" w:ascii="仿宋" w:hAnsi="仿宋" w:eastAsia="仿宋" w:cs="仿宋"/>
                <w:spacing w:val="23"/>
                <w:kern w:val="0"/>
                <w:sz w:val="20"/>
                <w:szCs w:val="20"/>
                <w:lang w:val="en-US" w:eastAsia="zh-CN" w:bidi="ar"/>
              </w:rPr>
              <w:t>，预算编制准确性有待提高，</w:t>
            </w:r>
            <w:r>
              <w:rPr>
                <w:rStyle w:val="42"/>
                <w:rFonts w:hint="eastAsia" w:ascii="仿宋" w:hAnsi="仿宋" w:eastAsia="仿宋" w:cs="仿宋"/>
                <w:color w:val="auto"/>
                <w:spacing w:val="23"/>
                <w:lang w:bidi="ar"/>
              </w:rPr>
              <w:t>酌情</w:t>
            </w:r>
            <w:r>
              <w:rPr>
                <w:rStyle w:val="42"/>
                <w:rFonts w:hint="eastAsia" w:ascii="仿宋" w:hAnsi="仿宋" w:eastAsia="仿宋" w:cs="仿宋"/>
                <w:color w:val="auto"/>
                <w:spacing w:val="23"/>
                <w:lang w:val="en-US" w:eastAsia="zh-CN" w:bidi="ar"/>
              </w:rPr>
              <w:t>扣1分。</w:t>
            </w:r>
          </w:p>
        </w:tc>
        <w:tc>
          <w:tcPr>
            <w:tcW w:w="898" w:type="dxa"/>
            <w:noWrap/>
            <w:vAlign w:val="center"/>
          </w:tcPr>
          <w:p>
            <w:pPr>
              <w:spacing w:line="240" w:lineRule="exact"/>
              <w:ind w:firstLine="0" w:firstLineChars="0"/>
              <w:contextualSpacing/>
              <w:jc w:val="center"/>
              <w:rPr>
                <w:rStyle w:val="42"/>
                <w:rFonts w:hint="eastAsia" w:ascii="仿宋" w:hAnsi="仿宋" w:eastAsia="仿宋" w:cs="仿宋"/>
                <w:color w:val="auto"/>
                <w:spacing w:val="23"/>
                <w:lang w:bidi="ar"/>
              </w:rPr>
            </w:pPr>
            <w:r>
              <w:rPr>
                <w:rFonts w:hint="eastAsia" w:ascii="仿宋" w:hAnsi="仿宋" w:eastAsia="仿宋" w:cs="仿宋"/>
                <w:spacing w:val="23"/>
                <w:kern w:val="0"/>
                <w:sz w:val="20"/>
                <w:szCs w:val="20"/>
                <w:lang w:val="en-US" w:eastAsia="zh-CN" w:bidi="ar"/>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98" w:hRule="atLeast"/>
        </w:trPr>
        <w:tc>
          <w:tcPr>
            <w:tcW w:w="660" w:type="dxa"/>
            <w:vMerge w:val="restart"/>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过</w:t>
            </w:r>
            <w:r>
              <w:rPr>
                <w:rFonts w:hint="eastAsia" w:ascii="仿宋" w:hAnsi="仿宋" w:eastAsia="仿宋" w:cs="仿宋"/>
                <w:spacing w:val="23"/>
                <w:kern w:val="0"/>
                <w:sz w:val="20"/>
                <w:szCs w:val="20"/>
                <w:lang w:eastAsia="en-US" w:bidi="ar"/>
              </w:rPr>
              <w:br w:type="textWrapping"/>
            </w:r>
            <w:r>
              <w:rPr>
                <w:rFonts w:hint="eastAsia" w:ascii="仿宋" w:hAnsi="仿宋" w:eastAsia="仿宋" w:cs="仿宋"/>
                <w:spacing w:val="23"/>
                <w:kern w:val="0"/>
                <w:sz w:val="20"/>
                <w:szCs w:val="20"/>
                <w:lang w:eastAsia="en-US" w:bidi="ar"/>
              </w:rPr>
              <w:t>程</w:t>
            </w:r>
          </w:p>
        </w:tc>
        <w:tc>
          <w:tcPr>
            <w:tcW w:w="911" w:type="dxa"/>
            <w:vMerge w:val="restart"/>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资金</w:t>
            </w:r>
            <w:r>
              <w:rPr>
                <w:rFonts w:hint="eastAsia" w:ascii="仿宋" w:hAnsi="仿宋" w:eastAsia="仿宋" w:cs="仿宋"/>
                <w:spacing w:val="23"/>
                <w:kern w:val="0"/>
                <w:sz w:val="20"/>
                <w:szCs w:val="20"/>
                <w:lang w:bidi="ar"/>
              </w:rPr>
              <w:br w:type="textWrapping"/>
            </w:r>
            <w:r>
              <w:rPr>
                <w:rFonts w:hint="eastAsia" w:ascii="仿宋" w:hAnsi="仿宋" w:eastAsia="仿宋" w:cs="仿宋"/>
                <w:spacing w:val="23"/>
                <w:kern w:val="0"/>
                <w:sz w:val="20"/>
                <w:szCs w:val="20"/>
                <w:lang w:bidi="ar"/>
              </w:rPr>
              <w:t>管理（15分）</w:t>
            </w:r>
          </w:p>
        </w:tc>
        <w:tc>
          <w:tcPr>
            <w:tcW w:w="1175" w:type="dxa"/>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资</w:t>
            </w:r>
            <w:r>
              <w:rPr>
                <w:rFonts w:hint="eastAsia" w:ascii="仿宋" w:hAnsi="仿宋" w:eastAsia="仿宋" w:cs="仿宋"/>
                <w:spacing w:val="23"/>
                <w:kern w:val="0"/>
                <w:sz w:val="20"/>
                <w:szCs w:val="20"/>
                <w:lang w:eastAsia="en-US" w:bidi="ar"/>
              </w:rPr>
              <w:t>金到位率</w:t>
            </w:r>
          </w:p>
        </w:tc>
        <w:tc>
          <w:tcPr>
            <w:tcW w:w="725" w:type="dxa"/>
            <w:noWrap/>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5</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资金到位率=（实际到位资金/预算资金）×100%。实际到位资金：一定时期（本年度或预算支出期）内落实到具体预算支出的资金。</w:t>
            </w:r>
          </w:p>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预算资金：一定时期（本年度或预算支出期）内预算安排到具体预算支出的资金。</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根据项目实际到位资金占计划分配资金的比重计算得分（5分*资金到位率）</w:t>
            </w:r>
          </w:p>
        </w:tc>
        <w:tc>
          <w:tcPr>
            <w:tcW w:w="2799" w:type="dxa"/>
            <w:noWrap/>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2021年度实际拨付375.19万元，年初预算200.00万元，年中调增175.19万元上级补助资金，项目资金已全部到位。计5分。</w:t>
            </w:r>
          </w:p>
        </w:tc>
        <w:tc>
          <w:tcPr>
            <w:tcW w:w="898" w:type="dxa"/>
            <w:noWrap/>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660" w:type="dxa"/>
            <w:vMerge w:val="continue"/>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p>
        </w:tc>
        <w:tc>
          <w:tcPr>
            <w:tcW w:w="911" w:type="dxa"/>
            <w:vMerge w:val="continue"/>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p>
        </w:tc>
        <w:tc>
          <w:tcPr>
            <w:tcW w:w="1175" w:type="dxa"/>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预</w:t>
            </w:r>
            <w:r>
              <w:rPr>
                <w:rFonts w:hint="eastAsia" w:ascii="仿宋" w:hAnsi="仿宋" w:eastAsia="仿宋" w:cs="仿宋"/>
                <w:spacing w:val="23"/>
                <w:kern w:val="0"/>
                <w:sz w:val="20"/>
                <w:szCs w:val="20"/>
                <w:lang w:eastAsia="en-US" w:bidi="ar"/>
              </w:rPr>
              <w:t>算执行率</w:t>
            </w:r>
          </w:p>
        </w:tc>
        <w:tc>
          <w:tcPr>
            <w:tcW w:w="725" w:type="dxa"/>
            <w:noWrap/>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4</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预算执行率=（实际支出资金/实际到位资金）×100%。</w:t>
            </w:r>
          </w:p>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实际支出资金：一定时期（本年度或预算支出期）内预算支出实际拨付的资金。</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根据项目实际支出资金占实际到位资金的比重计算得分（4分*预算执行率）</w:t>
            </w:r>
          </w:p>
        </w:tc>
        <w:tc>
          <w:tcPr>
            <w:tcW w:w="2799" w:type="dxa"/>
            <w:noWrap/>
            <w:vAlign w:val="center"/>
          </w:tcPr>
          <w:p>
            <w:pPr>
              <w:spacing w:line="240" w:lineRule="exact"/>
              <w:ind w:firstLine="0" w:firstLineChars="0"/>
              <w:contextualSpacing/>
              <w:jc w:val="left"/>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2021年度实际预算执行率=（320.64/375.19）×100%=85.46%。得分=计85.46%*4=3.42分。</w:t>
            </w:r>
          </w:p>
        </w:tc>
        <w:tc>
          <w:tcPr>
            <w:tcW w:w="898"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3.42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80" w:hRule="atLeast"/>
        </w:trPr>
        <w:tc>
          <w:tcPr>
            <w:tcW w:w="660" w:type="dxa"/>
            <w:vMerge w:val="continue"/>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p>
        </w:tc>
        <w:tc>
          <w:tcPr>
            <w:tcW w:w="911" w:type="dxa"/>
            <w:vMerge w:val="continue"/>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p>
        </w:tc>
        <w:tc>
          <w:tcPr>
            <w:tcW w:w="1175" w:type="dxa"/>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资</w:t>
            </w:r>
            <w:r>
              <w:rPr>
                <w:rFonts w:hint="eastAsia" w:ascii="仿宋" w:hAnsi="仿宋" w:eastAsia="仿宋" w:cs="仿宋"/>
                <w:spacing w:val="23"/>
                <w:kern w:val="0"/>
                <w:sz w:val="20"/>
                <w:szCs w:val="20"/>
                <w:lang w:eastAsia="en-US" w:bidi="ar"/>
              </w:rPr>
              <w:t>金使用合规性</w:t>
            </w:r>
          </w:p>
        </w:tc>
        <w:tc>
          <w:tcPr>
            <w:tcW w:w="725" w:type="dxa"/>
            <w:noWrap/>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6</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①是否符合国家财经法规和财务管理制度以及有关专项资金管理办法的规定；</w:t>
            </w:r>
          </w:p>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②资金的拨付是否有完整的审批程序和手续；</w:t>
            </w:r>
          </w:p>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③是否符合预算支出预算批复或合同规定的用途；</w:t>
            </w:r>
          </w:p>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④是否存在截留、挤占、挪用、虐列支出等情况。</w:t>
            </w:r>
          </w:p>
        </w:tc>
        <w:tc>
          <w:tcPr>
            <w:tcW w:w="3801" w:type="dxa"/>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①符合国家财经法规和财务管理制度以及有关专项资金管理办法的规定，计1.5分，1例不符合扣0.2分；②资金的支付有完整的审批程序和手续，计1.5分，1例不符合扣0.2分；③符合项目预算批复或合同规定的用途，计1.5分，1例不符合扣0.2分；④不存在截留、挤占、挪用、虚列支出等情况，不存在重复申报项目、虚报冒领资金，计1.5分，1例不符合全扣；</w:t>
            </w:r>
          </w:p>
        </w:tc>
        <w:tc>
          <w:tcPr>
            <w:tcW w:w="2799" w:type="dxa"/>
            <w:noWrap/>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检查发现存在部分专项资金调剂使用情况，酌情扣1.5分。</w:t>
            </w:r>
          </w:p>
        </w:tc>
        <w:tc>
          <w:tcPr>
            <w:tcW w:w="898" w:type="dxa"/>
            <w:noWrap/>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4.5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87" w:hRule="atLeast"/>
        </w:trPr>
        <w:tc>
          <w:tcPr>
            <w:tcW w:w="660" w:type="dxa"/>
            <w:vMerge w:val="restart"/>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过</w:t>
            </w:r>
            <w:r>
              <w:rPr>
                <w:rFonts w:hint="eastAsia" w:ascii="仿宋" w:hAnsi="仿宋" w:eastAsia="仿宋" w:cs="仿宋"/>
                <w:spacing w:val="23"/>
                <w:kern w:val="0"/>
                <w:sz w:val="20"/>
                <w:szCs w:val="20"/>
                <w:lang w:eastAsia="en-US" w:bidi="ar"/>
              </w:rPr>
              <w:br w:type="textWrapping"/>
            </w:r>
            <w:r>
              <w:rPr>
                <w:rFonts w:hint="eastAsia" w:ascii="仿宋" w:hAnsi="仿宋" w:eastAsia="仿宋" w:cs="仿宋"/>
                <w:spacing w:val="23"/>
                <w:kern w:val="0"/>
                <w:sz w:val="20"/>
                <w:szCs w:val="20"/>
                <w:lang w:eastAsia="en-US" w:bidi="ar"/>
              </w:rPr>
              <w:t>程</w:t>
            </w:r>
          </w:p>
        </w:tc>
        <w:tc>
          <w:tcPr>
            <w:tcW w:w="911" w:type="dxa"/>
            <w:vMerge w:val="restart"/>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组</w:t>
            </w:r>
            <w:r>
              <w:rPr>
                <w:rFonts w:hint="eastAsia" w:ascii="仿宋" w:hAnsi="仿宋" w:eastAsia="仿宋" w:cs="仿宋"/>
                <w:spacing w:val="23"/>
                <w:kern w:val="0"/>
                <w:sz w:val="20"/>
                <w:szCs w:val="20"/>
                <w:lang w:eastAsia="en-US" w:bidi="ar"/>
              </w:rPr>
              <w:t>织</w:t>
            </w:r>
            <w:r>
              <w:rPr>
                <w:rFonts w:hint="eastAsia" w:ascii="仿宋" w:hAnsi="仿宋" w:eastAsia="仿宋" w:cs="仿宋"/>
                <w:spacing w:val="23"/>
                <w:kern w:val="0"/>
                <w:sz w:val="20"/>
                <w:szCs w:val="20"/>
                <w:lang w:eastAsia="en-US" w:bidi="ar"/>
              </w:rPr>
              <w:br w:type="textWrapping"/>
            </w:r>
            <w:r>
              <w:rPr>
                <w:rFonts w:hint="eastAsia" w:ascii="仿宋" w:hAnsi="仿宋" w:eastAsia="仿宋" w:cs="仿宋"/>
                <w:spacing w:val="23"/>
                <w:kern w:val="0"/>
                <w:sz w:val="20"/>
                <w:szCs w:val="20"/>
                <w:lang w:eastAsia="en-US" w:bidi="ar"/>
              </w:rPr>
              <w:t>实施</w:t>
            </w:r>
            <w:r>
              <w:rPr>
                <w:rFonts w:hint="eastAsia" w:ascii="仿宋" w:hAnsi="仿宋" w:eastAsia="仿宋" w:cs="仿宋"/>
                <w:spacing w:val="23"/>
                <w:kern w:val="0"/>
                <w:sz w:val="20"/>
                <w:szCs w:val="20"/>
                <w:lang w:bidi="ar"/>
              </w:rPr>
              <w:t>（9分）</w:t>
            </w:r>
          </w:p>
        </w:tc>
        <w:tc>
          <w:tcPr>
            <w:tcW w:w="1175" w:type="dxa"/>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管理</w:t>
            </w:r>
            <w:r>
              <w:rPr>
                <w:rFonts w:hint="eastAsia" w:ascii="仿宋" w:hAnsi="仿宋" w:eastAsia="仿宋" w:cs="仿宋"/>
                <w:spacing w:val="23"/>
                <w:kern w:val="0"/>
                <w:sz w:val="20"/>
                <w:szCs w:val="20"/>
                <w:lang w:eastAsia="en-US" w:bidi="ar"/>
              </w:rPr>
              <w:t>制度健全性</w:t>
            </w:r>
          </w:p>
        </w:tc>
        <w:tc>
          <w:tcPr>
            <w:tcW w:w="725" w:type="dxa"/>
            <w:noWrap/>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3</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①是否已制定或具有相应的业务管理制度；②财务和业务管理制度是否合法、合规、完整。</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①已制定或具有相应的财务和业务管理制度，计2分；②财务和业务管理制度合法、合规、完整，计1分。否则，酌情扣分。</w:t>
            </w:r>
          </w:p>
        </w:tc>
        <w:tc>
          <w:tcPr>
            <w:tcW w:w="2799" w:type="dxa"/>
            <w:noWrap/>
            <w:vAlign w:val="center"/>
          </w:tcPr>
          <w:p>
            <w:pPr>
              <w:spacing w:line="240" w:lineRule="exact"/>
              <w:ind w:firstLine="0" w:firstLineChars="0"/>
              <w:contextualSpacing/>
              <w:jc w:val="left"/>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已制定或具有相应的财务和业务管理制度；财务和业务管理制度合法、合规、完整。计3分。</w:t>
            </w:r>
          </w:p>
        </w:tc>
        <w:tc>
          <w:tcPr>
            <w:tcW w:w="898"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87" w:hRule="atLeast"/>
        </w:trPr>
        <w:tc>
          <w:tcPr>
            <w:tcW w:w="660" w:type="dxa"/>
            <w:vMerge w:val="continue"/>
            <w:noWrap/>
            <w:vAlign w:val="bottom"/>
          </w:tcPr>
          <w:p>
            <w:pPr>
              <w:spacing w:line="240" w:lineRule="exact"/>
              <w:ind w:firstLine="492"/>
              <w:contextualSpacing/>
              <w:jc w:val="center"/>
              <w:rPr>
                <w:rFonts w:ascii="仿宋" w:hAnsi="仿宋" w:eastAsia="仿宋" w:cs="仿宋"/>
                <w:spacing w:val="23"/>
                <w:kern w:val="0"/>
                <w:sz w:val="20"/>
                <w:szCs w:val="20"/>
                <w:lang w:bidi="ar"/>
              </w:rPr>
            </w:pPr>
          </w:p>
        </w:tc>
        <w:tc>
          <w:tcPr>
            <w:tcW w:w="911" w:type="dxa"/>
            <w:vMerge w:val="continue"/>
            <w:noWrap/>
            <w:vAlign w:val="bottom"/>
          </w:tcPr>
          <w:p>
            <w:pPr>
              <w:spacing w:line="240" w:lineRule="exact"/>
              <w:ind w:firstLine="492"/>
              <w:contextualSpacing/>
              <w:jc w:val="center"/>
              <w:rPr>
                <w:rFonts w:ascii="仿宋" w:hAnsi="仿宋" w:eastAsia="仿宋" w:cs="仿宋"/>
                <w:spacing w:val="23"/>
                <w:kern w:val="0"/>
                <w:sz w:val="20"/>
                <w:szCs w:val="20"/>
                <w:lang w:bidi="ar"/>
              </w:rPr>
            </w:pP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制度执行有效性</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6</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①是否遵守相关法律法规和相关管理规定；②预算支出调整及支出调整手续是否完备；③预算支出合同书、验收报告、技术鉴定等资料是否齐全并及时归档；</w:t>
            </w:r>
          </w:p>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④预算支出实施的人员条件、场地设备、信息支撑等是否落实到位。</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①遵守相关法律法规和相关管理规定，计2分，1例偏差扣0.2分；②项目调整及支出调整手续完备，计1.5分，1例不完备扣0.5分；③项目合同书、验收报告、技术鉴定等资料齐全，计1分，每缺少1个扣0.</w:t>
            </w:r>
            <w:r>
              <w:rPr>
                <w:rFonts w:hint="eastAsia" w:ascii="仿宋" w:hAnsi="仿宋" w:eastAsia="仿宋" w:cs="仿宋"/>
                <w:spacing w:val="23"/>
                <w:kern w:val="0"/>
                <w:sz w:val="20"/>
                <w:szCs w:val="20"/>
                <w:lang w:val="en-US" w:eastAsia="zh-CN" w:bidi="ar"/>
              </w:rPr>
              <w:t>5</w:t>
            </w:r>
            <w:r>
              <w:rPr>
                <w:rFonts w:hint="eastAsia" w:ascii="仿宋" w:hAnsi="仿宋" w:eastAsia="仿宋" w:cs="仿宋"/>
                <w:spacing w:val="23"/>
                <w:kern w:val="0"/>
                <w:sz w:val="20"/>
                <w:szCs w:val="20"/>
                <w:lang w:bidi="ar"/>
              </w:rPr>
              <w:t>分;及时归档计0.5分，1个不及时扣0.1分；</w:t>
            </w:r>
          </w:p>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④项目实施的人员条件、场地设备、信息支撑等落实到位，计1分。否则，酌情扣分。</w:t>
            </w:r>
          </w:p>
        </w:tc>
        <w:tc>
          <w:tcPr>
            <w:tcW w:w="2799" w:type="dxa"/>
            <w:noWrap/>
            <w:vAlign w:val="center"/>
          </w:tcPr>
          <w:p>
            <w:pPr>
              <w:spacing w:line="240" w:lineRule="exact"/>
              <w:ind w:firstLine="0" w:firstLineChars="0"/>
              <w:contextualSpacing/>
              <w:jc w:val="left"/>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遵守相关法律法规和相关管理规定，未严格按照《药品管理制度》执行避光药品存储，扣0.2分。</w:t>
            </w:r>
          </w:p>
        </w:tc>
        <w:tc>
          <w:tcPr>
            <w:tcW w:w="898"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33" w:hRule="atLeast"/>
        </w:trPr>
        <w:tc>
          <w:tcPr>
            <w:tcW w:w="660" w:type="dxa"/>
            <w:vMerge w:val="restart"/>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产</w:t>
            </w:r>
            <w:r>
              <w:rPr>
                <w:rFonts w:hint="eastAsia" w:ascii="仿宋" w:hAnsi="仿宋" w:eastAsia="仿宋" w:cs="仿宋"/>
                <w:spacing w:val="23"/>
                <w:kern w:val="0"/>
                <w:sz w:val="20"/>
                <w:szCs w:val="20"/>
                <w:lang w:eastAsia="en-US" w:bidi="ar"/>
              </w:rPr>
              <w:br w:type="textWrapping"/>
            </w:r>
            <w:r>
              <w:rPr>
                <w:rFonts w:hint="eastAsia" w:ascii="仿宋" w:hAnsi="仿宋" w:eastAsia="仿宋" w:cs="仿宋"/>
                <w:spacing w:val="23"/>
                <w:kern w:val="0"/>
                <w:sz w:val="20"/>
                <w:szCs w:val="20"/>
                <w:lang w:eastAsia="en-US" w:bidi="ar"/>
              </w:rPr>
              <w:t>出</w:t>
            </w:r>
          </w:p>
          <w:p>
            <w:pPr>
              <w:spacing w:line="240" w:lineRule="exact"/>
              <w:ind w:firstLine="492"/>
              <w:contextualSpacing/>
              <w:jc w:val="center"/>
              <w:rPr>
                <w:rFonts w:ascii="仿宋" w:hAnsi="仿宋" w:eastAsia="仿宋" w:cs="仿宋"/>
                <w:spacing w:val="23"/>
                <w:kern w:val="0"/>
                <w:sz w:val="20"/>
                <w:szCs w:val="20"/>
                <w:lang w:bidi="ar"/>
              </w:rPr>
            </w:pPr>
          </w:p>
        </w:tc>
        <w:tc>
          <w:tcPr>
            <w:tcW w:w="911" w:type="dxa"/>
            <w:vMerge w:val="restart"/>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产</w:t>
            </w:r>
            <w:r>
              <w:rPr>
                <w:rFonts w:hint="eastAsia" w:ascii="仿宋" w:hAnsi="仿宋" w:eastAsia="仿宋" w:cs="仿宋"/>
                <w:spacing w:val="23"/>
                <w:kern w:val="0"/>
                <w:sz w:val="20"/>
                <w:szCs w:val="20"/>
                <w:lang w:eastAsia="en-US" w:bidi="ar"/>
              </w:rPr>
              <w:t>出</w:t>
            </w:r>
            <w:r>
              <w:rPr>
                <w:rFonts w:hint="eastAsia" w:ascii="仿宋" w:hAnsi="仿宋" w:eastAsia="仿宋" w:cs="仿宋"/>
                <w:spacing w:val="23"/>
                <w:kern w:val="0"/>
                <w:sz w:val="20"/>
                <w:szCs w:val="20"/>
                <w:lang w:eastAsia="en-US" w:bidi="ar"/>
              </w:rPr>
              <w:br w:type="textWrapping"/>
            </w:r>
            <w:r>
              <w:rPr>
                <w:rFonts w:hint="eastAsia" w:ascii="仿宋" w:hAnsi="仿宋" w:eastAsia="仿宋" w:cs="仿宋"/>
                <w:spacing w:val="23"/>
                <w:kern w:val="0"/>
                <w:sz w:val="20"/>
                <w:szCs w:val="20"/>
                <w:lang w:eastAsia="en-US" w:bidi="ar"/>
              </w:rPr>
              <w:t>数量</w:t>
            </w:r>
            <w:r>
              <w:rPr>
                <w:rFonts w:hint="eastAsia" w:ascii="仿宋" w:hAnsi="仿宋" w:eastAsia="仿宋" w:cs="仿宋"/>
                <w:spacing w:val="23"/>
                <w:kern w:val="0"/>
                <w:sz w:val="20"/>
                <w:szCs w:val="20"/>
                <w:lang w:bidi="ar"/>
              </w:rPr>
              <w:t>（10分）</w:t>
            </w: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对社区卫生服务中心在职和退休人员补助</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4</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是否用于发放5个社区卫生服务中心的108名在编绩效奖金和58名退休人员生活补贴。</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发放5个社区卫生服务中心的108名在编绩效奖金和58名退休人员生活补贴。</w:t>
            </w:r>
          </w:p>
        </w:tc>
        <w:tc>
          <w:tcPr>
            <w:tcW w:w="2799" w:type="dxa"/>
            <w:noWrap/>
            <w:vAlign w:val="center"/>
          </w:tcPr>
          <w:p>
            <w:pPr>
              <w:spacing w:line="240" w:lineRule="exact"/>
              <w:ind w:firstLine="0" w:firstLineChars="0"/>
              <w:contextualSpacing/>
              <w:jc w:val="left"/>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人员经费补差项目200万元，其中75.1万元调剂用于改造建设等项目未获批准，实际124.9万元用于人员经费，扣2分。</w:t>
            </w:r>
          </w:p>
        </w:tc>
        <w:tc>
          <w:tcPr>
            <w:tcW w:w="898"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33" w:hRule="atLeast"/>
        </w:trPr>
        <w:tc>
          <w:tcPr>
            <w:tcW w:w="660" w:type="dxa"/>
            <w:vMerge w:val="continue"/>
            <w:vAlign w:val="center"/>
          </w:tcPr>
          <w:p>
            <w:pPr>
              <w:spacing w:line="240" w:lineRule="exact"/>
              <w:ind w:firstLine="492"/>
              <w:contextualSpacing/>
              <w:jc w:val="center"/>
              <w:rPr>
                <w:rFonts w:ascii="仿宋" w:hAnsi="仿宋" w:eastAsia="仿宋" w:cs="仿宋"/>
                <w:spacing w:val="23"/>
                <w:kern w:val="0"/>
                <w:sz w:val="20"/>
                <w:szCs w:val="20"/>
                <w:lang w:bidi="ar"/>
              </w:rPr>
            </w:pPr>
          </w:p>
        </w:tc>
        <w:tc>
          <w:tcPr>
            <w:tcW w:w="911" w:type="dxa"/>
            <w:vMerge w:val="continue"/>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基本药物配备使用比例</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3</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在省药品集中采购平台上采购的基本药物占本年度药品采购总金额比例。</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在省药品集中采购平台上采购的基本药物占本年度药品采购总金额比例应不低于70%，得3</w:t>
            </w:r>
            <w:r>
              <w:rPr>
                <w:rFonts w:ascii="仿宋" w:hAnsi="仿宋" w:eastAsia="仿宋" w:cs="仿宋"/>
                <w:spacing w:val="23"/>
                <w:kern w:val="0"/>
                <w:sz w:val="20"/>
                <w:szCs w:val="20"/>
                <w:lang w:bidi="ar"/>
              </w:rPr>
              <w:t>分</w:t>
            </w:r>
            <w:r>
              <w:rPr>
                <w:rFonts w:hint="eastAsia" w:ascii="仿宋" w:hAnsi="仿宋" w:eastAsia="仿宋" w:cs="仿宋"/>
                <w:spacing w:val="23"/>
                <w:kern w:val="0"/>
                <w:sz w:val="20"/>
                <w:szCs w:val="20"/>
                <w:lang w:bidi="ar"/>
              </w:rPr>
              <w:t>，比例低于70%，得0分；</w:t>
            </w:r>
          </w:p>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基本药物配备使用比例=本年度基本药物采购金额/本年度药物采购总金额*100%。</w:t>
            </w:r>
          </w:p>
        </w:tc>
        <w:tc>
          <w:tcPr>
            <w:tcW w:w="2799" w:type="dxa"/>
            <w:noWrap/>
            <w:vAlign w:val="center"/>
          </w:tcPr>
          <w:p>
            <w:pPr>
              <w:spacing w:line="240" w:lineRule="exact"/>
              <w:ind w:firstLine="0" w:firstLineChars="0"/>
              <w:contextualSpacing/>
              <w:jc w:val="left"/>
              <w:rPr>
                <w:rFonts w:ascii="仿宋" w:hAnsi="仿宋" w:eastAsia="仿宋" w:cs="仿宋"/>
                <w:spacing w:val="23"/>
                <w:kern w:val="0"/>
                <w:sz w:val="20"/>
                <w:szCs w:val="20"/>
                <w:highlight w:val="yellow"/>
                <w:lang w:bidi="ar"/>
              </w:rPr>
            </w:pPr>
            <w:r>
              <w:rPr>
                <w:rFonts w:hint="eastAsia" w:ascii="仿宋" w:hAnsi="仿宋" w:eastAsia="仿宋" w:cs="仿宋"/>
                <w:spacing w:val="23"/>
                <w:kern w:val="0"/>
                <w:sz w:val="20"/>
                <w:szCs w:val="20"/>
                <w:lang w:bidi="ar"/>
              </w:rPr>
              <w:t>抽看基本药物配备使用比例大于70%。</w:t>
            </w:r>
          </w:p>
        </w:tc>
        <w:tc>
          <w:tcPr>
            <w:tcW w:w="898"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33" w:hRule="atLeast"/>
        </w:trPr>
        <w:tc>
          <w:tcPr>
            <w:tcW w:w="660" w:type="dxa"/>
            <w:vMerge w:val="continue"/>
            <w:vAlign w:val="center"/>
          </w:tcPr>
          <w:p>
            <w:pPr>
              <w:spacing w:line="240" w:lineRule="exact"/>
              <w:ind w:firstLine="492"/>
              <w:contextualSpacing/>
              <w:jc w:val="center"/>
              <w:rPr>
                <w:rFonts w:ascii="仿宋" w:hAnsi="仿宋" w:eastAsia="仿宋" w:cs="仿宋"/>
                <w:spacing w:val="23"/>
                <w:kern w:val="0"/>
                <w:sz w:val="20"/>
                <w:szCs w:val="20"/>
                <w:lang w:bidi="ar"/>
              </w:rPr>
            </w:pPr>
          </w:p>
        </w:tc>
        <w:tc>
          <w:tcPr>
            <w:tcW w:w="911" w:type="dxa"/>
            <w:vMerge w:val="continue"/>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药品网上采购率</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3</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基层医疗卫生机构的药品网上采购率应达100%。</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基层医疗卫生机构的药品网上采购率达100%，计3分，每发现一例未在网上采购扣0.5分，扣完为止，若未提采购申请直接下单，酌情计分。</w:t>
            </w:r>
          </w:p>
        </w:tc>
        <w:tc>
          <w:tcPr>
            <w:tcW w:w="2799" w:type="dxa"/>
            <w:noWrap/>
            <w:vAlign w:val="center"/>
          </w:tcPr>
          <w:p>
            <w:pPr>
              <w:spacing w:line="240" w:lineRule="exact"/>
              <w:ind w:firstLine="0" w:firstLineChars="0"/>
              <w:contextualSpacing/>
              <w:jc w:val="left"/>
              <w:rPr>
                <w:rFonts w:ascii="仿宋" w:hAnsi="仿宋" w:eastAsia="仿宋" w:cs="仿宋"/>
                <w:spacing w:val="23"/>
                <w:kern w:val="0"/>
                <w:sz w:val="20"/>
                <w:szCs w:val="20"/>
                <w:highlight w:val="yellow"/>
                <w:lang w:bidi="ar"/>
              </w:rPr>
            </w:pPr>
            <w:r>
              <w:rPr>
                <w:rFonts w:hint="eastAsia" w:ascii="仿宋" w:hAnsi="仿宋" w:eastAsia="仿宋" w:cs="仿宋"/>
                <w:spacing w:val="23"/>
                <w:kern w:val="0"/>
                <w:sz w:val="20"/>
                <w:szCs w:val="20"/>
                <w:lang w:bidi="ar"/>
              </w:rPr>
              <w:t>抽查药品已均在网上采购，但抽查2 个中心均存在部分药品未提出采购申请或未审批直接在平台下单的情况，酌情扣1分。</w:t>
            </w:r>
          </w:p>
        </w:tc>
        <w:tc>
          <w:tcPr>
            <w:tcW w:w="898"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63" w:hRule="atLeast"/>
        </w:trPr>
        <w:tc>
          <w:tcPr>
            <w:tcW w:w="660" w:type="dxa"/>
            <w:vMerge w:val="continue"/>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911"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产</w:t>
            </w:r>
            <w:r>
              <w:rPr>
                <w:rFonts w:hint="eastAsia" w:ascii="仿宋" w:hAnsi="仿宋" w:eastAsia="仿宋" w:cs="仿宋"/>
                <w:spacing w:val="23"/>
                <w:kern w:val="0"/>
                <w:sz w:val="20"/>
                <w:szCs w:val="20"/>
                <w:lang w:eastAsia="en-US" w:bidi="ar"/>
              </w:rPr>
              <w:t>出</w:t>
            </w:r>
            <w:r>
              <w:rPr>
                <w:rFonts w:hint="eastAsia" w:ascii="仿宋" w:hAnsi="仿宋" w:eastAsia="仿宋" w:cs="仿宋"/>
                <w:spacing w:val="23"/>
                <w:kern w:val="0"/>
                <w:sz w:val="20"/>
                <w:szCs w:val="20"/>
                <w:lang w:eastAsia="en-US" w:bidi="ar"/>
              </w:rPr>
              <w:br w:type="textWrapping"/>
            </w:r>
            <w:r>
              <w:rPr>
                <w:rFonts w:hint="eastAsia" w:ascii="仿宋" w:hAnsi="仿宋" w:eastAsia="仿宋" w:cs="仿宋"/>
                <w:spacing w:val="23"/>
                <w:kern w:val="0"/>
                <w:sz w:val="20"/>
                <w:szCs w:val="20"/>
                <w:lang w:eastAsia="en-US" w:bidi="ar"/>
              </w:rPr>
              <w:t>质量</w:t>
            </w:r>
            <w:r>
              <w:rPr>
                <w:rFonts w:hint="eastAsia" w:ascii="仿宋" w:hAnsi="仿宋" w:eastAsia="仿宋" w:cs="仿宋"/>
                <w:spacing w:val="23"/>
                <w:kern w:val="0"/>
                <w:sz w:val="20"/>
                <w:szCs w:val="20"/>
                <w:lang w:bidi="ar"/>
              </w:rPr>
              <w:t>（20分）</w:t>
            </w: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处方管理</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4</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处方的制单规范和用药适宜性</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基层医疗卫生机构开出的处方是否规范，处方用药是否适宜，此项依据区卫健局年度绩效评价抽取处方数请相关专家点评的结果酌情计分。</w:t>
            </w:r>
          </w:p>
        </w:tc>
        <w:tc>
          <w:tcPr>
            <w:tcW w:w="2799" w:type="dxa"/>
            <w:noWrap/>
            <w:vAlign w:val="center"/>
          </w:tcPr>
          <w:p>
            <w:pPr>
              <w:spacing w:line="240" w:lineRule="exact"/>
              <w:ind w:firstLine="0" w:firstLineChars="0"/>
              <w:contextualSpacing/>
              <w:jc w:val="left"/>
              <w:rPr>
                <w:rFonts w:ascii="仿宋" w:hAnsi="仿宋" w:eastAsia="仿宋" w:cs="仿宋"/>
                <w:spacing w:val="23"/>
                <w:kern w:val="0"/>
                <w:sz w:val="20"/>
                <w:szCs w:val="20"/>
                <w:highlight w:val="yellow"/>
                <w:lang w:bidi="ar"/>
              </w:rPr>
            </w:pPr>
            <w:r>
              <w:rPr>
                <w:rFonts w:hint="eastAsia" w:ascii="仿宋" w:hAnsi="仿宋" w:eastAsia="仿宋" w:cs="仿宋"/>
                <w:spacing w:val="23"/>
                <w:kern w:val="0"/>
                <w:sz w:val="20"/>
                <w:szCs w:val="20"/>
                <w:lang w:bidi="ar"/>
              </w:rPr>
              <w:t>区财政和卫健局年度考核抽取处方经专家点评，处方均存在不规范或不适宜等情形，扣2分。</w:t>
            </w:r>
          </w:p>
        </w:tc>
        <w:tc>
          <w:tcPr>
            <w:tcW w:w="898"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63" w:hRule="atLeast"/>
        </w:trPr>
        <w:tc>
          <w:tcPr>
            <w:tcW w:w="660" w:type="dxa"/>
            <w:vMerge w:val="restart"/>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产</w:t>
            </w:r>
            <w:r>
              <w:rPr>
                <w:rFonts w:hint="eastAsia" w:ascii="仿宋" w:hAnsi="仿宋" w:eastAsia="仿宋" w:cs="仿宋"/>
                <w:spacing w:val="23"/>
                <w:kern w:val="0"/>
                <w:sz w:val="20"/>
                <w:szCs w:val="20"/>
                <w:lang w:eastAsia="en-US" w:bidi="ar"/>
              </w:rPr>
              <w:br w:type="textWrapping"/>
            </w:r>
            <w:r>
              <w:rPr>
                <w:rFonts w:hint="eastAsia" w:ascii="仿宋" w:hAnsi="仿宋" w:eastAsia="仿宋" w:cs="仿宋"/>
                <w:spacing w:val="23"/>
                <w:kern w:val="0"/>
                <w:sz w:val="20"/>
                <w:szCs w:val="20"/>
                <w:lang w:eastAsia="en-US" w:bidi="ar"/>
              </w:rPr>
              <w:t>出</w:t>
            </w:r>
            <w:r>
              <w:rPr>
                <w:rFonts w:hint="eastAsia" w:ascii="仿宋" w:hAnsi="仿宋" w:eastAsia="仿宋" w:cs="仿宋"/>
                <w:spacing w:val="23"/>
                <w:kern w:val="0"/>
                <w:sz w:val="20"/>
                <w:szCs w:val="20"/>
                <w:lang w:eastAsia="en-US" w:bidi="ar"/>
              </w:rPr>
              <w:br w:type="textWrapping"/>
            </w:r>
          </w:p>
        </w:tc>
        <w:tc>
          <w:tcPr>
            <w:tcW w:w="911" w:type="dxa"/>
            <w:vMerge w:val="restart"/>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产</w:t>
            </w:r>
            <w:r>
              <w:rPr>
                <w:rFonts w:hint="eastAsia" w:ascii="仿宋" w:hAnsi="仿宋" w:eastAsia="仿宋" w:cs="仿宋"/>
                <w:spacing w:val="23"/>
                <w:kern w:val="0"/>
                <w:sz w:val="20"/>
                <w:szCs w:val="20"/>
                <w:lang w:eastAsia="en-US" w:bidi="ar"/>
              </w:rPr>
              <w:t>出</w:t>
            </w:r>
            <w:r>
              <w:rPr>
                <w:rFonts w:hint="eastAsia" w:ascii="仿宋" w:hAnsi="仿宋" w:eastAsia="仿宋" w:cs="仿宋"/>
                <w:spacing w:val="23"/>
                <w:kern w:val="0"/>
                <w:sz w:val="20"/>
                <w:szCs w:val="20"/>
                <w:lang w:eastAsia="en-US" w:bidi="ar"/>
              </w:rPr>
              <w:br w:type="textWrapping"/>
            </w:r>
            <w:r>
              <w:rPr>
                <w:rFonts w:hint="eastAsia" w:ascii="仿宋" w:hAnsi="仿宋" w:eastAsia="仿宋" w:cs="仿宋"/>
                <w:spacing w:val="23"/>
                <w:kern w:val="0"/>
                <w:sz w:val="20"/>
                <w:szCs w:val="20"/>
                <w:lang w:eastAsia="en-US" w:bidi="ar"/>
              </w:rPr>
              <w:t>质量</w:t>
            </w: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零差率销售</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4</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基层医疗卫生机构对外销售的基本药品价格为采购进价，不得加价销售。</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基层医疗卫生机构对外销售的基本药品价格为采购进价计5</w:t>
            </w:r>
            <w:r>
              <w:rPr>
                <w:rFonts w:ascii="仿宋" w:hAnsi="仿宋" w:eastAsia="仿宋" w:cs="仿宋"/>
                <w:spacing w:val="23"/>
                <w:kern w:val="0"/>
                <w:sz w:val="20"/>
                <w:szCs w:val="20"/>
                <w:lang w:bidi="ar"/>
              </w:rPr>
              <w:t>分</w:t>
            </w:r>
            <w:r>
              <w:rPr>
                <w:rFonts w:hint="eastAsia" w:ascii="仿宋" w:hAnsi="仿宋" w:eastAsia="仿宋" w:cs="仿宋"/>
                <w:spacing w:val="23"/>
                <w:kern w:val="0"/>
                <w:sz w:val="20"/>
                <w:szCs w:val="20"/>
                <w:lang w:bidi="ar"/>
              </w:rPr>
              <w:t>，发现加价销售计0分；零差率销售=（销售价格/采购价格）*100%=0。</w:t>
            </w:r>
          </w:p>
        </w:tc>
        <w:tc>
          <w:tcPr>
            <w:tcW w:w="2799" w:type="dxa"/>
            <w:noWrap/>
            <w:vAlign w:val="center"/>
          </w:tcPr>
          <w:p>
            <w:pPr>
              <w:spacing w:line="240" w:lineRule="exact"/>
              <w:ind w:firstLine="0" w:firstLineChars="0"/>
              <w:contextualSpacing/>
              <w:jc w:val="left"/>
              <w:rPr>
                <w:rFonts w:ascii="仿宋" w:hAnsi="仿宋" w:eastAsia="仿宋" w:cs="仿宋"/>
                <w:spacing w:val="23"/>
                <w:kern w:val="0"/>
                <w:sz w:val="20"/>
                <w:szCs w:val="20"/>
                <w:highlight w:val="yellow"/>
                <w:lang w:bidi="ar"/>
              </w:rPr>
            </w:pPr>
            <w:r>
              <w:rPr>
                <w:rFonts w:hint="eastAsia" w:ascii="仿宋" w:hAnsi="仿宋" w:eastAsia="仿宋" w:cs="仿宋"/>
                <w:spacing w:val="23"/>
                <w:kern w:val="0"/>
                <w:sz w:val="20"/>
                <w:szCs w:val="20"/>
                <w:lang w:bidi="ar"/>
              </w:rPr>
              <w:t>现场抽查药品销售价格与进价一致。</w:t>
            </w:r>
          </w:p>
        </w:tc>
        <w:tc>
          <w:tcPr>
            <w:tcW w:w="898"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35" w:hRule="atLeast"/>
        </w:trPr>
        <w:tc>
          <w:tcPr>
            <w:tcW w:w="660" w:type="dxa"/>
            <w:vMerge w:val="continue"/>
            <w:vAlign w:val="center"/>
          </w:tcPr>
          <w:p>
            <w:pPr>
              <w:spacing w:line="240" w:lineRule="exact"/>
              <w:ind w:firstLine="492"/>
              <w:contextualSpacing/>
              <w:jc w:val="center"/>
              <w:rPr>
                <w:rFonts w:ascii="仿宋" w:hAnsi="仿宋" w:eastAsia="仿宋" w:cs="仿宋"/>
                <w:spacing w:val="23"/>
                <w:kern w:val="0"/>
                <w:sz w:val="20"/>
                <w:szCs w:val="20"/>
                <w:lang w:bidi="ar"/>
              </w:rPr>
            </w:pPr>
          </w:p>
        </w:tc>
        <w:tc>
          <w:tcPr>
            <w:tcW w:w="911" w:type="dxa"/>
            <w:vMerge w:val="continue"/>
            <w:vAlign w:val="center"/>
          </w:tcPr>
          <w:p>
            <w:pPr>
              <w:spacing w:line="240" w:lineRule="exact"/>
              <w:ind w:firstLine="492"/>
              <w:contextualSpacing/>
              <w:jc w:val="center"/>
              <w:rPr>
                <w:rFonts w:ascii="仿宋" w:hAnsi="仿宋" w:eastAsia="仿宋" w:cs="仿宋"/>
                <w:spacing w:val="23"/>
                <w:kern w:val="0"/>
                <w:sz w:val="20"/>
                <w:szCs w:val="20"/>
                <w:lang w:bidi="ar"/>
              </w:rPr>
            </w:pP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药品存储养护</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4</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药品是否按规定存储环境进行储存；基层医疗卫生机构应指派专（兼）职养护人员定期监测和记录储存区域的温湿度，并建立养护档案。</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①药品是否按规定存储环境进行储存计2</w:t>
            </w:r>
            <w:r>
              <w:rPr>
                <w:rFonts w:ascii="仿宋" w:hAnsi="仿宋" w:eastAsia="仿宋" w:cs="仿宋"/>
                <w:spacing w:val="23"/>
                <w:kern w:val="0"/>
                <w:sz w:val="20"/>
                <w:szCs w:val="20"/>
                <w:lang w:bidi="ar"/>
              </w:rPr>
              <w:t>分</w:t>
            </w:r>
            <w:r>
              <w:rPr>
                <w:rFonts w:hint="eastAsia" w:ascii="仿宋" w:hAnsi="仿宋" w:eastAsia="仿宋" w:cs="仿宋"/>
                <w:spacing w:val="23"/>
                <w:kern w:val="0"/>
                <w:sz w:val="20"/>
                <w:szCs w:val="20"/>
                <w:lang w:bidi="ar"/>
              </w:rPr>
              <w:t>；②基层医疗卫生机构应指派专（兼）职养护人员</w:t>
            </w:r>
            <w:r>
              <w:rPr>
                <w:rStyle w:val="42"/>
                <w:rFonts w:hint="eastAsia" w:ascii="仿宋" w:hAnsi="仿宋" w:eastAsia="仿宋" w:cs="仿宋"/>
                <w:color w:val="auto"/>
                <w:spacing w:val="23"/>
                <w:lang w:bidi="ar"/>
              </w:rPr>
              <w:t>计1</w:t>
            </w:r>
            <w:r>
              <w:rPr>
                <w:rStyle w:val="42"/>
                <w:rFonts w:ascii="仿宋" w:hAnsi="仿宋" w:eastAsia="仿宋" w:cs="仿宋"/>
                <w:color w:val="auto"/>
                <w:spacing w:val="23"/>
                <w:lang w:bidi="ar"/>
              </w:rPr>
              <w:t>分</w:t>
            </w:r>
            <w:r>
              <w:rPr>
                <w:rFonts w:hint="eastAsia" w:ascii="仿宋" w:hAnsi="仿宋" w:eastAsia="仿宋" w:cs="仿宋"/>
                <w:spacing w:val="23"/>
                <w:kern w:val="0"/>
                <w:sz w:val="20"/>
                <w:szCs w:val="20"/>
                <w:lang w:bidi="ar"/>
              </w:rPr>
              <w:t>；③专（兼）职养护人员定期监测和记录储存区域的温湿度，并建立养护档案</w:t>
            </w:r>
            <w:r>
              <w:rPr>
                <w:rStyle w:val="42"/>
                <w:rFonts w:hint="eastAsia" w:ascii="仿宋" w:hAnsi="仿宋" w:eastAsia="仿宋" w:cs="仿宋"/>
                <w:color w:val="auto"/>
                <w:spacing w:val="23"/>
                <w:lang w:bidi="ar"/>
              </w:rPr>
              <w:t>计1</w:t>
            </w:r>
            <w:r>
              <w:rPr>
                <w:rStyle w:val="42"/>
                <w:rFonts w:ascii="仿宋" w:hAnsi="仿宋" w:eastAsia="仿宋" w:cs="仿宋"/>
                <w:color w:val="auto"/>
                <w:spacing w:val="23"/>
                <w:lang w:bidi="ar"/>
              </w:rPr>
              <w:t>分</w:t>
            </w:r>
            <w:r>
              <w:rPr>
                <w:rFonts w:hint="eastAsia" w:ascii="仿宋" w:hAnsi="仿宋" w:eastAsia="仿宋" w:cs="仿宋"/>
                <w:spacing w:val="23"/>
                <w:kern w:val="0"/>
                <w:sz w:val="20"/>
                <w:szCs w:val="20"/>
                <w:lang w:bidi="ar"/>
              </w:rPr>
              <w:t>。</w:t>
            </w:r>
          </w:p>
        </w:tc>
        <w:tc>
          <w:tcPr>
            <w:tcW w:w="2799" w:type="dxa"/>
            <w:noWrap/>
            <w:vAlign w:val="center"/>
          </w:tcPr>
          <w:p>
            <w:pPr>
              <w:spacing w:line="240" w:lineRule="exact"/>
              <w:ind w:firstLine="0" w:firstLineChars="0"/>
              <w:contextualSpacing/>
              <w:jc w:val="left"/>
              <w:rPr>
                <w:rFonts w:ascii="仿宋" w:hAnsi="仿宋" w:eastAsia="仿宋" w:cs="仿宋"/>
                <w:spacing w:val="23"/>
                <w:kern w:val="0"/>
                <w:sz w:val="20"/>
                <w:szCs w:val="20"/>
                <w:highlight w:val="yellow"/>
                <w:lang w:bidi="ar"/>
              </w:rPr>
            </w:pPr>
            <w:r>
              <w:rPr>
                <w:rFonts w:hint="eastAsia" w:ascii="仿宋" w:hAnsi="仿宋" w:eastAsia="仿宋" w:cs="仿宋"/>
                <w:spacing w:val="23"/>
                <w:kern w:val="0"/>
                <w:sz w:val="20"/>
                <w:szCs w:val="20"/>
                <w:lang w:bidi="ar"/>
              </w:rPr>
              <w:t>田心中心药房避光药品“椿乳凝胶、阿托伐他汀钙片、阿卡波糖片维生素D2软胶囊”等未全部放入避光柜中存储，扣</w:t>
            </w:r>
            <w:r>
              <w:rPr>
                <w:rFonts w:hint="eastAsia" w:ascii="仿宋" w:hAnsi="仿宋" w:eastAsia="仿宋" w:cs="仿宋"/>
                <w:spacing w:val="23"/>
                <w:kern w:val="0"/>
                <w:sz w:val="20"/>
                <w:szCs w:val="20"/>
                <w:lang w:val="en-US" w:eastAsia="zh-CN" w:bidi="ar"/>
              </w:rPr>
              <w:t>2</w:t>
            </w:r>
            <w:r>
              <w:rPr>
                <w:rFonts w:hint="eastAsia" w:ascii="仿宋" w:hAnsi="仿宋" w:eastAsia="仿宋" w:cs="仿宋"/>
                <w:spacing w:val="23"/>
                <w:kern w:val="0"/>
                <w:sz w:val="20"/>
                <w:szCs w:val="20"/>
                <w:lang w:bidi="ar"/>
              </w:rPr>
              <w:t>分。</w:t>
            </w:r>
          </w:p>
        </w:tc>
        <w:tc>
          <w:tcPr>
            <w:tcW w:w="898"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21" w:hRule="atLeast"/>
        </w:trPr>
        <w:tc>
          <w:tcPr>
            <w:tcW w:w="660" w:type="dxa"/>
            <w:vMerge w:val="continue"/>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911" w:type="dxa"/>
            <w:vMerge w:val="continue"/>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全额发放社区卫生服务中心在职人员绩效奖金和退休人员生活补助</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4</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是否全额发放社区卫生服务中心在职人员绩效奖金和退休人员生活补助</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全额发放社区卫生服务中心在职人员绩效奖金和退休人员生活补助计4分，每减少1人扣0.5分，扣完为止。</w:t>
            </w:r>
          </w:p>
        </w:tc>
        <w:tc>
          <w:tcPr>
            <w:tcW w:w="2799" w:type="dxa"/>
            <w:noWrap/>
            <w:vAlign w:val="center"/>
          </w:tcPr>
          <w:p>
            <w:pPr>
              <w:spacing w:line="240" w:lineRule="exact"/>
              <w:ind w:firstLine="0" w:firstLineChars="0"/>
              <w:contextualSpacing/>
              <w:jc w:val="left"/>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已全额发放</w:t>
            </w:r>
          </w:p>
        </w:tc>
        <w:tc>
          <w:tcPr>
            <w:tcW w:w="898"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89" w:hRule="exact"/>
        </w:trPr>
        <w:tc>
          <w:tcPr>
            <w:tcW w:w="660" w:type="dxa"/>
            <w:vAlign w:val="center"/>
          </w:tcPr>
          <w:p>
            <w:pPr>
              <w:spacing w:line="240" w:lineRule="exact"/>
              <w:ind w:firstLine="492"/>
              <w:contextualSpacing/>
              <w:jc w:val="center"/>
              <w:rPr>
                <w:rFonts w:ascii="仿宋" w:hAnsi="仿宋" w:eastAsia="仿宋" w:cs="仿宋"/>
                <w:spacing w:val="23"/>
                <w:kern w:val="0"/>
                <w:sz w:val="20"/>
                <w:szCs w:val="20"/>
                <w:lang w:bidi="ar"/>
              </w:rPr>
            </w:pPr>
          </w:p>
        </w:tc>
        <w:tc>
          <w:tcPr>
            <w:tcW w:w="911" w:type="dxa"/>
            <w:vAlign w:val="center"/>
          </w:tcPr>
          <w:p>
            <w:pPr>
              <w:spacing w:line="240" w:lineRule="exact"/>
              <w:ind w:firstLine="0" w:firstLineChars="0"/>
              <w:contextualSpacing/>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产</w:t>
            </w:r>
            <w:r>
              <w:rPr>
                <w:rFonts w:hint="eastAsia" w:ascii="仿宋" w:hAnsi="仿宋" w:eastAsia="仿宋" w:cs="仿宋"/>
                <w:spacing w:val="23"/>
                <w:kern w:val="0"/>
                <w:sz w:val="20"/>
                <w:szCs w:val="20"/>
                <w:lang w:eastAsia="en-US" w:bidi="ar"/>
              </w:rPr>
              <w:t>出</w:t>
            </w:r>
            <w:r>
              <w:rPr>
                <w:rFonts w:hint="eastAsia" w:ascii="仿宋" w:hAnsi="仿宋" w:eastAsia="仿宋" w:cs="仿宋"/>
                <w:spacing w:val="23"/>
                <w:kern w:val="0"/>
                <w:sz w:val="20"/>
                <w:szCs w:val="20"/>
                <w:lang w:eastAsia="en-US" w:bidi="ar"/>
              </w:rPr>
              <w:br w:type="textWrapping"/>
            </w:r>
            <w:r>
              <w:rPr>
                <w:rFonts w:hint="eastAsia" w:ascii="仿宋" w:hAnsi="仿宋" w:eastAsia="仿宋" w:cs="仿宋"/>
                <w:spacing w:val="23"/>
                <w:kern w:val="0"/>
                <w:sz w:val="20"/>
                <w:szCs w:val="20"/>
                <w:lang w:eastAsia="en-US" w:bidi="ar"/>
              </w:rPr>
              <w:t>质量</w:t>
            </w: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近效期药品管理</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4</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对效期在6个月以内的药品必须进行特别管理</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①基层医疗卫生机构应建立效期药品管理制度，至少每个季度对药品效期进行清理，并填写药品效期表计2</w:t>
            </w:r>
            <w:r>
              <w:rPr>
                <w:rFonts w:ascii="仿宋" w:hAnsi="仿宋" w:eastAsia="仿宋" w:cs="仿宋"/>
                <w:spacing w:val="23"/>
                <w:kern w:val="0"/>
                <w:sz w:val="20"/>
                <w:szCs w:val="20"/>
                <w:lang w:bidi="ar"/>
              </w:rPr>
              <w:t>分</w:t>
            </w:r>
            <w:r>
              <w:rPr>
                <w:rFonts w:hint="eastAsia" w:ascii="仿宋" w:hAnsi="仿宋" w:eastAsia="仿宋" w:cs="仿宋"/>
                <w:spacing w:val="23"/>
                <w:kern w:val="0"/>
                <w:sz w:val="20"/>
                <w:szCs w:val="20"/>
                <w:lang w:bidi="ar"/>
              </w:rPr>
              <w:t>；②将效期在6个月以内的药品放置单独区域并标识计1</w:t>
            </w:r>
            <w:r>
              <w:rPr>
                <w:rFonts w:ascii="仿宋" w:hAnsi="仿宋" w:eastAsia="仿宋" w:cs="仿宋"/>
                <w:spacing w:val="23"/>
                <w:kern w:val="0"/>
                <w:sz w:val="20"/>
                <w:szCs w:val="20"/>
                <w:lang w:bidi="ar"/>
              </w:rPr>
              <w:t>分</w:t>
            </w:r>
            <w:r>
              <w:rPr>
                <w:rFonts w:hint="eastAsia" w:ascii="仿宋" w:hAnsi="仿宋" w:eastAsia="仿宋" w:cs="仿宋"/>
                <w:spacing w:val="23"/>
                <w:kern w:val="0"/>
                <w:sz w:val="20"/>
                <w:szCs w:val="20"/>
                <w:lang w:bidi="ar"/>
              </w:rPr>
              <w:t>；③除临床特殊用药以外，效期在6个月以内的药品不得验收入库</w:t>
            </w:r>
            <w:r>
              <w:rPr>
                <w:rStyle w:val="42"/>
                <w:rFonts w:hint="eastAsia" w:ascii="仿宋" w:hAnsi="仿宋" w:eastAsia="仿宋" w:cs="仿宋"/>
                <w:color w:val="auto"/>
                <w:spacing w:val="23"/>
                <w:lang w:bidi="ar"/>
              </w:rPr>
              <w:t>计1</w:t>
            </w:r>
            <w:r>
              <w:rPr>
                <w:rStyle w:val="42"/>
                <w:rFonts w:ascii="仿宋" w:hAnsi="仿宋" w:eastAsia="仿宋" w:cs="仿宋"/>
                <w:color w:val="auto"/>
                <w:spacing w:val="23"/>
                <w:lang w:bidi="ar"/>
              </w:rPr>
              <w:t>分</w:t>
            </w:r>
            <w:r>
              <w:rPr>
                <w:rFonts w:hint="eastAsia" w:ascii="仿宋" w:hAnsi="仿宋" w:eastAsia="仿宋" w:cs="仿宋"/>
                <w:spacing w:val="23"/>
                <w:kern w:val="0"/>
                <w:sz w:val="20"/>
                <w:szCs w:val="20"/>
                <w:lang w:bidi="ar"/>
              </w:rPr>
              <w:t>。</w:t>
            </w:r>
          </w:p>
        </w:tc>
        <w:tc>
          <w:tcPr>
            <w:tcW w:w="2799" w:type="dxa"/>
            <w:noWrap/>
            <w:vAlign w:val="center"/>
          </w:tcPr>
          <w:p>
            <w:pPr>
              <w:spacing w:line="240" w:lineRule="exact"/>
              <w:ind w:firstLine="0" w:firstLineChars="0"/>
              <w:contextualSpacing/>
              <w:jc w:val="left"/>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未发现近效期药品，计4分。</w:t>
            </w:r>
          </w:p>
        </w:tc>
        <w:tc>
          <w:tcPr>
            <w:tcW w:w="898"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9" w:hRule="atLeast"/>
        </w:trPr>
        <w:tc>
          <w:tcPr>
            <w:tcW w:w="660" w:type="dxa"/>
            <w:vMerge w:val="restart"/>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产</w:t>
            </w:r>
            <w:r>
              <w:rPr>
                <w:rFonts w:hint="eastAsia" w:ascii="仿宋" w:hAnsi="仿宋" w:eastAsia="仿宋" w:cs="仿宋"/>
                <w:spacing w:val="23"/>
                <w:kern w:val="0"/>
                <w:sz w:val="20"/>
                <w:szCs w:val="20"/>
                <w:lang w:eastAsia="en-US" w:bidi="ar"/>
              </w:rPr>
              <w:br w:type="textWrapping"/>
            </w:r>
            <w:r>
              <w:rPr>
                <w:rFonts w:hint="eastAsia" w:ascii="仿宋" w:hAnsi="仿宋" w:eastAsia="仿宋" w:cs="仿宋"/>
                <w:spacing w:val="23"/>
                <w:kern w:val="0"/>
                <w:sz w:val="20"/>
                <w:szCs w:val="20"/>
                <w:lang w:eastAsia="en-US" w:bidi="ar"/>
              </w:rPr>
              <w:t>出</w:t>
            </w:r>
          </w:p>
        </w:tc>
        <w:tc>
          <w:tcPr>
            <w:tcW w:w="911" w:type="dxa"/>
            <w:vMerge w:val="restart"/>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产</w:t>
            </w:r>
            <w:r>
              <w:rPr>
                <w:rFonts w:hint="eastAsia" w:ascii="仿宋" w:hAnsi="仿宋" w:eastAsia="仿宋" w:cs="仿宋"/>
                <w:spacing w:val="23"/>
                <w:kern w:val="0"/>
                <w:sz w:val="20"/>
                <w:szCs w:val="20"/>
                <w:lang w:eastAsia="en-US" w:bidi="ar"/>
              </w:rPr>
              <w:t>出</w:t>
            </w:r>
            <w:r>
              <w:rPr>
                <w:rFonts w:hint="eastAsia" w:ascii="仿宋" w:hAnsi="仿宋" w:eastAsia="仿宋" w:cs="仿宋"/>
                <w:spacing w:val="23"/>
                <w:kern w:val="0"/>
                <w:sz w:val="20"/>
                <w:szCs w:val="20"/>
                <w:lang w:eastAsia="en-US" w:bidi="ar"/>
              </w:rPr>
              <w:br w:type="textWrapping"/>
            </w:r>
            <w:r>
              <w:rPr>
                <w:rFonts w:hint="eastAsia" w:ascii="仿宋" w:hAnsi="仿宋" w:eastAsia="仿宋" w:cs="仿宋"/>
                <w:spacing w:val="23"/>
                <w:kern w:val="0"/>
                <w:sz w:val="20"/>
                <w:szCs w:val="20"/>
                <w:lang w:bidi="ar"/>
              </w:rPr>
              <w:t>时</w:t>
            </w:r>
            <w:r>
              <w:rPr>
                <w:rFonts w:hint="eastAsia" w:ascii="仿宋" w:hAnsi="仿宋" w:eastAsia="仿宋" w:cs="仿宋"/>
                <w:spacing w:val="23"/>
                <w:kern w:val="0"/>
                <w:sz w:val="20"/>
                <w:szCs w:val="20"/>
                <w:lang w:eastAsia="en-US" w:bidi="ar"/>
              </w:rPr>
              <w:t>效</w:t>
            </w:r>
            <w:r>
              <w:rPr>
                <w:rFonts w:hint="eastAsia" w:ascii="仿宋" w:hAnsi="仿宋" w:eastAsia="仿宋" w:cs="仿宋"/>
                <w:spacing w:val="23"/>
                <w:kern w:val="0"/>
                <w:sz w:val="20"/>
                <w:szCs w:val="20"/>
                <w:lang w:bidi="ar"/>
              </w:rPr>
              <w:t>（8分）</w:t>
            </w: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清水塘中心修缮</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4</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资金拨付文件要求项目在2021年11月前完工</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资金拨付文件要求项目在2021年11月前完工计4分，酌情判断给予计分。</w:t>
            </w:r>
          </w:p>
        </w:tc>
        <w:tc>
          <w:tcPr>
            <w:tcW w:w="2799" w:type="dxa"/>
            <w:noWrap/>
            <w:vAlign w:val="center"/>
          </w:tcPr>
          <w:p>
            <w:pPr>
              <w:spacing w:line="240" w:lineRule="exact"/>
              <w:ind w:firstLine="0" w:firstLineChars="0"/>
              <w:contextualSpacing/>
              <w:jc w:val="left"/>
              <w:rPr>
                <w:rFonts w:ascii="仿宋" w:hAnsi="仿宋" w:eastAsia="仿宋" w:cs="仿宋"/>
                <w:spacing w:val="23"/>
                <w:kern w:val="0"/>
                <w:sz w:val="20"/>
                <w:szCs w:val="20"/>
                <w:highlight w:val="yellow"/>
                <w:lang w:bidi="ar"/>
              </w:rPr>
            </w:pPr>
            <w:r>
              <w:rPr>
                <w:rFonts w:hint="eastAsia" w:ascii="仿宋" w:hAnsi="仿宋" w:eastAsia="仿宋" w:cs="仿宋"/>
                <w:spacing w:val="23"/>
                <w:kern w:val="0"/>
                <w:sz w:val="20"/>
                <w:szCs w:val="20"/>
                <w:lang w:bidi="ar"/>
              </w:rPr>
              <w:t>清水塘中心修缮进度滞后，酌情扣2分。</w:t>
            </w:r>
          </w:p>
        </w:tc>
        <w:tc>
          <w:tcPr>
            <w:tcW w:w="898"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9" w:hRule="atLeast"/>
        </w:trPr>
        <w:tc>
          <w:tcPr>
            <w:tcW w:w="660" w:type="dxa"/>
            <w:vMerge w:val="continue"/>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911" w:type="dxa"/>
            <w:vMerge w:val="continue"/>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药品短缺信息报送</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4</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①基层医疗卫生机构应建立药品短缺信息报送制度；</w:t>
            </w:r>
          </w:p>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②基层医疗卫生机构指派专人负责药品短缺信息报送；</w:t>
            </w:r>
          </w:p>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③每个季度至少报送一次，将药品短缺信息输入到药品短缺信息报送系统。</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①基层医疗卫生机构应建立药品短缺信息报送制度</w:t>
            </w:r>
            <w:r>
              <w:rPr>
                <w:rStyle w:val="42"/>
                <w:rFonts w:hint="eastAsia" w:ascii="仿宋" w:hAnsi="仿宋" w:eastAsia="仿宋" w:cs="仿宋"/>
                <w:color w:val="auto"/>
                <w:spacing w:val="23"/>
                <w:lang w:bidi="ar"/>
              </w:rPr>
              <w:t>计1</w:t>
            </w:r>
            <w:r>
              <w:rPr>
                <w:rStyle w:val="42"/>
                <w:rFonts w:ascii="仿宋" w:hAnsi="仿宋" w:eastAsia="仿宋" w:cs="仿宋"/>
                <w:color w:val="auto"/>
                <w:spacing w:val="23"/>
                <w:lang w:bidi="ar"/>
              </w:rPr>
              <w:t>分</w:t>
            </w:r>
            <w:r>
              <w:rPr>
                <w:rFonts w:hint="eastAsia" w:ascii="仿宋" w:hAnsi="仿宋" w:eastAsia="仿宋" w:cs="仿宋"/>
                <w:spacing w:val="23"/>
                <w:kern w:val="0"/>
                <w:sz w:val="20"/>
                <w:szCs w:val="20"/>
                <w:lang w:bidi="ar"/>
              </w:rPr>
              <w:t>；</w:t>
            </w:r>
          </w:p>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②基层医疗卫生机构指派专人负责药品短缺信息报送</w:t>
            </w:r>
            <w:r>
              <w:rPr>
                <w:rStyle w:val="42"/>
                <w:rFonts w:hint="eastAsia" w:ascii="仿宋" w:hAnsi="仿宋" w:eastAsia="仿宋" w:cs="仿宋"/>
                <w:color w:val="auto"/>
                <w:spacing w:val="23"/>
                <w:lang w:bidi="ar"/>
              </w:rPr>
              <w:t>计1</w:t>
            </w:r>
            <w:r>
              <w:rPr>
                <w:rStyle w:val="42"/>
                <w:rFonts w:ascii="仿宋" w:hAnsi="仿宋" w:eastAsia="仿宋" w:cs="仿宋"/>
                <w:color w:val="auto"/>
                <w:spacing w:val="23"/>
                <w:lang w:bidi="ar"/>
              </w:rPr>
              <w:t>分</w:t>
            </w:r>
            <w:r>
              <w:rPr>
                <w:rFonts w:hint="eastAsia" w:ascii="仿宋" w:hAnsi="仿宋" w:eastAsia="仿宋" w:cs="仿宋"/>
                <w:spacing w:val="23"/>
                <w:kern w:val="0"/>
                <w:sz w:val="20"/>
                <w:szCs w:val="20"/>
                <w:lang w:bidi="ar"/>
              </w:rPr>
              <w:t>；</w:t>
            </w:r>
          </w:p>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③每个季度至少报送一次，将药品短缺信息输入到药品短缺信息报送系统计3</w:t>
            </w:r>
            <w:r>
              <w:rPr>
                <w:rFonts w:ascii="仿宋" w:hAnsi="仿宋" w:eastAsia="仿宋" w:cs="仿宋"/>
                <w:spacing w:val="23"/>
                <w:kern w:val="0"/>
                <w:sz w:val="20"/>
                <w:szCs w:val="20"/>
                <w:lang w:bidi="ar"/>
              </w:rPr>
              <w:t>分</w:t>
            </w:r>
            <w:r>
              <w:rPr>
                <w:rFonts w:hint="eastAsia" w:ascii="仿宋" w:hAnsi="仿宋" w:eastAsia="仿宋" w:cs="仿宋"/>
                <w:spacing w:val="23"/>
                <w:kern w:val="0"/>
                <w:sz w:val="20"/>
                <w:szCs w:val="20"/>
                <w:lang w:bidi="ar"/>
              </w:rPr>
              <w:t>。</w:t>
            </w:r>
          </w:p>
        </w:tc>
        <w:tc>
          <w:tcPr>
            <w:tcW w:w="2799" w:type="dxa"/>
            <w:noWrap/>
            <w:vAlign w:val="center"/>
          </w:tcPr>
          <w:p>
            <w:pPr>
              <w:spacing w:line="240" w:lineRule="exact"/>
              <w:ind w:firstLine="0" w:firstLineChars="0"/>
              <w:contextualSpacing/>
              <w:jc w:val="left"/>
              <w:rPr>
                <w:rFonts w:ascii="仿宋" w:hAnsi="仿宋" w:eastAsia="仿宋" w:cs="仿宋"/>
                <w:spacing w:val="23"/>
                <w:kern w:val="0"/>
                <w:sz w:val="20"/>
                <w:szCs w:val="20"/>
                <w:highlight w:val="yellow"/>
                <w:lang w:bidi="ar"/>
              </w:rPr>
            </w:pPr>
            <w:r>
              <w:rPr>
                <w:rFonts w:hint="eastAsia" w:ascii="仿宋" w:hAnsi="仿宋" w:eastAsia="仿宋" w:cs="仿宋"/>
                <w:spacing w:val="23"/>
                <w:kern w:val="0"/>
                <w:sz w:val="20"/>
                <w:szCs w:val="20"/>
                <w:lang w:bidi="ar"/>
              </w:rPr>
              <w:t>田心中心2021年2-7月、2022年7月及响石岭中心2021年7月、11月的重点监测药品清单未报送信息，扣2.5分。</w:t>
            </w:r>
          </w:p>
        </w:tc>
        <w:tc>
          <w:tcPr>
            <w:tcW w:w="898"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8" w:hRule="atLeast"/>
        </w:trPr>
        <w:tc>
          <w:tcPr>
            <w:tcW w:w="660" w:type="dxa"/>
            <w:vMerge w:val="continue"/>
            <w:noWrap/>
            <w:vAlign w:val="center"/>
          </w:tcPr>
          <w:p>
            <w:pPr>
              <w:spacing w:line="240" w:lineRule="exact"/>
              <w:ind w:firstLine="492"/>
              <w:contextualSpacing/>
              <w:jc w:val="center"/>
              <w:rPr>
                <w:rFonts w:ascii="仿宋" w:hAnsi="仿宋" w:eastAsia="仿宋" w:cs="仿宋"/>
                <w:spacing w:val="23"/>
                <w:kern w:val="0"/>
                <w:sz w:val="20"/>
                <w:szCs w:val="20"/>
                <w:lang w:bidi="ar"/>
              </w:rPr>
            </w:pPr>
          </w:p>
        </w:tc>
        <w:tc>
          <w:tcPr>
            <w:tcW w:w="911"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产</w:t>
            </w:r>
            <w:r>
              <w:rPr>
                <w:rFonts w:hint="eastAsia" w:ascii="仿宋" w:hAnsi="仿宋" w:eastAsia="仿宋" w:cs="仿宋"/>
                <w:spacing w:val="23"/>
                <w:kern w:val="0"/>
                <w:sz w:val="20"/>
                <w:szCs w:val="20"/>
                <w:lang w:eastAsia="en-US" w:bidi="ar"/>
              </w:rPr>
              <w:t>出</w:t>
            </w:r>
            <w:r>
              <w:rPr>
                <w:rFonts w:hint="eastAsia" w:ascii="仿宋" w:hAnsi="仿宋" w:eastAsia="仿宋" w:cs="仿宋"/>
                <w:spacing w:val="23"/>
                <w:kern w:val="0"/>
                <w:sz w:val="20"/>
                <w:szCs w:val="20"/>
                <w:lang w:eastAsia="en-US" w:bidi="ar"/>
              </w:rPr>
              <w:br w:type="textWrapping"/>
            </w:r>
            <w:r>
              <w:rPr>
                <w:rFonts w:hint="eastAsia" w:ascii="仿宋" w:hAnsi="仿宋" w:eastAsia="仿宋" w:cs="仿宋"/>
                <w:spacing w:val="23"/>
                <w:kern w:val="0"/>
                <w:sz w:val="20"/>
                <w:szCs w:val="20"/>
                <w:lang w:eastAsia="en-US" w:bidi="ar"/>
              </w:rPr>
              <w:t>成本（</w:t>
            </w:r>
            <w:r>
              <w:rPr>
                <w:rFonts w:hint="eastAsia" w:ascii="仿宋" w:hAnsi="仿宋" w:eastAsia="仿宋" w:cs="仿宋"/>
                <w:spacing w:val="23"/>
                <w:kern w:val="0"/>
                <w:sz w:val="20"/>
                <w:szCs w:val="20"/>
                <w:lang w:bidi="ar"/>
              </w:rPr>
              <w:t>4</w:t>
            </w:r>
            <w:r>
              <w:rPr>
                <w:rFonts w:hint="eastAsia" w:ascii="仿宋" w:hAnsi="仿宋" w:eastAsia="仿宋" w:cs="仿宋"/>
                <w:spacing w:val="23"/>
                <w:kern w:val="0"/>
                <w:sz w:val="20"/>
                <w:szCs w:val="20"/>
                <w:lang w:eastAsia="en-US" w:bidi="ar"/>
              </w:rPr>
              <w:t>分）</w:t>
            </w: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成本节约率</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4</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各项实际投入是否控制在预算范围内。</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全年项目实施成本未超过预算成本计4分，每超过5%扣0.3分，扣完为止。</w:t>
            </w:r>
          </w:p>
        </w:tc>
        <w:tc>
          <w:tcPr>
            <w:tcW w:w="2799" w:type="dxa"/>
            <w:noWrap/>
            <w:vAlign w:val="center"/>
          </w:tcPr>
          <w:p>
            <w:pPr>
              <w:spacing w:line="240" w:lineRule="exact"/>
              <w:ind w:firstLine="0" w:firstLineChars="0"/>
              <w:contextualSpacing/>
              <w:jc w:val="left"/>
              <w:rPr>
                <w:rFonts w:ascii="仿宋" w:hAnsi="仿宋" w:eastAsia="仿宋" w:cs="仿宋"/>
                <w:spacing w:val="23"/>
                <w:kern w:val="0"/>
                <w:sz w:val="20"/>
                <w:szCs w:val="20"/>
                <w:highlight w:val="yellow"/>
                <w:lang w:bidi="ar"/>
              </w:rPr>
            </w:pPr>
            <w:r>
              <w:rPr>
                <w:rFonts w:hint="eastAsia" w:ascii="仿宋" w:hAnsi="仿宋" w:eastAsia="仿宋" w:cs="仿宋"/>
                <w:spacing w:val="23"/>
                <w:kern w:val="0"/>
                <w:sz w:val="20"/>
                <w:szCs w:val="20"/>
                <w:lang w:bidi="ar"/>
              </w:rPr>
              <w:t>预算200万元，决算支出375.19万元，年中调整上级补助175.19万元，酌情扣0.5分。</w:t>
            </w:r>
          </w:p>
        </w:tc>
        <w:tc>
          <w:tcPr>
            <w:tcW w:w="898"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83" w:hRule="atLeast"/>
        </w:trPr>
        <w:tc>
          <w:tcPr>
            <w:tcW w:w="660"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效</w:t>
            </w:r>
            <w:r>
              <w:rPr>
                <w:rFonts w:hint="eastAsia" w:ascii="仿宋" w:hAnsi="仿宋" w:eastAsia="仿宋" w:cs="仿宋"/>
                <w:spacing w:val="23"/>
                <w:kern w:val="0"/>
                <w:sz w:val="20"/>
                <w:szCs w:val="20"/>
                <w:lang w:eastAsia="en-US" w:bidi="ar"/>
              </w:rPr>
              <w:br w:type="textWrapping"/>
            </w:r>
            <w:r>
              <w:rPr>
                <w:rFonts w:hint="eastAsia" w:ascii="仿宋" w:hAnsi="仿宋" w:eastAsia="仿宋" w:cs="仿宋"/>
                <w:spacing w:val="23"/>
                <w:kern w:val="0"/>
                <w:sz w:val="20"/>
                <w:szCs w:val="20"/>
                <w:lang w:eastAsia="en-US" w:bidi="ar"/>
              </w:rPr>
              <w:t>益</w:t>
            </w:r>
          </w:p>
        </w:tc>
        <w:tc>
          <w:tcPr>
            <w:tcW w:w="911"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社会</w:t>
            </w:r>
            <w:r>
              <w:rPr>
                <w:rFonts w:hint="eastAsia" w:ascii="仿宋" w:hAnsi="仿宋" w:eastAsia="仿宋" w:cs="仿宋"/>
                <w:spacing w:val="23"/>
                <w:kern w:val="0"/>
                <w:sz w:val="20"/>
                <w:szCs w:val="20"/>
                <w:lang w:eastAsia="en-US" w:bidi="ar"/>
              </w:rPr>
              <w:t>效益（</w:t>
            </w:r>
            <w:r>
              <w:rPr>
                <w:rFonts w:hint="eastAsia" w:ascii="仿宋" w:hAnsi="仿宋" w:eastAsia="仿宋" w:cs="仿宋"/>
                <w:spacing w:val="23"/>
                <w:kern w:val="0"/>
                <w:sz w:val="20"/>
                <w:szCs w:val="20"/>
                <w:lang w:bidi="ar"/>
              </w:rPr>
              <w:t>8</w:t>
            </w:r>
            <w:r>
              <w:rPr>
                <w:rFonts w:hint="eastAsia" w:ascii="仿宋" w:hAnsi="仿宋" w:eastAsia="仿宋" w:cs="仿宋"/>
                <w:spacing w:val="23"/>
                <w:kern w:val="0"/>
                <w:sz w:val="20"/>
                <w:szCs w:val="20"/>
                <w:lang w:eastAsia="en-US" w:bidi="ar"/>
              </w:rPr>
              <w:t>分）</w:t>
            </w: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病患者经济负担减轻</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4</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实施国家基本药品制度补助项目是否减轻了病患者经济负担。</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病患者的经济负担明显减轻计4</w:t>
            </w:r>
            <w:r>
              <w:rPr>
                <w:rFonts w:ascii="仿宋" w:hAnsi="仿宋" w:eastAsia="仿宋" w:cs="仿宋"/>
                <w:spacing w:val="23"/>
                <w:kern w:val="0"/>
                <w:sz w:val="20"/>
                <w:szCs w:val="20"/>
                <w:lang w:bidi="ar"/>
              </w:rPr>
              <w:t>分</w:t>
            </w:r>
            <w:r>
              <w:rPr>
                <w:rFonts w:hint="eastAsia" w:ascii="仿宋" w:hAnsi="仿宋" w:eastAsia="仿宋" w:cs="仿宋"/>
                <w:spacing w:val="23"/>
                <w:kern w:val="0"/>
                <w:sz w:val="20"/>
                <w:szCs w:val="20"/>
                <w:lang w:bidi="ar"/>
              </w:rPr>
              <w:t>，酌情判断给予计分。</w:t>
            </w:r>
            <w:r>
              <w:rPr>
                <w:rFonts w:hint="eastAsia" w:ascii="仿宋" w:hAnsi="仿宋" w:eastAsia="仿宋" w:cs="仿宋"/>
                <w:spacing w:val="23"/>
                <w:kern w:val="0"/>
                <w:sz w:val="20"/>
                <w:szCs w:val="20"/>
                <w:lang w:bidi="ar"/>
              </w:rPr>
              <w:br w:type="textWrapping"/>
            </w:r>
          </w:p>
        </w:tc>
        <w:tc>
          <w:tcPr>
            <w:tcW w:w="2799" w:type="dxa"/>
            <w:noWrap/>
            <w:vAlign w:val="center"/>
          </w:tcPr>
          <w:p>
            <w:pPr>
              <w:spacing w:line="240" w:lineRule="exact"/>
              <w:ind w:firstLine="0" w:firstLineChars="0"/>
              <w:contextualSpacing/>
              <w:jc w:val="left"/>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实施零差率销售，减轻患者经济负担。</w:t>
            </w:r>
          </w:p>
        </w:tc>
        <w:tc>
          <w:tcPr>
            <w:tcW w:w="898"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83" w:hRule="atLeast"/>
        </w:trPr>
        <w:tc>
          <w:tcPr>
            <w:tcW w:w="660" w:type="dxa"/>
            <w:vMerge w:val="restart"/>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效</w:t>
            </w:r>
            <w:r>
              <w:rPr>
                <w:rFonts w:hint="eastAsia" w:ascii="仿宋" w:hAnsi="仿宋" w:eastAsia="仿宋" w:cs="仿宋"/>
                <w:spacing w:val="23"/>
                <w:kern w:val="0"/>
                <w:sz w:val="20"/>
                <w:szCs w:val="20"/>
                <w:lang w:eastAsia="en-US" w:bidi="ar"/>
              </w:rPr>
              <w:br w:type="textWrapping"/>
            </w:r>
            <w:r>
              <w:rPr>
                <w:rFonts w:hint="eastAsia" w:ascii="仿宋" w:hAnsi="仿宋" w:eastAsia="仿宋" w:cs="仿宋"/>
                <w:spacing w:val="23"/>
                <w:kern w:val="0"/>
                <w:sz w:val="20"/>
                <w:szCs w:val="20"/>
                <w:lang w:eastAsia="en-US" w:bidi="ar"/>
              </w:rPr>
              <w:t>益</w:t>
            </w:r>
          </w:p>
        </w:tc>
        <w:tc>
          <w:tcPr>
            <w:tcW w:w="911"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社会</w:t>
            </w:r>
            <w:r>
              <w:rPr>
                <w:rFonts w:hint="eastAsia" w:ascii="仿宋" w:hAnsi="仿宋" w:eastAsia="仿宋" w:cs="仿宋"/>
                <w:spacing w:val="23"/>
                <w:kern w:val="0"/>
                <w:sz w:val="20"/>
                <w:szCs w:val="20"/>
                <w:lang w:eastAsia="en-US" w:bidi="ar"/>
              </w:rPr>
              <w:t>效益</w:t>
            </w: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辖区居民健康水平不断提高</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4</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辖区居民健康水平是否不断提高。</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辖区居民健康水平不断提高计4</w:t>
            </w:r>
            <w:r>
              <w:rPr>
                <w:rFonts w:ascii="仿宋" w:hAnsi="仿宋" w:eastAsia="仿宋" w:cs="仿宋"/>
                <w:spacing w:val="23"/>
                <w:kern w:val="0"/>
                <w:sz w:val="20"/>
                <w:szCs w:val="20"/>
                <w:lang w:bidi="ar"/>
              </w:rPr>
              <w:t>分</w:t>
            </w:r>
            <w:r>
              <w:rPr>
                <w:rFonts w:hint="eastAsia" w:ascii="仿宋" w:hAnsi="仿宋" w:eastAsia="仿宋" w:cs="仿宋"/>
                <w:spacing w:val="23"/>
                <w:kern w:val="0"/>
                <w:sz w:val="20"/>
                <w:szCs w:val="20"/>
                <w:lang w:bidi="ar"/>
              </w:rPr>
              <w:t>，酌情判断给予计分。</w:t>
            </w:r>
            <w:r>
              <w:rPr>
                <w:rFonts w:hint="eastAsia" w:ascii="仿宋" w:hAnsi="仿宋" w:eastAsia="仿宋" w:cs="仿宋"/>
                <w:spacing w:val="23"/>
                <w:kern w:val="0"/>
                <w:sz w:val="20"/>
                <w:szCs w:val="20"/>
                <w:lang w:bidi="ar"/>
              </w:rPr>
              <w:br w:type="textWrapping"/>
            </w:r>
          </w:p>
        </w:tc>
        <w:tc>
          <w:tcPr>
            <w:tcW w:w="2799" w:type="dxa"/>
            <w:noWrap/>
            <w:vAlign w:val="center"/>
          </w:tcPr>
          <w:p>
            <w:pPr>
              <w:spacing w:line="240" w:lineRule="exact"/>
              <w:ind w:firstLine="0" w:firstLineChars="0"/>
              <w:contextualSpacing/>
              <w:jc w:val="left"/>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服务水平提升，辖区居民健康水平有所提高。</w:t>
            </w:r>
          </w:p>
        </w:tc>
        <w:tc>
          <w:tcPr>
            <w:tcW w:w="898"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08" w:hRule="atLeast"/>
        </w:trPr>
        <w:tc>
          <w:tcPr>
            <w:tcW w:w="660" w:type="dxa"/>
            <w:vMerge w:val="continue"/>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911" w:type="dxa"/>
            <w:vAlign w:val="center"/>
          </w:tcPr>
          <w:p>
            <w:pPr>
              <w:spacing w:line="240" w:lineRule="exact"/>
              <w:ind w:firstLine="0" w:firstLineChars="0"/>
              <w:contextualSpacing/>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可</w:t>
            </w:r>
            <w:r>
              <w:rPr>
                <w:rFonts w:hint="eastAsia" w:ascii="仿宋" w:hAnsi="仿宋" w:eastAsia="仿宋" w:cs="仿宋"/>
                <w:spacing w:val="23"/>
                <w:kern w:val="0"/>
                <w:sz w:val="20"/>
                <w:szCs w:val="20"/>
                <w:lang w:eastAsia="en-US" w:bidi="ar"/>
              </w:rPr>
              <w:t>持续</w:t>
            </w:r>
            <w:r>
              <w:rPr>
                <w:rFonts w:hint="eastAsia" w:ascii="仿宋" w:hAnsi="仿宋" w:eastAsia="仿宋" w:cs="仿宋"/>
                <w:spacing w:val="23"/>
                <w:kern w:val="0"/>
                <w:sz w:val="20"/>
                <w:szCs w:val="20"/>
                <w:lang w:bidi="ar"/>
              </w:rPr>
              <w:t>影响（5分）</w:t>
            </w: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可</w:t>
            </w:r>
            <w:r>
              <w:rPr>
                <w:rFonts w:hint="eastAsia" w:ascii="仿宋" w:hAnsi="仿宋" w:eastAsia="仿宋" w:cs="仿宋"/>
                <w:spacing w:val="23"/>
                <w:kern w:val="0"/>
                <w:sz w:val="20"/>
                <w:szCs w:val="20"/>
                <w:lang w:eastAsia="en-US" w:bidi="ar"/>
              </w:rPr>
              <w:t>持续性</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5</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建立健全基本药品管理体系。</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检查了解基层医疗卫生机构的基本药品管理体系的建立健全情况，酌情判断给予计分。</w:t>
            </w:r>
          </w:p>
        </w:tc>
        <w:tc>
          <w:tcPr>
            <w:tcW w:w="2799" w:type="dxa"/>
            <w:noWrap/>
            <w:vAlign w:val="center"/>
          </w:tcPr>
          <w:p>
            <w:pPr>
              <w:spacing w:line="240" w:lineRule="exact"/>
              <w:ind w:firstLine="0" w:firstLineChars="0"/>
              <w:contextualSpacing/>
              <w:jc w:val="left"/>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建立了管理体系。</w:t>
            </w:r>
          </w:p>
        </w:tc>
        <w:tc>
          <w:tcPr>
            <w:tcW w:w="898"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08" w:hRule="atLeast"/>
        </w:trPr>
        <w:tc>
          <w:tcPr>
            <w:tcW w:w="660" w:type="dxa"/>
            <w:vMerge w:val="continue"/>
            <w:vAlign w:val="center"/>
          </w:tcPr>
          <w:p>
            <w:pPr>
              <w:spacing w:line="240" w:lineRule="exact"/>
              <w:ind w:firstLine="492"/>
              <w:contextualSpacing/>
              <w:jc w:val="center"/>
              <w:rPr>
                <w:rFonts w:ascii="仿宋" w:hAnsi="仿宋" w:eastAsia="仿宋" w:cs="仿宋"/>
                <w:spacing w:val="23"/>
                <w:kern w:val="0"/>
                <w:sz w:val="20"/>
                <w:szCs w:val="20"/>
                <w:lang w:bidi="ar"/>
              </w:rPr>
            </w:pPr>
          </w:p>
        </w:tc>
        <w:tc>
          <w:tcPr>
            <w:tcW w:w="911" w:type="dxa"/>
            <w:vAlign w:val="center"/>
          </w:tcPr>
          <w:p>
            <w:pPr>
              <w:spacing w:line="240" w:lineRule="exact"/>
              <w:ind w:firstLine="0" w:firstLineChars="0"/>
              <w:contextualSpacing/>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满意度（5分）</w:t>
            </w:r>
          </w:p>
        </w:tc>
        <w:tc>
          <w:tcPr>
            <w:tcW w:w="1175" w:type="dxa"/>
            <w:vAlign w:val="center"/>
          </w:tcPr>
          <w:p>
            <w:pPr>
              <w:spacing w:line="240" w:lineRule="exact"/>
              <w:ind w:firstLine="0" w:firstLineChars="0"/>
              <w:contextualSpacing/>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服务对象满意度</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5</w:t>
            </w:r>
          </w:p>
        </w:tc>
        <w:tc>
          <w:tcPr>
            <w:tcW w:w="3338" w:type="dxa"/>
            <w:vAlign w:val="center"/>
          </w:tcPr>
          <w:p>
            <w:pPr>
              <w:spacing w:line="240" w:lineRule="exact"/>
              <w:ind w:firstLine="0" w:firstLineChars="0"/>
              <w:contextualSpacing/>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服务对象（病患者）满意度是否达到90%以上。</w:t>
            </w:r>
          </w:p>
        </w:tc>
        <w:tc>
          <w:tcPr>
            <w:tcW w:w="3801" w:type="dxa"/>
            <w:vAlign w:val="center"/>
          </w:tcPr>
          <w:p>
            <w:pPr>
              <w:spacing w:line="240" w:lineRule="exact"/>
              <w:ind w:firstLine="0" w:firstLineChars="0"/>
              <w:contextualSpacing/>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通过现场询问调查，满意度在90%得分计5分，每低于标准下降1%扣除0.2分，扣完为止。</w:t>
            </w:r>
          </w:p>
        </w:tc>
        <w:tc>
          <w:tcPr>
            <w:tcW w:w="2799" w:type="dxa"/>
            <w:noWrap/>
            <w:vAlign w:val="center"/>
          </w:tcPr>
          <w:p>
            <w:pPr>
              <w:spacing w:line="240" w:lineRule="exact"/>
              <w:ind w:firstLine="0" w:firstLineChars="0"/>
              <w:contextualSpacing/>
              <w:jc w:val="left"/>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通过现场询问</w:t>
            </w:r>
            <w:r>
              <w:rPr>
                <w:rFonts w:hint="eastAsia" w:ascii="仿宋" w:hAnsi="仿宋" w:eastAsia="仿宋" w:cs="仿宋"/>
                <w:spacing w:val="23"/>
                <w:kern w:val="0"/>
                <w:sz w:val="20"/>
                <w:szCs w:val="20"/>
                <w:lang w:val="en-US" w:eastAsia="zh-CN" w:bidi="ar"/>
              </w:rPr>
              <w:t>60位</w:t>
            </w:r>
            <w:r>
              <w:rPr>
                <w:rFonts w:hint="eastAsia" w:ascii="仿宋" w:hAnsi="仿宋" w:eastAsia="仿宋" w:cs="仿宋"/>
                <w:spacing w:val="23"/>
                <w:kern w:val="0"/>
                <w:sz w:val="20"/>
                <w:szCs w:val="20"/>
                <w:lang w:bidi="ar"/>
              </w:rPr>
              <w:t>，</w:t>
            </w:r>
            <w:r>
              <w:rPr>
                <w:rFonts w:hint="eastAsia" w:ascii="仿宋" w:hAnsi="仿宋" w:eastAsia="仿宋" w:cs="仿宋"/>
                <w:spacing w:val="23"/>
                <w:kern w:val="0"/>
                <w:sz w:val="20"/>
                <w:szCs w:val="20"/>
                <w:lang w:val="en-US" w:eastAsia="zh-CN" w:bidi="ar"/>
              </w:rPr>
              <w:t>回答</w:t>
            </w:r>
            <w:r>
              <w:rPr>
                <w:rFonts w:hint="eastAsia" w:ascii="仿宋" w:hAnsi="仿宋" w:eastAsia="仿宋" w:cs="仿宋"/>
                <w:spacing w:val="23"/>
                <w:kern w:val="0"/>
                <w:sz w:val="20"/>
                <w:szCs w:val="20"/>
                <w:lang w:bidi="ar"/>
              </w:rPr>
              <w:t>满意</w:t>
            </w:r>
            <w:r>
              <w:rPr>
                <w:rFonts w:hint="eastAsia" w:ascii="仿宋" w:hAnsi="仿宋" w:eastAsia="仿宋" w:cs="仿宋"/>
                <w:spacing w:val="23"/>
                <w:kern w:val="0"/>
                <w:sz w:val="20"/>
                <w:szCs w:val="20"/>
                <w:lang w:eastAsia="zh-CN" w:bidi="ar"/>
              </w:rPr>
              <w:t>的</w:t>
            </w:r>
            <w:r>
              <w:rPr>
                <w:rFonts w:hint="eastAsia" w:ascii="仿宋" w:hAnsi="仿宋" w:eastAsia="仿宋" w:cs="仿宋"/>
                <w:spacing w:val="23"/>
                <w:kern w:val="0"/>
                <w:sz w:val="20"/>
                <w:szCs w:val="20"/>
                <w:lang w:val="en-US" w:eastAsia="zh-CN" w:bidi="ar"/>
              </w:rPr>
              <w:t>有51人，</w:t>
            </w:r>
            <w:r>
              <w:rPr>
                <w:rFonts w:hint="eastAsia" w:ascii="仿宋" w:hAnsi="仿宋" w:eastAsia="仿宋" w:cs="仿宋"/>
                <w:spacing w:val="23"/>
                <w:kern w:val="0"/>
                <w:sz w:val="20"/>
                <w:szCs w:val="20"/>
                <w:lang w:bidi="ar"/>
              </w:rPr>
              <w:t>满意度调查结果为</w:t>
            </w:r>
            <w:r>
              <w:rPr>
                <w:rFonts w:hint="eastAsia" w:ascii="仿宋" w:hAnsi="仿宋" w:eastAsia="仿宋" w:cs="仿宋"/>
                <w:spacing w:val="23"/>
                <w:kern w:val="0"/>
                <w:sz w:val="20"/>
                <w:szCs w:val="20"/>
                <w:lang w:val="en-US" w:eastAsia="zh-CN" w:bidi="ar"/>
              </w:rPr>
              <w:t>85</w:t>
            </w:r>
            <w:r>
              <w:rPr>
                <w:rFonts w:hint="eastAsia" w:ascii="仿宋" w:hAnsi="仿宋" w:eastAsia="仿宋" w:cs="仿宋"/>
                <w:spacing w:val="23"/>
                <w:kern w:val="0"/>
                <w:sz w:val="20"/>
                <w:szCs w:val="20"/>
                <w:lang w:bidi="ar"/>
              </w:rPr>
              <w:t>%</w:t>
            </w:r>
            <w:r>
              <w:rPr>
                <w:rFonts w:hint="eastAsia" w:ascii="仿宋" w:hAnsi="仿宋" w:eastAsia="仿宋" w:cs="仿宋"/>
                <w:spacing w:val="23"/>
                <w:kern w:val="0"/>
                <w:sz w:val="20"/>
                <w:szCs w:val="20"/>
                <w:lang w:eastAsia="zh-CN" w:bidi="ar"/>
              </w:rPr>
              <w:t>，</w:t>
            </w:r>
            <w:r>
              <w:rPr>
                <w:rFonts w:hint="eastAsia" w:ascii="仿宋" w:hAnsi="仿宋" w:eastAsia="仿宋" w:cs="仿宋"/>
                <w:spacing w:val="23"/>
                <w:kern w:val="0"/>
                <w:sz w:val="20"/>
                <w:szCs w:val="20"/>
                <w:lang w:val="en-US" w:eastAsia="zh-CN" w:bidi="ar"/>
              </w:rPr>
              <w:t>扣1分</w:t>
            </w:r>
            <w:r>
              <w:rPr>
                <w:rFonts w:hint="eastAsia" w:ascii="仿宋" w:hAnsi="仿宋" w:eastAsia="仿宋" w:cs="仿宋"/>
                <w:spacing w:val="23"/>
                <w:kern w:val="0"/>
                <w:sz w:val="20"/>
                <w:szCs w:val="20"/>
                <w:lang w:bidi="ar"/>
              </w:rPr>
              <w:t>。</w:t>
            </w:r>
          </w:p>
        </w:tc>
        <w:tc>
          <w:tcPr>
            <w:tcW w:w="898" w:type="dxa"/>
            <w:noWrap/>
            <w:vAlign w:val="center"/>
          </w:tcPr>
          <w:p>
            <w:pPr>
              <w:spacing w:line="240" w:lineRule="exact"/>
              <w:ind w:firstLine="0" w:firstLineChars="0"/>
              <w:contextualSpacing/>
              <w:jc w:val="center"/>
              <w:rPr>
                <w:rFonts w:hint="eastAsia" w:ascii="仿宋" w:hAnsi="仿宋" w:eastAsia="仿宋" w:cs="仿宋"/>
                <w:spacing w:val="23"/>
                <w:kern w:val="0"/>
                <w:sz w:val="20"/>
                <w:szCs w:val="20"/>
                <w:lang w:eastAsia="zh-CN" w:bidi="ar"/>
              </w:rPr>
            </w:pPr>
            <w:r>
              <w:rPr>
                <w:rFonts w:hint="eastAsia" w:ascii="仿宋" w:hAnsi="仿宋" w:eastAsia="仿宋" w:cs="仿宋"/>
                <w:spacing w:val="23"/>
                <w:kern w:val="0"/>
                <w:sz w:val="20"/>
                <w:szCs w:val="20"/>
                <w:lang w:val="en-US" w:eastAsia="zh-CN" w:bidi="ar"/>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9" w:hRule="atLeast"/>
        </w:trPr>
        <w:tc>
          <w:tcPr>
            <w:tcW w:w="2746" w:type="dxa"/>
            <w:gridSpan w:val="3"/>
            <w:vAlign w:val="center"/>
          </w:tcPr>
          <w:p>
            <w:pPr>
              <w:spacing w:line="240" w:lineRule="exact"/>
              <w:ind w:firstLine="482"/>
              <w:contextualSpacing/>
              <w:jc w:val="center"/>
              <w:rPr>
                <w:rFonts w:ascii="仿宋" w:hAnsi="仿宋" w:eastAsia="仿宋" w:cs="仿宋"/>
                <w:spacing w:val="23"/>
                <w:kern w:val="0"/>
                <w:sz w:val="24"/>
                <w:szCs w:val="24"/>
                <w:lang w:bidi="ar"/>
              </w:rPr>
            </w:pPr>
            <w:r>
              <w:rPr>
                <w:rFonts w:hint="eastAsia" w:ascii="仿宋" w:hAnsi="仿宋" w:eastAsia="仿宋" w:cs="仿宋"/>
                <w:b/>
                <w:bCs/>
                <w:kern w:val="0"/>
                <w:sz w:val="24"/>
                <w:szCs w:val="24"/>
                <w:lang w:bidi="ar"/>
              </w:rPr>
              <w:t>合计</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100</w:t>
            </w:r>
          </w:p>
        </w:tc>
        <w:tc>
          <w:tcPr>
            <w:tcW w:w="3338" w:type="dxa"/>
            <w:vAlign w:val="center"/>
          </w:tcPr>
          <w:p>
            <w:pPr>
              <w:widowControl/>
              <w:spacing w:line="240" w:lineRule="exact"/>
              <w:ind w:firstLine="492"/>
              <w:contextualSpacing/>
              <w:jc w:val="left"/>
              <w:textAlignment w:val="center"/>
              <w:rPr>
                <w:rFonts w:ascii="仿宋" w:hAnsi="仿宋" w:eastAsia="仿宋" w:cs="仿宋"/>
                <w:spacing w:val="23"/>
                <w:kern w:val="0"/>
                <w:sz w:val="20"/>
                <w:szCs w:val="20"/>
                <w:lang w:bidi="ar"/>
              </w:rPr>
            </w:pPr>
          </w:p>
        </w:tc>
        <w:tc>
          <w:tcPr>
            <w:tcW w:w="3801" w:type="dxa"/>
            <w:vAlign w:val="center"/>
          </w:tcPr>
          <w:p>
            <w:pPr>
              <w:widowControl/>
              <w:spacing w:line="240" w:lineRule="exact"/>
              <w:ind w:firstLine="492"/>
              <w:contextualSpacing/>
              <w:jc w:val="left"/>
              <w:textAlignment w:val="center"/>
              <w:rPr>
                <w:rFonts w:ascii="仿宋" w:hAnsi="仿宋" w:eastAsia="仿宋" w:cs="仿宋"/>
                <w:spacing w:val="23"/>
                <w:kern w:val="0"/>
                <w:sz w:val="20"/>
                <w:szCs w:val="20"/>
                <w:lang w:bidi="ar"/>
              </w:rPr>
            </w:pPr>
          </w:p>
        </w:tc>
        <w:tc>
          <w:tcPr>
            <w:tcW w:w="2799" w:type="dxa"/>
            <w:noWrap/>
            <w:vAlign w:val="center"/>
          </w:tcPr>
          <w:p>
            <w:pPr>
              <w:spacing w:line="240" w:lineRule="exact"/>
              <w:ind w:firstLine="492"/>
              <w:contextualSpacing/>
              <w:rPr>
                <w:rFonts w:ascii="仿宋" w:hAnsi="仿宋" w:eastAsia="仿宋" w:cs="仿宋"/>
                <w:spacing w:val="23"/>
                <w:kern w:val="0"/>
                <w:sz w:val="20"/>
                <w:szCs w:val="20"/>
                <w:lang w:bidi="ar"/>
              </w:rPr>
            </w:pPr>
          </w:p>
        </w:tc>
        <w:tc>
          <w:tcPr>
            <w:tcW w:w="898"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8</w:t>
            </w:r>
            <w:r>
              <w:rPr>
                <w:rFonts w:hint="eastAsia" w:ascii="仿宋" w:hAnsi="仿宋" w:eastAsia="仿宋" w:cs="仿宋"/>
                <w:spacing w:val="23"/>
                <w:kern w:val="0"/>
                <w:sz w:val="20"/>
                <w:szCs w:val="20"/>
                <w:lang w:val="en-US" w:eastAsia="zh-CN" w:bidi="ar"/>
              </w:rPr>
              <w:t>3</w:t>
            </w:r>
            <w:r>
              <w:rPr>
                <w:rFonts w:hint="eastAsia" w:ascii="仿宋" w:hAnsi="仿宋" w:eastAsia="仿宋" w:cs="仿宋"/>
                <w:spacing w:val="23"/>
                <w:kern w:val="0"/>
                <w:sz w:val="20"/>
                <w:szCs w:val="20"/>
                <w:lang w:bidi="ar"/>
              </w:rPr>
              <w:t>.</w:t>
            </w:r>
            <w:r>
              <w:rPr>
                <w:rFonts w:hint="eastAsia" w:ascii="仿宋" w:hAnsi="仿宋" w:eastAsia="仿宋" w:cs="仿宋"/>
                <w:spacing w:val="23"/>
                <w:kern w:val="0"/>
                <w:sz w:val="20"/>
                <w:szCs w:val="20"/>
                <w:lang w:val="en-US" w:eastAsia="zh-CN" w:bidi="ar"/>
              </w:rPr>
              <w:t>7</w:t>
            </w:r>
            <w:r>
              <w:rPr>
                <w:rFonts w:hint="eastAsia" w:ascii="仿宋" w:hAnsi="仿宋" w:eastAsia="仿宋" w:cs="仿宋"/>
                <w:spacing w:val="23"/>
                <w:kern w:val="0"/>
                <w:sz w:val="20"/>
                <w:szCs w:val="20"/>
                <w:lang w:bidi="ar"/>
              </w:rPr>
              <w:t>2</w:t>
            </w:r>
          </w:p>
        </w:tc>
      </w:tr>
    </w:tbl>
    <w:p>
      <w:pPr>
        <w:pStyle w:val="17"/>
        <w:ind w:firstLine="440"/>
        <w:rPr>
          <w:rFonts w:eastAsiaTheme="minorEastAsia"/>
        </w:rPr>
      </w:pPr>
    </w:p>
    <w:p>
      <w:pPr>
        <w:pStyle w:val="17"/>
        <w:ind w:firstLine="440"/>
        <w:rPr>
          <w:rFonts w:eastAsiaTheme="minorEastAsia"/>
        </w:rPr>
      </w:pPr>
    </w:p>
    <w:p>
      <w:pPr>
        <w:pStyle w:val="17"/>
        <w:ind w:firstLine="440"/>
        <w:rPr>
          <w:rFonts w:eastAsia="仿宋" w:cs="Times New Roman"/>
          <w:szCs w:val="32"/>
        </w:rPr>
      </w:pPr>
    </w:p>
    <w:sectPr>
      <w:headerReference r:id="rId5" w:type="default"/>
      <w:footerReference r:id="rId6"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ì.">
    <w:altName w:val="Times New Roman"/>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736376"/>
    </w:sdtPr>
    <w:sdtContent>
      <w:p>
        <w:pPr>
          <w:pStyle w:val="11"/>
          <w:ind w:firstLine="360"/>
          <w:jc w:val="center"/>
        </w:pPr>
        <w:r>
          <w:fldChar w:fldCharType="begin"/>
        </w:r>
        <w:r>
          <w:instrText xml:space="preserve">PAGE   \* MERGEFORMAT</w:instrText>
        </w:r>
        <w:r>
          <w:fldChar w:fldCharType="separate"/>
        </w:r>
        <w:r>
          <w:rPr>
            <w:lang w:val="zh-CN"/>
          </w:rPr>
          <w:t>7</w:t>
        </w:r>
        <w:r>
          <w:rPr>
            <w:lang w:val="zh-CN"/>
          </w:rPr>
          <w:fldChar w:fldCharType="end"/>
        </w:r>
      </w:p>
    </w:sdtContent>
  </w:sdt>
  <w:p>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NWM4NGNkNjZkMzhmOTMwOGQxZDdmN2IxODY3ZmEifQ=="/>
  </w:docVars>
  <w:rsids>
    <w:rsidRoot w:val="000B2A46"/>
    <w:rsid w:val="000001ED"/>
    <w:rsid w:val="00001BC0"/>
    <w:rsid w:val="0000294D"/>
    <w:rsid w:val="00002A19"/>
    <w:rsid w:val="00010891"/>
    <w:rsid w:val="0001135C"/>
    <w:rsid w:val="000132B6"/>
    <w:rsid w:val="00015E13"/>
    <w:rsid w:val="00016CB1"/>
    <w:rsid w:val="00023064"/>
    <w:rsid w:val="00026028"/>
    <w:rsid w:val="00030F23"/>
    <w:rsid w:val="00033EB5"/>
    <w:rsid w:val="00040BC3"/>
    <w:rsid w:val="000434AC"/>
    <w:rsid w:val="00046935"/>
    <w:rsid w:val="00047344"/>
    <w:rsid w:val="000531EF"/>
    <w:rsid w:val="000564C8"/>
    <w:rsid w:val="00057196"/>
    <w:rsid w:val="00064313"/>
    <w:rsid w:val="00064ACA"/>
    <w:rsid w:val="000655A4"/>
    <w:rsid w:val="00071566"/>
    <w:rsid w:val="00071DCE"/>
    <w:rsid w:val="000800FD"/>
    <w:rsid w:val="000822BA"/>
    <w:rsid w:val="00084D07"/>
    <w:rsid w:val="000857A5"/>
    <w:rsid w:val="00090DB8"/>
    <w:rsid w:val="00094356"/>
    <w:rsid w:val="0009472C"/>
    <w:rsid w:val="000977CD"/>
    <w:rsid w:val="000A002F"/>
    <w:rsid w:val="000A00D0"/>
    <w:rsid w:val="000A0BE9"/>
    <w:rsid w:val="000A1855"/>
    <w:rsid w:val="000A257D"/>
    <w:rsid w:val="000A2BEF"/>
    <w:rsid w:val="000A4A19"/>
    <w:rsid w:val="000A68E9"/>
    <w:rsid w:val="000A7C36"/>
    <w:rsid w:val="000B2350"/>
    <w:rsid w:val="000B2A46"/>
    <w:rsid w:val="000B33FB"/>
    <w:rsid w:val="000B4252"/>
    <w:rsid w:val="000B538E"/>
    <w:rsid w:val="000B5748"/>
    <w:rsid w:val="000B5C77"/>
    <w:rsid w:val="000B5DC7"/>
    <w:rsid w:val="000B6E8F"/>
    <w:rsid w:val="000C027E"/>
    <w:rsid w:val="000C04FC"/>
    <w:rsid w:val="000C2470"/>
    <w:rsid w:val="000C5013"/>
    <w:rsid w:val="000C7701"/>
    <w:rsid w:val="000D0390"/>
    <w:rsid w:val="000D38CF"/>
    <w:rsid w:val="000D73E5"/>
    <w:rsid w:val="000E3110"/>
    <w:rsid w:val="000E38B3"/>
    <w:rsid w:val="000E432C"/>
    <w:rsid w:val="000E5063"/>
    <w:rsid w:val="000E5C2F"/>
    <w:rsid w:val="000E6929"/>
    <w:rsid w:val="000F294E"/>
    <w:rsid w:val="000F3B2F"/>
    <w:rsid w:val="00100678"/>
    <w:rsid w:val="00102D14"/>
    <w:rsid w:val="00106308"/>
    <w:rsid w:val="00114096"/>
    <w:rsid w:val="00117427"/>
    <w:rsid w:val="001174AF"/>
    <w:rsid w:val="001200F1"/>
    <w:rsid w:val="001211A3"/>
    <w:rsid w:val="00121224"/>
    <w:rsid w:val="00124D0D"/>
    <w:rsid w:val="001264B9"/>
    <w:rsid w:val="00126511"/>
    <w:rsid w:val="00131E4B"/>
    <w:rsid w:val="00132C1F"/>
    <w:rsid w:val="0013526F"/>
    <w:rsid w:val="00136082"/>
    <w:rsid w:val="00137F91"/>
    <w:rsid w:val="001406F8"/>
    <w:rsid w:val="00140880"/>
    <w:rsid w:val="001461E2"/>
    <w:rsid w:val="00147667"/>
    <w:rsid w:val="00151557"/>
    <w:rsid w:val="00152608"/>
    <w:rsid w:val="00152E1A"/>
    <w:rsid w:val="00153087"/>
    <w:rsid w:val="001533B3"/>
    <w:rsid w:val="001542C2"/>
    <w:rsid w:val="001646BD"/>
    <w:rsid w:val="001658F9"/>
    <w:rsid w:val="00165B83"/>
    <w:rsid w:val="00166991"/>
    <w:rsid w:val="00172A30"/>
    <w:rsid w:val="00173624"/>
    <w:rsid w:val="00174AED"/>
    <w:rsid w:val="00180D58"/>
    <w:rsid w:val="001843C2"/>
    <w:rsid w:val="00191392"/>
    <w:rsid w:val="00193121"/>
    <w:rsid w:val="00195775"/>
    <w:rsid w:val="001A6CDA"/>
    <w:rsid w:val="001B166D"/>
    <w:rsid w:val="001B2428"/>
    <w:rsid w:val="001B26AF"/>
    <w:rsid w:val="001B43DC"/>
    <w:rsid w:val="001B7908"/>
    <w:rsid w:val="001C0D3A"/>
    <w:rsid w:val="001C1D34"/>
    <w:rsid w:val="001C44F6"/>
    <w:rsid w:val="001D25BC"/>
    <w:rsid w:val="001D7F74"/>
    <w:rsid w:val="001E2CD1"/>
    <w:rsid w:val="001E3316"/>
    <w:rsid w:val="001E3E05"/>
    <w:rsid w:val="001E4B7D"/>
    <w:rsid w:val="001E5D6E"/>
    <w:rsid w:val="001E79F4"/>
    <w:rsid w:val="001F1EFB"/>
    <w:rsid w:val="001F4596"/>
    <w:rsid w:val="001F4C5F"/>
    <w:rsid w:val="001F7EEE"/>
    <w:rsid w:val="00202C70"/>
    <w:rsid w:val="002042E2"/>
    <w:rsid w:val="0020491B"/>
    <w:rsid w:val="00205C51"/>
    <w:rsid w:val="00206A83"/>
    <w:rsid w:val="0021453C"/>
    <w:rsid w:val="00220DB9"/>
    <w:rsid w:val="00222996"/>
    <w:rsid w:val="00223CBE"/>
    <w:rsid w:val="00227580"/>
    <w:rsid w:val="00230796"/>
    <w:rsid w:val="00233CBD"/>
    <w:rsid w:val="00234A67"/>
    <w:rsid w:val="0024434D"/>
    <w:rsid w:val="00244D76"/>
    <w:rsid w:val="00244EE2"/>
    <w:rsid w:val="00245041"/>
    <w:rsid w:val="00251E98"/>
    <w:rsid w:val="00254306"/>
    <w:rsid w:val="00254C9C"/>
    <w:rsid w:val="00254CC0"/>
    <w:rsid w:val="00257A5C"/>
    <w:rsid w:val="00261812"/>
    <w:rsid w:val="0026269C"/>
    <w:rsid w:val="00265974"/>
    <w:rsid w:val="00267BA6"/>
    <w:rsid w:val="00271051"/>
    <w:rsid w:val="002717C6"/>
    <w:rsid w:val="002753D1"/>
    <w:rsid w:val="0027771C"/>
    <w:rsid w:val="00277F93"/>
    <w:rsid w:val="002849E5"/>
    <w:rsid w:val="0028704F"/>
    <w:rsid w:val="002932DE"/>
    <w:rsid w:val="00295EBA"/>
    <w:rsid w:val="00297CD6"/>
    <w:rsid w:val="002A1868"/>
    <w:rsid w:val="002A1D15"/>
    <w:rsid w:val="002A2A14"/>
    <w:rsid w:val="002A4DEC"/>
    <w:rsid w:val="002A7C53"/>
    <w:rsid w:val="002B0701"/>
    <w:rsid w:val="002B0CB0"/>
    <w:rsid w:val="002B40FB"/>
    <w:rsid w:val="002C1522"/>
    <w:rsid w:val="002D054F"/>
    <w:rsid w:val="002D1804"/>
    <w:rsid w:val="002D3574"/>
    <w:rsid w:val="002D53CD"/>
    <w:rsid w:val="002D646A"/>
    <w:rsid w:val="002D701E"/>
    <w:rsid w:val="002D782E"/>
    <w:rsid w:val="002E4282"/>
    <w:rsid w:val="002E5F42"/>
    <w:rsid w:val="002E68A3"/>
    <w:rsid w:val="002E7C24"/>
    <w:rsid w:val="002F10A8"/>
    <w:rsid w:val="002F1CC4"/>
    <w:rsid w:val="002F31E1"/>
    <w:rsid w:val="002F353F"/>
    <w:rsid w:val="002F5B5A"/>
    <w:rsid w:val="002F72C7"/>
    <w:rsid w:val="00300FEB"/>
    <w:rsid w:val="00302EB8"/>
    <w:rsid w:val="00303E4F"/>
    <w:rsid w:val="00303FFE"/>
    <w:rsid w:val="0030593B"/>
    <w:rsid w:val="00305F9F"/>
    <w:rsid w:val="00312DE4"/>
    <w:rsid w:val="00313066"/>
    <w:rsid w:val="003132FE"/>
    <w:rsid w:val="00314F7F"/>
    <w:rsid w:val="003179E7"/>
    <w:rsid w:val="00322093"/>
    <w:rsid w:val="00323419"/>
    <w:rsid w:val="00327005"/>
    <w:rsid w:val="003314F8"/>
    <w:rsid w:val="0033676C"/>
    <w:rsid w:val="00340471"/>
    <w:rsid w:val="00346993"/>
    <w:rsid w:val="00347084"/>
    <w:rsid w:val="0034774C"/>
    <w:rsid w:val="0035085D"/>
    <w:rsid w:val="0035253C"/>
    <w:rsid w:val="00353E5C"/>
    <w:rsid w:val="00356020"/>
    <w:rsid w:val="0036518C"/>
    <w:rsid w:val="003658B7"/>
    <w:rsid w:val="00375BF4"/>
    <w:rsid w:val="00376256"/>
    <w:rsid w:val="0037691A"/>
    <w:rsid w:val="00380E28"/>
    <w:rsid w:val="0038198C"/>
    <w:rsid w:val="00382CC4"/>
    <w:rsid w:val="0038302A"/>
    <w:rsid w:val="003862BE"/>
    <w:rsid w:val="00387289"/>
    <w:rsid w:val="0039213A"/>
    <w:rsid w:val="00392950"/>
    <w:rsid w:val="00393A5D"/>
    <w:rsid w:val="00394156"/>
    <w:rsid w:val="003955CC"/>
    <w:rsid w:val="00396C2A"/>
    <w:rsid w:val="003A0888"/>
    <w:rsid w:val="003A4828"/>
    <w:rsid w:val="003A5836"/>
    <w:rsid w:val="003A5D67"/>
    <w:rsid w:val="003A6AA6"/>
    <w:rsid w:val="003B40D9"/>
    <w:rsid w:val="003B50B7"/>
    <w:rsid w:val="003C5532"/>
    <w:rsid w:val="003C74E8"/>
    <w:rsid w:val="003D0DDF"/>
    <w:rsid w:val="003D1F76"/>
    <w:rsid w:val="003D469D"/>
    <w:rsid w:val="003D4C5F"/>
    <w:rsid w:val="003D6567"/>
    <w:rsid w:val="003E448E"/>
    <w:rsid w:val="003E75C6"/>
    <w:rsid w:val="003F1D0C"/>
    <w:rsid w:val="003F1EE3"/>
    <w:rsid w:val="003F23CE"/>
    <w:rsid w:val="003F33B8"/>
    <w:rsid w:val="003F560B"/>
    <w:rsid w:val="003F5894"/>
    <w:rsid w:val="00404544"/>
    <w:rsid w:val="00405C43"/>
    <w:rsid w:val="004063C9"/>
    <w:rsid w:val="0040729F"/>
    <w:rsid w:val="0041060A"/>
    <w:rsid w:val="0042295A"/>
    <w:rsid w:val="00422F15"/>
    <w:rsid w:val="00423499"/>
    <w:rsid w:val="00424C90"/>
    <w:rsid w:val="004271E8"/>
    <w:rsid w:val="00432EED"/>
    <w:rsid w:val="0043399F"/>
    <w:rsid w:val="00433BB7"/>
    <w:rsid w:val="00433F31"/>
    <w:rsid w:val="0043421D"/>
    <w:rsid w:val="004364D8"/>
    <w:rsid w:val="00443CD4"/>
    <w:rsid w:val="0044416B"/>
    <w:rsid w:val="00447025"/>
    <w:rsid w:val="004519AD"/>
    <w:rsid w:val="00455277"/>
    <w:rsid w:val="00455E89"/>
    <w:rsid w:val="004568C5"/>
    <w:rsid w:val="004619E7"/>
    <w:rsid w:val="00463B06"/>
    <w:rsid w:val="004640D4"/>
    <w:rsid w:val="00464954"/>
    <w:rsid w:val="00464B29"/>
    <w:rsid w:val="004663B8"/>
    <w:rsid w:val="00473118"/>
    <w:rsid w:val="0047382A"/>
    <w:rsid w:val="00473984"/>
    <w:rsid w:val="00473BF7"/>
    <w:rsid w:val="00475C67"/>
    <w:rsid w:val="00476F33"/>
    <w:rsid w:val="00480333"/>
    <w:rsid w:val="00480E77"/>
    <w:rsid w:val="00485F22"/>
    <w:rsid w:val="00493C7A"/>
    <w:rsid w:val="00494FBD"/>
    <w:rsid w:val="004A039D"/>
    <w:rsid w:val="004A1133"/>
    <w:rsid w:val="004A2A20"/>
    <w:rsid w:val="004B081F"/>
    <w:rsid w:val="004B3DB7"/>
    <w:rsid w:val="004B5644"/>
    <w:rsid w:val="004C0C2F"/>
    <w:rsid w:val="004C3D88"/>
    <w:rsid w:val="004C7884"/>
    <w:rsid w:val="004D5645"/>
    <w:rsid w:val="004E0BC1"/>
    <w:rsid w:val="004E321C"/>
    <w:rsid w:val="004E4F0A"/>
    <w:rsid w:val="004F5E98"/>
    <w:rsid w:val="004F7425"/>
    <w:rsid w:val="004F7666"/>
    <w:rsid w:val="0050077C"/>
    <w:rsid w:val="0050148C"/>
    <w:rsid w:val="00501649"/>
    <w:rsid w:val="005061AE"/>
    <w:rsid w:val="00506B19"/>
    <w:rsid w:val="0050724C"/>
    <w:rsid w:val="00512B89"/>
    <w:rsid w:val="005152D9"/>
    <w:rsid w:val="005167E0"/>
    <w:rsid w:val="00516F60"/>
    <w:rsid w:val="00517C64"/>
    <w:rsid w:val="005202E0"/>
    <w:rsid w:val="00520CA6"/>
    <w:rsid w:val="00521EB9"/>
    <w:rsid w:val="00523A2F"/>
    <w:rsid w:val="00523E15"/>
    <w:rsid w:val="00530C7C"/>
    <w:rsid w:val="00533519"/>
    <w:rsid w:val="00536FEF"/>
    <w:rsid w:val="00542DED"/>
    <w:rsid w:val="00544605"/>
    <w:rsid w:val="00546904"/>
    <w:rsid w:val="00551644"/>
    <w:rsid w:val="005520A3"/>
    <w:rsid w:val="00552CD3"/>
    <w:rsid w:val="005531CA"/>
    <w:rsid w:val="00554867"/>
    <w:rsid w:val="00554C41"/>
    <w:rsid w:val="00555085"/>
    <w:rsid w:val="00555796"/>
    <w:rsid w:val="00556A83"/>
    <w:rsid w:val="005572B5"/>
    <w:rsid w:val="0056396C"/>
    <w:rsid w:val="00563EEB"/>
    <w:rsid w:val="005644BA"/>
    <w:rsid w:val="00566ACE"/>
    <w:rsid w:val="005724CB"/>
    <w:rsid w:val="00575F9E"/>
    <w:rsid w:val="00577B5D"/>
    <w:rsid w:val="005820CD"/>
    <w:rsid w:val="00582DCE"/>
    <w:rsid w:val="0058613B"/>
    <w:rsid w:val="0059016C"/>
    <w:rsid w:val="005959B3"/>
    <w:rsid w:val="005A03CE"/>
    <w:rsid w:val="005A225B"/>
    <w:rsid w:val="005A3245"/>
    <w:rsid w:val="005A4508"/>
    <w:rsid w:val="005A4E6E"/>
    <w:rsid w:val="005A4F11"/>
    <w:rsid w:val="005A73A6"/>
    <w:rsid w:val="005B2873"/>
    <w:rsid w:val="005B413A"/>
    <w:rsid w:val="005B6E25"/>
    <w:rsid w:val="005C0F86"/>
    <w:rsid w:val="005C1627"/>
    <w:rsid w:val="005C73ED"/>
    <w:rsid w:val="005C7D0E"/>
    <w:rsid w:val="005D089B"/>
    <w:rsid w:val="005D0BC7"/>
    <w:rsid w:val="005D195B"/>
    <w:rsid w:val="005D1F27"/>
    <w:rsid w:val="005D54E3"/>
    <w:rsid w:val="005D5ECA"/>
    <w:rsid w:val="005D6895"/>
    <w:rsid w:val="005E021A"/>
    <w:rsid w:val="005E2D26"/>
    <w:rsid w:val="005E622A"/>
    <w:rsid w:val="005E735E"/>
    <w:rsid w:val="005F42F0"/>
    <w:rsid w:val="005F7D87"/>
    <w:rsid w:val="00600C95"/>
    <w:rsid w:val="00601E2B"/>
    <w:rsid w:val="006027A0"/>
    <w:rsid w:val="00604A8B"/>
    <w:rsid w:val="006066FA"/>
    <w:rsid w:val="00607393"/>
    <w:rsid w:val="006102F7"/>
    <w:rsid w:val="00614AE8"/>
    <w:rsid w:val="00614AEE"/>
    <w:rsid w:val="00617C62"/>
    <w:rsid w:val="006206DE"/>
    <w:rsid w:val="00621D6B"/>
    <w:rsid w:val="00624C7A"/>
    <w:rsid w:val="0062643B"/>
    <w:rsid w:val="00627561"/>
    <w:rsid w:val="006275EF"/>
    <w:rsid w:val="0063239B"/>
    <w:rsid w:val="0063356A"/>
    <w:rsid w:val="00636C3F"/>
    <w:rsid w:val="006377B5"/>
    <w:rsid w:val="006378D7"/>
    <w:rsid w:val="006407E0"/>
    <w:rsid w:val="00644309"/>
    <w:rsid w:val="0064446B"/>
    <w:rsid w:val="00644C22"/>
    <w:rsid w:val="00647855"/>
    <w:rsid w:val="006526DA"/>
    <w:rsid w:val="00652972"/>
    <w:rsid w:val="006547D8"/>
    <w:rsid w:val="006548A7"/>
    <w:rsid w:val="00654B0E"/>
    <w:rsid w:val="00656472"/>
    <w:rsid w:val="006569C9"/>
    <w:rsid w:val="00656E2C"/>
    <w:rsid w:val="006604A2"/>
    <w:rsid w:val="00663261"/>
    <w:rsid w:val="00665A54"/>
    <w:rsid w:val="00667B7D"/>
    <w:rsid w:val="00670414"/>
    <w:rsid w:val="006707D0"/>
    <w:rsid w:val="00673059"/>
    <w:rsid w:val="0067371C"/>
    <w:rsid w:val="00675A53"/>
    <w:rsid w:val="006771CC"/>
    <w:rsid w:val="00677C9C"/>
    <w:rsid w:val="0068041C"/>
    <w:rsid w:val="00680E23"/>
    <w:rsid w:val="00681DE4"/>
    <w:rsid w:val="00681E3D"/>
    <w:rsid w:val="0068266F"/>
    <w:rsid w:val="006837D1"/>
    <w:rsid w:val="006A09FB"/>
    <w:rsid w:val="006A0F79"/>
    <w:rsid w:val="006A1221"/>
    <w:rsid w:val="006A268C"/>
    <w:rsid w:val="006A2967"/>
    <w:rsid w:val="006A45BC"/>
    <w:rsid w:val="006A57C7"/>
    <w:rsid w:val="006A5E19"/>
    <w:rsid w:val="006A690E"/>
    <w:rsid w:val="006A76B5"/>
    <w:rsid w:val="006B002E"/>
    <w:rsid w:val="006B0B87"/>
    <w:rsid w:val="006B3232"/>
    <w:rsid w:val="006B338C"/>
    <w:rsid w:val="006B3BA8"/>
    <w:rsid w:val="006C08DA"/>
    <w:rsid w:val="006C113B"/>
    <w:rsid w:val="006C25BB"/>
    <w:rsid w:val="006C312E"/>
    <w:rsid w:val="006D2046"/>
    <w:rsid w:val="006D2A1A"/>
    <w:rsid w:val="006D585B"/>
    <w:rsid w:val="006D6965"/>
    <w:rsid w:val="006E423C"/>
    <w:rsid w:val="006E4DA3"/>
    <w:rsid w:val="006E561A"/>
    <w:rsid w:val="006F3787"/>
    <w:rsid w:val="00701B5F"/>
    <w:rsid w:val="00702098"/>
    <w:rsid w:val="00702EF7"/>
    <w:rsid w:val="00706D2D"/>
    <w:rsid w:val="00710366"/>
    <w:rsid w:val="00710E0C"/>
    <w:rsid w:val="00710F6C"/>
    <w:rsid w:val="007114C1"/>
    <w:rsid w:val="00711E6E"/>
    <w:rsid w:val="0071521F"/>
    <w:rsid w:val="0071663B"/>
    <w:rsid w:val="00720496"/>
    <w:rsid w:val="007207CF"/>
    <w:rsid w:val="00727045"/>
    <w:rsid w:val="007321EB"/>
    <w:rsid w:val="00732751"/>
    <w:rsid w:val="007366C5"/>
    <w:rsid w:val="007431AE"/>
    <w:rsid w:val="007439EA"/>
    <w:rsid w:val="00744648"/>
    <w:rsid w:val="00756956"/>
    <w:rsid w:val="00757623"/>
    <w:rsid w:val="00761B3D"/>
    <w:rsid w:val="00765A93"/>
    <w:rsid w:val="00771DB1"/>
    <w:rsid w:val="0077399C"/>
    <w:rsid w:val="00773ED3"/>
    <w:rsid w:val="00775297"/>
    <w:rsid w:val="00775682"/>
    <w:rsid w:val="0077643E"/>
    <w:rsid w:val="00781919"/>
    <w:rsid w:val="0078467F"/>
    <w:rsid w:val="00791A7C"/>
    <w:rsid w:val="00792A23"/>
    <w:rsid w:val="007934A1"/>
    <w:rsid w:val="00793A06"/>
    <w:rsid w:val="00794108"/>
    <w:rsid w:val="007941C2"/>
    <w:rsid w:val="00795A72"/>
    <w:rsid w:val="007A293E"/>
    <w:rsid w:val="007A3DE8"/>
    <w:rsid w:val="007A57BD"/>
    <w:rsid w:val="007A6A7F"/>
    <w:rsid w:val="007B040B"/>
    <w:rsid w:val="007B0426"/>
    <w:rsid w:val="007B09DF"/>
    <w:rsid w:val="007B0E01"/>
    <w:rsid w:val="007B1EF9"/>
    <w:rsid w:val="007B6B2D"/>
    <w:rsid w:val="007C7640"/>
    <w:rsid w:val="007D201C"/>
    <w:rsid w:val="007D48DC"/>
    <w:rsid w:val="007E1BE4"/>
    <w:rsid w:val="007E259D"/>
    <w:rsid w:val="007E5BE2"/>
    <w:rsid w:val="007E7649"/>
    <w:rsid w:val="007F3CE6"/>
    <w:rsid w:val="007F567F"/>
    <w:rsid w:val="007F683B"/>
    <w:rsid w:val="007F6DAD"/>
    <w:rsid w:val="00800541"/>
    <w:rsid w:val="0080148A"/>
    <w:rsid w:val="00803BE9"/>
    <w:rsid w:val="00804D08"/>
    <w:rsid w:val="00810B13"/>
    <w:rsid w:val="00810D9C"/>
    <w:rsid w:val="00815F80"/>
    <w:rsid w:val="00817F8E"/>
    <w:rsid w:val="00824391"/>
    <w:rsid w:val="008305FB"/>
    <w:rsid w:val="00832ABD"/>
    <w:rsid w:val="00832B19"/>
    <w:rsid w:val="00834ADF"/>
    <w:rsid w:val="00835E82"/>
    <w:rsid w:val="00835F0B"/>
    <w:rsid w:val="00844160"/>
    <w:rsid w:val="00847CEA"/>
    <w:rsid w:val="00847DC2"/>
    <w:rsid w:val="00851862"/>
    <w:rsid w:val="0085658A"/>
    <w:rsid w:val="00860DA6"/>
    <w:rsid w:val="0086314B"/>
    <w:rsid w:val="00863D1A"/>
    <w:rsid w:val="00866BE5"/>
    <w:rsid w:val="00866E31"/>
    <w:rsid w:val="00870290"/>
    <w:rsid w:val="008733EE"/>
    <w:rsid w:val="00874934"/>
    <w:rsid w:val="00875F32"/>
    <w:rsid w:val="008837F7"/>
    <w:rsid w:val="0088391E"/>
    <w:rsid w:val="00884C41"/>
    <w:rsid w:val="00886681"/>
    <w:rsid w:val="008909C5"/>
    <w:rsid w:val="008936AB"/>
    <w:rsid w:val="00896B08"/>
    <w:rsid w:val="008A1DE4"/>
    <w:rsid w:val="008A237F"/>
    <w:rsid w:val="008A3DA6"/>
    <w:rsid w:val="008A507A"/>
    <w:rsid w:val="008A6127"/>
    <w:rsid w:val="008B4C55"/>
    <w:rsid w:val="008C038B"/>
    <w:rsid w:val="008C2C71"/>
    <w:rsid w:val="008C5D17"/>
    <w:rsid w:val="008C5FB9"/>
    <w:rsid w:val="008D2E94"/>
    <w:rsid w:val="008D4C82"/>
    <w:rsid w:val="008D6707"/>
    <w:rsid w:val="008E27B0"/>
    <w:rsid w:val="008E64BA"/>
    <w:rsid w:val="008F075E"/>
    <w:rsid w:val="008F69CE"/>
    <w:rsid w:val="00901AC9"/>
    <w:rsid w:val="0090441F"/>
    <w:rsid w:val="00905A6B"/>
    <w:rsid w:val="009072BC"/>
    <w:rsid w:val="00907604"/>
    <w:rsid w:val="009114E7"/>
    <w:rsid w:val="00912BAF"/>
    <w:rsid w:val="009149B1"/>
    <w:rsid w:val="0091664B"/>
    <w:rsid w:val="00920057"/>
    <w:rsid w:val="009207E1"/>
    <w:rsid w:val="00920A7E"/>
    <w:rsid w:val="00922E96"/>
    <w:rsid w:val="0092313B"/>
    <w:rsid w:val="0092472C"/>
    <w:rsid w:val="00925F3D"/>
    <w:rsid w:val="00930F30"/>
    <w:rsid w:val="00935F87"/>
    <w:rsid w:val="00940C36"/>
    <w:rsid w:val="0094636C"/>
    <w:rsid w:val="00952A43"/>
    <w:rsid w:val="00961194"/>
    <w:rsid w:val="0096200A"/>
    <w:rsid w:val="00962237"/>
    <w:rsid w:val="00962CCA"/>
    <w:rsid w:val="00963380"/>
    <w:rsid w:val="009655CF"/>
    <w:rsid w:val="00967EE7"/>
    <w:rsid w:val="009746C5"/>
    <w:rsid w:val="0097516F"/>
    <w:rsid w:val="00975DC9"/>
    <w:rsid w:val="009779F5"/>
    <w:rsid w:val="009820CD"/>
    <w:rsid w:val="0098619E"/>
    <w:rsid w:val="00987C71"/>
    <w:rsid w:val="0099138E"/>
    <w:rsid w:val="00992749"/>
    <w:rsid w:val="00993449"/>
    <w:rsid w:val="009938C1"/>
    <w:rsid w:val="009976F4"/>
    <w:rsid w:val="009A070C"/>
    <w:rsid w:val="009A5FC5"/>
    <w:rsid w:val="009A692E"/>
    <w:rsid w:val="009A7A94"/>
    <w:rsid w:val="009A7BD8"/>
    <w:rsid w:val="009B2D56"/>
    <w:rsid w:val="009B44D5"/>
    <w:rsid w:val="009B57CB"/>
    <w:rsid w:val="009B6847"/>
    <w:rsid w:val="009C310E"/>
    <w:rsid w:val="009C32C5"/>
    <w:rsid w:val="009C50D5"/>
    <w:rsid w:val="009C561B"/>
    <w:rsid w:val="009C5C1A"/>
    <w:rsid w:val="009C5E39"/>
    <w:rsid w:val="009C5E9A"/>
    <w:rsid w:val="009C6D4E"/>
    <w:rsid w:val="009D00D1"/>
    <w:rsid w:val="009E0204"/>
    <w:rsid w:val="009E0392"/>
    <w:rsid w:val="009E2547"/>
    <w:rsid w:val="009E2857"/>
    <w:rsid w:val="009E2DF6"/>
    <w:rsid w:val="009E527B"/>
    <w:rsid w:val="009E6943"/>
    <w:rsid w:val="009F7A52"/>
    <w:rsid w:val="00A02350"/>
    <w:rsid w:val="00A02443"/>
    <w:rsid w:val="00A02D7F"/>
    <w:rsid w:val="00A04F33"/>
    <w:rsid w:val="00A0562C"/>
    <w:rsid w:val="00A06E11"/>
    <w:rsid w:val="00A122D9"/>
    <w:rsid w:val="00A127DC"/>
    <w:rsid w:val="00A1430A"/>
    <w:rsid w:val="00A14F33"/>
    <w:rsid w:val="00A15183"/>
    <w:rsid w:val="00A15D34"/>
    <w:rsid w:val="00A30BC9"/>
    <w:rsid w:val="00A333AB"/>
    <w:rsid w:val="00A36718"/>
    <w:rsid w:val="00A373FA"/>
    <w:rsid w:val="00A45307"/>
    <w:rsid w:val="00A47B33"/>
    <w:rsid w:val="00A5038B"/>
    <w:rsid w:val="00A54C8B"/>
    <w:rsid w:val="00A569DC"/>
    <w:rsid w:val="00A627B4"/>
    <w:rsid w:val="00A6524C"/>
    <w:rsid w:val="00A65D4F"/>
    <w:rsid w:val="00A71BE9"/>
    <w:rsid w:val="00A71C20"/>
    <w:rsid w:val="00A73516"/>
    <w:rsid w:val="00A7451D"/>
    <w:rsid w:val="00A747B2"/>
    <w:rsid w:val="00A752B6"/>
    <w:rsid w:val="00A77A85"/>
    <w:rsid w:val="00A824FB"/>
    <w:rsid w:val="00A83897"/>
    <w:rsid w:val="00A869EB"/>
    <w:rsid w:val="00A87F2A"/>
    <w:rsid w:val="00A910D5"/>
    <w:rsid w:val="00A92D72"/>
    <w:rsid w:val="00A937A8"/>
    <w:rsid w:val="00A93C40"/>
    <w:rsid w:val="00A964E8"/>
    <w:rsid w:val="00AA6BFF"/>
    <w:rsid w:val="00AA6E6E"/>
    <w:rsid w:val="00AB3F85"/>
    <w:rsid w:val="00AC00B9"/>
    <w:rsid w:val="00AC0E0E"/>
    <w:rsid w:val="00AC30C0"/>
    <w:rsid w:val="00AC30D7"/>
    <w:rsid w:val="00AC47B8"/>
    <w:rsid w:val="00AC4919"/>
    <w:rsid w:val="00AC6CBD"/>
    <w:rsid w:val="00AD4B04"/>
    <w:rsid w:val="00AD5CE6"/>
    <w:rsid w:val="00AD658F"/>
    <w:rsid w:val="00AE46F1"/>
    <w:rsid w:val="00AF1CD4"/>
    <w:rsid w:val="00AF2068"/>
    <w:rsid w:val="00AF226C"/>
    <w:rsid w:val="00AF2F50"/>
    <w:rsid w:val="00AF4C6A"/>
    <w:rsid w:val="00B02E55"/>
    <w:rsid w:val="00B03BD4"/>
    <w:rsid w:val="00B066BB"/>
    <w:rsid w:val="00B06D4C"/>
    <w:rsid w:val="00B07E5A"/>
    <w:rsid w:val="00B104C5"/>
    <w:rsid w:val="00B1380D"/>
    <w:rsid w:val="00B145A5"/>
    <w:rsid w:val="00B16FF4"/>
    <w:rsid w:val="00B21B34"/>
    <w:rsid w:val="00B23067"/>
    <w:rsid w:val="00B24718"/>
    <w:rsid w:val="00B27093"/>
    <w:rsid w:val="00B3027A"/>
    <w:rsid w:val="00B329E0"/>
    <w:rsid w:val="00B36E72"/>
    <w:rsid w:val="00B37FDE"/>
    <w:rsid w:val="00B46037"/>
    <w:rsid w:val="00B4620A"/>
    <w:rsid w:val="00B47303"/>
    <w:rsid w:val="00B479AB"/>
    <w:rsid w:val="00B47BF5"/>
    <w:rsid w:val="00B541D7"/>
    <w:rsid w:val="00B54CBB"/>
    <w:rsid w:val="00B57574"/>
    <w:rsid w:val="00B6166C"/>
    <w:rsid w:val="00B6177C"/>
    <w:rsid w:val="00B64140"/>
    <w:rsid w:val="00B73BDE"/>
    <w:rsid w:val="00B7430F"/>
    <w:rsid w:val="00B76758"/>
    <w:rsid w:val="00B76B24"/>
    <w:rsid w:val="00B77AC7"/>
    <w:rsid w:val="00B902ED"/>
    <w:rsid w:val="00B906CA"/>
    <w:rsid w:val="00B922E0"/>
    <w:rsid w:val="00B936E1"/>
    <w:rsid w:val="00B956E0"/>
    <w:rsid w:val="00B97763"/>
    <w:rsid w:val="00BA22E4"/>
    <w:rsid w:val="00BA2F34"/>
    <w:rsid w:val="00BA5943"/>
    <w:rsid w:val="00BA670A"/>
    <w:rsid w:val="00BA67E8"/>
    <w:rsid w:val="00BA72DB"/>
    <w:rsid w:val="00BB09C5"/>
    <w:rsid w:val="00BB4AF9"/>
    <w:rsid w:val="00BC1F6D"/>
    <w:rsid w:val="00BC420D"/>
    <w:rsid w:val="00BC49C2"/>
    <w:rsid w:val="00BC5B1C"/>
    <w:rsid w:val="00BD2CD7"/>
    <w:rsid w:val="00BD4599"/>
    <w:rsid w:val="00BD559C"/>
    <w:rsid w:val="00BD66BD"/>
    <w:rsid w:val="00BE1E5C"/>
    <w:rsid w:val="00BE514C"/>
    <w:rsid w:val="00BF203B"/>
    <w:rsid w:val="00BF2F08"/>
    <w:rsid w:val="00BF3A62"/>
    <w:rsid w:val="00BF7C44"/>
    <w:rsid w:val="00C022B9"/>
    <w:rsid w:val="00C03E8B"/>
    <w:rsid w:val="00C041DC"/>
    <w:rsid w:val="00C11D89"/>
    <w:rsid w:val="00C15683"/>
    <w:rsid w:val="00C15C04"/>
    <w:rsid w:val="00C16F91"/>
    <w:rsid w:val="00C1797C"/>
    <w:rsid w:val="00C20F52"/>
    <w:rsid w:val="00C21030"/>
    <w:rsid w:val="00C23E4F"/>
    <w:rsid w:val="00C26438"/>
    <w:rsid w:val="00C33093"/>
    <w:rsid w:val="00C336B0"/>
    <w:rsid w:val="00C41B16"/>
    <w:rsid w:val="00C43858"/>
    <w:rsid w:val="00C44548"/>
    <w:rsid w:val="00C46BB7"/>
    <w:rsid w:val="00C512CF"/>
    <w:rsid w:val="00C53166"/>
    <w:rsid w:val="00C53972"/>
    <w:rsid w:val="00C609F1"/>
    <w:rsid w:val="00C63B80"/>
    <w:rsid w:val="00C64BC6"/>
    <w:rsid w:val="00C65DC5"/>
    <w:rsid w:val="00C66A97"/>
    <w:rsid w:val="00C70A19"/>
    <w:rsid w:val="00C70DA3"/>
    <w:rsid w:val="00C72E45"/>
    <w:rsid w:val="00C73C19"/>
    <w:rsid w:val="00C74314"/>
    <w:rsid w:val="00C743A4"/>
    <w:rsid w:val="00C77F36"/>
    <w:rsid w:val="00C838F0"/>
    <w:rsid w:val="00C8677B"/>
    <w:rsid w:val="00C878B7"/>
    <w:rsid w:val="00C937DC"/>
    <w:rsid w:val="00C9775A"/>
    <w:rsid w:val="00C977F7"/>
    <w:rsid w:val="00C9785E"/>
    <w:rsid w:val="00C97D96"/>
    <w:rsid w:val="00CA07F1"/>
    <w:rsid w:val="00CA1E81"/>
    <w:rsid w:val="00CA3800"/>
    <w:rsid w:val="00CA4754"/>
    <w:rsid w:val="00CA5E0C"/>
    <w:rsid w:val="00CA6A2E"/>
    <w:rsid w:val="00CB008D"/>
    <w:rsid w:val="00CB184C"/>
    <w:rsid w:val="00CB34FB"/>
    <w:rsid w:val="00CB3A64"/>
    <w:rsid w:val="00CB52B2"/>
    <w:rsid w:val="00CB5C46"/>
    <w:rsid w:val="00CB6EE3"/>
    <w:rsid w:val="00CB7486"/>
    <w:rsid w:val="00CC0382"/>
    <w:rsid w:val="00CC0A8C"/>
    <w:rsid w:val="00CC1DAF"/>
    <w:rsid w:val="00CC482D"/>
    <w:rsid w:val="00CC492A"/>
    <w:rsid w:val="00CC4F5D"/>
    <w:rsid w:val="00CC73BE"/>
    <w:rsid w:val="00CD55AA"/>
    <w:rsid w:val="00CD5A0F"/>
    <w:rsid w:val="00CE1A75"/>
    <w:rsid w:val="00CE69DD"/>
    <w:rsid w:val="00CE6D2B"/>
    <w:rsid w:val="00CE6FC1"/>
    <w:rsid w:val="00CE7076"/>
    <w:rsid w:val="00CF01CF"/>
    <w:rsid w:val="00CF116B"/>
    <w:rsid w:val="00CF1AA8"/>
    <w:rsid w:val="00CF3B57"/>
    <w:rsid w:val="00CF5291"/>
    <w:rsid w:val="00D02676"/>
    <w:rsid w:val="00D03740"/>
    <w:rsid w:val="00D0392E"/>
    <w:rsid w:val="00D063D5"/>
    <w:rsid w:val="00D13286"/>
    <w:rsid w:val="00D14432"/>
    <w:rsid w:val="00D17D0E"/>
    <w:rsid w:val="00D21EC0"/>
    <w:rsid w:val="00D237B8"/>
    <w:rsid w:val="00D2416D"/>
    <w:rsid w:val="00D24D9D"/>
    <w:rsid w:val="00D305ED"/>
    <w:rsid w:val="00D33DD2"/>
    <w:rsid w:val="00D42BBE"/>
    <w:rsid w:val="00D43012"/>
    <w:rsid w:val="00D43302"/>
    <w:rsid w:val="00D44813"/>
    <w:rsid w:val="00D45C87"/>
    <w:rsid w:val="00D469C1"/>
    <w:rsid w:val="00D469FA"/>
    <w:rsid w:val="00D47078"/>
    <w:rsid w:val="00D50C07"/>
    <w:rsid w:val="00D51B3C"/>
    <w:rsid w:val="00D55925"/>
    <w:rsid w:val="00D60538"/>
    <w:rsid w:val="00D612CB"/>
    <w:rsid w:val="00D64BAD"/>
    <w:rsid w:val="00D72400"/>
    <w:rsid w:val="00D7763D"/>
    <w:rsid w:val="00D81796"/>
    <w:rsid w:val="00D86F21"/>
    <w:rsid w:val="00D8733B"/>
    <w:rsid w:val="00D919CE"/>
    <w:rsid w:val="00D92988"/>
    <w:rsid w:val="00D94288"/>
    <w:rsid w:val="00DA1E92"/>
    <w:rsid w:val="00DA2FA9"/>
    <w:rsid w:val="00DA4046"/>
    <w:rsid w:val="00DA5B53"/>
    <w:rsid w:val="00DA6B1C"/>
    <w:rsid w:val="00DB0211"/>
    <w:rsid w:val="00DB38B2"/>
    <w:rsid w:val="00DC08F3"/>
    <w:rsid w:val="00DC675C"/>
    <w:rsid w:val="00DD0D4C"/>
    <w:rsid w:val="00DD174B"/>
    <w:rsid w:val="00DD1B98"/>
    <w:rsid w:val="00DD4263"/>
    <w:rsid w:val="00DD4D64"/>
    <w:rsid w:val="00DD62F2"/>
    <w:rsid w:val="00DE3219"/>
    <w:rsid w:val="00DF14B8"/>
    <w:rsid w:val="00DF6880"/>
    <w:rsid w:val="00DF7353"/>
    <w:rsid w:val="00E01661"/>
    <w:rsid w:val="00E01BFF"/>
    <w:rsid w:val="00E01D33"/>
    <w:rsid w:val="00E03637"/>
    <w:rsid w:val="00E06CBE"/>
    <w:rsid w:val="00E148A3"/>
    <w:rsid w:val="00E15E78"/>
    <w:rsid w:val="00E17D1E"/>
    <w:rsid w:val="00E20140"/>
    <w:rsid w:val="00E239E2"/>
    <w:rsid w:val="00E27A88"/>
    <w:rsid w:val="00E3275A"/>
    <w:rsid w:val="00E3287E"/>
    <w:rsid w:val="00E33B00"/>
    <w:rsid w:val="00E33FCD"/>
    <w:rsid w:val="00E346B1"/>
    <w:rsid w:val="00E34E23"/>
    <w:rsid w:val="00E3754E"/>
    <w:rsid w:val="00E40D60"/>
    <w:rsid w:val="00E40DA4"/>
    <w:rsid w:val="00E44BA7"/>
    <w:rsid w:val="00E45DCF"/>
    <w:rsid w:val="00E46928"/>
    <w:rsid w:val="00E47055"/>
    <w:rsid w:val="00E52BD7"/>
    <w:rsid w:val="00E534CC"/>
    <w:rsid w:val="00E60F5F"/>
    <w:rsid w:val="00E65024"/>
    <w:rsid w:val="00E72444"/>
    <w:rsid w:val="00E75A69"/>
    <w:rsid w:val="00E76714"/>
    <w:rsid w:val="00E83095"/>
    <w:rsid w:val="00E83D06"/>
    <w:rsid w:val="00E84117"/>
    <w:rsid w:val="00E84D06"/>
    <w:rsid w:val="00E866AD"/>
    <w:rsid w:val="00E900DD"/>
    <w:rsid w:val="00E90985"/>
    <w:rsid w:val="00E92CDA"/>
    <w:rsid w:val="00E94F05"/>
    <w:rsid w:val="00EA1E05"/>
    <w:rsid w:val="00EA2DB4"/>
    <w:rsid w:val="00EB01DA"/>
    <w:rsid w:val="00EB1570"/>
    <w:rsid w:val="00EB4BC6"/>
    <w:rsid w:val="00EC0917"/>
    <w:rsid w:val="00EC2282"/>
    <w:rsid w:val="00EC2418"/>
    <w:rsid w:val="00EC374A"/>
    <w:rsid w:val="00EC3CCF"/>
    <w:rsid w:val="00EC61D0"/>
    <w:rsid w:val="00ED113C"/>
    <w:rsid w:val="00ED1BBF"/>
    <w:rsid w:val="00ED3AD1"/>
    <w:rsid w:val="00ED3FC2"/>
    <w:rsid w:val="00EE008A"/>
    <w:rsid w:val="00EE1B93"/>
    <w:rsid w:val="00EE3D8C"/>
    <w:rsid w:val="00EF0833"/>
    <w:rsid w:val="00EF0C61"/>
    <w:rsid w:val="00EF3591"/>
    <w:rsid w:val="00EF5477"/>
    <w:rsid w:val="00F01DEA"/>
    <w:rsid w:val="00F03831"/>
    <w:rsid w:val="00F0431B"/>
    <w:rsid w:val="00F1178A"/>
    <w:rsid w:val="00F13642"/>
    <w:rsid w:val="00F15FDE"/>
    <w:rsid w:val="00F2092A"/>
    <w:rsid w:val="00F2311B"/>
    <w:rsid w:val="00F23B64"/>
    <w:rsid w:val="00F269E6"/>
    <w:rsid w:val="00F26DD0"/>
    <w:rsid w:val="00F27B1F"/>
    <w:rsid w:val="00F3148D"/>
    <w:rsid w:val="00F33895"/>
    <w:rsid w:val="00F36B1E"/>
    <w:rsid w:val="00F40705"/>
    <w:rsid w:val="00F40C93"/>
    <w:rsid w:val="00F41D9E"/>
    <w:rsid w:val="00F450D2"/>
    <w:rsid w:val="00F50024"/>
    <w:rsid w:val="00F509FA"/>
    <w:rsid w:val="00F5431D"/>
    <w:rsid w:val="00F54518"/>
    <w:rsid w:val="00F62C7C"/>
    <w:rsid w:val="00F65DAB"/>
    <w:rsid w:val="00F661A9"/>
    <w:rsid w:val="00F717FD"/>
    <w:rsid w:val="00F71A79"/>
    <w:rsid w:val="00F76587"/>
    <w:rsid w:val="00F771A0"/>
    <w:rsid w:val="00F83038"/>
    <w:rsid w:val="00F874B0"/>
    <w:rsid w:val="00F95C8B"/>
    <w:rsid w:val="00F961D1"/>
    <w:rsid w:val="00F97D85"/>
    <w:rsid w:val="00FA2ADB"/>
    <w:rsid w:val="00FA3AF8"/>
    <w:rsid w:val="00FA5D9B"/>
    <w:rsid w:val="00FB24AD"/>
    <w:rsid w:val="00FB3249"/>
    <w:rsid w:val="00FB47F2"/>
    <w:rsid w:val="00FB4A8F"/>
    <w:rsid w:val="00FB54D2"/>
    <w:rsid w:val="00FC2A77"/>
    <w:rsid w:val="00FC39AB"/>
    <w:rsid w:val="00FC6140"/>
    <w:rsid w:val="00FD2F9E"/>
    <w:rsid w:val="00FD370F"/>
    <w:rsid w:val="00FD7609"/>
    <w:rsid w:val="00FD7DF3"/>
    <w:rsid w:val="00FE3B5E"/>
    <w:rsid w:val="00FE47F2"/>
    <w:rsid w:val="00FE7C56"/>
    <w:rsid w:val="00FF00DB"/>
    <w:rsid w:val="00FF142F"/>
    <w:rsid w:val="00FF200F"/>
    <w:rsid w:val="00FF65AF"/>
    <w:rsid w:val="00FF75D6"/>
    <w:rsid w:val="01825879"/>
    <w:rsid w:val="01B84666"/>
    <w:rsid w:val="01DD3042"/>
    <w:rsid w:val="01E1590B"/>
    <w:rsid w:val="01E45810"/>
    <w:rsid w:val="021D146B"/>
    <w:rsid w:val="02340B36"/>
    <w:rsid w:val="02742605"/>
    <w:rsid w:val="0275218D"/>
    <w:rsid w:val="02AA4224"/>
    <w:rsid w:val="02C400D9"/>
    <w:rsid w:val="02E3110C"/>
    <w:rsid w:val="02FB3938"/>
    <w:rsid w:val="03471C1E"/>
    <w:rsid w:val="038E2101"/>
    <w:rsid w:val="0405549A"/>
    <w:rsid w:val="040F44C6"/>
    <w:rsid w:val="0418019F"/>
    <w:rsid w:val="04822FF9"/>
    <w:rsid w:val="04942F7C"/>
    <w:rsid w:val="04A46A36"/>
    <w:rsid w:val="04C27CE5"/>
    <w:rsid w:val="04E05712"/>
    <w:rsid w:val="04E572DD"/>
    <w:rsid w:val="05394AAC"/>
    <w:rsid w:val="05603F5B"/>
    <w:rsid w:val="0613433A"/>
    <w:rsid w:val="065142E1"/>
    <w:rsid w:val="066566A7"/>
    <w:rsid w:val="068D6E29"/>
    <w:rsid w:val="06C76C7A"/>
    <w:rsid w:val="06C929F2"/>
    <w:rsid w:val="06F25662"/>
    <w:rsid w:val="06FC2AA6"/>
    <w:rsid w:val="072D11D3"/>
    <w:rsid w:val="07320671"/>
    <w:rsid w:val="077A6524"/>
    <w:rsid w:val="07C15A04"/>
    <w:rsid w:val="07DF6A52"/>
    <w:rsid w:val="07F13FAE"/>
    <w:rsid w:val="07F21F92"/>
    <w:rsid w:val="08016A14"/>
    <w:rsid w:val="080A2694"/>
    <w:rsid w:val="080D64B7"/>
    <w:rsid w:val="08413B8A"/>
    <w:rsid w:val="08651387"/>
    <w:rsid w:val="086A7463"/>
    <w:rsid w:val="086C1887"/>
    <w:rsid w:val="08CB4F35"/>
    <w:rsid w:val="08D95AF8"/>
    <w:rsid w:val="094E6ACB"/>
    <w:rsid w:val="09551226"/>
    <w:rsid w:val="097F1A8E"/>
    <w:rsid w:val="099869CD"/>
    <w:rsid w:val="09AD3F1D"/>
    <w:rsid w:val="09B74F28"/>
    <w:rsid w:val="09BC4A90"/>
    <w:rsid w:val="09C73836"/>
    <w:rsid w:val="09FB3D75"/>
    <w:rsid w:val="0A2A278A"/>
    <w:rsid w:val="0A337B76"/>
    <w:rsid w:val="0A3D0D5A"/>
    <w:rsid w:val="0A8821B2"/>
    <w:rsid w:val="0A8F212D"/>
    <w:rsid w:val="0AB01254"/>
    <w:rsid w:val="0ABD22B0"/>
    <w:rsid w:val="0AFA3909"/>
    <w:rsid w:val="0B3E6584"/>
    <w:rsid w:val="0B430333"/>
    <w:rsid w:val="0B550BCF"/>
    <w:rsid w:val="0B5C44E3"/>
    <w:rsid w:val="0B756B9C"/>
    <w:rsid w:val="0BA20CD1"/>
    <w:rsid w:val="0BFC732F"/>
    <w:rsid w:val="0BFE0B99"/>
    <w:rsid w:val="0C2313C8"/>
    <w:rsid w:val="0C300E1D"/>
    <w:rsid w:val="0C34122A"/>
    <w:rsid w:val="0C6C0293"/>
    <w:rsid w:val="0C714F14"/>
    <w:rsid w:val="0C8A418B"/>
    <w:rsid w:val="0CDB30F1"/>
    <w:rsid w:val="0CF12082"/>
    <w:rsid w:val="0D2A1DB0"/>
    <w:rsid w:val="0D381F0A"/>
    <w:rsid w:val="0D696822"/>
    <w:rsid w:val="0DD03919"/>
    <w:rsid w:val="0DE163E5"/>
    <w:rsid w:val="0DE36FF1"/>
    <w:rsid w:val="0DF44C4A"/>
    <w:rsid w:val="0E0D24FD"/>
    <w:rsid w:val="0E470326"/>
    <w:rsid w:val="0E762F8F"/>
    <w:rsid w:val="0EAD3D4A"/>
    <w:rsid w:val="0EB11AE3"/>
    <w:rsid w:val="0EB750A9"/>
    <w:rsid w:val="0F1D4772"/>
    <w:rsid w:val="0F397164"/>
    <w:rsid w:val="0F3B37B8"/>
    <w:rsid w:val="0F403A6D"/>
    <w:rsid w:val="0F5D5F23"/>
    <w:rsid w:val="0F911DF1"/>
    <w:rsid w:val="0FCD5FB9"/>
    <w:rsid w:val="10044FC4"/>
    <w:rsid w:val="102F44BA"/>
    <w:rsid w:val="105C16A5"/>
    <w:rsid w:val="10675D2D"/>
    <w:rsid w:val="10723BE5"/>
    <w:rsid w:val="10733F2A"/>
    <w:rsid w:val="107863ED"/>
    <w:rsid w:val="109202D5"/>
    <w:rsid w:val="109B0A1A"/>
    <w:rsid w:val="11026703"/>
    <w:rsid w:val="11455A88"/>
    <w:rsid w:val="116E1ADD"/>
    <w:rsid w:val="117D2D56"/>
    <w:rsid w:val="117F0B57"/>
    <w:rsid w:val="1186426C"/>
    <w:rsid w:val="119F3307"/>
    <w:rsid w:val="121A6877"/>
    <w:rsid w:val="12245B7F"/>
    <w:rsid w:val="12342CE0"/>
    <w:rsid w:val="12495049"/>
    <w:rsid w:val="12767ED2"/>
    <w:rsid w:val="12D26BBE"/>
    <w:rsid w:val="12F733B4"/>
    <w:rsid w:val="12FF1F38"/>
    <w:rsid w:val="131B3CBF"/>
    <w:rsid w:val="135E7CE0"/>
    <w:rsid w:val="13B735D4"/>
    <w:rsid w:val="13DB7E84"/>
    <w:rsid w:val="13E43E3E"/>
    <w:rsid w:val="1416608E"/>
    <w:rsid w:val="142B5453"/>
    <w:rsid w:val="145818E3"/>
    <w:rsid w:val="14903F3F"/>
    <w:rsid w:val="14B577AF"/>
    <w:rsid w:val="14D95EC6"/>
    <w:rsid w:val="14FA7AE6"/>
    <w:rsid w:val="15422EE9"/>
    <w:rsid w:val="154977B2"/>
    <w:rsid w:val="15E45152"/>
    <w:rsid w:val="15F80154"/>
    <w:rsid w:val="16223EF5"/>
    <w:rsid w:val="162C494E"/>
    <w:rsid w:val="16310609"/>
    <w:rsid w:val="163A3C3E"/>
    <w:rsid w:val="1672254E"/>
    <w:rsid w:val="167D1103"/>
    <w:rsid w:val="16805D7F"/>
    <w:rsid w:val="16A13043"/>
    <w:rsid w:val="16D06A17"/>
    <w:rsid w:val="17175957"/>
    <w:rsid w:val="171D62FE"/>
    <w:rsid w:val="17410DD4"/>
    <w:rsid w:val="176340ED"/>
    <w:rsid w:val="17726F7A"/>
    <w:rsid w:val="17A57D87"/>
    <w:rsid w:val="17BB3FE5"/>
    <w:rsid w:val="17DB2585"/>
    <w:rsid w:val="17EC4792"/>
    <w:rsid w:val="180C01B6"/>
    <w:rsid w:val="185D62AD"/>
    <w:rsid w:val="1906620F"/>
    <w:rsid w:val="19080C81"/>
    <w:rsid w:val="191E4E1F"/>
    <w:rsid w:val="192F5582"/>
    <w:rsid w:val="193E608B"/>
    <w:rsid w:val="19526D01"/>
    <w:rsid w:val="19F618F8"/>
    <w:rsid w:val="1A037843"/>
    <w:rsid w:val="1A1800E4"/>
    <w:rsid w:val="1A3A297A"/>
    <w:rsid w:val="1A5359A4"/>
    <w:rsid w:val="1A9D0F2A"/>
    <w:rsid w:val="1AB16733"/>
    <w:rsid w:val="1ADA264D"/>
    <w:rsid w:val="1ADB636E"/>
    <w:rsid w:val="1B117DC7"/>
    <w:rsid w:val="1B2B6997"/>
    <w:rsid w:val="1B577FCF"/>
    <w:rsid w:val="1B6A0C73"/>
    <w:rsid w:val="1B7233E6"/>
    <w:rsid w:val="1B8067FE"/>
    <w:rsid w:val="1BB90C11"/>
    <w:rsid w:val="1BF21E51"/>
    <w:rsid w:val="1C0D7B72"/>
    <w:rsid w:val="1C0F799E"/>
    <w:rsid w:val="1C44431C"/>
    <w:rsid w:val="1C805B16"/>
    <w:rsid w:val="1CA44AB0"/>
    <w:rsid w:val="1CB155C9"/>
    <w:rsid w:val="1CD97ADD"/>
    <w:rsid w:val="1CF7454D"/>
    <w:rsid w:val="1D095216"/>
    <w:rsid w:val="1D496AD9"/>
    <w:rsid w:val="1D9F2509"/>
    <w:rsid w:val="1DB25B36"/>
    <w:rsid w:val="1DD53EBF"/>
    <w:rsid w:val="1E146174"/>
    <w:rsid w:val="1E3D2556"/>
    <w:rsid w:val="1E4F563A"/>
    <w:rsid w:val="1E702EE5"/>
    <w:rsid w:val="1E847A9F"/>
    <w:rsid w:val="1EF87EC0"/>
    <w:rsid w:val="1F3D3B25"/>
    <w:rsid w:val="1F457B15"/>
    <w:rsid w:val="1F795976"/>
    <w:rsid w:val="1F7B7654"/>
    <w:rsid w:val="1F8B4449"/>
    <w:rsid w:val="1F945D87"/>
    <w:rsid w:val="1FBF75C7"/>
    <w:rsid w:val="1FF9153B"/>
    <w:rsid w:val="20016222"/>
    <w:rsid w:val="20541062"/>
    <w:rsid w:val="20557218"/>
    <w:rsid w:val="20A60CCB"/>
    <w:rsid w:val="20A96C60"/>
    <w:rsid w:val="20D8185A"/>
    <w:rsid w:val="20DD6920"/>
    <w:rsid w:val="21264D64"/>
    <w:rsid w:val="216257F0"/>
    <w:rsid w:val="218C400A"/>
    <w:rsid w:val="21A458A4"/>
    <w:rsid w:val="21BC6F83"/>
    <w:rsid w:val="22266FD1"/>
    <w:rsid w:val="225C2514"/>
    <w:rsid w:val="2268177D"/>
    <w:rsid w:val="22800999"/>
    <w:rsid w:val="228805D6"/>
    <w:rsid w:val="22963B02"/>
    <w:rsid w:val="22A279BF"/>
    <w:rsid w:val="22D6114B"/>
    <w:rsid w:val="22D831A9"/>
    <w:rsid w:val="231F2568"/>
    <w:rsid w:val="232903AC"/>
    <w:rsid w:val="23614286"/>
    <w:rsid w:val="23DF494C"/>
    <w:rsid w:val="23F04359"/>
    <w:rsid w:val="23F46316"/>
    <w:rsid w:val="23FC7B0B"/>
    <w:rsid w:val="24170DE9"/>
    <w:rsid w:val="242A54E4"/>
    <w:rsid w:val="242F386F"/>
    <w:rsid w:val="24423D2D"/>
    <w:rsid w:val="244E60DE"/>
    <w:rsid w:val="246851A0"/>
    <w:rsid w:val="24A96F98"/>
    <w:rsid w:val="24AA3D99"/>
    <w:rsid w:val="24C90E8B"/>
    <w:rsid w:val="251F4893"/>
    <w:rsid w:val="2523752A"/>
    <w:rsid w:val="25247B4B"/>
    <w:rsid w:val="253347D8"/>
    <w:rsid w:val="25536D5B"/>
    <w:rsid w:val="25C61268"/>
    <w:rsid w:val="261750D0"/>
    <w:rsid w:val="2643359D"/>
    <w:rsid w:val="2657069D"/>
    <w:rsid w:val="265F514C"/>
    <w:rsid w:val="26D0570B"/>
    <w:rsid w:val="26E4308A"/>
    <w:rsid w:val="26F8740E"/>
    <w:rsid w:val="27210D94"/>
    <w:rsid w:val="27270D9B"/>
    <w:rsid w:val="27324EE5"/>
    <w:rsid w:val="274A6DDF"/>
    <w:rsid w:val="274B1F69"/>
    <w:rsid w:val="2779092B"/>
    <w:rsid w:val="279F004F"/>
    <w:rsid w:val="27B82693"/>
    <w:rsid w:val="27BE7DEC"/>
    <w:rsid w:val="27C906B5"/>
    <w:rsid w:val="27E05172"/>
    <w:rsid w:val="27F16513"/>
    <w:rsid w:val="28117E8C"/>
    <w:rsid w:val="281E2DA6"/>
    <w:rsid w:val="2848356F"/>
    <w:rsid w:val="284E5770"/>
    <w:rsid w:val="28787D0E"/>
    <w:rsid w:val="288F385B"/>
    <w:rsid w:val="288F6E7B"/>
    <w:rsid w:val="28B179AF"/>
    <w:rsid w:val="28EF0760"/>
    <w:rsid w:val="292E4CE2"/>
    <w:rsid w:val="294D77B2"/>
    <w:rsid w:val="297A2178"/>
    <w:rsid w:val="29980ADF"/>
    <w:rsid w:val="29C042E8"/>
    <w:rsid w:val="29EE6148"/>
    <w:rsid w:val="29FA5D05"/>
    <w:rsid w:val="2A050C55"/>
    <w:rsid w:val="2A1357D7"/>
    <w:rsid w:val="2A181423"/>
    <w:rsid w:val="2A394EC7"/>
    <w:rsid w:val="2A4C0703"/>
    <w:rsid w:val="2A652511"/>
    <w:rsid w:val="2A6E062F"/>
    <w:rsid w:val="2ADB39F8"/>
    <w:rsid w:val="2ADD7F15"/>
    <w:rsid w:val="2AF639AB"/>
    <w:rsid w:val="2B353B2B"/>
    <w:rsid w:val="2B423886"/>
    <w:rsid w:val="2B577935"/>
    <w:rsid w:val="2B5B5F42"/>
    <w:rsid w:val="2BAB35CB"/>
    <w:rsid w:val="2BB26D80"/>
    <w:rsid w:val="2BE131CE"/>
    <w:rsid w:val="2BE33868"/>
    <w:rsid w:val="2BEB0715"/>
    <w:rsid w:val="2C01352A"/>
    <w:rsid w:val="2C836836"/>
    <w:rsid w:val="2CE323B9"/>
    <w:rsid w:val="2D736DAD"/>
    <w:rsid w:val="2D933DAA"/>
    <w:rsid w:val="2DDD76C0"/>
    <w:rsid w:val="2DEE2B8E"/>
    <w:rsid w:val="2DF455BF"/>
    <w:rsid w:val="2E1A5742"/>
    <w:rsid w:val="2EAD65D1"/>
    <w:rsid w:val="2EF96966"/>
    <w:rsid w:val="2F8147EF"/>
    <w:rsid w:val="2FF95846"/>
    <w:rsid w:val="30092845"/>
    <w:rsid w:val="301A6814"/>
    <w:rsid w:val="303665F6"/>
    <w:rsid w:val="30661C84"/>
    <w:rsid w:val="307A0735"/>
    <w:rsid w:val="3087545A"/>
    <w:rsid w:val="30880A63"/>
    <w:rsid w:val="30963C93"/>
    <w:rsid w:val="30E84101"/>
    <w:rsid w:val="30E953E9"/>
    <w:rsid w:val="30EA6E81"/>
    <w:rsid w:val="30FC0F7E"/>
    <w:rsid w:val="31281325"/>
    <w:rsid w:val="31301EB6"/>
    <w:rsid w:val="314715DE"/>
    <w:rsid w:val="31545480"/>
    <w:rsid w:val="316E153C"/>
    <w:rsid w:val="31A661E9"/>
    <w:rsid w:val="32332B67"/>
    <w:rsid w:val="323B015D"/>
    <w:rsid w:val="32564177"/>
    <w:rsid w:val="325E68C3"/>
    <w:rsid w:val="32762B61"/>
    <w:rsid w:val="3281008A"/>
    <w:rsid w:val="32C719E6"/>
    <w:rsid w:val="32DB5B99"/>
    <w:rsid w:val="33150BE9"/>
    <w:rsid w:val="334B6C1C"/>
    <w:rsid w:val="336929CE"/>
    <w:rsid w:val="338850FE"/>
    <w:rsid w:val="339B16B5"/>
    <w:rsid w:val="34256C0A"/>
    <w:rsid w:val="34521F12"/>
    <w:rsid w:val="34586FDF"/>
    <w:rsid w:val="34BC5AA2"/>
    <w:rsid w:val="34D01D12"/>
    <w:rsid w:val="34D61BCB"/>
    <w:rsid w:val="34FC46A9"/>
    <w:rsid w:val="350727D8"/>
    <w:rsid w:val="3521003B"/>
    <w:rsid w:val="3527368D"/>
    <w:rsid w:val="35757AA4"/>
    <w:rsid w:val="35955472"/>
    <w:rsid w:val="35A8339B"/>
    <w:rsid w:val="35B279D7"/>
    <w:rsid w:val="35B32DBE"/>
    <w:rsid w:val="35C757CF"/>
    <w:rsid w:val="35F75441"/>
    <w:rsid w:val="35FA2992"/>
    <w:rsid w:val="360847DF"/>
    <w:rsid w:val="3609551D"/>
    <w:rsid w:val="363B7E93"/>
    <w:rsid w:val="363D28C0"/>
    <w:rsid w:val="36533FBD"/>
    <w:rsid w:val="36A80778"/>
    <w:rsid w:val="36CD4C0B"/>
    <w:rsid w:val="37185D3D"/>
    <w:rsid w:val="3721097A"/>
    <w:rsid w:val="372A1CAD"/>
    <w:rsid w:val="377C3699"/>
    <w:rsid w:val="37B073FC"/>
    <w:rsid w:val="37F963E3"/>
    <w:rsid w:val="3814534F"/>
    <w:rsid w:val="382D3813"/>
    <w:rsid w:val="3852506B"/>
    <w:rsid w:val="38536AC6"/>
    <w:rsid w:val="387B600A"/>
    <w:rsid w:val="38A85873"/>
    <w:rsid w:val="38B40BAC"/>
    <w:rsid w:val="38DD121D"/>
    <w:rsid w:val="38E35C8E"/>
    <w:rsid w:val="38ED6BD3"/>
    <w:rsid w:val="38EE64E2"/>
    <w:rsid w:val="399927BE"/>
    <w:rsid w:val="39A809C7"/>
    <w:rsid w:val="39C830EE"/>
    <w:rsid w:val="3A10448D"/>
    <w:rsid w:val="3A192DF0"/>
    <w:rsid w:val="3A2B7150"/>
    <w:rsid w:val="3A4063E0"/>
    <w:rsid w:val="3A456846"/>
    <w:rsid w:val="3A4965C5"/>
    <w:rsid w:val="3A5E693A"/>
    <w:rsid w:val="3A7166BD"/>
    <w:rsid w:val="3A73024C"/>
    <w:rsid w:val="3A80225F"/>
    <w:rsid w:val="3A933FEA"/>
    <w:rsid w:val="3A9B113B"/>
    <w:rsid w:val="3ACF4D74"/>
    <w:rsid w:val="3B0A473E"/>
    <w:rsid w:val="3B0F0973"/>
    <w:rsid w:val="3B19211E"/>
    <w:rsid w:val="3B247060"/>
    <w:rsid w:val="3B326F4F"/>
    <w:rsid w:val="3B351A9E"/>
    <w:rsid w:val="3B3B7B62"/>
    <w:rsid w:val="3B7F0D79"/>
    <w:rsid w:val="3BB8271A"/>
    <w:rsid w:val="3BCB70C7"/>
    <w:rsid w:val="3BDC0DF6"/>
    <w:rsid w:val="3BED6EE9"/>
    <w:rsid w:val="3C2A00B5"/>
    <w:rsid w:val="3C2E1FF8"/>
    <w:rsid w:val="3C7544A7"/>
    <w:rsid w:val="3CEF4F94"/>
    <w:rsid w:val="3D0C4116"/>
    <w:rsid w:val="3D253D2C"/>
    <w:rsid w:val="3D4826A6"/>
    <w:rsid w:val="3D7B789B"/>
    <w:rsid w:val="3D91286A"/>
    <w:rsid w:val="3D9F71C7"/>
    <w:rsid w:val="3DBD3F86"/>
    <w:rsid w:val="3DD57D5C"/>
    <w:rsid w:val="3DDB5685"/>
    <w:rsid w:val="3DE17E36"/>
    <w:rsid w:val="3DE50E59"/>
    <w:rsid w:val="3E0F61E1"/>
    <w:rsid w:val="3E170518"/>
    <w:rsid w:val="3E1E1586"/>
    <w:rsid w:val="3E5C7CA4"/>
    <w:rsid w:val="3E8E099B"/>
    <w:rsid w:val="3EC23B02"/>
    <w:rsid w:val="3EEB51D3"/>
    <w:rsid w:val="3F2A5585"/>
    <w:rsid w:val="3F561FEA"/>
    <w:rsid w:val="3F7E0BF9"/>
    <w:rsid w:val="3F8438EC"/>
    <w:rsid w:val="3FCB0B78"/>
    <w:rsid w:val="3FDA4D4C"/>
    <w:rsid w:val="3FDA6A2B"/>
    <w:rsid w:val="3FFD6C8D"/>
    <w:rsid w:val="40135F5A"/>
    <w:rsid w:val="40762453"/>
    <w:rsid w:val="407C2437"/>
    <w:rsid w:val="40873BF2"/>
    <w:rsid w:val="409E03DB"/>
    <w:rsid w:val="40A3492D"/>
    <w:rsid w:val="40AB40F8"/>
    <w:rsid w:val="40AC6397"/>
    <w:rsid w:val="40EC0381"/>
    <w:rsid w:val="41006A35"/>
    <w:rsid w:val="41070391"/>
    <w:rsid w:val="41544578"/>
    <w:rsid w:val="415D3FFD"/>
    <w:rsid w:val="41654AEA"/>
    <w:rsid w:val="41691B64"/>
    <w:rsid w:val="41712E0B"/>
    <w:rsid w:val="41741F1B"/>
    <w:rsid w:val="41850CE8"/>
    <w:rsid w:val="41B56275"/>
    <w:rsid w:val="41C067A5"/>
    <w:rsid w:val="41C11E62"/>
    <w:rsid w:val="41D4434B"/>
    <w:rsid w:val="41EC2144"/>
    <w:rsid w:val="4211360F"/>
    <w:rsid w:val="428D79AE"/>
    <w:rsid w:val="42AD6EE1"/>
    <w:rsid w:val="43211E1C"/>
    <w:rsid w:val="43363E2D"/>
    <w:rsid w:val="43491F7F"/>
    <w:rsid w:val="437B2282"/>
    <w:rsid w:val="43CC2A86"/>
    <w:rsid w:val="43DB1D05"/>
    <w:rsid w:val="43E21038"/>
    <w:rsid w:val="43F347D7"/>
    <w:rsid w:val="44267B0A"/>
    <w:rsid w:val="443323D4"/>
    <w:rsid w:val="44356B17"/>
    <w:rsid w:val="443A225E"/>
    <w:rsid w:val="44437CFC"/>
    <w:rsid w:val="445E0465"/>
    <w:rsid w:val="4481029E"/>
    <w:rsid w:val="44E14641"/>
    <w:rsid w:val="44EB71FD"/>
    <w:rsid w:val="44EC63D1"/>
    <w:rsid w:val="45575091"/>
    <w:rsid w:val="456078F8"/>
    <w:rsid w:val="45ED34DC"/>
    <w:rsid w:val="46016AE1"/>
    <w:rsid w:val="46056D65"/>
    <w:rsid w:val="4608335F"/>
    <w:rsid w:val="461026A2"/>
    <w:rsid w:val="4621493F"/>
    <w:rsid w:val="46323115"/>
    <w:rsid w:val="4640231D"/>
    <w:rsid w:val="467F02B7"/>
    <w:rsid w:val="46815710"/>
    <w:rsid w:val="46DA03EF"/>
    <w:rsid w:val="47095C3B"/>
    <w:rsid w:val="47155509"/>
    <w:rsid w:val="47476517"/>
    <w:rsid w:val="4789430D"/>
    <w:rsid w:val="47955FA7"/>
    <w:rsid w:val="481F2C01"/>
    <w:rsid w:val="4841210D"/>
    <w:rsid w:val="484A0A49"/>
    <w:rsid w:val="48962542"/>
    <w:rsid w:val="48C14BD4"/>
    <w:rsid w:val="48D1182E"/>
    <w:rsid w:val="48D97E77"/>
    <w:rsid w:val="48F12A72"/>
    <w:rsid w:val="49164C81"/>
    <w:rsid w:val="49342FB4"/>
    <w:rsid w:val="495919C2"/>
    <w:rsid w:val="49A70172"/>
    <w:rsid w:val="49FB2904"/>
    <w:rsid w:val="4A0B7270"/>
    <w:rsid w:val="4A0F7FF0"/>
    <w:rsid w:val="4A19210A"/>
    <w:rsid w:val="4A79791C"/>
    <w:rsid w:val="4A801C5C"/>
    <w:rsid w:val="4A8316BD"/>
    <w:rsid w:val="4AC7617F"/>
    <w:rsid w:val="4B1F651E"/>
    <w:rsid w:val="4B2318DC"/>
    <w:rsid w:val="4B720346"/>
    <w:rsid w:val="4B860091"/>
    <w:rsid w:val="4B865D88"/>
    <w:rsid w:val="4B8B7843"/>
    <w:rsid w:val="4B955098"/>
    <w:rsid w:val="4BD039EB"/>
    <w:rsid w:val="4BEA4098"/>
    <w:rsid w:val="4BFC6663"/>
    <w:rsid w:val="4C0F46EA"/>
    <w:rsid w:val="4C352FE2"/>
    <w:rsid w:val="4C622062"/>
    <w:rsid w:val="4C730C63"/>
    <w:rsid w:val="4C811DF6"/>
    <w:rsid w:val="4C8B4B3C"/>
    <w:rsid w:val="4CA9764B"/>
    <w:rsid w:val="4CAD671A"/>
    <w:rsid w:val="4CD56CBE"/>
    <w:rsid w:val="4CDE0C40"/>
    <w:rsid w:val="4D2211EA"/>
    <w:rsid w:val="4D5C2F53"/>
    <w:rsid w:val="4D697710"/>
    <w:rsid w:val="4D9F318C"/>
    <w:rsid w:val="4DA638BF"/>
    <w:rsid w:val="4DAA0BB0"/>
    <w:rsid w:val="4E283B68"/>
    <w:rsid w:val="4E516C38"/>
    <w:rsid w:val="4E6543E4"/>
    <w:rsid w:val="4E98738B"/>
    <w:rsid w:val="4EC674BE"/>
    <w:rsid w:val="4ECF2AAF"/>
    <w:rsid w:val="4EF478FA"/>
    <w:rsid w:val="4F152E9B"/>
    <w:rsid w:val="4F2354DB"/>
    <w:rsid w:val="4F282E77"/>
    <w:rsid w:val="4F8D6453"/>
    <w:rsid w:val="4F92129E"/>
    <w:rsid w:val="4F9762DE"/>
    <w:rsid w:val="4FA76C67"/>
    <w:rsid w:val="4FBD53D6"/>
    <w:rsid w:val="4FF33581"/>
    <w:rsid w:val="50036379"/>
    <w:rsid w:val="50254A94"/>
    <w:rsid w:val="505A57A1"/>
    <w:rsid w:val="505F4D69"/>
    <w:rsid w:val="506E3221"/>
    <w:rsid w:val="5086575D"/>
    <w:rsid w:val="50B87F7E"/>
    <w:rsid w:val="50C34E3C"/>
    <w:rsid w:val="50E53551"/>
    <w:rsid w:val="511755F5"/>
    <w:rsid w:val="51220301"/>
    <w:rsid w:val="51475134"/>
    <w:rsid w:val="514B5913"/>
    <w:rsid w:val="515E4F14"/>
    <w:rsid w:val="51BB0129"/>
    <w:rsid w:val="51DF41C0"/>
    <w:rsid w:val="51E44509"/>
    <w:rsid w:val="523C3E33"/>
    <w:rsid w:val="52633E29"/>
    <w:rsid w:val="529272B9"/>
    <w:rsid w:val="52A207A6"/>
    <w:rsid w:val="52B72CCB"/>
    <w:rsid w:val="52C3292C"/>
    <w:rsid w:val="5339222D"/>
    <w:rsid w:val="53581468"/>
    <w:rsid w:val="53762B86"/>
    <w:rsid w:val="53B93A20"/>
    <w:rsid w:val="53D53DAD"/>
    <w:rsid w:val="53E27FDB"/>
    <w:rsid w:val="54454DCE"/>
    <w:rsid w:val="54797CCC"/>
    <w:rsid w:val="54931DC5"/>
    <w:rsid w:val="549630FB"/>
    <w:rsid w:val="54AE080A"/>
    <w:rsid w:val="54BB7D42"/>
    <w:rsid w:val="54E233C8"/>
    <w:rsid w:val="551103BD"/>
    <w:rsid w:val="55976F9C"/>
    <w:rsid w:val="55D6491F"/>
    <w:rsid w:val="55D74992"/>
    <w:rsid w:val="55FC5887"/>
    <w:rsid w:val="560A5E51"/>
    <w:rsid w:val="563D0D00"/>
    <w:rsid w:val="564E357A"/>
    <w:rsid w:val="56741A7C"/>
    <w:rsid w:val="569862FC"/>
    <w:rsid w:val="57565179"/>
    <w:rsid w:val="578B2EEC"/>
    <w:rsid w:val="579F3D6A"/>
    <w:rsid w:val="57B066D3"/>
    <w:rsid w:val="57B9103C"/>
    <w:rsid w:val="57E8089C"/>
    <w:rsid w:val="57F21036"/>
    <w:rsid w:val="5825093C"/>
    <w:rsid w:val="5835224D"/>
    <w:rsid w:val="583A1A9A"/>
    <w:rsid w:val="583F7361"/>
    <w:rsid w:val="585E4CD2"/>
    <w:rsid w:val="5884708A"/>
    <w:rsid w:val="58924389"/>
    <w:rsid w:val="58A56FE7"/>
    <w:rsid w:val="58B14DB8"/>
    <w:rsid w:val="58ED6CE9"/>
    <w:rsid w:val="590D47E1"/>
    <w:rsid w:val="594D7925"/>
    <w:rsid w:val="59694245"/>
    <w:rsid w:val="5A0658D6"/>
    <w:rsid w:val="5A3E5414"/>
    <w:rsid w:val="5A5A0B0C"/>
    <w:rsid w:val="5A5B5BE3"/>
    <w:rsid w:val="5A945878"/>
    <w:rsid w:val="5ACE7FD0"/>
    <w:rsid w:val="5AE51E0C"/>
    <w:rsid w:val="5AF42CBF"/>
    <w:rsid w:val="5B5D0039"/>
    <w:rsid w:val="5B667984"/>
    <w:rsid w:val="5B6B6161"/>
    <w:rsid w:val="5B7164CB"/>
    <w:rsid w:val="5B99206C"/>
    <w:rsid w:val="5BB40D34"/>
    <w:rsid w:val="5BE71255"/>
    <w:rsid w:val="5C2E6591"/>
    <w:rsid w:val="5C510F06"/>
    <w:rsid w:val="5C5E2802"/>
    <w:rsid w:val="5CBB6B36"/>
    <w:rsid w:val="5CBE511D"/>
    <w:rsid w:val="5CCB492F"/>
    <w:rsid w:val="5CDD77D2"/>
    <w:rsid w:val="5D0478E4"/>
    <w:rsid w:val="5D3F223B"/>
    <w:rsid w:val="5D544B4E"/>
    <w:rsid w:val="5D704AEA"/>
    <w:rsid w:val="5DA1287F"/>
    <w:rsid w:val="5DBD2A73"/>
    <w:rsid w:val="5DD078AB"/>
    <w:rsid w:val="5DDE4E3B"/>
    <w:rsid w:val="5DF74058"/>
    <w:rsid w:val="5E0C0DC1"/>
    <w:rsid w:val="5E1F2EC5"/>
    <w:rsid w:val="5E2F5841"/>
    <w:rsid w:val="5E55294A"/>
    <w:rsid w:val="5E770480"/>
    <w:rsid w:val="5EAC0514"/>
    <w:rsid w:val="5EAE755D"/>
    <w:rsid w:val="5EC2340F"/>
    <w:rsid w:val="5ED05841"/>
    <w:rsid w:val="5F117840"/>
    <w:rsid w:val="5F446FFB"/>
    <w:rsid w:val="5F59580D"/>
    <w:rsid w:val="5F8C5394"/>
    <w:rsid w:val="5F8F4C25"/>
    <w:rsid w:val="5FA05ED8"/>
    <w:rsid w:val="5FFC4FB5"/>
    <w:rsid w:val="600C68ED"/>
    <w:rsid w:val="602B305C"/>
    <w:rsid w:val="60716BAF"/>
    <w:rsid w:val="60952FFE"/>
    <w:rsid w:val="60C44988"/>
    <w:rsid w:val="60CE4002"/>
    <w:rsid w:val="610138B7"/>
    <w:rsid w:val="61184394"/>
    <w:rsid w:val="618F2E4D"/>
    <w:rsid w:val="61967070"/>
    <w:rsid w:val="61B10F8E"/>
    <w:rsid w:val="61C6573B"/>
    <w:rsid w:val="61EA03F8"/>
    <w:rsid w:val="620A0DEF"/>
    <w:rsid w:val="62895396"/>
    <w:rsid w:val="62985920"/>
    <w:rsid w:val="629B6C99"/>
    <w:rsid w:val="634C40FB"/>
    <w:rsid w:val="63513AC7"/>
    <w:rsid w:val="63552D03"/>
    <w:rsid w:val="63CA5649"/>
    <w:rsid w:val="63EF145A"/>
    <w:rsid w:val="64197774"/>
    <w:rsid w:val="64484544"/>
    <w:rsid w:val="64CD18D8"/>
    <w:rsid w:val="64CE5DC8"/>
    <w:rsid w:val="64E909F5"/>
    <w:rsid w:val="64EC0432"/>
    <w:rsid w:val="64FE28E7"/>
    <w:rsid w:val="650B0439"/>
    <w:rsid w:val="653C112C"/>
    <w:rsid w:val="657A6D59"/>
    <w:rsid w:val="658352D7"/>
    <w:rsid w:val="65A63D13"/>
    <w:rsid w:val="65B26CAC"/>
    <w:rsid w:val="65B30767"/>
    <w:rsid w:val="65B6647C"/>
    <w:rsid w:val="65C23A09"/>
    <w:rsid w:val="66215519"/>
    <w:rsid w:val="66240220"/>
    <w:rsid w:val="662916C7"/>
    <w:rsid w:val="6676035D"/>
    <w:rsid w:val="669324D6"/>
    <w:rsid w:val="670C369C"/>
    <w:rsid w:val="672A227F"/>
    <w:rsid w:val="67696832"/>
    <w:rsid w:val="67A71109"/>
    <w:rsid w:val="67AE7C37"/>
    <w:rsid w:val="67C730AF"/>
    <w:rsid w:val="67D90AA8"/>
    <w:rsid w:val="68116078"/>
    <w:rsid w:val="681A1E86"/>
    <w:rsid w:val="6840624D"/>
    <w:rsid w:val="6860521B"/>
    <w:rsid w:val="68625CD8"/>
    <w:rsid w:val="686818E4"/>
    <w:rsid w:val="686C1C15"/>
    <w:rsid w:val="68715612"/>
    <w:rsid w:val="69490210"/>
    <w:rsid w:val="69566830"/>
    <w:rsid w:val="69B62FF5"/>
    <w:rsid w:val="69C75A92"/>
    <w:rsid w:val="69E917FF"/>
    <w:rsid w:val="69F05006"/>
    <w:rsid w:val="69FA3D78"/>
    <w:rsid w:val="69FE6692"/>
    <w:rsid w:val="6A4E61B3"/>
    <w:rsid w:val="6A5345C0"/>
    <w:rsid w:val="6A6F10BF"/>
    <w:rsid w:val="6A8F5527"/>
    <w:rsid w:val="6AA84C1D"/>
    <w:rsid w:val="6AB75F22"/>
    <w:rsid w:val="6AC0339F"/>
    <w:rsid w:val="6AC65715"/>
    <w:rsid w:val="6AE424BE"/>
    <w:rsid w:val="6B58105A"/>
    <w:rsid w:val="6B5B190E"/>
    <w:rsid w:val="6B91249E"/>
    <w:rsid w:val="6BAC5BE1"/>
    <w:rsid w:val="6BC27BCA"/>
    <w:rsid w:val="6BCA495D"/>
    <w:rsid w:val="6BCF5332"/>
    <w:rsid w:val="6BD017DB"/>
    <w:rsid w:val="6BEA1734"/>
    <w:rsid w:val="6BF14FCE"/>
    <w:rsid w:val="6C1A5DC4"/>
    <w:rsid w:val="6C2242A7"/>
    <w:rsid w:val="6C4203E9"/>
    <w:rsid w:val="6C5F485F"/>
    <w:rsid w:val="6CA91E6F"/>
    <w:rsid w:val="6CDF5CCB"/>
    <w:rsid w:val="6D312C35"/>
    <w:rsid w:val="6D7F747E"/>
    <w:rsid w:val="6D965C65"/>
    <w:rsid w:val="6DA57560"/>
    <w:rsid w:val="6E0C7F17"/>
    <w:rsid w:val="6E2F4BAA"/>
    <w:rsid w:val="6E6E7F51"/>
    <w:rsid w:val="6E9141D5"/>
    <w:rsid w:val="6E932AFE"/>
    <w:rsid w:val="6E9C21AB"/>
    <w:rsid w:val="6EE47A30"/>
    <w:rsid w:val="6EF76A7F"/>
    <w:rsid w:val="6F072749"/>
    <w:rsid w:val="6F1F0B75"/>
    <w:rsid w:val="6F926572"/>
    <w:rsid w:val="6FC860C0"/>
    <w:rsid w:val="6FEC50B4"/>
    <w:rsid w:val="6FFE1AE2"/>
    <w:rsid w:val="6FFF541D"/>
    <w:rsid w:val="703F687A"/>
    <w:rsid w:val="704A1546"/>
    <w:rsid w:val="706270FC"/>
    <w:rsid w:val="706F62CF"/>
    <w:rsid w:val="70742E18"/>
    <w:rsid w:val="70D3460C"/>
    <w:rsid w:val="70D95D90"/>
    <w:rsid w:val="70ED728E"/>
    <w:rsid w:val="70FF76AA"/>
    <w:rsid w:val="71126FD1"/>
    <w:rsid w:val="71565CF0"/>
    <w:rsid w:val="71656118"/>
    <w:rsid w:val="71A304AC"/>
    <w:rsid w:val="71A5490B"/>
    <w:rsid w:val="71B47047"/>
    <w:rsid w:val="71C9254D"/>
    <w:rsid w:val="71DD399C"/>
    <w:rsid w:val="71E209B9"/>
    <w:rsid w:val="72605D30"/>
    <w:rsid w:val="7271666B"/>
    <w:rsid w:val="727A50F1"/>
    <w:rsid w:val="727B22EE"/>
    <w:rsid w:val="729E0CBD"/>
    <w:rsid w:val="72B06D12"/>
    <w:rsid w:val="73203EDC"/>
    <w:rsid w:val="7350022B"/>
    <w:rsid w:val="73A63534"/>
    <w:rsid w:val="73E1362B"/>
    <w:rsid w:val="73E743E6"/>
    <w:rsid w:val="74341C6E"/>
    <w:rsid w:val="744160AB"/>
    <w:rsid w:val="746F1ED0"/>
    <w:rsid w:val="748B5D31"/>
    <w:rsid w:val="74945E56"/>
    <w:rsid w:val="74CA2E60"/>
    <w:rsid w:val="74DE6AFF"/>
    <w:rsid w:val="74E6224E"/>
    <w:rsid w:val="754674BF"/>
    <w:rsid w:val="75722D56"/>
    <w:rsid w:val="7593201E"/>
    <w:rsid w:val="7595033C"/>
    <w:rsid w:val="75B11932"/>
    <w:rsid w:val="75D7067F"/>
    <w:rsid w:val="75E4463E"/>
    <w:rsid w:val="75E75C1A"/>
    <w:rsid w:val="76120095"/>
    <w:rsid w:val="762466D5"/>
    <w:rsid w:val="7630448E"/>
    <w:rsid w:val="7634629C"/>
    <w:rsid w:val="764B6139"/>
    <w:rsid w:val="76614DF7"/>
    <w:rsid w:val="766478D6"/>
    <w:rsid w:val="76CC5B98"/>
    <w:rsid w:val="76E27384"/>
    <w:rsid w:val="76F97940"/>
    <w:rsid w:val="77461F0E"/>
    <w:rsid w:val="777A4144"/>
    <w:rsid w:val="778666CA"/>
    <w:rsid w:val="780C1EAE"/>
    <w:rsid w:val="787B0ED3"/>
    <w:rsid w:val="788467B2"/>
    <w:rsid w:val="78CE1E32"/>
    <w:rsid w:val="798E7C13"/>
    <w:rsid w:val="79DD6C0C"/>
    <w:rsid w:val="79F353D9"/>
    <w:rsid w:val="79F75F20"/>
    <w:rsid w:val="7A002B46"/>
    <w:rsid w:val="7A03360D"/>
    <w:rsid w:val="7A2919FD"/>
    <w:rsid w:val="7A342CD0"/>
    <w:rsid w:val="7A550536"/>
    <w:rsid w:val="7A5D484D"/>
    <w:rsid w:val="7A893619"/>
    <w:rsid w:val="7AA8546C"/>
    <w:rsid w:val="7AF96BF7"/>
    <w:rsid w:val="7AFB7A1A"/>
    <w:rsid w:val="7AFE797C"/>
    <w:rsid w:val="7B163C17"/>
    <w:rsid w:val="7B1D4256"/>
    <w:rsid w:val="7B2A360C"/>
    <w:rsid w:val="7B743B6F"/>
    <w:rsid w:val="7B9026EC"/>
    <w:rsid w:val="7BB21510"/>
    <w:rsid w:val="7C080D18"/>
    <w:rsid w:val="7C263DB7"/>
    <w:rsid w:val="7C292631"/>
    <w:rsid w:val="7C3C72F2"/>
    <w:rsid w:val="7C656B97"/>
    <w:rsid w:val="7C6B0626"/>
    <w:rsid w:val="7CA73C2D"/>
    <w:rsid w:val="7D0E25C7"/>
    <w:rsid w:val="7D0E3C95"/>
    <w:rsid w:val="7D1466FC"/>
    <w:rsid w:val="7D3461CD"/>
    <w:rsid w:val="7D6D6D97"/>
    <w:rsid w:val="7DA92E97"/>
    <w:rsid w:val="7DBC61CD"/>
    <w:rsid w:val="7DBF4FA6"/>
    <w:rsid w:val="7DE838B9"/>
    <w:rsid w:val="7E192908"/>
    <w:rsid w:val="7E2268C0"/>
    <w:rsid w:val="7E2A2879"/>
    <w:rsid w:val="7E2B1373"/>
    <w:rsid w:val="7E763BC2"/>
    <w:rsid w:val="7E8D1A75"/>
    <w:rsid w:val="7EB03A15"/>
    <w:rsid w:val="7EC04D09"/>
    <w:rsid w:val="7ECE0E8F"/>
    <w:rsid w:val="7EDC3331"/>
    <w:rsid w:val="7EFA0629"/>
    <w:rsid w:val="7F064A03"/>
    <w:rsid w:val="7F286B7B"/>
    <w:rsid w:val="7F637AC1"/>
    <w:rsid w:val="7F6B2BE4"/>
    <w:rsid w:val="7F9E16B9"/>
    <w:rsid w:val="7FA715FB"/>
    <w:rsid w:val="7FAA3B1E"/>
    <w:rsid w:val="7FB02B75"/>
    <w:rsid w:val="7FB12CF8"/>
    <w:rsid w:val="7FB80D8B"/>
    <w:rsid w:val="7FF8654D"/>
    <w:rsid w:val="7FFF2D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仿宋_GB2312" w:cs="黑体"/>
      <w:kern w:val="2"/>
      <w:sz w:val="32"/>
      <w:szCs w:val="22"/>
      <w:lang w:val="en-US" w:eastAsia="zh-CN" w:bidi="ar-SA"/>
    </w:rPr>
  </w:style>
  <w:style w:type="paragraph" w:styleId="4">
    <w:name w:val="heading 1"/>
    <w:basedOn w:val="1"/>
    <w:next w:val="1"/>
    <w:link w:val="31"/>
    <w:qFormat/>
    <w:uiPriority w:val="9"/>
    <w:pPr>
      <w:keepNext/>
      <w:keepLines/>
      <w:outlineLvl w:val="0"/>
    </w:pPr>
    <w:rPr>
      <w:rFonts w:eastAsia="黑体"/>
      <w:bCs/>
      <w:kern w:val="44"/>
      <w:szCs w:val="44"/>
    </w:rPr>
  </w:style>
  <w:style w:type="paragraph" w:styleId="5">
    <w:name w:val="heading 2"/>
    <w:basedOn w:val="1"/>
    <w:next w:val="1"/>
    <w:link w:val="32"/>
    <w:unhideWhenUsed/>
    <w:qFormat/>
    <w:uiPriority w:val="9"/>
    <w:pPr>
      <w:keepNext/>
      <w:keepLines/>
      <w:outlineLvl w:val="1"/>
    </w:pPr>
    <w:rPr>
      <w:rFonts w:ascii="Cambria" w:hAnsi="Cambria" w:eastAsia="楷体"/>
      <w:b/>
      <w:bCs/>
      <w:szCs w:val="32"/>
    </w:rPr>
  </w:style>
  <w:style w:type="paragraph" w:styleId="6">
    <w:name w:val="heading 3"/>
    <w:basedOn w:val="1"/>
    <w:next w:val="1"/>
    <w:link w:val="47"/>
    <w:semiHidden/>
    <w:unhideWhenUsed/>
    <w:qFormat/>
    <w:uiPriority w:val="9"/>
    <w:pPr>
      <w:keepNext/>
      <w:keepLines/>
      <w:spacing w:before="260" w:after="260" w:line="416" w:lineRule="auto"/>
      <w:outlineLvl w:val="2"/>
    </w:pPr>
    <w:rPr>
      <w:b/>
      <w:bCs/>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正文首行缩进1"/>
    <w:basedOn w:val="1"/>
    <w:qFormat/>
    <w:uiPriority w:val="0"/>
    <w:pPr>
      <w:spacing w:after="120"/>
      <w:ind w:firstLine="420" w:firstLineChars="100"/>
    </w:pPr>
    <w:rPr>
      <w:rFonts w:hint="eastAsia"/>
      <w:szCs w:val="20"/>
    </w:rPr>
  </w:style>
  <w:style w:type="paragraph" w:styleId="7">
    <w:name w:val="Document Map"/>
    <w:basedOn w:val="1"/>
    <w:link w:val="35"/>
    <w:semiHidden/>
    <w:unhideWhenUsed/>
    <w:qFormat/>
    <w:uiPriority w:val="0"/>
    <w:rPr>
      <w:rFonts w:ascii="宋体"/>
      <w:sz w:val="18"/>
      <w:szCs w:val="18"/>
    </w:rPr>
  </w:style>
  <w:style w:type="paragraph" w:styleId="8">
    <w:name w:val="annotation text"/>
    <w:basedOn w:val="1"/>
    <w:link w:val="36"/>
    <w:semiHidden/>
    <w:unhideWhenUsed/>
    <w:qFormat/>
    <w:uiPriority w:val="0"/>
    <w:pPr>
      <w:jc w:val="left"/>
    </w:pPr>
  </w:style>
  <w:style w:type="paragraph" w:styleId="9">
    <w:name w:val="Body Text Indent"/>
    <w:basedOn w:val="1"/>
    <w:qFormat/>
    <w:uiPriority w:val="0"/>
    <w:rPr>
      <w:rFonts w:ascii="宋体" w:hAnsi="宋体"/>
      <w:szCs w:val="20"/>
    </w:rPr>
  </w:style>
  <w:style w:type="paragraph" w:styleId="10">
    <w:name w:val="Balloon Text"/>
    <w:basedOn w:val="1"/>
    <w:link w:val="30"/>
    <w:unhideWhenUsed/>
    <w:qFormat/>
    <w:uiPriority w:val="99"/>
    <w:rPr>
      <w:sz w:val="18"/>
      <w:szCs w:val="18"/>
    </w:rPr>
  </w:style>
  <w:style w:type="paragraph" w:styleId="11">
    <w:name w:val="footer"/>
    <w:basedOn w:val="1"/>
    <w:link w:val="29"/>
    <w:unhideWhenUsed/>
    <w:qFormat/>
    <w:uiPriority w:val="99"/>
    <w:pPr>
      <w:tabs>
        <w:tab w:val="center" w:pos="4153"/>
        <w:tab w:val="right" w:pos="8306"/>
      </w:tabs>
      <w:snapToGrid w:val="0"/>
      <w:jc w:val="left"/>
    </w:pPr>
    <w:rPr>
      <w:sz w:val="18"/>
      <w:szCs w:val="18"/>
    </w:rPr>
  </w:style>
  <w:style w:type="paragraph" w:styleId="12">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unhideWhenUsed/>
    <w:qFormat/>
    <w:uiPriority w:val="39"/>
    <w:pPr>
      <w:ind w:left="420" w:leftChars="200"/>
    </w:pPr>
  </w:style>
  <w:style w:type="paragraph" w:styleId="15">
    <w:name w:val="Normal (Web)"/>
    <w:qFormat/>
    <w:uiPriority w:val="99"/>
    <w:pPr>
      <w:spacing w:before="100" w:beforeAutospacing="1" w:after="100" w:afterAutospacing="1"/>
    </w:pPr>
    <w:rPr>
      <w:rFonts w:ascii="宋体" w:hAnsi="宋体" w:eastAsia="宋体" w:cs="宋体"/>
      <w:sz w:val="24"/>
      <w:szCs w:val="24"/>
      <w:lang w:val="en-US" w:eastAsia="zh-CN" w:bidi="ar-SA"/>
    </w:rPr>
  </w:style>
  <w:style w:type="paragraph" w:styleId="16">
    <w:name w:val="annotation subject"/>
    <w:basedOn w:val="8"/>
    <w:next w:val="8"/>
    <w:link w:val="37"/>
    <w:semiHidden/>
    <w:unhideWhenUsed/>
    <w:qFormat/>
    <w:uiPriority w:val="0"/>
    <w:rPr>
      <w:b/>
      <w:bCs/>
    </w:rPr>
  </w:style>
  <w:style w:type="paragraph" w:styleId="17">
    <w:name w:val="Body Text First Indent 2"/>
    <w:basedOn w:val="9"/>
    <w:qFormat/>
    <w:uiPriority w:val="99"/>
    <w:pPr>
      <w:widowControl/>
      <w:ind w:firstLine="420"/>
      <w:jc w:val="left"/>
    </w:pPr>
    <w:rPr>
      <w:rFonts w:ascii="Calibri" w:hAnsi="Calibri" w:eastAsia="Times New Roman"/>
      <w:sz w:val="22"/>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1">
    <w:name w:val="Hyperlink"/>
    <w:basedOn w:val="20"/>
    <w:unhideWhenUsed/>
    <w:qFormat/>
    <w:uiPriority w:val="99"/>
    <w:rPr>
      <w:color w:val="0000FF"/>
      <w:u w:val="none"/>
    </w:rPr>
  </w:style>
  <w:style w:type="character" w:styleId="22">
    <w:name w:val="annotation reference"/>
    <w:basedOn w:val="20"/>
    <w:semiHidden/>
    <w:unhideWhenUsed/>
    <w:qFormat/>
    <w:uiPriority w:val="0"/>
    <w:rPr>
      <w:sz w:val="21"/>
      <w:szCs w:val="21"/>
    </w:rPr>
  </w:style>
  <w:style w:type="paragraph" w:customStyle="1" w:styleId="23">
    <w:name w:val="Default"/>
    <w:basedOn w:val="1"/>
    <w:qFormat/>
    <w:uiPriority w:val="0"/>
    <w:pPr>
      <w:autoSpaceDE w:val="0"/>
      <w:autoSpaceDN w:val="0"/>
      <w:adjustRightInd w:val="0"/>
      <w:jc w:val="left"/>
    </w:pPr>
    <w:rPr>
      <w:rFonts w:ascii="..ì." w:hAnsi="..ì." w:eastAsia="..ì." w:cs="Times New Roman"/>
      <w:color w:val="000000"/>
      <w:kern w:val="0"/>
      <w:sz w:val="24"/>
    </w:rPr>
  </w:style>
  <w:style w:type="paragraph" w:customStyle="1" w:styleId="24">
    <w:name w:val="正文文本1"/>
    <w:basedOn w:val="1"/>
    <w:qFormat/>
    <w:uiPriority w:val="99"/>
  </w:style>
  <w:style w:type="paragraph" w:customStyle="1" w:styleId="25">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6">
    <w:name w:val="列出段落1"/>
    <w:basedOn w:val="1"/>
    <w:qFormat/>
    <w:uiPriority w:val="34"/>
    <w:pPr>
      <w:ind w:firstLine="420"/>
    </w:pPr>
  </w:style>
  <w:style w:type="paragraph" w:customStyle="1" w:styleId="27">
    <w:name w:val="TOC 标题1"/>
    <w:basedOn w:val="4"/>
    <w:next w:val="1"/>
    <w:unhideWhenUsed/>
    <w:qFormat/>
    <w:uiPriority w:val="39"/>
    <w:pPr>
      <w:widowControl/>
      <w:spacing w:before="480" w:line="276" w:lineRule="auto"/>
      <w:jc w:val="left"/>
      <w:outlineLvl w:val="9"/>
    </w:pPr>
    <w:rPr>
      <w:rFonts w:ascii="Cambria" w:hAnsi="Cambria"/>
      <w:color w:val="365F90"/>
      <w:kern w:val="0"/>
      <w:sz w:val="28"/>
      <w:szCs w:val="28"/>
    </w:rPr>
  </w:style>
  <w:style w:type="character" w:customStyle="1" w:styleId="28">
    <w:name w:val="页眉 Char"/>
    <w:link w:val="12"/>
    <w:semiHidden/>
    <w:qFormat/>
    <w:uiPriority w:val="99"/>
    <w:rPr>
      <w:sz w:val="18"/>
      <w:szCs w:val="18"/>
    </w:rPr>
  </w:style>
  <w:style w:type="character" w:customStyle="1" w:styleId="29">
    <w:name w:val="页脚 Char"/>
    <w:link w:val="11"/>
    <w:qFormat/>
    <w:uiPriority w:val="99"/>
    <w:rPr>
      <w:sz w:val="18"/>
      <w:szCs w:val="18"/>
    </w:rPr>
  </w:style>
  <w:style w:type="character" w:customStyle="1" w:styleId="30">
    <w:name w:val="批注框文本 Char"/>
    <w:link w:val="10"/>
    <w:semiHidden/>
    <w:qFormat/>
    <w:uiPriority w:val="99"/>
    <w:rPr>
      <w:sz w:val="18"/>
      <w:szCs w:val="18"/>
    </w:rPr>
  </w:style>
  <w:style w:type="character" w:customStyle="1" w:styleId="31">
    <w:name w:val="标题 1 Char"/>
    <w:link w:val="4"/>
    <w:qFormat/>
    <w:uiPriority w:val="9"/>
    <w:rPr>
      <w:rFonts w:eastAsia="黑体" w:cs="黑体"/>
      <w:bCs/>
      <w:kern w:val="44"/>
      <w:sz w:val="32"/>
      <w:szCs w:val="44"/>
    </w:rPr>
  </w:style>
  <w:style w:type="character" w:customStyle="1" w:styleId="32">
    <w:name w:val="标题 2 Char"/>
    <w:link w:val="5"/>
    <w:qFormat/>
    <w:uiPriority w:val="9"/>
    <w:rPr>
      <w:rFonts w:ascii="Cambria" w:hAnsi="Cambria" w:eastAsia="楷体" w:cs="黑体"/>
      <w:b/>
      <w:bCs/>
      <w:kern w:val="2"/>
      <w:sz w:val="32"/>
      <w:szCs w:val="32"/>
    </w:rPr>
  </w:style>
  <w:style w:type="paragraph" w:customStyle="1" w:styleId="33">
    <w:name w:val="Char Char Char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styleId="34">
    <w:name w:val="List Paragraph"/>
    <w:basedOn w:val="1"/>
    <w:qFormat/>
    <w:uiPriority w:val="34"/>
    <w:pPr>
      <w:ind w:firstLine="420"/>
    </w:pPr>
  </w:style>
  <w:style w:type="character" w:customStyle="1" w:styleId="35">
    <w:name w:val="文档结构图 Char"/>
    <w:basedOn w:val="20"/>
    <w:link w:val="7"/>
    <w:semiHidden/>
    <w:qFormat/>
    <w:uiPriority w:val="0"/>
    <w:rPr>
      <w:rFonts w:ascii="宋体" w:hAnsi="Calibri" w:cs="黑体"/>
      <w:kern w:val="2"/>
      <w:sz w:val="18"/>
      <w:szCs w:val="18"/>
    </w:rPr>
  </w:style>
  <w:style w:type="character" w:customStyle="1" w:styleId="36">
    <w:name w:val="批注文字 Char"/>
    <w:basedOn w:val="20"/>
    <w:link w:val="8"/>
    <w:semiHidden/>
    <w:qFormat/>
    <w:uiPriority w:val="0"/>
    <w:rPr>
      <w:rFonts w:ascii="Calibri" w:hAnsi="Calibri" w:cs="黑体"/>
      <w:kern w:val="2"/>
      <w:sz w:val="21"/>
      <w:szCs w:val="22"/>
    </w:rPr>
  </w:style>
  <w:style w:type="character" w:customStyle="1" w:styleId="37">
    <w:name w:val="批注主题 Char"/>
    <w:basedOn w:val="36"/>
    <w:link w:val="16"/>
    <w:semiHidden/>
    <w:qFormat/>
    <w:uiPriority w:val="0"/>
    <w:rPr>
      <w:rFonts w:ascii="Calibri" w:hAnsi="Calibri" w:cs="黑体"/>
      <w:b/>
      <w:bCs/>
      <w:kern w:val="2"/>
      <w:sz w:val="21"/>
      <w:szCs w:val="22"/>
    </w:rPr>
  </w:style>
  <w:style w:type="paragraph" w:customStyle="1" w:styleId="38">
    <w:name w:val="修订1"/>
    <w:hidden/>
    <w:unhideWhenUsed/>
    <w:qFormat/>
    <w:uiPriority w:val="99"/>
    <w:rPr>
      <w:rFonts w:ascii="Calibri" w:hAnsi="Calibri" w:eastAsia="宋体" w:cs="黑体"/>
      <w:kern w:val="2"/>
      <w:sz w:val="21"/>
      <w:szCs w:val="22"/>
      <w:lang w:val="en-US" w:eastAsia="zh-CN" w:bidi="ar-SA"/>
    </w:rPr>
  </w:style>
  <w:style w:type="character" w:customStyle="1" w:styleId="39">
    <w:name w:val="font91"/>
    <w:basedOn w:val="20"/>
    <w:qFormat/>
    <w:uiPriority w:val="0"/>
    <w:rPr>
      <w:rFonts w:hint="eastAsia" w:ascii="宋体" w:hAnsi="宋体" w:eastAsia="宋体" w:cs="宋体"/>
      <w:b/>
      <w:color w:val="000000"/>
      <w:sz w:val="20"/>
      <w:szCs w:val="20"/>
      <w:u w:val="none"/>
    </w:rPr>
  </w:style>
  <w:style w:type="character" w:customStyle="1" w:styleId="40">
    <w:name w:val="font81"/>
    <w:basedOn w:val="20"/>
    <w:qFormat/>
    <w:uiPriority w:val="0"/>
    <w:rPr>
      <w:rFonts w:hint="eastAsia" w:ascii="宋体" w:hAnsi="宋体" w:eastAsia="宋体" w:cs="宋体"/>
      <w:color w:val="000000"/>
      <w:sz w:val="20"/>
      <w:szCs w:val="20"/>
      <w:u w:val="none"/>
    </w:rPr>
  </w:style>
  <w:style w:type="character" w:customStyle="1" w:styleId="41">
    <w:name w:val="font11"/>
    <w:basedOn w:val="20"/>
    <w:qFormat/>
    <w:uiPriority w:val="0"/>
    <w:rPr>
      <w:rFonts w:hint="eastAsia" w:ascii="宋体" w:hAnsi="宋体" w:eastAsia="宋体" w:cs="宋体"/>
      <w:color w:val="000000"/>
      <w:sz w:val="20"/>
      <w:szCs w:val="20"/>
      <w:u w:val="none"/>
    </w:rPr>
  </w:style>
  <w:style w:type="character" w:customStyle="1" w:styleId="42">
    <w:name w:val="font01"/>
    <w:basedOn w:val="20"/>
    <w:qFormat/>
    <w:uiPriority w:val="0"/>
    <w:rPr>
      <w:rFonts w:hint="default" w:ascii="Times New Roman" w:hAnsi="Times New Roman" w:cs="Times New Roman"/>
      <w:color w:val="000000"/>
      <w:sz w:val="20"/>
      <w:szCs w:val="20"/>
      <w:u w:val="none"/>
    </w:rPr>
  </w:style>
  <w:style w:type="character" w:customStyle="1" w:styleId="43">
    <w:name w:val="font51"/>
    <w:basedOn w:val="20"/>
    <w:qFormat/>
    <w:uiPriority w:val="0"/>
    <w:rPr>
      <w:rFonts w:hint="eastAsia" w:ascii="宋体" w:hAnsi="宋体" w:eastAsia="宋体" w:cs="宋体"/>
      <w:color w:val="FF0000"/>
      <w:sz w:val="20"/>
      <w:szCs w:val="20"/>
      <w:u w:val="none"/>
    </w:rPr>
  </w:style>
  <w:style w:type="character" w:customStyle="1" w:styleId="44">
    <w:name w:val="font31"/>
    <w:qFormat/>
    <w:uiPriority w:val="0"/>
    <w:rPr>
      <w:rFonts w:ascii="Arial" w:hAnsi="Arial" w:cs="Arial"/>
      <w:b/>
      <w:bCs/>
      <w:color w:val="000000"/>
      <w:sz w:val="20"/>
      <w:szCs w:val="20"/>
      <w:u w:val="none"/>
    </w:rPr>
  </w:style>
  <w:style w:type="character" w:customStyle="1" w:styleId="45">
    <w:name w:val="font21"/>
    <w:qFormat/>
    <w:uiPriority w:val="0"/>
    <w:rPr>
      <w:rFonts w:hint="eastAsia" w:ascii="宋体" w:hAnsi="宋体" w:eastAsia="宋体" w:cs="宋体"/>
      <w:b/>
      <w:bCs/>
      <w:color w:val="000000"/>
      <w:sz w:val="20"/>
      <w:szCs w:val="20"/>
      <w:u w:val="none"/>
    </w:rPr>
  </w:style>
  <w:style w:type="character" w:customStyle="1" w:styleId="46">
    <w:name w:val="font41"/>
    <w:qFormat/>
    <w:uiPriority w:val="0"/>
    <w:rPr>
      <w:rFonts w:hint="default" w:ascii="Times New Roman" w:hAnsi="Times New Roman" w:cs="Times New Roman"/>
      <w:color w:val="000000"/>
      <w:sz w:val="21"/>
      <w:szCs w:val="21"/>
      <w:u w:val="none"/>
    </w:rPr>
  </w:style>
  <w:style w:type="character" w:customStyle="1" w:styleId="47">
    <w:name w:val="标题 3 Char"/>
    <w:basedOn w:val="20"/>
    <w:link w:val="6"/>
    <w:semiHidden/>
    <w:qFormat/>
    <w:uiPriority w:val="9"/>
    <w:rPr>
      <w:rFonts w:eastAsia="仿宋_GB2312" w:cs="黑体"/>
      <w:b/>
      <w:bCs/>
      <w:kern w:val="2"/>
      <w:sz w:val="32"/>
      <w:szCs w:val="32"/>
    </w:rPr>
  </w:style>
  <w:style w:type="paragraph" w:customStyle="1" w:styleId="48">
    <w:name w:val="Revision"/>
    <w:hidden/>
    <w:unhideWhenUsed/>
    <w:qFormat/>
    <w:uiPriority w:val="99"/>
    <w:rPr>
      <w:rFonts w:ascii="Times New Roman" w:hAnsi="Times New Roman" w:eastAsia="仿宋_GB2312" w:cs="黑体"/>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38DA3-C7FE-4E17-AA1D-C962578F240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11422</Words>
  <Characters>12101</Characters>
  <Lines>93</Lines>
  <Paragraphs>26</Paragraphs>
  <TotalTime>12</TotalTime>
  <ScaleCrop>false</ScaleCrop>
  <LinksUpToDate>false</LinksUpToDate>
  <CharactersWithSpaces>12221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2022-10-27T01:31:00Z</dcterms:created>
  <dc:creator>Microsoft</dc:creator>
  <cp:lastModifiedBy>Administrator</cp:lastModifiedBy>
  <cp:lastPrinted>2020-09-14T08:15:00Z</cp:lastPrinted>
  <dcterms:modified xsi:type="dcterms:W3CDTF">2023-09-15T09:10:16Z</dcterms:modified>
  <dc:title>零陵区财政项目支出绩效评价报告</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C6BDE39B0BE5477B85BCCD1991926A0F</vt:lpwstr>
  </property>
</Properties>
</file>