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0" w:line="560" w:lineRule="exact"/>
        <w:ind w:left="0" w:right="0"/>
        <w:jc w:val="center"/>
      </w:pPr>
    </w:p>
    <w:p>
      <w:pPr>
        <w:snapToGrid w:val="0"/>
        <w:spacing w:before="0" w:after="0" w:line="560" w:lineRule="exact"/>
        <w:ind w:left="0" w:right="0"/>
        <w:jc w:val="center"/>
      </w:pPr>
    </w:p>
    <w:p>
      <w:pPr>
        <w:snapToGrid w:val="0"/>
        <w:spacing w:before="0" w:after="0" w:line="560" w:lineRule="exact"/>
        <w:ind w:left="0" w:right="0"/>
        <w:jc w:val="center"/>
      </w:pPr>
    </w:p>
    <w:p>
      <w:pPr>
        <w:snapToGrid w:val="0"/>
        <w:spacing w:before="0" w:after="0" w:line="240" w:lineRule="auto"/>
        <w:ind w:left="0" w:right="0"/>
        <w:jc w:val="center"/>
        <w:rPr>
          <w:rFonts w:ascii="方正小标宋简体" w:hAnsi="方正小标宋简体" w:eastAsia="方正小标宋简体" w:cs="方正小标宋简体"/>
          <w:i w:val="0"/>
          <w:strike w:val="0"/>
          <w:color w:val="000000"/>
          <w:sz w:val="84"/>
          <w:u w:val="none"/>
        </w:rPr>
      </w:pPr>
      <w:r>
        <w:rPr>
          <w:rFonts w:ascii="方正小标宋简体" w:hAnsi="方正小标宋简体" w:eastAsia="方正小标宋简体" w:cs="方正小标宋简体"/>
          <w:i w:val="0"/>
          <w:strike w:val="0"/>
          <w:color w:val="000000"/>
          <w:sz w:val="84"/>
          <w:u w:val="none"/>
        </w:rPr>
        <w:t xml:space="preserve">炎陵县炎陵中学              </w:t>
      </w:r>
    </w:p>
    <w:p>
      <w:pPr>
        <w:snapToGrid w:val="0"/>
        <w:spacing w:before="0" w:after="0" w:line="240" w:lineRule="auto"/>
        <w:ind w:left="0" w:right="0"/>
        <w:jc w:val="center"/>
      </w:pPr>
      <w:r>
        <w:rPr>
          <w:rFonts w:ascii="方正小标宋简体" w:hAnsi="方正小标宋简体" w:eastAsia="方正小标宋简体" w:cs="方正小标宋简体"/>
          <w:i w:val="0"/>
          <w:strike w:val="0"/>
          <w:color w:val="000000"/>
          <w:sz w:val="84"/>
          <w:u w:val="none"/>
        </w:rPr>
        <w:t>2022年部门预算</w:t>
      </w: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firstLine="4800" w:firstLineChars="1500"/>
        <w:jc w:val="both"/>
      </w:pPr>
      <w:r>
        <w:rPr>
          <w:rFonts w:ascii="黑体" w:hAnsi="黑体" w:eastAsia="黑体" w:cs="黑体"/>
          <w:i w:val="0"/>
          <w:strike w:val="0"/>
          <w:color w:val="000000"/>
          <w:sz w:val="32"/>
          <w:u w:val="none"/>
        </w:rPr>
        <w:t>目</w:t>
      </w:r>
      <w:r>
        <w:rPr>
          <w:rFonts w:ascii="'Times New Roman'" w:hAnsi="'Times New Roman'" w:eastAsia="'Times New Roman'" w:cs="'Times New Roman'"/>
          <w:i w:val="0"/>
          <w:strike w:val="0"/>
          <w:color w:val="000000"/>
          <w:sz w:val="32"/>
          <w:u w:val="none"/>
        </w:rPr>
        <w:t xml:space="preserve">  </w:t>
      </w:r>
      <w:r>
        <w:rPr>
          <w:rFonts w:ascii="黑体" w:hAnsi="黑体" w:eastAsia="黑体" w:cs="黑体"/>
          <w:i w:val="0"/>
          <w:strike w:val="0"/>
          <w:color w:val="000000"/>
          <w:sz w:val="32"/>
          <w:u w:val="none"/>
        </w:rPr>
        <w:t>录</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第一部分</w:t>
      </w:r>
      <w:r>
        <w:rPr>
          <w:rFonts w:ascii="'Times New Roman'" w:hAnsi="'Times New Roman'" w:eastAsia="'Times New Roman'" w:cs="'Times New Roman'"/>
          <w:b/>
          <w:i w:val="0"/>
          <w:strike w:val="0"/>
          <w:color w:val="000000"/>
          <w:sz w:val="32"/>
          <w:u w:val="none"/>
        </w:rPr>
        <w:t xml:space="preserve"> </w:t>
      </w:r>
      <w:r>
        <w:rPr>
          <w:rFonts w:ascii="仿宋_GB2312" w:hAnsi="仿宋_GB2312" w:eastAsia="仿宋_GB2312" w:cs="仿宋_GB2312"/>
          <w:b/>
          <w:i w:val="0"/>
          <w:strike w:val="0"/>
          <w:color w:val="000000"/>
          <w:sz w:val="32"/>
          <w:u w:val="none"/>
        </w:rPr>
        <w:t>部门预算公开说明</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一、部门职能职责</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二、机构设置</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三、部门预算单位构成</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四、部门收支总体情况</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（一）收入预算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（二）支出预算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（三）预算收支增减变化情况说明</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五、一般公共预算拨款支出预算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（一）人员类支出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（二）运转类支出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（三）特定目标类支出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六、政府性基金预算支出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七、其他重要事项情况说明</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（一）机关运行经费</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（二）政府采购预算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（三）国有资产占有情况</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（四）预算绩效目标</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（五）一般公共预算</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三公</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经费预算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（六）会议费、培训费</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（七）其他事项</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八、名词解释</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第二部分</w:t>
      </w:r>
      <w:r>
        <w:rPr>
          <w:rFonts w:ascii="'Times New Roman'" w:hAnsi="'Times New Roman'" w:eastAsia="'Times New Roman'" w:cs="'Times New Roman'"/>
          <w:b/>
          <w:i w:val="0"/>
          <w:strike w:val="0"/>
          <w:color w:val="000000"/>
          <w:sz w:val="32"/>
          <w:u w:val="none"/>
        </w:rPr>
        <w:t xml:space="preserve"> </w:t>
      </w:r>
      <w:r>
        <w:rPr>
          <w:rFonts w:ascii="仿宋_GB2312" w:hAnsi="仿宋_GB2312" w:eastAsia="仿宋_GB2312" w:cs="仿宋_GB2312"/>
          <w:b/>
          <w:i w:val="0"/>
          <w:strike w:val="0"/>
          <w:color w:val="000000"/>
          <w:sz w:val="32"/>
          <w:u w:val="none"/>
        </w:rPr>
        <w:t>部门预算公开表格</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（一）收支总表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（二）收入总表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（三）支出总表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（四）支出分类(政府预算)</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（五）一般公共预算基本支出情况表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（六）财政拨款收支总表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（七）一般公共预算支出表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（八）一般公共预算基本支出表--人员经费(工资福利支出)(按政府预算经济分类)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（九）一般公共预算基本支出情况表（按经济性质分类-工资福利）</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（十）一般公共预算基本支出表--人员经费(对个人和家庭的补助)(按政府预算经济分类)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（十一）一般公共预算基本支出情况表（按经济性质分类-个人家庭）</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（十二）一般公共预算基本支出表--公用经费(商品和服务支出)（按政府预算经济分类）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（十三）一般公共预算基本支出情况表（按经济性质分类-商品服务）</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（十四）一般公共预算“三公”经费支出表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（十五）政府性基金预算支出表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（十六）政府性基金预算支出分类汇总表（按政府预算经济分类）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（十七）政府性基金预算支出分类汇总表（按部门预算经济分类）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（十八）国有资本经营预算支出表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（十九）财政专户管理资金预算支出表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（二十）专项资金预算汇总表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（二十一）项目支出绩效目标表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（二十二）整体支出绩效目标表</w:t>
      </w:r>
    </w:p>
    <w:p>
      <w:pPr>
        <w:snapToGrid w:val="0"/>
        <w:spacing w:before="0" w:after="0" w:line="560" w:lineRule="exact"/>
        <w:ind w:left="0" w:right="0"/>
        <w:jc w:val="both"/>
      </w:pPr>
    </w:p>
    <w:p>
      <w:pPr>
        <w:snapToGrid w:val="0"/>
        <w:spacing w:before="0" w:after="0" w:line="560" w:lineRule="exact"/>
        <w:ind w:left="0" w:right="0"/>
        <w:jc w:val="both"/>
      </w:pPr>
    </w:p>
    <w:p>
      <w:pPr>
        <w:snapToGrid w:val="0"/>
        <w:spacing w:before="0" w:after="0" w:line="560" w:lineRule="exact"/>
        <w:ind w:left="0" w:right="0"/>
        <w:jc w:val="both"/>
      </w:pP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第一部分：</w:t>
      </w:r>
    </w:p>
    <w:p>
      <w:pPr>
        <w:snapToGrid w:val="0"/>
        <w:spacing w:before="0" w:after="0" w:line="560" w:lineRule="exact"/>
        <w:ind w:left="0" w:right="0"/>
        <w:jc w:val="center"/>
        <w:rPr>
          <w:rFonts w:ascii="方正小标宋简体" w:hAnsi="方正小标宋简体" w:eastAsia="方正小标宋简体" w:cs="方正小标宋简体"/>
          <w:i w:val="0"/>
          <w:strike w:val="0"/>
          <w:color w:val="000000"/>
          <w:sz w:val="44"/>
          <w:u w:val="none"/>
        </w:rPr>
      </w:pPr>
    </w:p>
    <w:p>
      <w:pPr>
        <w:snapToGrid w:val="0"/>
        <w:spacing w:before="0" w:after="0" w:line="560" w:lineRule="exact"/>
        <w:ind w:left="0" w:right="0"/>
        <w:jc w:val="center"/>
      </w:pPr>
      <w:r>
        <w:rPr>
          <w:rFonts w:ascii="方正小标宋简体" w:hAnsi="方正小标宋简体" w:eastAsia="方正小标宋简体" w:cs="方正小标宋简体"/>
          <w:i w:val="0"/>
          <w:strike w:val="0"/>
          <w:color w:val="000000"/>
          <w:sz w:val="44"/>
          <w:u w:val="none"/>
        </w:rPr>
        <w:t>炎陵县炎陵中学2022年部门预算说明</w:t>
      </w:r>
    </w:p>
    <w:p>
      <w:pPr>
        <w:snapToGrid w:val="0"/>
        <w:spacing w:before="0" w:after="0" w:line="560" w:lineRule="exact"/>
        <w:ind w:left="0" w:right="0" w:firstLine="440" w:firstLineChars="200"/>
        <w:jc w:val="both"/>
      </w:pP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一、 部门职能职责</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本部门的主要职能职责是：实施九年一贯制义务教育，促进基础教育发展。初中学历教育、小学学历教育。</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二、机构设置</w:t>
      </w:r>
    </w:p>
    <w:p>
      <w:pPr>
        <w:snapToGrid w:val="0"/>
        <w:spacing w:before="0" w:after="0" w:line="560" w:lineRule="exact"/>
        <w:ind w:left="0" w:right="0" w:firstLine="640" w:firstLineChars="200"/>
        <w:jc w:val="both"/>
      </w:pPr>
      <w:r>
        <w:rPr>
          <w:rFonts w:ascii="'Times New Roman'" w:hAnsi="'Times New Roman'" w:eastAsia="'Times New Roman'" w:cs="'Times New Roman'"/>
          <w:i w:val="0"/>
          <w:strike w:val="0"/>
          <w:color w:val="000000"/>
          <w:sz w:val="32"/>
          <w:u w:val="none"/>
        </w:rPr>
        <w:t> </w:t>
      </w:r>
      <w:r>
        <w:rPr>
          <w:rFonts w:ascii="仿宋_GB2312" w:hAnsi="仿宋_GB2312" w:eastAsia="仿宋_GB2312" w:cs="仿宋_GB2312"/>
          <w:i w:val="0"/>
          <w:strike w:val="0"/>
          <w:color w:val="000000"/>
          <w:sz w:val="32"/>
          <w:u w:val="none"/>
        </w:rPr>
        <w:t>本部门共有编制人数193人，实有人数185人。内设科室6个（含0个副处级单位），分别为：校长室、办公室、总务处、财务室、教务处、政教处。</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三、部门预算单位构成</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2022年部门预算编报范围属二级预算单位，本部门无下属预算单位。</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四、</w:t>
      </w:r>
      <w:r>
        <w:rPr>
          <w:rFonts w:ascii="'Times New Roman'" w:hAnsi="'Times New Roman'" w:eastAsia="'Times New Roman'" w:cs="'Times New Roman'"/>
          <w:i w:val="0"/>
          <w:strike w:val="0"/>
          <w:color w:val="000000"/>
          <w:sz w:val="32"/>
          <w:u w:val="none"/>
        </w:rPr>
        <w:t xml:space="preserve"> </w:t>
      </w:r>
      <w:r>
        <w:rPr>
          <w:rFonts w:ascii="黑体" w:hAnsi="黑体" w:eastAsia="黑体" w:cs="黑体"/>
          <w:i w:val="0"/>
          <w:strike w:val="0"/>
          <w:color w:val="000000"/>
          <w:sz w:val="32"/>
          <w:u w:val="none"/>
        </w:rPr>
        <w:t>部门收支总体情况</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2022年炎陵县炎陵中学公开的部门预算为教育局所属二级预算单位</w:t>
      </w:r>
      <w:r>
        <w:rPr>
          <w:rFonts w:ascii="仿宋_GB2312" w:hAnsi="仿宋_GB2312" w:eastAsia="仿宋_GB2312" w:cs="仿宋_GB2312"/>
          <w:strike w:val="0"/>
          <w:color w:val="000000"/>
          <w:sz w:val="32"/>
          <w:u w:val="none"/>
        </w:rPr>
        <w:t>的</w:t>
      </w:r>
      <w:r>
        <w:rPr>
          <w:rFonts w:ascii="仿宋_GB2312" w:hAnsi="仿宋_GB2312" w:eastAsia="仿宋_GB2312" w:cs="仿宋_GB2312"/>
          <w:i w:val="0"/>
          <w:strike w:val="0"/>
          <w:color w:val="000000"/>
          <w:sz w:val="32"/>
          <w:u w:val="none"/>
        </w:rPr>
        <w:t>预算。收入包括一般公共预算收入；支出只包括基本运行的经费。（详见附表）</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（一）收入预算：</w:t>
      </w:r>
      <w:r>
        <w:rPr>
          <w:rFonts w:ascii="仿宋_GB2312" w:hAnsi="仿宋_GB2312" w:eastAsia="仿宋_GB2312" w:cs="仿宋_GB2312"/>
          <w:i w:val="0"/>
          <w:strike w:val="0"/>
          <w:color w:val="000000"/>
          <w:sz w:val="32"/>
          <w:u w:val="none"/>
        </w:rPr>
        <w:t>2022年年初预算数24314201.7元，其中，一般公共预算拨款24314201.7元。</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（二）支出预算：</w:t>
      </w:r>
      <w:r>
        <w:rPr>
          <w:rFonts w:ascii="仿宋_GB2312" w:hAnsi="仿宋_GB2312" w:eastAsia="仿宋_GB2312" w:cs="仿宋_GB2312"/>
          <w:i w:val="0"/>
          <w:strike w:val="0"/>
          <w:color w:val="000000"/>
          <w:sz w:val="32"/>
          <w:u w:val="none"/>
        </w:rPr>
        <w:t>202</w:t>
      </w:r>
      <w:r>
        <w:rPr>
          <w:rFonts w:hint="eastAsia" w:ascii="仿宋_GB2312" w:hAnsi="仿宋_GB2312" w:eastAsia="仿宋_GB2312" w:cs="仿宋_GB2312"/>
          <w:i w:val="0"/>
          <w:strike w:val="0"/>
          <w:color w:val="000000"/>
          <w:sz w:val="32"/>
          <w:u w:val="none"/>
          <w:lang w:val="en-US" w:eastAsia="zh-CN"/>
        </w:rPr>
        <w:t>2</w:t>
      </w:r>
      <w:r>
        <w:rPr>
          <w:rFonts w:ascii="仿宋_GB2312" w:hAnsi="仿宋_GB2312" w:eastAsia="仿宋_GB2312" w:cs="仿宋_GB2312"/>
          <w:i w:val="0"/>
          <w:strike w:val="0"/>
          <w:color w:val="000000"/>
          <w:sz w:val="32"/>
          <w:u w:val="none"/>
        </w:rPr>
        <w:t>年年初预算数24314201.7元，其中，教育24314201.7元</w:t>
      </w:r>
      <w:r>
        <w:rPr>
          <w:rFonts w:ascii="仿宋_GB2312" w:hAnsi="仿宋_GB2312" w:eastAsia="仿宋_GB2312" w:cs="仿宋_GB2312"/>
          <w:strike w:val="0"/>
          <w:color w:val="000000"/>
          <w:sz w:val="32"/>
          <w:u w:val="none"/>
        </w:rPr>
        <w:t>。</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（三）预算收支增减变化情况说明：</w:t>
      </w:r>
      <w:r>
        <w:rPr>
          <w:rFonts w:ascii="仿宋_GB2312" w:hAnsi="仿宋_GB2312" w:eastAsia="仿宋_GB2312" w:cs="仿宋_GB2312"/>
          <w:i w:val="0"/>
          <w:strike w:val="0"/>
          <w:color w:val="000000"/>
          <w:sz w:val="32"/>
          <w:u w:val="none"/>
        </w:rPr>
        <w:t>2022年度本部门年初预算数为24314201.7元，比上年增加4498865.7元，主要原因是在职人员的增加，造成人员经费增加。</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黑体" w:hAnsi="黑体" w:eastAsia="黑体" w:cs="黑体"/>
          <w:i w:val="0"/>
          <w:strike w:val="0"/>
          <w:color w:val="000000"/>
          <w:sz w:val="32"/>
          <w:u w:val="none"/>
        </w:rPr>
        <w:t>五、一般公共预算拨款支出预算</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2022年本部门一般公共</w:t>
      </w:r>
      <w:bookmarkStart w:id="0" w:name="_GoBack"/>
      <w:bookmarkEnd w:id="0"/>
      <w:r>
        <w:rPr>
          <w:rFonts w:ascii="仿宋_GB2312" w:hAnsi="仿宋_GB2312" w:eastAsia="仿宋_GB2312" w:cs="仿宋_GB2312"/>
          <w:i w:val="0"/>
          <w:strike w:val="0"/>
          <w:color w:val="000000"/>
          <w:sz w:val="32"/>
          <w:u w:val="none"/>
        </w:rPr>
        <w:t>预算拨款收入24314201.7元，具体安排如下（详见附表）：</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（一）人员类支出</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2022年年初预算数为2405</w:t>
      </w:r>
      <w:r>
        <w:rPr>
          <w:rFonts w:ascii="仿宋_GB2312" w:hAnsi="仿宋_GB2312" w:eastAsia="仿宋_GB2312" w:cs="仿宋_GB2312"/>
          <w:strike w:val="0"/>
          <w:color w:val="000000"/>
          <w:sz w:val="32"/>
          <w:u w:val="none"/>
        </w:rPr>
        <w:t>4520</w:t>
      </w:r>
      <w:r>
        <w:rPr>
          <w:rFonts w:ascii="仿宋_GB2312" w:hAnsi="仿宋_GB2312" w:eastAsia="仿宋_GB2312" w:cs="仿宋_GB2312"/>
          <w:i w:val="0"/>
          <w:strike w:val="0"/>
          <w:color w:val="000000"/>
          <w:sz w:val="32"/>
          <w:u w:val="none"/>
        </w:rPr>
        <w:t>.26元。其中包括基本工资8654340元、津贴补贴4133040元、奖金5161195元、社会保障缴费3839076.26元、住房公积金2153829元、其他工资福利支出14800元、</w:t>
      </w:r>
      <w:r>
        <w:rPr>
          <w:rFonts w:ascii="仿宋_GB2312" w:hAnsi="仿宋_GB2312" w:eastAsia="仿宋_GB2312" w:cs="仿宋_GB2312"/>
          <w:strike w:val="0"/>
          <w:color w:val="000000"/>
          <w:sz w:val="32"/>
          <w:u w:val="none"/>
        </w:rPr>
        <w:t>对个人和家庭补助</w:t>
      </w:r>
      <w:r>
        <w:rPr>
          <w:rFonts w:ascii="仿宋_GB2312" w:hAnsi="仿宋_GB2312" w:eastAsia="仿宋_GB2312" w:cs="仿宋_GB2312"/>
          <w:b w:val="0"/>
          <w:i w:val="0"/>
          <w:strike w:val="0"/>
          <w:color w:val="000000"/>
          <w:spacing w:val="0"/>
          <w:sz w:val="32"/>
          <w:u w:val="none"/>
        </w:rPr>
        <w:t>98240</w:t>
      </w:r>
      <w:r>
        <w:rPr>
          <w:rFonts w:ascii="仿宋_GB2312" w:hAnsi="仿宋_GB2312" w:eastAsia="仿宋_GB2312" w:cs="仿宋_GB2312"/>
          <w:b w:val="0"/>
          <w:strike w:val="0"/>
          <w:color w:val="000000"/>
          <w:spacing w:val="0"/>
          <w:sz w:val="32"/>
          <w:u w:val="none"/>
        </w:rPr>
        <w:t>元</w:t>
      </w:r>
      <w:r>
        <w:rPr>
          <w:rFonts w:ascii="仿宋_GB2312" w:hAnsi="仿宋_GB2312" w:eastAsia="仿宋_GB2312" w:cs="仿宋_GB2312"/>
          <w:i w:val="0"/>
          <w:strike w:val="0"/>
          <w:color w:val="000000"/>
          <w:sz w:val="32"/>
          <w:u w:val="none"/>
        </w:rPr>
        <w:t>等。</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（二）运转类支出</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 xml:space="preserve">2022年年初预算数为 </w:t>
      </w:r>
      <w:r>
        <w:rPr>
          <w:rFonts w:ascii="仿宋_GB2312" w:hAnsi="仿宋_GB2312" w:eastAsia="仿宋_GB2312" w:cs="仿宋_GB2312"/>
          <w:b w:val="0"/>
          <w:i w:val="0"/>
          <w:strike w:val="0"/>
          <w:color w:val="000000"/>
          <w:spacing w:val="0"/>
          <w:sz w:val="32"/>
          <w:u w:val="none"/>
        </w:rPr>
        <w:t>259</w:t>
      </w:r>
      <w:r>
        <w:rPr>
          <w:rFonts w:ascii="仿宋_GB2312" w:hAnsi="仿宋_GB2312" w:eastAsia="仿宋_GB2312" w:cs="仿宋_GB2312"/>
          <w:b w:val="0"/>
          <w:strike w:val="0"/>
          <w:color w:val="000000"/>
          <w:spacing w:val="0"/>
          <w:sz w:val="32"/>
          <w:u w:val="none"/>
        </w:rPr>
        <w:t>6</w:t>
      </w:r>
      <w:r>
        <w:rPr>
          <w:rFonts w:ascii="仿宋_GB2312" w:hAnsi="仿宋_GB2312" w:eastAsia="仿宋_GB2312" w:cs="仿宋_GB2312"/>
          <w:b w:val="0"/>
          <w:i w:val="0"/>
          <w:strike w:val="0"/>
          <w:color w:val="000000"/>
          <w:spacing w:val="0"/>
          <w:sz w:val="32"/>
          <w:u w:val="none"/>
        </w:rPr>
        <w:t>81.44</w:t>
      </w:r>
      <w:r>
        <w:rPr>
          <w:rFonts w:ascii="仿宋_GB2312" w:hAnsi="仿宋_GB2312" w:eastAsia="仿宋_GB2312" w:cs="仿宋_GB2312"/>
          <w:i w:val="0"/>
          <w:strike w:val="0"/>
          <w:color w:val="000000"/>
          <w:sz w:val="32"/>
          <w:u w:val="none"/>
        </w:rPr>
        <w:t xml:space="preserve"> 元。</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（1）工会专项214281.44 元,主要用于工会开支。</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（2）项目支出的其他行政事业单位养老支出4</w:t>
      </w:r>
      <w:r>
        <w:rPr>
          <w:rFonts w:ascii="仿宋_GB2312" w:hAnsi="仿宋_GB2312" w:eastAsia="仿宋_GB2312" w:cs="仿宋_GB2312"/>
          <w:strike w:val="0"/>
          <w:color w:val="000000"/>
          <w:sz w:val="32"/>
          <w:u w:val="none"/>
        </w:rPr>
        <w:t>54</w:t>
      </w:r>
      <w:r>
        <w:rPr>
          <w:rFonts w:ascii="仿宋_GB2312" w:hAnsi="仿宋_GB2312" w:eastAsia="仿宋_GB2312" w:cs="仿宋_GB2312"/>
          <w:i w:val="0"/>
          <w:strike w:val="0"/>
          <w:color w:val="000000"/>
          <w:sz w:val="32"/>
          <w:u w:val="none"/>
        </w:rPr>
        <w:t>00元，主要用于老年支部的运转经费。</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（三）特定目标类支出</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2022年年初预算数为0元。</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六</w:t>
      </w:r>
      <w:r>
        <w:rPr>
          <w:rFonts w:ascii="'Times New Roman'" w:hAnsi="'Times New Roman'" w:eastAsia="'Times New Roman'" w:cs="'Times New Roman'"/>
          <w:i w:val="0"/>
          <w:strike w:val="0"/>
          <w:color w:val="000000"/>
          <w:sz w:val="32"/>
          <w:u w:val="none"/>
        </w:rPr>
        <w:t>、</w:t>
      </w:r>
      <w:r>
        <w:rPr>
          <w:rFonts w:ascii="黑体" w:hAnsi="黑体" w:eastAsia="黑体" w:cs="黑体"/>
          <w:i w:val="0"/>
          <w:strike w:val="0"/>
          <w:color w:val="000000"/>
          <w:sz w:val="32"/>
          <w:u w:val="none"/>
        </w:rPr>
        <w:t>政府性基金预算支出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2022年度本部门无政府性基金预算安排的支出。</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七、其他重要事项情况说明</w:t>
      </w:r>
    </w:p>
    <w:p>
      <w:pPr>
        <w:snapToGrid w:val="0"/>
        <w:spacing w:before="0" w:after="0" w:line="560" w:lineRule="exact"/>
        <w:ind w:left="0" w:right="0" w:firstLine="640" w:firstLineChars="200"/>
        <w:jc w:val="both"/>
        <w:rPr>
          <w:color w:val="000000"/>
        </w:rPr>
      </w:pPr>
      <w:r>
        <w:rPr>
          <w:rFonts w:ascii="楷体_GB2312" w:hAnsi="楷体_GB2312" w:eastAsia="楷体_GB2312" w:cs="楷体_GB2312"/>
          <w:i w:val="0"/>
          <w:strike w:val="0"/>
          <w:color w:val="000000"/>
          <w:sz w:val="32"/>
          <w:u w:val="none"/>
        </w:rPr>
        <w:t>（一）机关运行经费：</w:t>
      </w:r>
      <w:r>
        <w:rPr>
          <w:rFonts w:ascii="仿宋_GB2312" w:hAnsi="仿宋_GB2312" w:eastAsia="仿宋_GB2312" w:cs="仿宋_GB2312"/>
          <w:i w:val="0"/>
          <w:strike w:val="0"/>
          <w:color w:val="000000"/>
          <w:sz w:val="32"/>
          <w:u w:val="none"/>
        </w:rPr>
        <w:t>本部门2022年年初预算机关运行经费(商品和服务支出+业务性专项)共安排 259</w:t>
      </w:r>
      <w:r>
        <w:rPr>
          <w:rFonts w:ascii="仿宋_GB2312" w:hAnsi="仿宋_GB2312" w:eastAsia="仿宋_GB2312" w:cs="仿宋_GB2312"/>
          <w:strike w:val="0"/>
          <w:color w:val="000000"/>
          <w:sz w:val="32"/>
          <w:u w:val="none"/>
        </w:rPr>
        <w:t>681</w:t>
      </w:r>
      <w:r>
        <w:rPr>
          <w:rFonts w:ascii="仿宋_GB2312" w:hAnsi="仿宋_GB2312" w:eastAsia="仿宋_GB2312" w:cs="仿宋_GB2312"/>
          <w:i w:val="0"/>
          <w:strike w:val="0"/>
          <w:color w:val="000000"/>
          <w:sz w:val="32"/>
          <w:u w:val="none"/>
        </w:rPr>
        <w:t>.44 元，比上年度预算增加1</w:t>
      </w:r>
      <w:r>
        <w:rPr>
          <w:rFonts w:ascii="仿宋_GB2312" w:hAnsi="仿宋_GB2312" w:eastAsia="仿宋_GB2312" w:cs="仿宋_GB2312"/>
          <w:strike w:val="0"/>
          <w:color w:val="000000"/>
          <w:sz w:val="32"/>
          <w:u w:val="none"/>
        </w:rPr>
        <w:t>1</w:t>
      </w:r>
      <w:r>
        <w:rPr>
          <w:rFonts w:ascii="仿宋_GB2312" w:hAnsi="仿宋_GB2312" w:eastAsia="仿宋_GB2312" w:cs="仿宋_GB2312"/>
          <w:i w:val="0"/>
          <w:strike w:val="0"/>
          <w:color w:val="000000"/>
          <w:sz w:val="32"/>
          <w:u w:val="none"/>
        </w:rPr>
        <w:t>755.44元，增加的主要原因是人员增加较多以及其他行政事业单位养老支出提高了标准。</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（二</w:t>
      </w:r>
      <w:r>
        <w:rPr>
          <w:rFonts w:ascii="'Times New Roman'" w:hAnsi="'Times New Roman'" w:eastAsia="'Times New Roman'" w:cs="'Times New Roman'"/>
          <w:i w:val="0"/>
          <w:strike w:val="0"/>
          <w:color w:val="000000"/>
          <w:sz w:val="32"/>
          <w:u w:val="none"/>
        </w:rPr>
        <w:t>)</w:t>
      </w:r>
      <w:r>
        <w:rPr>
          <w:rFonts w:ascii="楷体_GB2312" w:hAnsi="楷体_GB2312" w:eastAsia="楷体_GB2312" w:cs="楷体_GB2312"/>
          <w:i w:val="0"/>
          <w:strike w:val="0"/>
          <w:color w:val="000000"/>
          <w:sz w:val="32"/>
          <w:u w:val="none"/>
        </w:rPr>
        <w:t>政府采购预算：</w:t>
      </w:r>
      <w:r>
        <w:rPr>
          <w:rFonts w:ascii="仿宋_GB2312" w:hAnsi="仿宋_GB2312" w:eastAsia="仿宋_GB2312" w:cs="仿宋_GB2312"/>
          <w:i w:val="0"/>
          <w:strike w:val="0"/>
          <w:color w:val="000000"/>
          <w:sz w:val="32"/>
          <w:u w:val="none"/>
        </w:rPr>
        <w:t>2022年年初预算数为2525000元。包含：政府采购货物887500元，政府采购工程1330000元，政府采购服务307500元。</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（三）国有资产占有情况：</w:t>
      </w:r>
      <w:r>
        <w:rPr>
          <w:rFonts w:ascii="仿宋_GB2312" w:hAnsi="仿宋_GB2312" w:eastAsia="仿宋_GB2312" w:cs="仿宋_GB2312"/>
          <w:i w:val="0"/>
          <w:strike w:val="0"/>
          <w:color w:val="000000"/>
          <w:sz w:val="32"/>
          <w:u w:val="none"/>
        </w:rPr>
        <w:t>截止2021年12月31日，本部门共有办公及业务用房 46217平方米；车辆1辆，其中一般公务用车1辆、一般执法执勤用车0辆、货币化用车0辆；单位价值50万以上大型设备0套。2022年部门预算安排购置车辆0辆，预算安排购置价值50万以上大型设备 0套。</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（四）预算绩效目标：</w:t>
      </w:r>
      <w:r>
        <w:rPr>
          <w:rFonts w:ascii="仿宋_GB2312" w:hAnsi="仿宋_GB2312" w:eastAsia="仿宋_GB2312" w:cs="仿宋_GB2312"/>
          <w:i w:val="0"/>
          <w:strike w:val="0"/>
          <w:color w:val="000000"/>
          <w:sz w:val="32"/>
          <w:u w:val="none"/>
        </w:rPr>
        <w:t>本部门整体支出和项目支出实行绩效目标管理，纳入2022年部门整体支出绩效目标的金额为24314201.7元，其中，基本支出24268801.7元，项目支出45400元（详见附表）。 </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（五）</w:t>
      </w:r>
      <w:r>
        <w:rPr>
          <w:rFonts w:ascii="Times New Roman" w:hAnsi="Times New Roman" w:eastAsia="Times New Roman" w:cs="Times New Roman"/>
          <w:i w:val="0"/>
          <w:strike w:val="0"/>
          <w:color w:val="000000"/>
          <w:sz w:val="32"/>
          <w:u w:val="none"/>
        </w:rPr>
        <w:t>“</w:t>
      </w:r>
      <w:r>
        <w:rPr>
          <w:rFonts w:ascii="楷体_GB2312" w:hAnsi="楷体_GB2312" w:eastAsia="楷体_GB2312" w:cs="楷体_GB2312"/>
          <w:i w:val="0"/>
          <w:strike w:val="0"/>
          <w:color w:val="000000"/>
          <w:sz w:val="32"/>
          <w:u w:val="none"/>
        </w:rPr>
        <w:t>三公</w:t>
      </w:r>
      <w:r>
        <w:rPr>
          <w:rFonts w:ascii="Times New Roman" w:hAnsi="Times New Roman" w:eastAsia="Times New Roman" w:cs="Times New Roman"/>
          <w:i w:val="0"/>
          <w:strike w:val="0"/>
          <w:color w:val="000000"/>
          <w:sz w:val="32"/>
          <w:u w:val="none"/>
        </w:rPr>
        <w:t>”</w:t>
      </w:r>
      <w:r>
        <w:rPr>
          <w:rFonts w:ascii="楷体_GB2312" w:hAnsi="楷体_GB2312" w:eastAsia="楷体_GB2312" w:cs="楷体_GB2312"/>
          <w:i w:val="0"/>
          <w:strike w:val="0"/>
          <w:color w:val="000000"/>
          <w:sz w:val="32"/>
          <w:u w:val="none"/>
        </w:rPr>
        <w:t>经费预算：</w:t>
      </w:r>
      <w:r>
        <w:rPr>
          <w:rFonts w:ascii="仿宋_GB2312" w:hAnsi="仿宋_GB2312" w:eastAsia="仿宋_GB2312" w:cs="仿宋_GB2312"/>
          <w:i w:val="0"/>
          <w:strike w:val="0"/>
          <w:color w:val="000000"/>
          <w:sz w:val="32"/>
          <w:u w:val="none"/>
        </w:rPr>
        <w:t>本单位无公共财政拨款三公经费预算，所有“三公”经费均为自有资金安排。</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（六）会议费、培训费预算：</w:t>
      </w:r>
      <w:r>
        <w:rPr>
          <w:rFonts w:ascii="仿宋_GB2312" w:hAnsi="仿宋_GB2312" w:eastAsia="仿宋_GB2312" w:cs="仿宋_GB2312"/>
          <w:i w:val="0"/>
          <w:strike w:val="0"/>
          <w:color w:val="000000"/>
          <w:sz w:val="32"/>
          <w:u w:val="none"/>
        </w:rPr>
        <w:t>2022年度本单位无会议费、培训费预算，所有会议费、培训费抣为自有资金安排。</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（七）其他事项：</w:t>
      </w:r>
      <w:r>
        <w:rPr>
          <w:rFonts w:ascii="仿宋_GB2312" w:hAnsi="仿宋_GB2312" w:eastAsia="仿宋_GB2312" w:cs="仿宋_GB2312"/>
          <w:i w:val="0"/>
          <w:strike w:val="0"/>
          <w:color w:val="000000"/>
          <w:sz w:val="32"/>
          <w:u w:val="none"/>
        </w:rPr>
        <w:t>本单位2022年预算无政府</w:t>
      </w:r>
      <w:r>
        <w:rPr>
          <w:rFonts w:ascii="仿宋_GB2312" w:hAnsi="仿宋_GB2312" w:eastAsia="仿宋_GB2312" w:cs="仿宋_GB2312"/>
          <w:strike w:val="0"/>
          <w:color w:val="000000"/>
          <w:sz w:val="32"/>
          <w:u w:val="none"/>
        </w:rPr>
        <w:t>基金预算、</w:t>
      </w:r>
      <w:r>
        <w:rPr>
          <w:rFonts w:ascii="仿宋_GB2312" w:hAnsi="仿宋_GB2312" w:eastAsia="仿宋_GB2312" w:cs="仿宋_GB2312"/>
          <w:i w:val="0"/>
          <w:strike w:val="0"/>
          <w:color w:val="000000"/>
          <w:sz w:val="32"/>
          <w:u w:val="none"/>
        </w:rPr>
        <w:t>国有资本经营预算支出，三公</w:t>
      </w:r>
      <w:r>
        <w:rPr>
          <w:rFonts w:ascii="仿宋_GB2312" w:hAnsi="仿宋_GB2312" w:eastAsia="仿宋_GB2312" w:cs="仿宋_GB2312"/>
          <w:strike w:val="0"/>
          <w:color w:val="000000"/>
          <w:sz w:val="32"/>
          <w:u w:val="none"/>
        </w:rPr>
        <w:t>经费、</w:t>
      </w:r>
      <w:r>
        <w:rPr>
          <w:rFonts w:ascii="仿宋_GB2312" w:hAnsi="仿宋_GB2312" w:eastAsia="仿宋_GB2312" w:cs="仿宋_GB2312"/>
          <w:i w:val="0"/>
          <w:strike w:val="0"/>
          <w:color w:val="000000"/>
          <w:sz w:val="32"/>
          <w:u w:val="none"/>
        </w:rPr>
        <w:t>无财政专户管理资金预算支出，无专项资金预算。</w:t>
      </w:r>
    </w:p>
    <w:p>
      <w:pPr>
        <w:snapToGrid w:val="0"/>
        <w:spacing w:before="0" w:after="0" w:line="560" w:lineRule="exact"/>
        <w:ind w:left="0" w:right="0" w:firstLine="960" w:firstLineChars="300"/>
        <w:jc w:val="both"/>
      </w:pPr>
      <w:r>
        <w:rPr>
          <w:rFonts w:ascii="黑体" w:hAnsi="黑体" w:eastAsia="黑体" w:cs="黑体"/>
          <w:i w:val="0"/>
          <w:strike w:val="0"/>
          <w:color w:val="000000"/>
          <w:sz w:val="32"/>
          <w:u w:val="none"/>
        </w:rPr>
        <w:t>八、名词解释</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（一）一般公共预算</w:t>
      </w:r>
      <w:r>
        <w:rPr>
          <w:rFonts w:ascii="'Times New Roman'" w:hAnsi="'Times New Roman'" w:eastAsia="'Times New Roman'" w:cs="'Times New Roman'"/>
          <w:b/>
          <w:i w:val="0"/>
          <w:strike w:val="0"/>
          <w:color w:val="000000"/>
          <w:sz w:val="32"/>
          <w:u w:val="none"/>
        </w:rPr>
        <w:t>:</w:t>
      </w:r>
      <w:r>
        <w:rPr>
          <w:rFonts w:ascii="'Times New Roman'" w:hAnsi="'Times New Roman'" w:eastAsia="'Times New Roman'" w:cs="'Times New Roman'"/>
          <w:i w:val="0"/>
          <w:strike w:val="0"/>
          <w:color w:val="000000"/>
          <w:sz w:val="32"/>
          <w:u w:val="none"/>
        </w:rPr>
        <w:t xml:space="preserve"> </w:t>
      </w:r>
      <w:r>
        <w:rPr>
          <w:rFonts w:ascii="仿宋_GB2312" w:hAnsi="仿宋_GB2312" w:eastAsia="仿宋_GB2312" w:cs="仿宋_GB2312"/>
          <w:i w:val="0"/>
          <w:strike w:val="0"/>
          <w:color w:val="000000"/>
          <w:sz w:val="32"/>
          <w:u w:val="none"/>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财政收入</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，按照2015年1月1日起施行的新《预算法》，改称</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一般公共预算收入</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。全市一般公共预算收入由地方收入、上划中央收入、上划省级收入三部分构成。</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（二）政府性基金预算</w:t>
      </w:r>
      <w:r>
        <w:rPr>
          <w:rFonts w:ascii="'Times New Roman'" w:hAnsi="'Times New Roman'" w:eastAsia="'Times New Roman'" w:cs="'Times New Roman'"/>
          <w:b/>
          <w:i w:val="0"/>
          <w:strike w:val="0"/>
          <w:color w:val="000000"/>
          <w:sz w:val="32"/>
          <w:u w:val="none"/>
        </w:rPr>
        <w:t>:</w:t>
      </w:r>
      <w:r>
        <w:rPr>
          <w:rFonts w:ascii="'Times New Roman'" w:hAnsi="'Times New Roman'" w:eastAsia="'Times New Roman'" w:cs="'Times New Roman'"/>
          <w:i w:val="0"/>
          <w:strike w:val="0"/>
          <w:color w:val="000000"/>
          <w:sz w:val="32"/>
          <w:u w:val="none"/>
        </w:rPr>
        <w:t xml:space="preserve"> </w:t>
      </w:r>
      <w:r>
        <w:rPr>
          <w:rFonts w:ascii="仿宋_GB2312" w:hAnsi="仿宋_GB2312" w:eastAsia="仿宋_GB2312" w:cs="仿宋_GB2312"/>
          <w:i w:val="0"/>
          <w:strike w:val="0"/>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（三）国有资本经营预算</w:t>
      </w:r>
      <w:r>
        <w:rPr>
          <w:rFonts w:ascii="'Times New Roman'" w:hAnsi="'Times New Roman'" w:eastAsia="'Times New Roman'" w:cs="'Times New Roman'"/>
          <w:b/>
          <w:i w:val="0"/>
          <w:strike w:val="0"/>
          <w:color w:val="000000"/>
          <w:sz w:val="32"/>
          <w:u w:val="none"/>
        </w:rPr>
        <w:t xml:space="preserve">: </w:t>
      </w:r>
      <w:r>
        <w:rPr>
          <w:rFonts w:ascii="仿宋_GB2312" w:hAnsi="仿宋_GB2312" w:eastAsia="仿宋_GB2312" w:cs="仿宋_GB2312"/>
          <w:i w:val="0"/>
          <w:strike w:val="0"/>
          <w:color w:val="000000"/>
          <w:sz w:val="32"/>
          <w:u w:val="none"/>
        </w:rPr>
        <w:t>是对国有资本收益作出支出安排的收支预算。应当按照收支平衡的原则编制，不列赤字，并安排资金调入一般公共预算。</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（四）社会保险基金预算</w:t>
      </w:r>
      <w:r>
        <w:rPr>
          <w:rFonts w:ascii="'Times New Roman'" w:hAnsi="'Times New Roman'" w:eastAsia="'Times New Roman'" w:cs="'Times New Roman'"/>
          <w:b/>
          <w:i w:val="0"/>
          <w:strike w:val="0"/>
          <w:color w:val="000000"/>
          <w:sz w:val="32"/>
          <w:u w:val="none"/>
        </w:rPr>
        <w:t>:</w:t>
      </w:r>
      <w:r>
        <w:rPr>
          <w:rFonts w:ascii="'Times New Roman'" w:hAnsi="'Times New Roman'" w:eastAsia="'Times New Roman'" w:cs="'Times New Roman'"/>
          <w:i w:val="0"/>
          <w:strike w:val="0"/>
          <w:color w:val="000000"/>
          <w:sz w:val="32"/>
          <w:u w:val="none"/>
        </w:rPr>
        <w:t xml:space="preserve"> </w:t>
      </w:r>
      <w:r>
        <w:rPr>
          <w:rFonts w:ascii="仿宋_GB2312" w:hAnsi="仿宋_GB2312" w:eastAsia="仿宋_GB2312" w:cs="仿宋_GB2312"/>
          <w:i w:val="0"/>
          <w:strike w:val="0"/>
          <w:color w:val="000000"/>
          <w:sz w:val="32"/>
          <w:u w:val="none"/>
        </w:rPr>
        <w:t>是对社会保险缴款、一般公共预算安排和其他方式筹集的资金，专项用于社会保险的收支预算。应当按照统筹层次和社会保险项目分别编制，做到收支平衡。</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（五）</w:t>
      </w:r>
      <w:r>
        <w:rPr>
          <w:rFonts w:ascii="Times New Roman" w:hAnsi="Times New Roman" w:eastAsia="Times New Roman" w:cs="Times New Roman"/>
          <w:b/>
          <w:i w:val="0"/>
          <w:strike w:val="0"/>
          <w:color w:val="000000"/>
          <w:sz w:val="32"/>
          <w:u w:val="none"/>
        </w:rPr>
        <w:t>“</w:t>
      </w:r>
      <w:r>
        <w:rPr>
          <w:rFonts w:ascii="仿宋_GB2312" w:hAnsi="仿宋_GB2312" w:eastAsia="仿宋_GB2312" w:cs="仿宋_GB2312"/>
          <w:b/>
          <w:i w:val="0"/>
          <w:strike w:val="0"/>
          <w:color w:val="000000"/>
          <w:sz w:val="32"/>
          <w:u w:val="none"/>
        </w:rPr>
        <w:t>三公</w:t>
      </w:r>
      <w:r>
        <w:rPr>
          <w:rFonts w:ascii="Times New Roman" w:hAnsi="Times New Roman" w:eastAsia="Times New Roman" w:cs="Times New Roman"/>
          <w:b/>
          <w:i w:val="0"/>
          <w:strike w:val="0"/>
          <w:color w:val="000000"/>
          <w:sz w:val="32"/>
          <w:u w:val="none"/>
        </w:rPr>
        <w:t>”</w:t>
      </w:r>
      <w:r>
        <w:rPr>
          <w:rFonts w:ascii="仿宋_GB2312" w:hAnsi="仿宋_GB2312" w:eastAsia="仿宋_GB2312" w:cs="仿宋_GB2312"/>
          <w:b/>
          <w:i w:val="0"/>
          <w:strike w:val="0"/>
          <w:color w:val="000000"/>
          <w:sz w:val="32"/>
          <w:u w:val="none"/>
        </w:rPr>
        <w:t>经费：</w:t>
      </w:r>
      <w:r>
        <w:rPr>
          <w:rFonts w:ascii="仿宋_GB2312" w:hAnsi="仿宋_GB2312" w:eastAsia="仿宋_GB2312" w:cs="仿宋_GB2312"/>
          <w:i w:val="0"/>
          <w:strike w:val="0"/>
          <w:color w:val="000000"/>
          <w:sz w:val="32"/>
          <w:u w:val="none"/>
        </w:rPr>
        <w:t>是指商品和服务支出中的因公出国（境）费用、公务用车购置及运行维护费和公务接待费。</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（六）机关运行经费：</w:t>
      </w:r>
      <w:r>
        <w:rPr>
          <w:rFonts w:ascii="仿宋_GB2312" w:hAnsi="仿宋_GB2312" w:eastAsia="仿宋_GB2312" w:cs="仿宋_GB2312"/>
          <w:i w:val="0"/>
          <w:strike w:val="0"/>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before="0" w:after="0" w:line="560" w:lineRule="exact"/>
        <w:ind w:left="0" w:right="0"/>
        <w:jc w:val="both"/>
      </w:pPr>
    </w:p>
    <w:p>
      <w:pPr>
        <w:snapToGrid/>
        <w:spacing w:line="240" w:lineRule="auto"/>
      </w:pPr>
    </w:p>
    <w:sectPr>
      <w:pgSz w:w="16838" w:h="11905"/>
      <w:pgMar w:top="1417" w:right="1361" w:bottom="1417" w:left="1361" w:header="720" w:footer="720" w:gutter="0"/>
      <w:cols w:space="720" w:num="1"/>
      <w:docGrid w:type="lines" w:linePitch="41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ZDJmMGJkMDgxYjdmOWFhZmI2ZDk2MTdhYTRiNjMifQ=="/>
  </w:docVars>
  <w:rsids>
    <w:rsidRoot w:val="00000000"/>
    <w:rsid w:val="359722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before="60" w:after="60" w:line="240" w:lineRule="auto"/>
      <w:jc w:val="left"/>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Title"/>
    <w:basedOn w:val="1"/>
    <w:next w:val="1"/>
    <w:qFormat/>
    <w:uiPriority w:val="9"/>
    <w:pPr>
      <w:keepNext/>
      <w:keepLines/>
      <w:spacing w:before="0" w:after="0" w:line="408" w:lineRule="auto"/>
      <w:jc w:val="center"/>
      <w:outlineLvl w:val="0"/>
    </w:pPr>
    <w:rPr>
      <w:b/>
      <w:bCs/>
      <w:color w:val="1A1A1A"/>
      <w:sz w:val="48"/>
      <w:szCs w:val="48"/>
    </w:rPr>
  </w:style>
  <w:style w:type="table" w:styleId="5">
    <w:name w:val="Table Grid"/>
    <w:basedOn w:val="4"/>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7">
    <w:name w:val="Hyperlink"/>
    <w:basedOn w:val="6"/>
    <w:unhideWhenUsed/>
    <w:uiPriority w:val="99"/>
    <w:rPr>
      <w:color w:val="0563C1" w:themeColor="hyperlink"/>
      <w:u w:val="single"/>
      <w14:textFill>
        <w14:solidFill>
          <w14:schemeClr w14:val="hlink"/>
        </w14:solidFill>
      </w14:textFill>
    </w:rPr>
  </w:style>
  <w:style w:type="paragraph" w:customStyle="1" w:styleId="8">
    <w:name w:val="melo-codeblock-Base-theme-para"/>
    <w:basedOn w:val="1"/>
    <w:uiPriority w:val="0"/>
    <w:pPr>
      <w:spacing w:before="0" w:after="0" w:line="360" w:lineRule="auto"/>
    </w:pPr>
    <w:rPr>
      <w:rFonts w:ascii="Monaco" w:hAnsi="Monaco" w:eastAsia="Monaco" w:cs="Monaco"/>
      <w:color w:val="000000"/>
      <w:sz w:val="21"/>
    </w:rPr>
  </w:style>
  <w:style w:type="character" w:customStyle="1" w:styleId="9">
    <w:name w:val="melo-codeblock-Base-theme-char"/>
    <w:uiPriority w:val="0"/>
    <w:rPr>
      <w:rFonts w:ascii="Monaco" w:hAnsi="Monaco" w:eastAsia="Monaco" w:cs="Monaco"/>
      <w:color w:val="00000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2023-09-04T16:35:00Z</dcterms:created>
  <dc:creator>Lenovo</dc:creator>
  <cp:lastModifiedBy>梁凉凉的</cp:lastModifiedBy>
  <dcterms:modified xsi:type="dcterms:W3CDTF">2023-09-15T03:41:17Z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BADDE15ADBB74EFB9A91CF5CC0FCE89D_12</vt:lpwstr>
  </property>
</Properties>
</file>