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spacing w:line="360" w:lineRule="auto"/>
        <w:jc w:val="center"/>
        <w:rPr>
          <w:rFonts w:hint="eastAsia" w:ascii="宋体" w:hAnsi="宋体" w:eastAsia="宋体" w:cs="宋体"/>
          <w:b w:val="0"/>
          <w:bCs/>
          <w:color w:val="000000" w:themeColor="text1"/>
          <w:sz w:val="52"/>
          <w:szCs w:val="52"/>
          <w:lang w:val="en-US" w:eastAsia="zh-CN"/>
          <w14:textFill>
            <w14:solidFill>
              <w14:schemeClr w14:val="tx1"/>
            </w14:solidFill>
          </w14:textFill>
        </w:rPr>
      </w:pPr>
    </w:p>
    <w:p>
      <w:pPr>
        <w:pStyle w:val="33"/>
        <w:rPr>
          <w:rFonts w:hint="eastAsia" w:ascii="宋体" w:hAnsi="宋体" w:eastAsia="宋体" w:cs="宋体"/>
          <w:b w:val="0"/>
          <w:bCs/>
          <w:color w:val="000000" w:themeColor="text1"/>
          <w:sz w:val="52"/>
          <w:szCs w:val="52"/>
          <w14:textFill>
            <w14:solidFill>
              <w14:schemeClr w14:val="tx1"/>
            </w14:solidFill>
          </w14:textFill>
        </w:rPr>
      </w:pPr>
    </w:p>
    <w:p>
      <w:pPr>
        <w:pStyle w:val="33"/>
        <w:rPr>
          <w:rFonts w:hint="eastAsia" w:ascii="宋体" w:hAnsi="宋体" w:eastAsia="宋体" w:cs="宋体"/>
          <w:b w:val="0"/>
          <w:bCs/>
          <w:color w:val="000000" w:themeColor="text1"/>
          <w:sz w:val="52"/>
          <w:szCs w:val="52"/>
          <w14:textFill>
            <w14:solidFill>
              <w14:schemeClr w14:val="tx1"/>
            </w14:solidFill>
          </w14:textFill>
        </w:rPr>
      </w:pPr>
    </w:p>
    <w:p>
      <w:pPr>
        <w:widowControl w:val="0"/>
        <w:spacing w:line="360" w:lineRule="auto"/>
        <w:jc w:val="center"/>
        <w:outlineLvl w:val="0"/>
        <w:rPr>
          <w:rFonts w:hint="eastAsia" w:ascii="宋体" w:hAnsi="宋体" w:eastAsia="宋体" w:cs="宋体"/>
          <w:b/>
          <w:bCs w:val="0"/>
          <w:color w:val="000000" w:themeColor="text1"/>
          <w:sz w:val="52"/>
          <w:szCs w:val="52"/>
          <w:lang w:eastAsia="zh-CN"/>
          <w14:textFill>
            <w14:solidFill>
              <w14:schemeClr w14:val="tx1"/>
            </w14:solidFill>
          </w14:textFill>
        </w:rPr>
      </w:pPr>
      <w:bookmarkStart w:id="0" w:name="_Toc31522"/>
      <w:bookmarkStart w:id="1" w:name="_Toc31388"/>
      <w:bookmarkStart w:id="2" w:name="_Toc26753"/>
      <w:bookmarkStart w:id="3" w:name="_Toc18621"/>
      <w:bookmarkStart w:id="4" w:name="_Toc11595"/>
      <w:bookmarkStart w:id="5" w:name="_Toc31999"/>
      <w:bookmarkStart w:id="6" w:name="_Toc221"/>
      <w:bookmarkStart w:id="7" w:name="_Toc15419"/>
      <w:bookmarkStart w:id="8" w:name="_Toc26793"/>
      <w:r>
        <w:rPr>
          <w:rFonts w:hint="eastAsia" w:ascii="宋体" w:hAnsi="宋体" w:eastAsia="宋体" w:cs="宋体"/>
          <w:b/>
          <w:bCs w:val="0"/>
          <w:color w:val="000000" w:themeColor="text1"/>
          <w:sz w:val="52"/>
          <w:szCs w:val="52"/>
          <w:lang w:eastAsia="zh-CN"/>
          <w14:textFill>
            <w14:solidFill>
              <w14:schemeClr w14:val="tx1"/>
            </w14:solidFill>
          </w14:textFill>
        </w:rPr>
        <w:t>高性能电子级聚酰亚胺薄膜项目</w:t>
      </w:r>
      <w:bookmarkEnd w:id="0"/>
      <w:bookmarkEnd w:id="1"/>
      <w:bookmarkEnd w:id="2"/>
      <w:bookmarkEnd w:id="3"/>
      <w:bookmarkEnd w:id="4"/>
      <w:bookmarkEnd w:id="5"/>
      <w:bookmarkEnd w:id="6"/>
      <w:bookmarkEnd w:id="7"/>
      <w:bookmarkEnd w:id="8"/>
    </w:p>
    <w:p>
      <w:pPr>
        <w:widowControl w:val="0"/>
        <w:spacing w:line="360" w:lineRule="auto"/>
        <w:jc w:val="center"/>
        <w:outlineLvl w:val="0"/>
        <w:rPr>
          <w:rFonts w:hint="eastAsia" w:ascii="宋体" w:hAnsi="宋体" w:eastAsia="宋体" w:cs="宋体"/>
          <w:b/>
          <w:bCs w:val="0"/>
          <w:color w:val="000000" w:themeColor="text1"/>
          <w:sz w:val="52"/>
          <w:szCs w:val="52"/>
          <w14:textFill>
            <w14:solidFill>
              <w14:schemeClr w14:val="tx1"/>
            </w14:solidFill>
          </w14:textFill>
        </w:rPr>
      </w:pPr>
      <w:bookmarkStart w:id="9" w:name="_Toc7519"/>
      <w:bookmarkStart w:id="10" w:name="_Toc32311"/>
      <w:bookmarkStart w:id="11" w:name="_Toc3136"/>
      <w:bookmarkStart w:id="12" w:name="_Toc18214"/>
      <w:bookmarkStart w:id="13" w:name="_Toc28173"/>
      <w:bookmarkStart w:id="14" w:name="_Toc8650"/>
      <w:bookmarkStart w:id="15" w:name="_Toc9041"/>
      <w:bookmarkStart w:id="16" w:name="_Toc7204"/>
      <w:bookmarkStart w:id="17" w:name="_Toc16589"/>
      <w:r>
        <w:rPr>
          <w:rFonts w:hint="eastAsia" w:ascii="宋体" w:hAnsi="宋体" w:eastAsia="宋体" w:cs="宋体"/>
          <w:b/>
          <w:bCs w:val="0"/>
          <w:color w:val="000000" w:themeColor="text1"/>
          <w:sz w:val="52"/>
          <w:szCs w:val="52"/>
          <w14:textFill>
            <w14:solidFill>
              <w14:schemeClr w14:val="tx1"/>
            </w14:solidFill>
          </w14:textFill>
        </w:rPr>
        <w:t>环境影响报告书</w:t>
      </w:r>
      <w:bookmarkEnd w:id="9"/>
      <w:bookmarkEnd w:id="10"/>
      <w:bookmarkEnd w:id="11"/>
      <w:bookmarkEnd w:id="12"/>
      <w:bookmarkEnd w:id="13"/>
      <w:bookmarkEnd w:id="14"/>
      <w:bookmarkEnd w:id="15"/>
      <w:bookmarkEnd w:id="16"/>
      <w:bookmarkEnd w:id="17"/>
    </w:p>
    <w:p>
      <w:pPr>
        <w:widowControl w:val="0"/>
        <w:snapToGrid w:val="0"/>
        <w:spacing w:line="360" w:lineRule="auto"/>
        <w:jc w:val="center"/>
        <w:rPr>
          <w:rFonts w:hint="eastAsia" w:ascii="宋体" w:hAnsi="宋体" w:eastAsia="宋体" w:cs="宋体"/>
          <w:b/>
          <w:color w:val="000000" w:themeColor="text1"/>
          <w:sz w:val="32"/>
          <w:szCs w:val="32"/>
          <w14:textFill>
            <w14:solidFill>
              <w14:schemeClr w14:val="tx1"/>
            </w14:solidFill>
          </w14:textFill>
        </w:rPr>
      </w:pPr>
    </w:p>
    <w:p>
      <w:pPr>
        <w:widowControl w:val="0"/>
        <w:spacing w:line="360" w:lineRule="auto"/>
        <w:jc w:val="center"/>
        <w:rPr>
          <w:rFonts w:hint="eastAsia" w:ascii="宋体" w:hAnsi="宋体" w:eastAsia="宋体" w:cs="宋体"/>
          <w:bCs/>
          <w:color w:val="000000" w:themeColor="text1"/>
          <w:sz w:val="28"/>
          <w:szCs w:val="28"/>
          <w14:textFill>
            <w14:solidFill>
              <w14:schemeClr w14:val="tx1"/>
            </w14:solidFill>
          </w14:textFill>
        </w:rPr>
      </w:pPr>
    </w:p>
    <w:p>
      <w:pPr>
        <w:widowControl w:val="0"/>
        <w:spacing w:line="360" w:lineRule="auto"/>
        <w:jc w:val="center"/>
        <w:rPr>
          <w:rFonts w:hint="eastAsia" w:ascii="宋体" w:hAnsi="宋体" w:eastAsia="宋体" w:cs="宋体"/>
          <w:bCs/>
          <w:color w:val="000000" w:themeColor="text1"/>
          <w:sz w:val="28"/>
          <w:szCs w:val="28"/>
          <w14:textFill>
            <w14:solidFill>
              <w14:schemeClr w14:val="tx1"/>
            </w14:solidFill>
          </w14:textFill>
        </w:rPr>
      </w:pPr>
    </w:p>
    <w:p>
      <w:pPr>
        <w:widowControl w:val="0"/>
        <w:spacing w:line="360" w:lineRule="auto"/>
        <w:jc w:val="center"/>
        <w:rPr>
          <w:rFonts w:hint="eastAsia" w:ascii="宋体" w:hAnsi="宋体" w:eastAsia="宋体" w:cs="宋体"/>
          <w:bCs/>
          <w:color w:val="000000" w:themeColor="text1"/>
          <w:sz w:val="28"/>
          <w:szCs w:val="28"/>
          <w14:textFill>
            <w14:solidFill>
              <w14:schemeClr w14:val="tx1"/>
            </w14:solidFill>
          </w14:textFill>
        </w:rPr>
      </w:pPr>
    </w:p>
    <w:p>
      <w:pPr>
        <w:widowControl w:val="0"/>
        <w:spacing w:line="360" w:lineRule="auto"/>
        <w:jc w:val="center"/>
        <w:rPr>
          <w:rFonts w:hint="eastAsia" w:ascii="宋体" w:hAnsi="宋体" w:eastAsia="宋体" w:cs="宋体"/>
          <w:bCs/>
          <w:color w:val="000000" w:themeColor="text1"/>
          <w:sz w:val="28"/>
          <w:szCs w:val="28"/>
          <w14:textFill>
            <w14:solidFill>
              <w14:schemeClr w14:val="tx1"/>
            </w14:solidFill>
          </w14:textFill>
        </w:rPr>
      </w:pPr>
    </w:p>
    <w:p>
      <w:pPr>
        <w:pStyle w:val="7"/>
        <w:outlineLvl w:val="9"/>
        <w:rPr>
          <w:rFonts w:hint="eastAsia" w:ascii="宋体" w:hAnsi="宋体" w:eastAsia="宋体" w:cs="宋体"/>
          <w:bCs/>
          <w:color w:val="000000" w:themeColor="text1"/>
          <w:sz w:val="28"/>
          <w:szCs w:val="28"/>
          <w14:textFill>
            <w14:solidFill>
              <w14:schemeClr w14:val="tx1"/>
            </w14:solidFill>
          </w14:textFill>
        </w:rPr>
      </w:pPr>
    </w:p>
    <w:p>
      <w:pPr>
        <w:rPr>
          <w:rFonts w:hint="eastAsia" w:ascii="宋体" w:hAnsi="宋体" w:eastAsia="宋体" w:cs="宋体"/>
          <w:color w:val="000000" w:themeColor="text1"/>
          <w14:textFill>
            <w14:solidFill>
              <w14:schemeClr w14:val="tx1"/>
            </w14:solidFill>
          </w14:textFill>
        </w:rPr>
      </w:pPr>
    </w:p>
    <w:p>
      <w:pPr>
        <w:widowControl w:val="0"/>
        <w:spacing w:line="360" w:lineRule="auto"/>
        <w:jc w:val="center"/>
        <w:rPr>
          <w:rFonts w:hint="eastAsia" w:ascii="宋体" w:hAnsi="宋体" w:eastAsia="宋体" w:cs="宋体"/>
          <w:bCs/>
          <w:color w:val="000000" w:themeColor="text1"/>
          <w:sz w:val="28"/>
          <w:szCs w:val="28"/>
          <w14:textFill>
            <w14:solidFill>
              <w14:schemeClr w14:val="tx1"/>
            </w14:solidFill>
          </w14:textFill>
        </w:rPr>
      </w:pPr>
    </w:p>
    <w:p>
      <w:pPr>
        <w:pStyle w:val="7"/>
        <w:outlineLvl w:val="9"/>
        <w:rPr>
          <w:rFonts w:hint="eastAsia" w:ascii="宋体" w:hAnsi="宋体" w:eastAsia="宋体" w:cs="宋体"/>
          <w:color w:val="000000" w:themeColor="text1"/>
          <w14:textFill>
            <w14:solidFill>
              <w14:schemeClr w14:val="tx1"/>
            </w14:solidFill>
          </w14:textFill>
        </w:rPr>
      </w:pPr>
    </w:p>
    <w:p>
      <w:pPr>
        <w:pStyle w:val="25"/>
        <w:rPr>
          <w:rFonts w:hint="eastAsia" w:ascii="宋体" w:hAnsi="宋体" w:eastAsia="宋体" w:cs="宋体"/>
          <w:color w:val="000000" w:themeColor="text1"/>
          <w14:textFill>
            <w14:solidFill>
              <w14:schemeClr w14:val="tx1"/>
            </w14:solidFill>
          </w14:textFill>
        </w:rPr>
      </w:pPr>
    </w:p>
    <w:p>
      <w:pPr>
        <w:widowControl w:val="0"/>
        <w:spacing w:line="360" w:lineRule="auto"/>
        <w:jc w:val="center"/>
        <w:rPr>
          <w:rFonts w:hint="eastAsia" w:ascii="宋体" w:hAnsi="宋体" w:eastAsia="宋体" w:cs="宋体"/>
          <w:bCs/>
          <w:color w:val="000000" w:themeColor="text1"/>
          <w:sz w:val="28"/>
          <w:szCs w:val="28"/>
          <w14:textFill>
            <w14:solidFill>
              <w14:schemeClr w14:val="tx1"/>
            </w14:solidFill>
          </w14:textFill>
        </w:rPr>
      </w:pPr>
    </w:p>
    <w:p>
      <w:pPr>
        <w:widowControl w:val="0"/>
        <w:spacing w:line="360" w:lineRule="auto"/>
        <w:jc w:val="center"/>
        <w:rPr>
          <w:rFonts w:hint="eastAsia" w:ascii="宋体" w:hAnsi="宋体" w:eastAsia="宋体" w:cs="宋体"/>
          <w:bCs/>
          <w:color w:val="000000" w:themeColor="text1"/>
          <w:sz w:val="28"/>
          <w:szCs w:val="28"/>
          <w14:textFill>
            <w14:solidFill>
              <w14:schemeClr w14:val="tx1"/>
            </w14:solidFill>
          </w14:textFill>
        </w:rPr>
      </w:pPr>
    </w:p>
    <w:p>
      <w:pPr>
        <w:pStyle w:val="3"/>
        <w:rPr>
          <w:rFonts w:hint="eastAsia" w:ascii="宋体" w:hAnsi="宋体" w:eastAsia="宋体" w:cs="宋体"/>
          <w:color w:val="000000" w:themeColor="text1"/>
          <w14:textFill>
            <w14:solidFill>
              <w14:schemeClr w14:val="tx1"/>
            </w14:solidFill>
          </w14:textFill>
        </w:rPr>
      </w:pPr>
    </w:p>
    <w:p>
      <w:pPr>
        <w:widowControl w:val="0"/>
        <w:spacing w:line="360" w:lineRule="auto"/>
        <w:jc w:val="center"/>
        <w:outlineLvl w:val="0"/>
        <w:rPr>
          <w:rFonts w:hint="eastAsia" w:ascii="宋体" w:hAnsi="宋体" w:eastAsia="宋体" w:cs="宋体"/>
          <w:b/>
          <w:bCs w:val="0"/>
          <w:color w:val="000000" w:themeColor="text1"/>
          <w:sz w:val="28"/>
          <w:szCs w:val="28"/>
          <w:lang w:eastAsia="zh-CN"/>
          <w14:textFill>
            <w14:solidFill>
              <w14:schemeClr w14:val="tx1"/>
            </w14:solidFill>
          </w14:textFill>
        </w:rPr>
      </w:pPr>
      <w:bookmarkStart w:id="18" w:name="_Toc17576"/>
      <w:bookmarkStart w:id="19" w:name="_Toc23501"/>
      <w:bookmarkStart w:id="20" w:name="_Toc16207"/>
      <w:bookmarkStart w:id="21" w:name="_Toc19048"/>
      <w:bookmarkStart w:id="22" w:name="_Toc15953"/>
      <w:bookmarkStart w:id="23" w:name="_Toc9999"/>
      <w:bookmarkStart w:id="24" w:name="_Toc16712"/>
      <w:bookmarkStart w:id="25" w:name="_Toc27602"/>
      <w:bookmarkStart w:id="26" w:name="_Toc14242"/>
      <w:r>
        <w:rPr>
          <w:rFonts w:hint="eastAsia" w:ascii="宋体" w:hAnsi="宋体" w:eastAsia="宋体" w:cs="宋体"/>
          <w:b/>
          <w:bCs w:val="0"/>
          <w:color w:val="000000" w:themeColor="text1"/>
          <w:sz w:val="28"/>
          <w:szCs w:val="28"/>
          <w14:textFill>
            <w14:solidFill>
              <w14:schemeClr w14:val="tx1"/>
            </w14:solidFill>
          </w14:textFill>
        </w:rPr>
        <w:t>建设单位：</w:t>
      </w:r>
      <w:r>
        <w:rPr>
          <w:rFonts w:hint="eastAsia" w:ascii="宋体" w:hAnsi="宋体" w:eastAsia="宋体" w:cs="宋体"/>
          <w:b/>
          <w:bCs w:val="0"/>
          <w:color w:val="000000" w:themeColor="text1"/>
          <w:sz w:val="28"/>
          <w:szCs w:val="28"/>
          <w:lang w:eastAsia="zh-CN"/>
          <w14:textFill>
            <w14:solidFill>
              <w14:schemeClr w14:val="tx1"/>
            </w14:solidFill>
          </w14:textFill>
        </w:rPr>
        <w:t>株洲市绝缘材料有限责任公司</w:t>
      </w:r>
      <w:bookmarkEnd w:id="18"/>
      <w:bookmarkEnd w:id="19"/>
      <w:bookmarkEnd w:id="20"/>
      <w:bookmarkEnd w:id="21"/>
      <w:bookmarkEnd w:id="22"/>
      <w:bookmarkEnd w:id="23"/>
      <w:bookmarkEnd w:id="24"/>
      <w:bookmarkEnd w:id="25"/>
      <w:bookmarkEnd w:id="26"/>
    </w:p>
    <w:p>
      <w:pPr>
        <w:widowControl w:val="0"/>
        <w:spacing w:line="360" w:lineRule="auto"/>
        <w:jc w:val="center"/>
        <w:outlineLvl w:val="0"/>
        <w:rPr>
          <w:rFonts w:hint="eastAsia" w:ascii="宋体" w:hAnsi="宋体" w:eastAsia="宋体" w:cs="宋体"/>
          <w:b/>
          <w:bCs w:val="0"/>
          <w:color w:val="000000" w:themeColor="text1"/>
          <w:sz w:val="28"/>
          <w:szCs w:val="28"/>
          <w:lang w:val="en-US" w:eastAsia="zh-CN"/>
          <w14:textFill>
            <w14:solidFill>
              <w14:schemeClr w14:val="tx1"/>
            </w14:solidFill>
          </w14:textFill>
        </w:rPr>
      </w:pPr>
      <w:bookmarkStart w:id="27" w:name="_Toc3039"/>
      <w:bookmarkStart w:id="28" w:name="_Toc8767"/>
      <w:bookmarkStart w:id="29" w:name="_Toc6435"/>
      <w:bookmarkStart w:id="30" w:name="_Toc19221"/>
      <w:bookmarkStart w:id="31" w:name="_Toc10688"/>
      <w:bookmarkStart w:id="32" w:name="_Toc26840"/>
      <w:bookmarkStart w:id="33" w:name="_Toc27862"/>
      <w:bookmarkStart w:id="34" w:name="_Toc12385"/>
      <w:bookmarkStart w:id="35" w:name="_Toc2898"/>
      <w:r>
        <w:rPr>
          <w:rFonts w:hint="eastAsia" w:ascii="宋体" w:hAnsi="宋体" w:eastAsia="宋体" w:cs="宋体"/>
          <w:b/>
          <w:bCs w:val="0"/>
          <w:color w:val="000000" w:themeColor="text1"/>
          <w:sz w:val="28"/>
          <w:szCs w:val="28"/>
          <w14:textFill>
            <w14:solidFill>
              <w14:schemeClr w14:val="tx1"/>
            </w14:solidFill>
          </w14:textFill>
        </w:rPr>
        <w:t>编制单位：</w:t>
      </w:r>
      <w:r>
        <w:rPr>
          <w:rFonts w:hint="eastAsia" w:ascii="宋体" w:hAnsi="宋体" w:eastAsia="宋体" w:cs="宋体"/>
          <w:b/>
          <w:bCs w:val="0"/>
          <w:color w:val="000000" w:themeColor="text1"/>
          <w:sz w:val="28"/>
          <w:szCs w:val="28"/>
          <w:lang w:val="en-US" w:eastAsia="zh-CN"/>
          <w14:textFill>
            <w14:solidFill>
              <w14:schemeClr w14:val="tx1"/>
            </w14:solidFill>
          </w14:textFill>
        </w:rPr>
        <w:t>长沙博均环保科技有限公司</w:t>
      </w:r>
      <w:bookmarkEnd w:id="27"/>
      <w:bookmarkEnd w:id="28"/>
      <w:bookmarkEnd w:id="29"/>
      <w:bookmarkEnd w:id="30"/>
      <w:bookmarkEnd w:id="31"/>
      <w:bookmarkEnd w:id="32"/>
      <w:bookmarkEnd w:id="33"/>
      <w:bookmarkEnd w:id="34"/>
      <w:bookmarkEnd w:id="35"/>
    </w:p>
    <w:p>
      <w:pPr>
        <w:jc w:val="both"/>
        <w:rPr>
          <w:rFonts w:hint="eastAsia" w:ascii="宋体" w:hAnsi="宋体" w:eastAsia="宋体" w:cs="宋体"/>
          <w:color w:val="000000" w:themeColor="text1"/>
          <w:sz w:val="28"/>
          <w:szCs w:val="28"/>
          <w14:textFill>
            <w14:solidFill>
              <w14:schemeClr w14:val="tx1"/>
            </w14:solidFill>
          </w14:textFill>
        </w:rPr>
      </w:pPr>
    </w:p>
    <w:p>
      <w:pPr>
        <w:jc w:val="center"/>
        <w:rPr>
          <w:rFonts w:hint="eastAsia" w:ascii="宋体" w:hAnsi="宋体" w:eastAsia="宋体" w:cs="宋体"/>
          <w:b/>
          <w:bCs/>
          <w:color w:val="000000" w:themeColor="text1"/>
          <w:sz w:val="28"/>
          <w:szCs w:val="28"/>
          <w14:textFill>
            <w14:solidFill>
              <w14:schemeClr w14:val="tx1"/>
            </w14:solidFill>
          </w14:textFill>
        </w:rPr>
      </w:pPr>
      <w:r>
        <w:rPr>
          <w:rFonts w:hint="eastAsia" w:ascii="宋体" w:hAnsi="宋体" w:eastAsia="宋体" w:cs="宋体"/>
          <w:b/>
          <w:bCs/>
          <w:color w:val="000000" w:themeColor="text1"/>
          <w:sz w:val="28"/>
          <w:szCs w:val="28"/>
          <w14:textFill>
            <w14:solidFill>
              <w14:schemeClr w14:val="tx1"/>
            </w14:solidFill>
          </w14:textFill>
        </w:rPr>
        <w:t>二O二</w:t>
      </w:r>
      <w:r>
        <w:rPr>
          <w:rFonts w:hint="eastAsia" w:ascii="宋体" w:hAnsi="宋体" w:eastAsia="宋体" w:cs="宋体"/>
          <w:b/>
          <w:bCs/>
          <w:color w:val="000000" w:themeColor="text1"/>
          <w:sz w:val="28"/>
          <w:szCs w:val="28"/>
          <w:lang w:val="en-US" w:eastAsia="zh-CN"/>
          <w14:textFill>
            <w14:solidFill>
              <w14:schemeClr w14:val="tx1"/>
            </w14:solidFill>
          </w14:textFill>
        </w:rPr>
        <w:t>三</w:t>
      </w:r>
      <w:r>
        <w:rPr>
          <w:rFonts w:hint="eastAsia" w:ascii="宋体" w:hAnsi="宋体" w:eastAsia="宋体" w:cs="宋体"/>
          <w:b/>
          <w:bCs/>
          <w:color w:val="000000" w:themeColor="text1"/>
          <w:sz w:val="28"/>
          <w:szCs w:val="28"/>
          <w14:textFill>
            <w14:solidFill>
              <w14:schemeClr w14:val="tx1"/>
            </w14:solidFill>
          </w14:textFill>
        </w:rPr>
        <w:t>年</w:t>
      </w:r>
      <w:r>
        <w:rPr>
          <w:rFonts w:hint="eastAsia" w:ascii="宋体" w:hAnsi="宋体" w:eastAsia="宋体" w:cs="宋体"/>
          <w:b/>
          <w:bCs/>
          <w:color w:val="000000" w:themeColor="text1"/>
          <w:sz w:val="28"/>
          <w:szCs w:val="28"/>
          <w:lang w:val="en-US" w:eastAsia="zh-CN"/>
          <w14:textFill>
            <w14:solidFill>
              <w14:schemeClr w14:val="tx1"/>
            </w14:solidFill>
          </w14:textFill>
        </w:rPr>
        <w:t>七</w:t>
      </w:r>
      <w:r>
        <w:rPr>
          <w:rFonts w:hint="eastAsia" w:ascii="宋体" w:hAnsi="宋体" w:eastAsia="宋体" w:cs="宋体"/>
          <w:b/>
          <w:bCs/>
          <w:color w:val="000000" w:themeColor="text1"/>
          <w:sz w:val="28"/>
          <w:szCs w:val="28"/>
          <w14:textFill>
            <w14:solidFill>
              <w14:schemeClr w14:val="tx1"/>
            </w14:solidFill>
          </w14:textFill>
        </w:rPr>
        <w:t>月</w:t>
      </w:r>
    </w:p>
    <w:p>
      <w:pPr>
        <w:rPr>
          <w:rFonts w:hint="eastAsia" w:ascii="宋体" w:hAnsi="宋体" w:eastAsia="宋体" w:cs="宋体"/>
          <w:color w:val="000000" w:themeColor="text1"/>
          <w14:textFill>
            <w14:solidFill>
              <w14:schemeClr w14:val="tx1"/>
            </w14:solidFill>
          </w14:textFill>
        </w:rPr>
        <w:sectPr>
          <w:headerReference r:id="rId3" w:type="default"/>
          <w:pgSz w:w="11906" w:h="16838"/>
          <w:pgMar w:top="1247" w:right="1134" w:bottom="1134" w:left="1247" w:header="680" w:footer="680" w:gutter="0"/>
          <w:pgBorders w:offsetFrom="page">
            <w:top w:val="none" w:sz="0" w:space="0"/>
            <w:left w:val="none" w:sz="0" w:space="0"/>
            <w:bottom w:val="none" w:sz="0" w:space="0"/>
            <w:right w:val="none" w:sz="0" w:space="0"/>
          </w:pgBorders>
          <w:pgNumType w:start="1"/>
          <w:cols w:space="720" w:num="1"/>
          <w:docGrid w:linePitch="571" w:charSpace="0"/>
        </w:sectPr>
      </w:pPr>
    </w:p>
    <w:p>
      <w:pPr>
        <w:jc w:val="center"/>
        <w:rPr>
          <w:rFonts w:hint="eastAsia" w:ascii="宋体" w:hAnsi="宋体" w:eastAsia="宋体" w:cs="宋体"/>
          <w:b/>
          <w:bCs/>
          <w:color w:val="000000" w:themeColor="text1"/>
          <w:sz w:val="30"/>
          <w:szCs w:val="30"/>
          <w:lang w:val="en-US" w:eastAsia="zh-CN" w:bidi="ar-SA"/>
          <w14:textFill>
            <w14:solidFill>
              <w14:schemeClr w14:val="tx1"/>
            </w14:solidFill>
          </w14:textFill>
        </w:rPr>
        <w:sectPr>
          <w:footerReference r:id="rId4" w:type="default"/>
          <w:pgSz w:w="11906" w:h="16838"/>
          <w:pgMar w:top="1247" w:right="1134" w:bottom="1134" w:left="1247" w:header="680" w:footer="680" w:gutter="0"/>
          <w:pgBorders w:offsetFrom="page">
            <w:top w:val="none" w:sz="0" w:space="0"/>
            <w:left w:val="none" w:sz="0" w:space="0"/>
            <w:bottom w:val="none" w:sz="0" w:space="0"/>
            <w:right w:val="none" w:sz="0" w:space="0"/>
          </w:pgBorders>
          <w:pgNumType w:start="1"/>
          <w:cols w:space="720" w:num="1"/>
          <w:docGrid w:linePitch="571" w:charSpace="0"/>
        </w:sectPr>
      </w:pPr>
    </w:p>
    <w:sdt>
      <w:sdtPr>
        <w:rPr>
          <w:rFonts w:hint="eastAsia" w:ascii="宋体" w:hAnsi="宋体" w:eastAsia="宋体" w:cs="宋体"/>
          <w:b/>
          <w:bCs/>
          <w:color w:val="000000" w:themeColor="text1"/>
          <w:sz w:val="30"/>
          <w:szCs w:val="30"/>
          <w:lang w:val="en-US" w:eastAsia="zh-CN" w:bidi="ar-SA"/>
          <w14:textFill>
            <w14:solidFill>
              <w14:schemeClr w14:val="tx1"/>
            </w14:solidFill>
          </w14:textFill>
        </w:rPr>
        <w:id w:val="147458041"/>
        <w15:color w:val="DBDBDB"/>
        <w:docPartObj>
          <w:docPartGallery w:val="Table of Contents"/>
          <w:docPartUnique/>
        </w:docPartObj>
      </w:sdtPr>
      <w:sdtEndPr>
        <w:rPr>
          <w:rFonts w:hint="eastAsia" w:ascii="宋体" w:hAnsi="宋体" w:eastAsia="宋体" w:cs="宋体"/>
          <w:b/>
          <w:bCs/>
          <w:color w:val="000000" w:themeColor="text1"/>
          <w:kern w:val="0"/>
          <w:sz w:val="24"/>
          <w:szCs w:val="24"/>
          <w:lang w:val="en-US" w:eastAsia="en-US" w:bidi="ar-SA"/>
          <w14:textFill>
            <w14:solidFill>
              <w14:schemeClr w14:val="tx1"/>
            </w14:solidFill>
          </w14:textFill>
        </w:rPr>
      </w:sdtEndPr>
      <w:sdtContent>
        <w:p>
          <w:pPr>
            <w:jc w:val="center"/>
            <w:rPr>
              <w:rFonts w:hint="eastAsia" w:ascii="宋体" w:hAnsi="宋体" w:eastAsia="宋体" w:cs="宋体"/>
              <w:b/>
              <w:bCs/>
              <w:color w:val="000000" w:themeColor="text1"/>
              <w:sz w:val="30"/>
              <w:szCs w:val="30"/>
              <w14:textFill>
                <w14:solidFill>
                  <w14:schemeClr w14:val="tx1"/>
                </w14:solidFill>
              </w14:textFill>
            </w:rPr>
          </w:pPr>
          <w:r>
            <w:rPr>
              <w:rFonts w:hint="eastAsia" w:ascii="宋体" w:hAnsi="宋体" w:eastAsia="宋体" w:cs="宋体"/>
              <w:b/>
              <w:bCs/>
              <w:color w:val="000000" w:themeColor="text1"/>
              <w:sz w:val="30"/>
              <w:szCs w:val="30"/>
              <w14:textFill>
                <w14:solidFill>
                  <w14:schemeClr w14:val="tx1"/>
                </w14:solidFill>
              </w14:textFill>
            </w:rPr>
            <w:t>目录</w:t>
          </w:r>
        </w:p>
        <w:p>
          <w:pPr>
            <w:pStyle w:val="23"/>
            <w:tabs>
              <w:tab w:val="right" w:leader="dot" w:pos="9525"/>
            </w:tabs>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color w:val="000000" w:themeColor="text1"/>
              <w:sz w:val="24"/>
              <w:szCs w:val="24"/>
              <w14:textFill>
                <w14:solidFill>
                  <w14:schemeClr w14:val="tx1"/>
                </w14:solidFill>
              </w14:textFill>
            </w:rPr>
            <w:instrText xml:space="preserve">TOC \o "1-3" \h \u </w:instrText>
          </w:r>
          <w:r>
            <w:rPr>
              <w:rFonts w:hint="eastAsia" w:ascii="宋体" w:hAnsi="宋体" w:eastAsia="宋体" w:cs="宋体"/>
              <w:color w:val="000000" w:themeColor="text1"/>
              <w:sz w:val="24"/>
              <w:szCs w:val="24"/>
              <w14:textFill>
                <w14:solidFill>
                  <w14:schemeClr w14:val="tx1"/>
                </w14:solidFill>
              </w14:textFill>
            </w:rPr>
            <w:fldChar w:fldCharType="separate"/>
          </w:r>
        </w:p>
        <w:p>
          <w:pPr>
            <w:pStyle w:val="23"/>
            <w:keepNext w:val="0"/>
            <w:keepLines w:val="0"/>
            <w:pageBreakBefore w:val="0"/>
            <w:widowControl/>
            <w:tabs>
              <w:tab w:val="right" w:leader="dot" w:pos="9525"/>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_Toc12874 </w:instrText>
          </w:r>
          <w:r>
            <w:rPr>
              <w:rFonts w:hint="eastAsia" w:ascii="宋体" w:hAnsi="宋体" w:eastAsia="宋体" w:cs="宋体"/>
              <w:sz w:val="24"/>
              <w:szCs w:val="24"/>
            </w:rPr>
            <w:fldChar w:fldCharType="separate"/>
          </w:r>
          <w:r>
            <w:rPr>
              <w:rFonts w:hint="eastAsia" w:ascii="宋体" w:hAnsi="宋体" w:eastAsia="宋体" w:cs="宋体"/>
              <w:sz w:val="24"/>
              <w:szCs w:val="24"/>
              <w:lang w:eastAsia="zh-CN"/>
            </w:rPr>
            <w:t>一、概述</w:t>
          </w:r>
          <w:r>
            <w:rPr>
              <w:sz w:val="24"/>
              <w:szCs w:val="24"/>
            </w:rPr>
            <w:tab/>
          </w:r>
          <w:r>
            <w:rPr>
              <w:sz w:val="24"/>
              <w:szCs w:val="24"/>
            </w:rPr>
            <w:fldChar w:fldCharType="begin"/>
          </w:r>
          <w:r>
            <w:rPr>
              <w:sz w:val="24"/>
              <w:szCs w:val="24"/>
            </w:rPr>
            <w:instrText xml:space="preserve"> PAGEREF _Toc12874 \h </w:instrText>
          </w:r>
          <w:r>
            <w:rPr>
              <w:sz w:val="24"/>
              <w:szCs w:val="24"/>
            </w:rPr>
            <w:fldChar w:fldCharType="separate"/>
          </w:r>
          <w:r>
            <w:rPr>
              <w:sz w:val="24"/>
              <w:szCs w:val="24"/>
            </w:rPr>
            <w:t>1</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26"/>
            <w:keepNext w:val="0"/>
            <w:keepLines w:val="0"/>
            <w:pageBreakBefore w:val="0"/>
            <w:widowControl/>
            <w:tabs>
              <w:tab w:val="right" w:leader="dot" w:pos="9525"/>
              <w:tab w:val="clear" w:pos="9072"/>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_Toc9694 </w:instrText>
          </w:r>
          <w:r>
            <w:rPr>
              <w:rFonts w:hint="eastAsia" w:ascii="宋体" w:hAnsi="宋体" w:eastAsia="宋体" w:cs="宋体"/>
              <w:sz w:val="24"/>
              <w:szCs w:val="24"/>
            </w:rPr>
            <w:fldChar w:fldCharType="separate"/>
          </w:r>
          <w:r>
            <w:rPr>
              <w:rFonts w:hint="eastAsia" w:ascii="宋体" w:hAnsi="宋体" w:eastAsia="宋体" w:cs="宋体"/>
              <w:bCs/>
              <w:sz w:val="24"/>
              <w:szCs w:val="24"/>
              <w:highlight w:val="none"/>
              <w:lang w:eastAsia="zh-CN"/>
            </w:rPr>
            <w:t>1</w:t>
          </w:r>
          <w:r>
            <w:rPr>
              <w:rFonts w:hint="eastAsia" w:ascii="宋体" w:hAnsi="宋体" w:eastAsia="宋体" w:cs="宋体"/>
              <w:bCs/>
              <w:sz w:val="24"/>
              <w:szCs w:val="24"/>
              <w:highlight w:val="none"/>
              <w:lang w:val="en-US" w:eastAsia="zh-CN"/>
            </w:rPr>
            <w:t>.1</w:t>
          </w:r>
          <w:r>
            <w:rPr>
              <w:rFonts w:hint="eastAsia" w:ascii="宋体" w:hAnsi="宋体" w:eastAsia="宋体" w:cs="宋体"/>
              <w:bCs/>
              <w:sz w:val="24"/>
              <w:szCs w:val="24"/>
              <w:highlight w:val="none"/>
              <w:lang w:eastAsia="zh-CN"/>
            </w:rPr>
            <w:t>任务由来</w:t>
          </w:r>
          <w:r>
            <w:rPr>
              <w:sz w:val="24"/>
              <w:szCs w:val="24"/>
            </w:rPr>
            <w:tab/>
          </w:r>
          <w:r>
            <w:rPr>
              <w:sz w:val="24"/>
              <w:szCs w:val="24"/>
            </w:rPr>
            <w:fldChar w:fldCharType="begin"/>
          </w:r>
          <w:r>
            <w:rPr>
              <w:sz w:val="24"/>
              <w:szCs w:val="24"/>
            </w:rPr>
            <w:instrText xml:space="preserve"> PAGEREF _Toc9694 \h </w:instrText>
          </w:r>
          <w:r>
            <w:rPr>
              <w:sz w:val="24"/>
              <w:szCs w:val="24"/>
            </w:rPr>
            <w:fldChar w:fldCharType="separate"/>
          </w:r>
          <w:r>
            <w:rPr>
              <w:sz w:val="24"/>
              <w:szCs w:val="24"/>
            </w:rPr>
            <w:t>1</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26"/>
            <w:keepNext w:val="0"/>
            <w:keepLines w:val="0"/>
            <w:pageBreakBefore w:val="0"/>
            <w:widowControl/>
            <w:tabs>
              <w:tab w:val="right" w:leader="dot" w:pos="9525"/>
              <w:tab w:val="clear" w:pos="9072"/>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_Toc26356 </w:instrText>
          </w:r>
          <w:r>
            <w:rPr>
              <w:rFonts w:hint="eastAsia" w:ascii="宋体" w:hAnsi="宋体" w:eastAsia="宋体" w:cs="宋体"/>
              <w:sz w:val="24"/>
              <w:szCs w:val="24"/>
            </w:rPr>
            <w:fldChar w:fldCharType="separate"/>
          </w:r>
          <w:r>
            <w:rPr>
              <w:rFonts w:hint="eastAsia" w:ascii="宋体" w:hAnsi="宋体" w:eastAsia="宋体" w:cs="宋体"/>
              <w:bCs/>
              <w:sz w:val="24"/>
              <w:szCs w:val="24"/>
              <w:highlight w:val="none"/>
              <w:lang w:val="en-US" w:eastAsia="zh-CN"/>
            </w:rPr>
            <w:t>1.2</w:t>
          </w:r>
          <w:r>
            <w:rPr>
              <w:rFonts w:hint="eastAsia" w:ascii="宋体" w:hAnsi="宋体" w:eastAsia="宋体" w:cs="宋体"/>
              <w:bCs/>
              <w:sz w:val="24"/>
              <w:szCs w:val="24"/>
              <w:highlight w:val="none"/>
              <w:lang w:eastAsia="zh-CN"/>
            </w:rPr>
            <w:t>分析判定相关情况</w:t>
          </w:r>
          <w:r>
            <w:rPr>
              <w:sz w:val="24"/>
              <w:szCs w:val="24"/>
            </w:rPr>
            <w:tab/>
          </w:r>
          <w:r>
            <w:rPr>
              <w:sz w:val="24"/>
              <w:szCs w:val="24"/>
            </w:rPr>
            <w:fldChar w:fldCharType="begin"/>
          </w:r>
          <w:r>
            <w:rPr>
              <w:sz w:val="24"/>
              <w:szCs w:val="24"/>
            </w:rPr>
            <w:instrText xml:space="preserve"> PAGEREF _Toc26356 \h </w:instrText>
          </w:r>
          <w:r>
            <w:rPr>
              <w:sz w:val="24"/>
              <w:szCs w:val="24"/>
            </w:rPr>
            <w:fldChar w:fldCharType="separate"/>
          </w:r>
          <w:r>
            <w:rPr>
              <w:sz w:val="24"/>
              <w:szCs w:val="24"/>
            </w:rPr>
            <w:t>1</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17"/>
            <w:keepNext w:val="0"/>
            <w:keepLines w:val="0"/>
            <w:pageBreakBefore w:val="0"/>
            <w:widowControl/>
            <w:tabs>
              <w:tab w:val="right" w:leader="dot" w:pos="9525"/>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_Toc31600 </w:instrText>
          </w:r>
          <w:r>
            <w:rPr>
              <w:rFonts w:hint="eastAsia" w:ascii="宋体" w:hAnsi="宋体" w:eastAsia="宋体" w:cs="宋体"/>
              <w:sz w:val="24"/>
              <w:szCs w:val="24"/>
            </w:rPr>
            <w:fldChar w:fldCharType="separate"/>
          </w:r>
          <w:r>
            <w:rPr>
              <w:rFonts w:hint="eastAsia" w:ascii="宋体" w:hAnsi="宋体" w:eastAsia="宋体" w:cs="宋体"/>
              <w:bCs/>
              <w:sz w:val="24"/>
              <w:szCs w:val="24"/>
              <w:highlight w:val="none"/>
              <w:lang w:val="en-US" w:eastAsia="zh-CN"/>
            </w:rPr>
            <w:t>1.2</w:t>
          </w:r>
          <w:r>
            <w:rPr>
              <w:rFonts w:hint="eastAsia" w:ascii="宋体" w:hAnsi="宋体" w:eastAsia="宋体" w:cs="宋体"/>
              <w:bCs/>
              <w:sz w:val="24"/>
              <w:szCs w:val="24"/>
              <w:highlight w:val="none"/>
              <w:lang w:eastAsia="zh-CN"/>
            </w:rPr>
            <w:t>.1产业政策符合性</w:t>
          </w:r>
          <w:r>
            <w:rPr>
              <w:sz w:val="24"/>
              <w:szCs w:val="24"/>
            </w:rPr>
            <w:tab/>
          </w:r>
          <w:r>
            <w:rPr>
              <w:sz w:val="24"/>
              <w:szCs w:val="24"/>
            </w:rPr>
            <w:fldChar w:fldCharType="begin"/>
          </w:r>
          <w:r>
            <w:rPr>
              <w:sz w:val="24"/>
              <w:szCs w:val="24"/>
            </w:rPr>
            <w:instrText xml:space="preserve"> PAGEREF _Toc31600 \h </w:instrText>
          </w:r>
          <w:r>
            <w:rPr>
              <w:sz w:val="24"/>
              <w:szCs w:val="24"/>
            </w:rPr>
            <w:fldChar w:fldCharType="separate"/>
          </w:r>
          <w:r>
            <w:rPr>
              <w:sz w:val="24"/>
              <w:szCs w:val="24"/>
            </w:rPr>
            <w:t>1</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17"/>
            <w:keepNext w:val="0"/>
            <w:keepLines w:val="0"/>
            <w:pageBreakBefore w:val="0"/>
            <w:widowControl/>
            <w:tabs>
              <w:tab w:val="right" w:leader="dot" w:pos="9525"/>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_Toc30006 </w:instrText>
          </w:r>
          <w:r>
            <w:rPr>
              <w:rFonts w:hint="eastAsia" w:ascii="宋体" w:hAnsi="宋体" w:eastAsia="宋体" w:cs="宋体"/>
              <w:sz w:val="24"/>
              <w:szCs w:val="24"/>
            </w:rPr>
            <w:fldChar w:fldCharType="separate"/>
          </w:r>
          <w:r>
            <w:rPr>
              <w:rFonts w:hint="eastAsia" w:ascii="宋体" w:hAnsi="宋体" w:eastAsia="宋体" w:cs="宋体"/>
              <w:bCs/>
              <w:sz w:val="24"/>
              <w:szCs w:val="24"/>
              <w:highlight w:val="none"/>
              <w:lang w:val="en-US" w:eastAsia="zh-CN"/>
            </w:rPr>
            <w:t>1.2.2环境可行性分析</w:t>
          </w:r>
          <w:r>
            <w:rPr>
              <w:sz w:val="24"/>
              <w:szCs w:val="24"/>
            </w:rPr>
            <w:tab/>
          </w:r>
          <w:r>
            <w:rPr>
              <w:sz w:val="24"/>
              <w:szCs w:val="24"/>
            </w:rPr>
            <w:fldChar w:fldCharType="begin"/>
          </w:r>
          <w:r>
            <w:rPr>
              <w:sz w:val="24"/>
              <w:szCs w:val="24"/>
            </w:rPr>
            <w:instrText xml:space="preserve"> PAGEREF _Toc30006 \h </w:instrText>
          </w:r>
          <w:r>
            <w:rPr>
              <w:sz w:val="24"/>
              <w:szCs w:val="24"/>
            </w:rPr>
            <w:fldChar w:fldCharType="separate"/>
          </w:r>
          <w:r>
            <w:rPr>
              <w:sz w:val="24"/>
              <w:szCs w:val="24"/>
            </w:rPr>
            <w:t>2</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17"/>
            <w:keepNext w:val="0"/>
            <w:keepLines w:val="0"/>
            <w:pageBreakBefore w:val="0"/>
            <w:widowControl/>
            <w:tabs>
              <w:tab w:val="right" w:leader="dot" w:pos="9525"/>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_Toc26343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lang w:val="en-US" w:eastAsia="zh-CN"/>
            </w:rPr>
            <w:t>1.2.3规划符合性</w:t>
          </w:r>
          <w:r>
            <w:rPr>
              <w:sz w:val="24"/>
              <w:szCs w:val="24"/>
            </w:rPr>
            <w:tab/>
          </w:r>
          <w:r>
            <w:rPr>
              <w:sz w:val="24"/>
              <w:szCs w:val="24"/>
            </w:rPr>
            <w:fldChar w:fldCharType="begin"/>
          </w:r>
          <w:r>
            <w:rPr>
              <w:sz w:val="24"/>
              <w:szCs w:val="24"/>
            </w:rPr>
            <w:instrText xml:space="preserve"> PAGEREF _Toc26343 \h </w:instrText>
          </w:r>
          <w:r>
            <w:rPr>
              <w:sz w:val="24"/>
              <w:szCs w:val="24"/>
            </w:rPr>
            <w:fldChar w:fldCharType="separate"/>
          </w:r>
          <w:r>
            <w:rPr>
              <w:sz w:val="24"/>
              <w:szCs w:val="24"/>
            </w:rPr>
            <w:t>2</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26"/>
            <w:keepNext w:val="0"/>
            <w:keepLines w:val="0"/>
            <w:pageBreakBefore w:val="0"/>
            <w:widowControl/>
            <w:tabs>
              <w:tab w:val="right" w:leader="dot" w:pos="9525"/>
              <w:tab w:val="clear" w:pos="9072"/>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_Toc9912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lang w:val="en-US" w:eastAsia="zh-CN"/>
            </w:rPr>
            <w:t>1.3项目特点</w:t>
          </w:r>
          <w:r>
            <w:rPr>
              <w:sz w:val="24"/>
              <w:szCs w:val="24"/>
            </w:rPr>
            <w:tab/>
          </w:r>
          <w:r>
            <w:rPr>
              <w:sz w:val="24"/>
              <w:szCs w:val="24"/>
            </w:rPr>
            <w:fldChar w:fldCharType="begin"/>
          </w:r>
          <w:r>
            <w:rPr>
              <w:sz w:val="24"/>
              <w:szCs w:val="24"/>
            </w:rPr>
            <w:instrText xml:space="preserve"> PAGEREF _Toc9912 \h </w:instrText>
          </w:r>
          <w:r>
            <w:rPr>
              <w:sz w:val="24"/>
              <w:szCs w:val="24"/>
            </w:rPr>
            <w:fldChar w:fldCharType="separate"/>
          </w:r>
          <w:r>
            <w:rPr>
              <w:sz w:val="24"/>
              <w:szCs w:val="24"/>
            </w:rPr>
            <w:t>11</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26"/>
            <w:keepNext w:val="0"/>
            <w:keepLines w:val="0"/>
            <w:pageBreakBefore w:val="0"/>
            <w:widowControl/>
            <w:tabs>
              <w:tab w:val="right" w:leader="dot" w:pos="9525"/>
              <w:tab w:val="clear" w:pos="9072"/>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_Toc21192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lang w:val="en-US" w:eastAsia="zh-CN"/>
            </w:rPr>
            <w:t>1.4</w:t>
          </w:r>
          <w:r>
            <w:rPr>
              <w:rFonts w:hint="eastAsia" w:ascii="宋体" w:hAnsi="宋体" w:eastAsia="宋体" w:cs="宋体"/>
              <w:sz w:val="24"/>
              <w:szCs w:val="24"/>
              <w:highlight w:val="none"/>
              <w:lang w:eastAsia="zh-CN"/>
            </w:rPr>
            <w:t>环境影响评价关注的主要问题</w:t>
          </w:r>
          <w:r>
            <w:rPr>
              <w:sz w:val="24"/>
              <w:szCs w:val="24"/>
            </w:rPr>
            <w:tab/>
          </w:r>
          <w:r>
            <w:rPr>
              <w:sz w:val="24"/>
              <w:szCs w:val="24"/>
            </w:rPr>
            <w:fldChar w:fldCharType="begin"/>
          </w:r>
          <w:r>
            <w:rPr>
              <w:sz w:val="24"/>
              <w:szCs w:val="24"/>
            </w:rPr>
            <w:instrText xml:space="preserve"> PAGEREF _Toc21192 \h </w:instrText>
          </w:r>
          <w:r>
            <w:rPr>
              <w:sz w:val="24"/>
              <w:szCs w:val="24"/>
            </w:rPr>
            <w:fldChar w:fldCharType="separate"/>
          </w:r>
          <w:r>
            <w:rPr>
              <w:sz w:val="24"/>
              <w:szCs w:val="24"/>
            </w:rPr>
            <w:t>11</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26"/>
            <w:keepNext w:val="0"/>
            <w:keepLines w:val="0"/>
            <w:pageBreakBefore w:val="0"/>
            <w:widowControl/>
            <w:tabs>
              <w:tab w:val="right" w:leader="dot" w:pos="9525"/>
              <w:tab w:val="clear" w:pos="9072"/>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_Toc19842 </w:instrText>
          </w:r>
          <w:r>
            <w:rPr>
              <w:rFonts w:hint="eastAsia" w:ascii="宋体" w:hAnsi="宋体" w:eastAsia="宋体" w:cs="宋体"/>
              <w:sz w:val="24"/>
              <w:szCs w:val="24"/>
            </w:rPr>
            <w:fldChar w:fldCharType="separate"/>
          </w:r>
          <w:r>
            <w:rPr>
              <w:rFonts w:hint="eastAsia" w:ascii="宋体" w:hAnsi="宋体" w:eastAsia="宋体" w:cs="宋体"/>
              <w:bCs/>
              <w:sz w:val="24"/>
              <w:szCs w:val="24"/>
              <w:highlight w:val="none"/>
              <w:lang w:val="en-US" w:eastAsia="zh-CN"/>
            </w:rPr>
            <w:t>1.5</w:t>
          </w:r>
          <w:r>
            <w:rPr>
              <w:rFonts w:hint="eastAsia" w:ascii="宋体" w:hAnsi="宋体" w:eastAsia="宋体" w:cs="宋体"/>
              <w:bCs/>
              <w:sz w:val="24"/>
              <w:szCs w:val="24"/>
              <w:highlight w:val="none"/>
              <w:lang w:eastAsia="zh-CN"/>
            </w:rPr>
            <w:t>环境影响报告书主要结论</w:t>
          </w:r>
          <w:r>
            <w:rPr>
              <w:sz w:val="24"/>
              <w:szCs w:val="24"/>
            </w:rPr>
            <w:tab/>
          </w:r>
          <w:r>
            <w:rPr>
              <w:sz w:val="24"/>
              <w:szCs w:val="24"/>
            </w:rPr>
            <w:fldChar w:fldCharType="begin"/>
          </w:r>
          <w:r>
            <w:rPr>
              <w:sz w:val="24"/>
              <w:szCs w:val="24"/>
            </w:rPr>
            <w:instrText xml:space="preserve"> PAGEREF _Toc19842 \h </w:instrText>
          </w:r>
          <w:r>
            <w:rPr>
              <w:sz w:val="24"/>
              <w:szCs w:val="24"/>
            </w:rPr>
            <w:fldChar w:fldCharType="separate"/>
          </w:r>
          <w:r>
            <w:rPr>
              <w:sz w:val="24"/>
              <w:szCs w:val="24"/>
            </w:rPr>
            <w:t>11</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23"/>
            <w:keepNext w:val="0"/>
            <w:keepLines w:val="0"/>
            <w:pageBreakBefore w:val="0"/>
            <w:widowControl/>
            <w:tabs>
              <w:tab w:val="right" w:leader="dot" w:pos="9525"/>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_Toc23620 </w:instrText>
          </w:r>
          <w:r>
            <w:rPr>
              <w:rFonts w:hint="eastAsia" w:ascii="宋体" w:hAnsi="宋体" w:eastAsia="宋体" w:cs="宋体"/>
              <w:sz w:val="24"/>
              <w:szCs w:val="24"/>
            </w:rPr>
            <w:fldChar w:fldCharType="separate"/>
          </w:r>
          <w:r>
            <w:rPr>
              <w:rFonts w:hint="eastAsia" w:ascii="宋体" w:hAnsi="宋体" w:eastAsia="宋体" w:cs="宋体"/>
              <w:sz w:val="24"/>
              <w:szCs w:val="24"/>
              <w:lang w:eastAsia="zh-CN"/>
            </w:rPr>
            <w:t>二、 总则</w:t>
          </w:r>
          <w:r>
            <w:rPr>
              <w:sz w:val="24"/>
              <w:szCs w:val="24"/>
            </w:rPr>
            <w:tab/>
          </w:r>
          <w:r>
            <w:rPr>
              <w:sz w:val="24"/>
              <w:szCs w:val="24"/>
            </w:rPr>
            <w:fldChar w:fldCharType="begin"/>
          </w:r>
          <w:r>
            <w:rPr>
              <w:sz w:val="24"/>
              <w:szCs w:val="24"/>
            </w:rPr>
            <w:instrText xml:space="preserve"> PAGEREF _Toc23620 \h </w:instrText>
          </w:r>
          <w:r>
            <w:rPr>
              <w:sz w:val="24"/>
              <w:szCs w:val="24"/>
            </w:rPr>
            <w:fldChar w:fldCharType="separate"/>
          </w:r>
          <w:r>
            <w:rPr>
              <w:sz w:val="24"/>
              <w:szCs w:val="24"/>
            </w:rPr>
            <w:t>13</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26"/>
            <w:keepNext w:val="0"/>
            <w:keepLines w:val="0"/>
            <w:pageBreakBefore w:val="0"/>
            <w:widowControl/>
            <w:tabs>
              <w:tab w:val="right" w:leader="dot" w:pos="9525"/>
              <w:tab w:val="clear" w:pos="9072"/>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_Toc35 </w:instrText>
          </w:r>
          <w:r>
            <w:rPr>
              <w:rFonts w:hint="eastAsia" w:ascii="宋体" w:hAnsi="宋体" w:eastAsia="宋体" w:cs="宋体"/>
              <w:sz w:val="24"/>
              <w:szCs w:val="24"/>
            </w:rPr>
            <w:fldChar w:fldCharType="separate"/>
          </w:r>
          <w:r>
            <w:rPr>
              <w:rFonts w:hint="eastAsia" w:ascii="宋体" w:hAnsi="宋体" w:eastAsia="宋体" w:cs="宋体"/>
              <w:bCs/>
              <w:sz w:val="24"/>
              <w:szCs w:val="24"/>
              <w:highlight w:val="none"/>
              <w:lang w:val="en-US" w:eastAsia="zh-CN"/>
            </w:rPr>
            <w:t>2.1</w:t>
          </w:r>
          <w:r>
            <w:rPr>
              <w:rFonts w:hint="eastAsia" w:ascii="宋体" w:hAnsi="宋体" w:eastAsia="宋体" w:cs="宋体"/>
              <w:bCs/>
              <w:sz w:val="24"/>
              <w:szCs w:val="24"/>
              <w:highlight w:val="none"/>
              <w:lang w:eastAsia="zh-CN"/>
            </w:rPr>
            <w:t>编制依据</w:t>
          </w:r>
          <w:r>
            <w:rPr>
              <w:sz w:val="24"/>
              <w:szCs w:val="24"/>
            </w:rPr>
            <w:tab/>
          </w:r>
          <w:r>
            <w:rPr>
              <w:sz w:val="24"/>
              <w:szCs w:val="24"/>
            </w:rPr>
            <w:fldChar w:fldCharType="begin"/>
          </w:r>
          <w:r>
            <w:rPr>
              <w:sz w:val="24"/>
              <w:szCs w:val="24"/>
            </w:rPr>
            <w:instrText xml:space="preserve"> PAGEREF _Toc35 \h </w:instrText>
          </w:r>
          <w:r>
            <w:rPr>
              <w:sz w:val="24"/>
              <w:szCs w:val="24"/>
            </w:rPr>
            <w:fldChar w:fldCharType="separate"/>
          </w:r>
          <w:r>
            <w:rPr>
              <w:sz w:val="24"/>
              <w:szCs w:val="24"/>
            </w:rPr>
            <w:t>13</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17"/>
            <w:keepNext w:val="0"/>
            <w:keepLines w:val="0"/>
            <w:pageBreakBefore w:val="0"/>
            <w:widowControl/>
            <w:tabs>
              <w:tab w:val="right" w:leader="dot" w:pos="9525"/>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_Toc32071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lang w:eastAsia="zh-CN"/>
            </w:rPr>
            <w:t>1.1法律法规及部门规章</w:t>
          </w:r>
          <w:r>
            <w:rPr>
              <w:sz w:val="24"/>
              <w:szCs w:val="24"/>
            </w:rPr>
            <w:tab/>
          </w:r>
          <w:r>
            <w:rPr>
              <w:sz w:val="24"/>
              <w:szCs w:val="24"/>
            </w:rPr>
            <w:fldChar w:fldCharType="begin"/>
          </w:r>
          <w:r>
            <w:rPr>
              <w:sz w:val="24"/>
              <w:szCs w:val="24"/>
            </w:rPr>
            <w:instrText xml:space="preserve"> PAGEREF _Toc32071 \h </w:instrText>
          </w:r>
          <w:r>
            <w:rPr>
              <w:sz w:val="24"/>
              <w:szCs w:val="24"/>
            </w:rPr>
            <w:fldChar w:fldCharType="separate"/>
          </w:r>
          <w:r>
            <w:rPr>
              <w:sz w:val="24"/>
              <w:szCs w:val="24"/>
            </w:rPr>
            <w:t>13</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17"/>
            <w:keepNext w:val="0"/>
            <w:keepLines w:val="0"/>
            <w:pageBreakBefore w:val="0"/>
            <w:widowControl/>
            <w:tabs>
              <w:tab w:val="right" w:leader="dot" w:pos="9525"/>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_Toc2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lang w:eastAsia="zh-CN"/>
            </w:rPr>
            <w:t>1.2导则规范</w:t>
          </w:r>
          <w:r>
            <w:rPr>
              <w:sz w:val="24"/>
              <w:szCs w:val="24"/>
            </w:rPr>
            <w:tab/>
          </w:r>
          <w:r>
            <w:rPr>
              <w:sz w:val="24"/>
              <w:szCs w:val="24"/>
            </w:rPr>
            <w:fldChar w:fldCharType="begin"/>
          </w:r>
          <w:r>
            <w:rPr>
              <w:sz w:val="24"/>
              <w:szCs w:val="24"/>
            </w:rPr>
            <w:instrText xml:space="preserve"> PAGEREF _Toc2 \h </w:instrText>
          </w:r>
          <w:r>
            <w:rPr>
              <w:sz w:val="24"/>
              <w:szCs w:val="24"/>
            </w:rPr>
            <w:fldChar w:fldCharType="separate"/>
          </w:r>
          <w:r>
            <w:rPr>
              <w:sz w:val="24"/>
              <w:szCs w:val="24"/>
            </w:rPr>
            <w:t>17</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17"/>
            <w:keepNext w:val="0"/>
            <w:keepLines w:val="0"/>
            <w:pageBreakBefore w:val="0"/>
            <w:widowControl/>
            <w:tabs>
              <w:tab w:val="right" w:leader="dot" w:pos="9525"/>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_Toc11271 </w:instrText>
          </w:r>
          <w:r>
            <w:rPr>
              <w:rFonts w:hint="eastAsia" w:ascii="宋体" w:hAnsi="宋体" w:eastAsia="宋体" w:cs="宋体"/>
              <w:sz w:val="24"/>
              <w:szCs w:val="24"/>
            </w:rPr>
            <w:fldChar w:fldCharType="separate"/>
          </w:r>
          <w:r>
            <w:rPr>
              <w:rFonts w:hint="eastAsia" w:ascii="宋体" w:hAnsi="宋体" w:eastAsia="宋体" w:cs="宋体"/>
              <w:bCs/>
              <w:sz w:val="24"/>
              <w:szCs w:val="24"/>
              <w:highlight w:val="none"/>
              <w:lang w:val="en-US" w:eastAsia="zh-CN"/>
            </w:rPr>
            <w:t>2.</w:t>
          </w:r>
          <w:r>
            <w:rPr>
              <w:rFonts w:hint="eastAsia" w:ascii="宋体" w:hAnsi="宋体" w:eastAsia="宋体" w:cs="宋体"/>
              <w:bCs/>
              <w:sz w:val="24"/>
              <w:szCs w:val="24"/>
              <w:highlight w:val="none"/>
              <w:lang w:eastAsia="zh-CN"/>
            </w:rPr>
            <w:t>1.</w:t>
          </w:r>
          <w:r>
            <w:rPr>
              <w:rFonts w:hint="eastAsia" w:ascii="宋体" w:hAnsi="宋体" w:eastAsia="宋体" w:cs="宋体"/>
              <w:bCs/>
              <w:sz w:val="24"/>
              <w:szCs w:val="24"/>
              <w:highlight w:val="none"/>
              <w:lang w:val="en-US" w:eastAsia="zh-CN"/>
            </w:rPr>
            <w:t>3</w:t>
          </w:r>
          <w:r>
            <w:rPr>
              <w:rFonts w:hint="eastAsia" w:ascii="宋体" w:hAnsi="宋体" w:eastAsia="宋体" w:cs="宋体"/>
              <w:bCs/>
              <w:sz w:val="24"/>
              <w:szCs w:val="24"/>
              <w:highlight w:val="none"/>
              <w:lang w:eastAsia="zh-CN"/>
            </w:rPr>
            <w:t>相关文件</w:t>
          </w:r>
          <w:r>
            <w:rPr>
              <w:sz w:val="24"/>
              <w:szCs w:val="24"/>
            </w:rPr>
            <w:tab/>
          </w:r>
          <w:r>
            <w:rPr>
              <w:sz w:val="24"/>
              <w:szCs w:val="24"/>
            </w:rPr>
            <w:fldChar w:fldCharType="begin"/>
          </w:r>
          <w:r>
            <w:rPr>
              <w:sz w:val="24"/>
              <w:szCs w:val="24"/>
            </w:rPr>
            <w:instrText xml:space="preserve"> PAGEREF _Toc11271 \h </w:instrText>
          </w:r>
          <w:r>
            <w:rPr>
              <w:sz w:val="24"/>
              <w:szCs w:val="24"/>
            </w:rPr>
            <w:fldChar w:fldCharType="separate"/>
          </w:r>
          <w:r>
            <w:rPr>
              <w:sz w:val="24"/>
              <w:szCs w:val="24"/>
            </w:rPr>
            <w:t>17</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26"/>
            <w:keepNext w:val="0"/>
            <w:keepLines w:val="0"/>
            <w:pageBreakBefore w:val="0"/>
            <w:widowControl/>
            <w:tabs>
              <w:tab w:val="right" w:leader="dot" w:pos="9525"/>
              <w:tab w:val="clear" w:pos="9072"/>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_Toc25416 </w:instrText>
          </w:r>
          <w:r>
            <w:rPr>
              <w:rFonts w:hint="eastAsia" w:ascii="宋体" w:hAnsi="宋体" w:eastAsia="宋体" w:cs="宋体"/>
              <w:sz w:val="24"/>
              <w:szCs w:val="24"/>
            </w:rPr>
            <w:fldChar w:fldCharType="separate"/>
          </w:r>
          <w:r>
            <w:rPr>
              <w:rFonts w:hint="eastAsia" w:ascii="宋体" w:hAnsi="宋体" w:eastAsia="宋体" w:cs="宋体"/>
              <w:bCs/>
              <w:sz w:val="24"/>
              <w:szCs w:val="24"/>
              <w:highlight w:val="none"/>
              <w:lang w:val="en-US" w:eastAsia="zh-CN"/>
            </w:rPr>
            <w:t>2.</w:t>
          </w:r>
          <w:r>
            <w:rPr>
              <w:rFonts w:hint="eastAsia" w:ascii="宋体" w:hAnsi="宋体" w:eastAsia="宋体" w:cs="宋体"/>
              <w:bCs/>
              <w:sz w:val="24"/>
              <w:szCs w:val="24"/>
              <w:highlight w:val="none"/>
              <w:lang w:eastAsia="zh-CN"/>
            </w:rPr>
            <w:t>2评价因子与评价标准</w:t>
          </w:r>
          <w:r>
            <w:rPr>
              <w:sz w:val="24"/>
              <w:szCs w:val="24"/>
            </w:rPr>
            <w:tab/>
          </w:r>
          <w:r>
            <w:rPr>
              <w:sz w:val="24"/>
              <w:szCs w:val="24"/>
            </w:rPr>
            <w:fldChar w:fldCharType="begin"/>
          </w:r>
          <w:r>
            <w:rPr>
              <w:sz w:val="24"/>
              <w:szCs w:val="24"/>
            </w:rPr>
            <w:instrText xml:space="preserve"> PAGEREF _Toc25416 \h </w:instrText>
          </w:r>
          <w:r>
            <w:rPr>
              <w:sz w:val="24"/>
              <w:szCs w:val="24"/>
            </w:rPr>
            <w:fldChar w:fldCharType="separate"/>
          </w:r>
          <w:r>
            <w:rPr>
              <w:sz w:val="24"/>
              <w:szCs w:val="24"/>
            </w:rPr>
            <w:t>17</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17"/>
            <w:keepNext w:val="0"/>
            <w:keepLines w:val="0"/>
            <w:pageBreakBefore w:val="0"/>
            <w:widowControl/>
            <w:tabs>
              <w:tab w:val="right" w:leader="dot" w:pos="9525"/>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_Toc17349 </w:instrText>
          </w:r>
          <w:r>
            <w:rPr>
              <w:rFonts w:hint="eastAsia" w:ascii="宋体" w:hAnsi="宋体" w:eastAsia="宋体" w:cs="宋体"/>
              <w:sz w:val="24"/>
              <w:szCs w:val="24"/>
            </w:rPr>
            <w:fldChar w:fldCharType="separate"/>
          </w:r>
          <w:r>
            <w:rPr>
              <w:rFonts w:hint="eastAsia" w:ascii="宋体" w:hAnsi="宋体" w:eastAsia="宋体" w:cs="宋体"/>
              <w:bCs/>
              <w:sz w:val="24"/>
              <w:szCs w:val="24"/>
              <w:highlight w:val="none"/>
              <w:lang w:val="en-US" w:eastAsia="zh-CN"/>
            </w:rPr>
            <w:t>2.</w:t>
          </w:r>
          <w:r>
            <w:rPr>
              <w:rFonts w:hint="eastAsia" w:ascii="宋体" w:hAnsi="宋体" w:eastAsia="宋体" w:cs="宋体"/>
              <w:bCs/>
              <w:sz w:val="24"/>
              <w:szCs w:val="24"/>
              <w:highlight w:val="none"/>
              <w:lang w:eastAsia="zh-CN"/>
            </w:rPr>
            <w:t>2.1环境影响识别</w:t>
          </w:r>
          <w:r>
            <w:rPr>
              <w:sz w:val="24"/>
              <w:szCs w:val="24"/>
            </w:rPr>
            <w:tab/>
          </w:r>
          <w:r>
            <w:rPr>
              <w:sz w:val="24"/>
              <w:szCs w:val="24"/>
            </w:rPr>
            <w:fldChar w:fldCharType="begin"/>
          </w:r>
          <w:r>
            <w:rPr>
              <w:sz w:val="24"/>
              <w:szCs w:val="24"/>
            </w:rPr>
            <w:instrText xml:space="preserve"> PAGEREF _Toc17349 \h </w:instrText>
          </w:r>
          <w:r>
            <w:rPr>
              <w:sz w:val="24"/>
              <w:szCs w:val="24"/>
            </w:rPr>
            <w:fldChar w:fldCharType="separate"/>
          </w:r>
          <w:r>
            <w:rPr>
              <w:sz w:val="24"/>
              <w:szCs w:val="24"/>
            </w:rPr>
            <w:t>17</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17"/>
            <w:keepNext w:val="0"/>
            <w:keepLines w:val="0"/>
            <w:pageBreakBefore w:val="0"/>
            <w:widowControl/>
            <w:tabs>
              <w:tab w:val="right" w:leader="dot" w:pos="9525"/>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_Toc9986 </w:instrText>
          </w:r>
          <w:r>
            <w:rPr>
              <w:rFonts w:hint="eastAsia" w:ascii="宋体" w:hAnsi="宋体" w:eastAsia="宋体" w:cs="宋体"/>
              <w:sz w:val="24"/>
              <w:szCs w:val="24"/>
            </w:rPr>
            <w:fldChar w:fldCharType="separate"/>
          </w:r>
          <w:r>
            <w:rPr>
              <w:rFonts w:hint="eastAsia" w:ascii="宋体" w:hAnsi="宋体" w:eastAsia="宋体" w:cs="宋体"/>
              <w:bCs/>
              <w:sz w:val="24"/>
              <w:szCs w:val="24"/>
              <w:highlight w:val="none"/>
              <w:lang w:val="en-US" w:eastAsia="zh-CN"/>
            </w:rPr>
            <w:t>2.</w:t>
          </w:r>
          <w:r>
            <w:rPr>
              <w:rFonts w:hint="eastAsia" w:ascii="宋体" w:hAnsi="宋体" w:eastAsia="宋体" w:cs="宋体"/>
              <w:bCs/>
              <w:sz w:val="24"/>
              <w:szCs w:val="24"/>
              <w:highlight w:val="none"/>
              <w:lang w:eastAsia="zh-CN"/>
            </w:rPr>
            <w:t>2.2评价因子筛选</w:t>
          </w:r>
          <w:r>
            <w:rPr>
              <w:sz w:val="24"/>
              <w:szCs w:val="24"/>
            </w:rPr>
            <w:tab/>
          </w:r>
          <w:r>
            <w:rPr>
              <w:sz w:val="24"/>
              <w:szCs w:val="24"/>
            </w:rPr>
            <w:fldChar w:fldCharType="begin"/>
          </w:r>
          <w:r>
            <w:rPr>
              <w:sz w:val="24"/>
              <w:szCs w:val="24"/>
            </w:rPr>
            <w:instrText xml:space="preserve"> PAGEREF _Toc9986 \h </w:instrText>
          </w:r>
          <w:r>
            <w:rPr>
              <w:sz w:val="24"/>
              <w:szCs w:val="24"/>
            </w:rPr>
            <w:fldChar w:fldCharType="separate"/>
          </w:r>
          <w:r>
            <w:rPr>
              <w:sz w:val="24"/>
              <w:szCs w:val="24"/>
            </w:rPr>
            <w:t>18</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17"/>
            <w:keepNext w:val="0"/>
            <w:keepLines w:val="0"/>
            <w:pageBreakBefore w:val="0"/>
            <w:widowControl/>
            <w:tabs>
              <w:tab w:val="right" w:leader="dot" w:pos="9525"/>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_Toc26849 </w:instrText>
          </w:r>
          <w:r>
            <w:rPr>
              <w:rFonts w:hint="eastAsia" w:ascii="宋体" w:hAnsi="宋体" w:eastAsia="宋体" w:cs="宋体"/>
              <w:sz w:val="24"/>
              <w:szCs w:val="24"/>
            </w:rPr>
            <w:fldChar w:fldCharType="separate"/>
          </w:r>
          <w:r>
            <w:rPr>
              <w:rFonts w:hint="eastAsia" w:ascii="宋体" w:hAnsi="宋体" w:eastAsia="宋体" w:cs="宋体"/>
              <w:bCs/>
              <w:sz w:val="24"/>
              <w:szCs w:val="24"/>
              <w:highlight w:val="none"/>
              <w:lang w:val="en-US" w:eastAsia="zh-CN"/>
            </w:rPr>
            <w:t>2.</w:t>
          </w:r>
          <w:r>
            <w:rPr>
              <w:rFonts w:hint="eastAsia" w:ascii="宋体" w:hAnsi="宋体" w:eastAsia="宋体" w:cs="宋体"/>
              <w:bCs/>
              <w:sz w:val="24"/>
              <w:szCs w:val="24"/>
              <w:highlight w:val="none"/>
              <w:lang w:eastAsia="zh-CN"/>
            </w:rPr>
            <w:t>2.</w:t>
          </w:r>
          <w:r>
            <w:rPr>
              <w:rFonts w:hint="eastAsia" w:ascii="宋体" w:hAnsi="宋体" w:eastAsia="宋体" w:cs="宋体"/>
              <w:bCs/>
              <w:sz w:val="24"/>
              <w:szCs w:val="24"/>
              <w:highlight w:val="none"/>
              <w:lang w:val="en-US" w:eastAsia="zh-CN"/>
            </w:rPr>
            <w:t>3</w:t>
          </w:r>
          <w:r>
            <w:rPr>
              <w:rFonts w:hint="eastAsia" w:ascii="宋体" w:hAnsi="宋体" w:eastAsia="宋体" w:cs="宋体"/>
              <w:bCs/>
              <w:sz w:val="24"/>
              <w:szCs w:val="24"/>
              <w:highlight w:val="none"/>
              <w:lang w:eastAsia="zh-CN"/>
            </w:rPr>
            <w:t>评价标准</w:t>
          </w:r>
          <w:r>
            <w:rPr>
              <w:sz w:val="24"/>
              <w:szCs w:val="24"/>
            </w:rPr>
            <w:tab/>
          </w:r>
          <w:r>
            <w:rPr>
              <w:sz w:val="24"/>
              <w:szCs w:val="24"/>
            </w:rPr>
            <w:fldChar w:fldCharType="begin"/>
          </w:r>
          <w:r>
            <w:rPr>
              <w:sz w:val="24"/>
              <w:szCs w:val="24"/>
            </w:rPr>
            <w:instrText xml:space="preserve"> PAGEREF _Toc26849 \h </w:instrText>
          </w:r>
          <w:r>
            <w:rPr>
              <w:sz w:val="24"/>
              <w:szCs w:val="24"/>
            </w:rPr>
            <w:fldChar w:fldCharType="separate"/>
          </w:r>
          <w:r>
            <w:rPr>
              <w:sz w:val="24"/>
              <w:szCs w:val="24"/>
            </w:rPr>
            <w:t>18</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26"/>
            <w:keepNext w:val="0"/>
            <w:keepLines w:val="0"/>
            <w:pageBreakBefore w:val="0"/>
            <w:widowControl/>
            <w:tabs>
              <w:tab w:val="right" w:leader="dot" w:pos="9525"/>
              <w:tab w:val="clear" w:pos="9072"/>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_Toc13164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lang w:eastAsia="zh-CN"/>
            </w:rPr>
            <w:t>3评价工作等级与评价范围</w:t>
          </w:r>
          <w:r>
            <w:rPr>
              <w:sz w:val="24"/>
              <w:szCs w:val="24"/>
            </w:rPr>
            <w:tab/>
          </w:r>
          <w:r>
            <w:rPr>
              <w:sz w:val="24"/>
              <w:szCs w:val="24"/>
            </w:rPr>
            <w:fldChar w:fldCharType="begin"/>
          </w:r>
          <w:r>
            <w:rPr>
              <w:sz w:val="24"/>
              <w:szCs w:val="24"/>
            </w:rPr>
            <w:instrText xml:space="preserve"> PAGEREF _Toc13164 \h </w:instrText>
          </w:r>
          <w:r>
            <w:rPr>
              <w:sz w:val="24"/>
              <w:szCs w:val="24"/>
            </w:rPr>
            <w:fldChar w:fldCharType="separate"/>
          </w:r>
          <w:r>
            <w:rPr>
              <w:sz w:val="24"/>
              <w:szCs w:val="24"/>
            </w:rPr>
            <w:t>22</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17"/>
            <w:keepNext w:val="0"/>
            <w:keepLines w:val="0"/>
            <w:pageBreakBefore w:val="0"/>
            <w:widowControl/>
            <w:tabs>
              <w:tab w:val="right" w:leader="dot" w:pos="9525"/>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_Toc27267 </w:instrText>
          </w:r>
          <w:r>
            <w:rPr>
              <w:rFonts w:hint="eastAsia" w:ascii="宋体" w:hAnsi="宋体" w:eastAsia="宋体" w:cs="宋体"/>
              <w:sz w:val="24"/>
              <w:szCs w:val="24"/>
            </w:rPr>
            <w:fldChar w:fldCharType="separate"/>
          </w:r>
          <w:r>
            <w:rPr>
              <w:rFonts w:hint="eastAsia" w:ascii="宋体" w:hAnsi="宋体" w:eastAsia="宋体" w:cs="宋体"/>
              <w:bCs/>
              <w:sz w:val="24"/>
              <w:szCs w:val="24"/>
              <w:highlight w:val="none"/>
              <w:lang w:val="en-US" w:eastAsia="zh-CN"/>
            </w:rPr>
            <w:t>2.</w:t>
          </w:r>
          <w:r>
            <w:rPr>
              <w:rFonts w:hint="eastAsia" w:ascii="宋体" w:hAnsi="宋体" w:eastAsia="宋体" w:cs="宋体"/>
              <w:bCs/>
              <w:sz w:val="24"/>
              <w:szCs w:val="24"/>
              <w:highlight w:val="none"/>
              <w:lang w:eastAsia="zh-CN"/>
            </w:rPr>
            <w:t>3.1评价等级</w:t>
          </w:r>
          <w:r>
            <w:rPr>
              <w:sz w:val="24"/>
              <w:szCs w:val="24"/>
            </w:rPr>
            <w:tab/>
          </w:r>
          <w:r>
            <w:rPr>
              <w:sz w:val="24"/>
              <w:szCs w:val="24"/>
            </w:rPr>
            <w:fldChar w:fldCharType="begin"/>
          </w:r>
          <w:r>
            <w:rPr>
              <w:sz w:val="24"/>
              <w:szCs w:val="24"/>
            </w:rPr>
            <w:instrText xml:space="preserve"> PAGEREF _Toc27267 \h </w:instrText>
          </w:r>
          <w:r>
            <w:rPr>
              <w:sz w:val="24"/>
              <w:szCs w:val="24"/>
            </w:rPr>
            <w:fldChar w:fldCharType="separate"/>
          </w:r>
          <w:r>
            <w:rPr>
              <w:sz w:val="24"/>
              <w:szCs w:val="24"/>
            </w:rPr>
            <w:t>22</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17"/>
            <w:keepNext w:val="0"/>
            <w:keepLines w:val="0"/>
            <w:pageBreakBefore w:val="0"/>
            <w:widowControl/>
            <w:tabs>
              <w:tab w:val="right" w:leader="dot" w:pos="9525"/>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_Toc27528 </w:instrText>
          </w:r>
          <w:r>
            <w:rPr>
              <w:rFonts w:hint="eastAsia" w:ascii="宋体" w:hAnsi="宋体" w:eastAsia="宋体" w:cs="宋体"/>
              <w:sz w:val="24"/>
              <w:szCs w:val="24"/>
            </w:rPr>
            <w:fldChar w:fldCharType="separate"/>
          </w:r>
          <w:r>
            <w:rPr>
              <w:rFonts w:hint="eastAsia" w:ascii="宋体" w:hAnsi="宋体" w:eastAsia="宋体" w:cs="宋体"/>
              <w:bCs/>
              <w:sz w:val="24"/>
              <w:szCs w:val="24"/>
              <w:highlight w:val="none"/>
              <w:lang w:val="en-US" w:eastAsia="zh-CN"/>
            </w:rPr>
            <w:t>2.</w:t>
          </w:r>
          <w:r>
            <w:rPr>
              <w:rFonts w:hint="eastAsia" w:ascii="宋体" w:hAnsi="宋体" w:eastAsia="宋体" w:cs="宋体"/>
              <w:bCs/>
              <w:sz w:val="24"/>
              <w:szCs w:val="24"/>
              <w:highlight w:val="none"/>
              <w:lang w:eastAsia="zh-CN"/>
            </w:rPr>
            <w:t>3.2评价范围</w:t>
          </w:r>
          <w:r>
            <w:rPr>
              <w:sz w:val="24"/>
              <w:szCs w:val="24"/>
            </w:rPr>
            <w:tab/>
          </w:r>
          <w:r>
            <w:rPr>
              <w:sz w:val="24"/>
              <w:szCs w:val="24"/>
            </w:rPr>
            <w:fldChar w:fldCharType="begin"/>
          </w:r>
          <w:r>
            <w:rPr>
              <w:sz w:val="24"/>
              <w:szCs w:val="24"/>
            </w:rPr>
            <w:instrText xml:space="preserve"> PAGEREF _Toc27528 \h </w:instrText>
          </w:r>
          <w:r>
            <w:rPr>
              <w:sz w:val="24"/>
              <w:szCs w:val="24"/>
            </w:rPr>
            <w:fldChar w:fldCharType="separate"/>
          </w:r>
          <w:r>
            <w:rPr>
              <w:sz w:val="24"/>
              <w:szCs w:val="24"/>
            </w:rPr>
            <w:t>26</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26"/>
            <w:keepNext w:val="0"/>
            <w:keepLines w:val="0"/>
            <w:pageBreakBefore w:val="0"/>
            <w:widowControl/>
            <w:tabs>
              <w:tab w:val="right" w:leader="dot" w:pos="9525"/>
              <w:tab w:val="clear" w:pos="9072"/>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_Toc30286 </w:instrText>
          </w:r>
          <w:r>
            <w:rPr>
              <w:rFonts w:hint="eastAsia" w:ascii="宋体" w:hAnsi="宋体" w:eastAsia="宋体" w:cs="宋体"/>
              <w:sz w:val="24"/>
              <w:szCs w:val="24"/>
            </w:rPr>
            <w:fldChar w:fldCharType="separate"/>
          </w:r>
          <w:r>
            <w:rPr>
              <w:rFonts w:hint="eastAsia" w:ascii="宋体" w:hAnsi="宋体" w:eastAsia="宋体" w:cs="宋体"/>
              <w:bCs/>
              <w:sz w:val="24"/>
              <w:szCs w:val="24"/>
              <w:highlight w:val="none"/>
              <w:lang w:val="en-US" w:eastAsia="zh-CN"/>
            </w:rPr>
            <w:t>2.</w:t>
          </w:r>
          <w:r>
            <w:rPr>
              <w:rFonts w:hint="eastAsia" w:ascii="宋体" w:hAnsi="宋体" w:eastAsia="宋体" w:cs="宋体"/>
              <w:bCs/>
              <w:sz w:val="24"/>
              <w:szCs w:val="24"/>
              <w:highlight w:val="none"/>
              <w:lang w:eastAsia="zh-CN"/>
            </w:rPr>
            <w:t>4环境功能区划</w:t>
          </w:r>
          <w:r>
            <w:rPr>
              <w:sz w:val="24"/>
              <w:szCs w:val="24"/>
            </w:rPr>
            <w:tab/>
          </w:r>
          <w:r>
            <w:rPr>
              <w:sz w:val="24"/>
              <w:szCs w:val="24"/>
            </w:rPr>
            <w:fldChar w:fldCharType="begin"/>
          </w:r>
          <w:r>
            <w:rPr>
              <w:sz w:val="24"/>
              <w:szCs w:val="24"/>
            </w:rPr>
            <w:instrText xml:space="preserve"> PAGEREF _Toc30286 \h </w:instrText>
          </w:r>
          <w:r>
            <w:rPr>
              <w:sz w:val="24"/>
              <w:szCs w:val="24"/>
            </w:rPr>
            <w:fldChar w:fldCharType="separate"/>
          </w:r>
          <w:r>
            <w:rPr>
              <w:sz w:val="24"/>
              <w:szCs w:val="24"/>
            </w:rPr>
            <w:t>26</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26"/>
            <w:keepNext w:val="0"/>
            <w:keepLines w:val="0"/>
            <w:pageBreakBefore w:val="0"/>
            <w:widowControl/>
            <w:tabs>
              <w:tab w:val="right" w:leader="dot" w:pos="9525"/>
              <w:tab w:val="clear" w:pos="9072"/>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_Toc27241 </w:instrText>
          </w:r>
          <w:r>
            <w:rPr>
              <w:rFonts w:hint="eastAsia" w:ascii="宋体" w:hAnsi="宋体" w:eastAsia="宋体" w:cs="宋体"/>
              <w:sz w:val="24"/>
              <w:szCs w:val="24"/>
            </w:rPr>
            <w:fldChar w:fldCharType="separate"/>
          </w:r>
          <w:r>
            <w:rPr>
              <w:rFonts w:hint="eastAsia" w:ascii="宋体" w:hAnsi="宋体" w:eastAsia="宋体" w:cs="宋体"/>
              <w:bCs/>
              <w:sz w:val="24"/>
              <w:szCs w:val="24"/>
              <w:highlight w:val="none"/>
              <w:lang w:val="en-US" w:eastAsia="zh-CN"/>
            </w:rPr>
            <w:t>2.5</w:t>
          </w:r>
          <w:r>
            <w:rPr>
              <w:rFonts w:hint="eastAsia" w:ascii="宋体" w:hAnsi="宋体" w:eastAsia="宋体" w:cs="宋体"/>
              <w:bCs/>
              <w:sz w:val="24"/>
              <w:szCs w:val="24"/>
              <w:highlight w:val="none"/>
              <w:lang w:eastAsia="zh-CN"/>
            </w:rPr>
            <w:t>环境保护目标</w:t>
          </w:r>
          <w:r>
            <w:rPr>
              <w:sz w:val="24"/>
              <w:szCs w:val="24"/>
            </w:rPr>
            <w:tab/>
          </w:r>
          <w:r>
            <w:rPr>
              <w:sz w:val="24"/>
              <w:szCs w:val="24"/>
            </w:rPr>
            <w:fldChar w:fldCharType="begin"/>
          </w:r>
          <w:r>
            <w:rPr>
              <w:sz w:val="24"/>
              <w:szCs w:val="24"/>
            </w:rPr>
            <w:instrText xml:space="preserve"> PAGEREF _Toc27241 \h </w:instrText>
          </w:r>
          <w:r>
            <w:rPr>
              <w:sz w:val="24"/>
              <w:szCs w:val="24"/>
            </w:rPr>
            <w:fldChar w:fldCharType="separate"/>
          </w:r>
          <w:r>
            <w:rPr>
              <w:sz w:val="24"/>
              <w:szCs w:val="24"/>
            </w:rPr>
            <w:t>26</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23"/>
            <w:keepNext w:val="0"/>
            <w:keepLines w:val="0"/>
            <w:pageBreakBefore w:val="0"/>
            <w:widowControl/>
            <w:tabs>
              <w:tab w:val="right" w:leader="dot" w:pos="9525"/>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_Toc22277 </w:instrText>
          </w:r>
          <w:r>
            <w:rPr>
              <w:rFonts w:hint="eastAsia" w:ascii="宋体" w:hAnsi="宋体" w:eastAsia="宋体" w:cs="宋体"/>
              <w:sz w:val="24"/>
              <w:szCs w:val="24"/>
            </w:rPr>
            <w:fldChar w:fldCharType="separate"/>
          </w:r>
          <w:r>
            <w:rPr>
              <w:rFonts w:hint="eastAsia" w:ascii="宋体" w:hAnsi="宋体" w:eastAsia="宋体" w:cs="宋体"/>
              <w:sz w:val="24"/>
              <w:szCs w:val="24"/>
              <w:lang w:eastAsia="zh-CN"/>
            </w:rPr>
            <w:t xml:space="preserve">三、 </w:t>
          </w:r>
          <w:r>
            <w:rPr>
              <w:rFonts w:hint="eastAsia" w:ascii="宋体" w:hAnsi="宋体" w:eastAsia="宋体" w:cs="宋体"/>
              <w:sz w:val="24"/>
              <w:szCs w:val="24"/>
              <w:lang w:val="en-US" w:eastAsia="zh-CN"/>
            </w:rPr>
            <w:t>工程分析</w:t>
          </w:r>
          <w:r>
            <w:rPr>
              <w:sz w:val="24"/>
              <w:szCs w:val="24"/>
            </w:rPr>
            <w:tab/>
          </w:r>
          <w:r>
            <w:rPr>
              <w:sz w:val="24"/>
              <w:szCs w:val="24"/>
            </w:rPr>
            <w:fldChar w:fldCharType="begin"/>
          </w:r>
          <w:r>
            <w:rPr>
              <w:sz w:val="24"/>
              <w:szCs w:val="24"/>
            </w:rPr>
            <w:instrText xml:space="preserve"> PAGEREF _Toc22277 \h </w:instrText>
          </w:r>
          <w:r>
            <w:rPr>
              <w:sz w:val="24"/>
              <w:szCs w:val="24"/>
            </w:rPr>
            <w:fldChar w:fldCharType="separate"/>
          </w:r>
          <w:r>
            <w:rPr>
              <w:sz w:val="24"/>
              <w:szCs w:val="24"/>
            </w:rPr>
            <w:t>28</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26"/>
            <w:keepNext w:val="0"/>
            <w:keepLines w:val="0"/>
            <w:pageBreakBefore w:val="0"/>
            <w:widowControl/>
            <w:tabs>
              <w:tab w:val="right" w:leader="dot" w:pos="9525"/>
              <w:tab w:val="clear" w:pos="9072"/>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_Toc25562 </w:instrText>
          </w:r>
          <w:r>
            <w:rPr>
              <w:rFonts w:hint="eastAsia" w:ascii="宋体" w:hAnsi="宋体" w:eastAsia="宋体" w:cs="宋体"/>
              <w:sz w:val="24"/>
              <w:szCs w:val="24"/>
            </w:rPr>
            <w:fldChar w:fldCharType="separate"/>
          </w:r>
          <w:r>
            <w:rPr>
              <w:rFonts w:hint="eastAsia" w:ascii="宋体" w:hAnsi="宋体" w:eastAsia="宋体" w:cs="宋体"/>
              <w:bCs/>
              <w:sz w:val="24"/>
              <w:szCs w:val="24"/>
              <w:highlight w:val="none"/>
              <w:lang w:val="en-US" w:eastAsia="zh-CN"/>
            </w:rPr>
            <w:t>3.1现有工程</w:t>
          </w:r>
          <w:r>
            <w:rPr>
              <w:sz w:val="24"/>
              <w:szCs w:val="24"/>
            </w:rPr>
            <w:tab/>
          </w:r>
          <w:r>
            <w:rPr>
              <w:sz w:val="24"/>
              <w:szCs w:val="24"/>
            </w:rPr>
            <w:fldChar w:fldCharType="begin"/>
          </w:r>
          <w:r>
            <w:rPr>
              <w:sz w:val="24"/>
              <w:szCs w:val="24"/>
            </w:rPr>
            <w:instrText xml:space="preserve"> PAGEREF _Toc25562 \h </w:instrText>
          </w:r>
          <w:r>
            <w:rPr>
              <w:sz w:val="24"/>
              <w:szCs w:val="24"/>
            </w:rPr>
            <w:fldChar w:fldCharType="separate"/>
          </w:r>
          <w:r>
            <w:rPr>
              <w:sz w:val="24"/>
              <w:szCs w:val="24"/>
            </w:rPr>
            <w:t>28</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17"/>
            <w:keepNext w:val="0"/>
            <w:keepLines w:val="0"/>
            <w:pageBreakBefore w:val="0"/>
            <w:widowControl/>
            <w:tabs>
              <w:tab w:val="right" w:leader="dot" w:pos="9525"/>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_Toc32013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lang w:val="en-US" w:eastAsia="zh-CN"/>
            </w:rPr>
            <w:t>3.1.1在建项目概况</w:t>
          </w:r>
          <w:r>
            <w:rPr>
              <w:sz w:val="24"/>
              <w:szCs w:val="24"/>
            </w:rPr>
            <w:tab/>
          </w:r>
          <w:r>
            <w:rPr>
              <w:sz w:val="24"/>
              <w:szCs w:val="24"/>
            </w:rPr>
            <w:fldChar w:fldCharType="begin"/>
          </w:r>
          <w:r>
            <w:rPr>
              <w:sz w:val="24"/>
              <w:szCs w:val="24"/>
            </w:rPr>
            <w:instrText xml:space="preserve"> PAGEREF _Toc32013 \h </w:instrText>
          </w:r>
          <w:r>
            <w:rPr>
              <w:sz w:val="24"/>
              <w:szCs w:val="24"/>
            </w:rPr>
            <w:fldChar w:fldCharType="separate"/>
          </w:r>
          <w:r>
            <w:rPr>
              <w:sz w:val="24"/>
              <w:szCs w:val="24"/>
            </w:rPr>
            <w:t>28</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17"/>
            <w:keepNext w:val="0"/>
            <w:keepLines w:val="0"/>
            <w:pageBreakBefore w:val="0"/>
            <w:widowControl/>
            <w:tabs>
              <w:tab w:val="right" w:leader="dot" w:pos="9525"/>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_Toc2896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lang w:val="en-US" w:eastAsia="zh-CN"/>
            </w:rPr>
            <w:t>3.1.2总平面设计</w:t>
          </w:r>
          <w:r>
            <w:rPr>
              <w:sz w:val="24"/>
              <w:szCs w:val="24"/>
            </w:rPr>
            <w:tab/>
          </w:r>
          <w:r>
            <w:rPr>
              <w:sz w:val="24"/>
              <w:szCs w:val="24"/>
            </w:rPr>
            <w:fldChar w:fldCharType="begin"/>
          </w:r>
          <w:r>
            <w:rPr>
              <w:sz w:val="24"/>
              <w:szCs w:val="24"/>
            </w:rPr>
            <w:instrText xml:space="preserve"> PAGEREF _Toc2896 \h </w:instrText>
          </w:r>
          <w:r>
            <w:rPr>
              <w:sz w:val="24"/>
              <w:szCs w:val="24"/>
            </w:rPr>
            <w:fldChar w:fldCharType="separate"/>
          </w:r>
          <w:r>
            <w:rPr>
              <w:sz w:val="24"/>
              <w:szCs w:val="24"/>
            </w:rPr>
            <w:t>28</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17"/>
            <w:keepNext w:val="0"/>
            <w:keepLines w:val="0"/>
            <w:pageBreakBefore w:val="0"/>
            <w:widowControl/>
            <w:tabs>
              <w:tab w:val="right" w:leader="dot" w:pos="9525"/>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_Toc18468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lang w:val="en-US" w:eastAsia="zh-CN"/>
            </w:rPr>
            <w:t>3.1.3在建项目产品方案及主要建设内容</w:t>
          </w:r>
          <w:r>
            <w:rPr>
              <w:sz w:val="24"/>
              <w:szCs w:val="24"/>
            </w:rPr>
            <w:tab/>
          </w:r>
          <w:r>
            <w:rPr>
              <w:sz w:val="24"/>
              <w:szCs w:val="24"/>
            </w:rPr>
            <w:fldChar w:fldCharType="begin"/>
          </w:r>
          <w:r>
            <w:rPr>
              <w:sz w:val="24"/>
              <w:szCs w:val="24"/>
            </w:rPr>
            <w:instrText xml:space="preserve"> PAGEREF _Toc18468 \h </w:instrText>
          </w:r>
          <w:r>
            <w:rPr>
              <w:sz w:val="24"/>
              <w:szCs w:val="24"/>
            </w:rPr>
            <w:fldChar w:fldCharType="separate"/>
          </w:r>
          <w:r>
            <w:rPr>
              <w:sz w:val="24"/>
              <w:szCs w:val="24"/>
            </w:rPr>
            <w:t>29</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17"/>
            <w:keepNext w:val="0"/>
            <w:keepLines w:val="0"/>
            <w:pageBreakBefore w:val="0"/>
            <w:widowControl/>
            <w:tabs>
              <w:tab w:val="right" w:leader="dot" w:pos="9525"/>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_Toc15168 </w:instrText>
          </w:r>
          <w:r>
            <w:rPr>
              <w:rFonts w:hint="eastAsia" w:ascii="宋体" w:hAnsi="宋体" w:eastAsia="宋体" w:cs="宋体"/>
              <w:sz w:val="24"/>
              <w:szCs w:val="24"/>
            </w:rPr>
            <w:fldChar w:fldCharType="separate"/>
          </w:r>
          <w:r>
            <w:rPr>
              <w:rFonts w:hint="eastAsia" w:ascii="宋体" w:hAnsi="宋体" w:eastAsia="宋体" w:cs="宋体"/>
              <w:kern w:val="0"/>
              <w:sz w:val="24"/>
              <w:szCs w:val="24"/>
              <w:highlight w:val="none"/>
              <w:lang w:val="en-US" w:eastAsia="zh-CN" w:bidi="ar-SA"/>
            </w:rPr>
            <w:t>3.1.4现有工程主要生产设备</w:t>
          </w:r>
          <w:r>
            <w:rPr>
              <w:sz w:val="24"/>
              <w:szCs w:val="24"/>
            </w:rPr>
            <w:tab/>
          </w:r>
          <w:r>
            <w:rPr>
              <w:sz w:val="24"/>
              <w:szCs w:val="24"/>
            </w:rPr>
            <w:fldChar w:fldCharType="begin"/>
          </w:r>
          <w:r>
            <w:rPr>
              <w:sz w:val="24"/>
              <w:szCs w:val="24"/>
            </w:rPr>
            <w:instrText xml:space="preserve"> PAGEREF _Toc15168 \h </w:instrText>
          </w:r>
          <w:r>
            <w:rPr>
              <w:sz w:val="24"/>
              <w:szCs w:val="24"/>
            </w:rPr>
            <w:fldChar w:fldCharType="separate"/>
          </w:r>
          <w:r>
            <w:rPr>
              <w:sz w:val="24"/>
              <w:szCs w:val="24"/>
            </w:rPr>
            <w:t>30</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17"/>
            <w:keepNext w:val="0"/>
            <w:keepLines w:val="0"/>
            <w:pageBreakBefore w:val="0"/>
            <w:widowControl/>
            <w:tabs>
              <w:tab w:val="right" w:leader="dot" w:pos="9525"/>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_Toc979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lang w:val="en-US" w:eastAsia="zh-CN"/>
            </w:rPr>
            <w:t>3.1.5现有工程原辅材料</w:t>
          </w:r>
          <w:r>
            <w:rPr>
              <w:sz w:val="24"/>
              <w:szCs w:val="24"/>
            </w:rPr>
            <w:tab/>
          </w:r>
          <w:r>
            <w:rPr>
              <w:sz w:val="24"/>
              <w:szCs w:val="24"/>
            </w:rPr>
            <w:fldChar w:fldCharType="begin"/>
          </w:r>
          <w:r>
            <w:rPr>
              <w:sz w:val="24"/>
              <w:szCs w:val="24"/>
            </w:rPr>
            <w:instrText xml:space="preserve"> PAGEREF _Toc979 \h </w:instrText>
          </w:r>
          <w:r>
            <w:rPr>
              <w:sz w:val="24"/>
              <w:szCs w:val="24"/>
            </w:rPr>
            <w:fldChar w:fldCharType="separate"/>
          </w:r>
          <w:r>
            <w:rPr>
              <w:sz w:val="24"/>
              <w:szCs w:val="24"/>
            </w:rPr>
            <w:t>32</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17"/>
            <w:keepNext w:val="0"/>
            <w:keepLines w:val="0"/>
            <w:pageBreakBefore w:val="0"/>
            <w:widowControl/>
            <w:tabs>
              <w:tab w:val="right" w:leader="dot" w:pos="9525"/>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_Toc10322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lang w:val="en-US" w:eastAsia="zh-CN"/>
            </w:rPr>
            <w:t>3.1.6现有工程生产工艺流程</w:t>
          </w:r>
          <w:r>
            <w:rPr>
              <w:sz w:val="24"/>
              <w:szCs w:val="24"/>
            </w:rPr>
            <w:tab/>
          </w:r>
          <w:r>
            <w:rPr>
              <w:sz w:val="24"/>
              <w:szCs w:val="24"/>
            </w:rPr>
            <w:fldChar w:fldCharType="begin"/>
          </w:r>
          <w:r>
            <w:rPr>
              <w:sz w:val="24"/>
              <w:szCs w:val="24"/>
            </w:rPr>
            <w:instrText xml:space="preserve"> PAGEREF _Toc10322 \h </w:instrText>
          </w:r>
          <w:r>
            <w:rPr>
              <w:sz w:val="24"/>
              <w:szCs w:val="24"/>
            </w:rPr>
            <w:fldChar w:fldCharType="separate"/>
          </w:r>
          <w:r>
            <w:rPr>
              <w:sz w:val="24"/>
              <w:szCs w:val="24"/>
            </w:rPr>
            <w:t>34</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17"/>
            <w:keepNext w:val="0"/>
            <w:keepLines w:val="0"/>
            <w:pageBreakBefore w:val="0"/>
            <w:widowControl/>
            <w:tabs>
              <w:tab w:val="right" w:leader="dot" w:pos="9525"/>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_Toc21599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lang w:val="en-US" w:eastAsia="zh-CN"/>
            </w:rPr>
            <w:t>3.1.7现有工程污染源分析</w:t>
          </w:r>
          <w:r>
            <w:rPr>
              <w:sz w:val="24"/>
              <w:szCs w:val="24"/>
            </w:rPr>
            <w:tab/>
          </w:r>
          <w:r>
            <w:rPr>
              <w:sz w:val="24"/>
              <w:szCs w:val="24"/>
            </w:rPr>
            <w:fldChar w:fldCharType="begin"/>
          </w:r>
          <w:r>
            <w:rPr>
              <w:sz w:val="24"/>
              <w:szCs w:val="24"/>
            </w:rPr>
            <w:instrText xml:space="preserve"> PAGEREF _Toc21599 \h </w:instrText>
          </w:r>
          <w:r>
            <w:rPr>
              <w:sz w:val="24"/>
              <w:szCs w:val="24"/>
            </w:rPr>
            <w:fldChar w:fldCharType="separate"/>
          </w:r>
          <w:r>
            <w:rPr>
              <w:sz w:val="24"/>
              <w:szCs w:val="24"/>
            </w:rPr>
            <w:t>36</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17"/>
            <w:keepNext w:val="0"/>
            <w:keepLines w:val="0"/>
            <w:pageBreakBefore w:val="0"/>
            <w:widowControl/>
            <w:tabs>
              <w:tab w:val="right" w:leader="dot" w:pos="9525"/>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_Toc1803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lang w:val="en-US" w:eastAsia="zh-CN"/>
            </w:rPr>
            <w:t>3.1.9现有工程总量控制</w:t>
          </w:r>
          <w:r>
            <w:rPr>
              <w:sz w:val="24"/>
              <w:szCs w:val="24"/>
            </w:rPr>
            <w:tab/>
          </w:r>
          <w:r>
            <w:rPr>
              <w:sz w:val="24"/>
              <w:szCs w:val="24"/>
            </w:rPr>
            <w:fldChar w:fldCharType="begin"/>
          </w:r>
          <w:r>
            <w:rPr>
              <w:sz w:val="24"/>
              <w:szCs w:val="24"/>
            </w:rPr>
            <w:instrText xml:space="preserve"> PAGEREF _Toc1803 \h </w:instrText>
          </w:r>
          <w:r>
            <w:rPr>
              <w:sz w:val="24"/>
              <w:szCs w:val="24"/>
            </w:rPr>
            <w:fldChar w:fldCharType="separate"/>
          </w:r>
          <w:r>
            <w:rPr>
              <w:sz w:val="24"/>
              <w:szCs w:val="24"/>
            </w:rPr>
            <w:t>38</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17"/>
            <w:keepNext w:val="0"/>
            <w:keepLines w:val="0"/>
            <w:pageBreakBefore w:val="0"/>
            <w:widowControl/>
            <w:tabs>
              <w:tab w:val="right" w:leader="dot" w:pos="9525"/>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_Toc64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lang w:val="en-US" w:eastAsia="zh-CN"/>
            </w:rPr>
            <w:t>3.1.10存在的问题及整改措施</w:t>
          </w:r>
          <w:r>
            <w:rPr>
              <w:sz w:val="24"/>
              <w:szCs w:val="24"/>
            </w:rPr>
            <w:tab/>
          </w:r>
          <w:r>
            <w:rPr>
              <w:sz w:val="24"/>
              <w:szCs w:val="24"/>
            </w:rPr>
            <w:fldChar w:fldCharType="begin"/>
          </w:r>
          <w:r>
            <w:rPr>
              <w:sz w:val="24"/>
              <w:szCs w:val="24"/>
            </w:rPr>
            <w:instrText xml:space="preserve"> PAGEREF _Toc64 \h </w:instrText>
          </w:r>
          <w:r>
            <w:rPr>
              <w:sz w:val="24"/>
              <w:szCs w:val="24"/>
            </w:rPr>
            <w:fldChar w:fldCharType="separate"/>
          </w:r>
          <w:r>
            <w:rPr>
              <w:sz w:val="24"/>
              <w:szCs w:val="24"/>
            </w:rPr>
            <w:t>38</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26"/>
            <w:keepNext w:val="0"/>
            <w:keepLines w:val="0"/>
            <w:pageBreakBefore w:val="0"/>
            <w:widowControl/>
            <w:tabs>
              <w:tab w:val="right" w:leader="dot" w:pos="9525"/>
              <w:tab w:val="clear" w:pos="9072"/>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_Toc32737 </w:instrText>
          </w:r>
          <w:r>
            <w:rPr>
              <w:rFonts w:hint="eastAsia" w:ascii="宋体" w:hAnsi="宋体" w:eastAsia="宋体" w:cs="宋体"/>
              <w:sz w:val="24"/>
              <w:szCs w:val="24"/>
            </w:rPr>
            <w:fldChar w:fldCharType="separate"/>
          </w:r>
          <w:r>
            <w:rPr>
              <w:rFonts w:hint="eastAsia" w:ascii="宋体" w:hAnsi="宋体" w:eastAsia="宋体" w:cs="宋体"/>
              <w:bCs/>
              <w:sz w:val="24"/>
              <w:szCs w:val="24"/>
              <w:highlight w:val="none"/>
              <w:lang w:val="en-US" w:eastAsia="zh-CN"/>
            </w:rPr>
            <w:t>3.2拟建工程概况</w:t>
          </w:r>
          <w:r>
            <w:rPr>
              <w:sz w:val="24"/>
              <w:szCs w:val="24"/>
            </w:rPr>
            <w:tab/>
          </w:r>
          <w:r>
            <w:rPr>
              <w:sz w:val="24"/>
              <w:szCs w:val="24"/>
            </w:rPr>
            <w:fldChar w:fldCharType="begin"/>
          </w:r>
          <w:r>
            <w:rPr>
              <w:sz w:val="24"/>
              <w:szCs w:val="24"/>
            </w:rPr>
            <w:instrText xml:space="preserve"> PAGEREF _Toc32737 \h </w:instrText>
          </w:r>
          <w:r>
            <w:rPr>
              <w:sz w:val="24"/>
              <w:szCs w:val="24"/>
            </w:rPr>
            <w:fldChar w:fldCharType="separate"/>
          </w:r>
          <w:r>
            <w:rPr>
              <w:sz w:val="24"/>
              <w:szCs w:val="24"/>
            </w:rPr>
            <w:t>38</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17"/>
            <w:keepNext w:val="0"/>
            <w:keepLines w:val="0"/>
            <w:pageBreakBefore w:val="0"/>
            <w:widowControl/>
            <w:tabs>
              <w:tab w:val="right" w:leader="dot" w:pos="9525"/>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_Toc8818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lang w:val="en-US" w:eastAsia="zh-CN"/>
            </w:rPr>
            <w:t>3.2.1总体概况</w:t>
          </w:r>
          <w:r>
            <w:rPr>
              <w:sz w:val="24"/>
              <w:szCs w:val="24"/>
            </w:rPr>
            <w:tab/>
          </w:r>
          <w:r>
            <w:rPr>
              <w:sz w:val="24"/>
              <w:szCs w:val="24"/>
            </w:rPr>
            <w:fldChar w:fldCharType="begin"/>
          </w:r>
          <w:r>
            <w:rPr>
              <w:sz w:val="24"/>
              <w:szCs w:val="24"/>
            </w:rPr>
            <w:instrText xml:space="preserve"> PAGEREF _Toc8818 \h </w:instrText>
          </w:r>
          <w:r>
            <w:rPr>
              <w:sz w:val="24"/>
              <w:szCs w:val="24"/>
            </w:rPr>
            <w:fldChar w:fldCharType="separate"/>
          </w:r>
          <w:r>
            <w:rPr>
              <w:sz w:val="24"/>
              <w:szCs w:val="24"/>
            </w:rPr>
            <w:t>38</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17"/>
            <w:keepNext w:val="0"/>
            <w:keepLines w:val="0"/>
            <w:pageBreakBefore w:val="0"/>
            <w:widowControl/>
            <w:tabs>
              <w:tab w:val="right" w:leader="dot" w:pos="9525"/>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_Toc29714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lang w:val="en-US" w:eastAsia="zh-CN"/>
            </w:rPr>
            <w:t>3.2.2项目组成</w:t>
          </w:r>
          <w:r>
            <w:rPr>
              <w:sz w:val="24"/>
              <w:szCs w:val="24"/>
            </w:rPr>
            <w:tab/>
          </w:r>
          <w:r>
            <w:rPr>
              <w:sz w:val="24"/>
              <w:szCs w:val="24"/>
            </w:rPr>
            <w:fldChar w:fldCharType="begin"/>
          </w:r>
          <w:r>
            <w:rPr>
              <w:sz w:val="24"/>
              <w:szCs w:val="24"/>
            </w:rPr>
            <w:instrText xml:space="preserve"> PAGEREF _Toc29714 \h </w:instrText>
          </w:r>
          <w:r>
            <w:rPr>
              <w:sz w:val="24"/>
              <w:szCs w:val="24"/>
            </w:rPr>
            <w:fldChar w:fldCharType="separate"/>
          </w:r>
          <w:r>
            <w:rPr>
              <w:sz w:val="24"/>
              <w:szCs w:val="24"/>
            </w:rPr>
            <w:t>38</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17"/>
            <w:keepNext w:val="0"/>
            <w:keepLines w:val="0"/>
            <w:pageBreakBefore w:val="0"/>
            <w:widowControl/>
            <w:tabs>
              <w:tab w:val="right" w:leader="dot" w:pos="9525"/>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_Toc29970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lang w:val="en-US" w:eastAsia="zh-CN"/>
            </w:rPr>
            <w:t>3.2.3总平面布置</w:t>
          </w:r>
          <w:r>
            <w:rPr>
              <w:sz w:val="24"/>
              <w:szCs w:val="24"/>
            </w:rPr>
            <w:tab/>
          </w:r>
          <w:r>
            <w:rPr>
              <w:sz w:val="24"/>
              <w:szCs w:val="24"/>
            </w:rPr>
            <w:fldChar w:fldCharType="begin"/>
          </w:r>
          <w:r>
            <w:rPr>
              <w:sz w:val="24"/>
              <w:szCs w:val="24"/>
            </w:rPr>
            <w:instrText xml:space="preserve"> PAGEREF _Toc29970 \h </w:instrText>
          </w:r>
          <w:r>
            <w:rPr>
              <w:sz w:val="24"/>
              <w:szCs w:val="24"/>
            </w:rPr>
            <w:fldChar w:fldCharType="separate"/>
          </w:r>
          <w:r>
            <w:rPr>
              <w:sz w:val="24"/>
              <w:szCs w:val="24"/>
            </w:rPr>
            <w:t>40</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17"/>
            <w:keepNext w:val="0"/>
            <w:keepLines w:val="0"/>
            <w:pageBreakBefore w:val="0"/>
            <w:widowControl/>
            <w:tabs>
              <w:tab w:val="right" w:leader="dot" w:pos="9525"/>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_Toc4138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lang w:val="en-US" w:eastAsia="zh-CN"/>
            </w:rPr>
            <w:t>3.2.4产品方案</w:t>
          </w:r>
          <w:r>
            <w:rPr>
              <w:sz w:val="24"/>
              <w:szCs w:val="24"/>
            </w:rPr>
            <w:tab/>
          </w:r>
          <w:r>
            <w:rPr>
              <w:sz w:val="24"/>
              <w:szCs w:val="24"/>
            </w:rPr>
            <w:fldChar w:fldCharType="begin"/>
          </w:r>
          <w:r>
            <w:rPr>
              <w:sz w:val="24"/>
              <w:szCs w:val="24"/>
            </w:rPr>
            <w:instrText xml:space="preserve"> PAGEREF _Toc4138 \h </w:instrText>
          </w:r>
          <w:r>
            <w:rPr>
              <w:sz w:val="24"/>
              <w:szCs w:val="24"/>
            </w:rPr>
            <w:fldChar w:fldCharType="separate"/>
          </w:r>
          <w:r>
            <w:rPr>
              <w:sz w:val="24"/>
              <w:szCs w:val="24"/>
            </w:rPr>
            <w:t>40</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17"/>
            <w:keepNext w:val="0"/>
            <w:keepLines w:val="0"/>
            <w:pageBreakBefore w:val="0"/>
            <w:widowControl/>
            <w:tabs>
              <w:tab w:val="right" w:leader="dot" w:pos="9525"/>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_Toc32268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lang w:val="en-US" w:eastAsia="zh-CN"/>
            </w:rPr>
            <w:t>3.2.5原辅材料及能源消耗</w:t>
          </w:r>
          <w:r>
            <w:rPr>
              <w:sz w:val="24"/>
              <w:szCs w:val="24"/>
            </w:rPr>
            <w:tab/>
          </w:r>
          <w:r>
            <w:rPr>
              <w:sz w:val="24"/>
              <w:szCs w:val="24"/>
            </w:rPr>
            <w:fldChar w:fldCharType="begin"/>
          </w:r>
          <w:r>
            <w:rPr>
              <w:sz w:val="24"/>
              <w:szCs w:val="24"/>
            </w:rPr>
            <w:instrText xml:space="preserve"> PAGEREF _Toc32268 \h </w:instrText>
          </w:r>
          <w:r>
            <w:rPr>
              <w:sz w:val="24"/>
              <w:szCs w:val="24"/>
            </w:rPr>
            <w:fldChar w:fldCharType="separate"/>
          </w:r>
          <w:r>
            <w:rPr>
              <w:sz w:val="24"/>
              <w:szCs w:val="24"/>
            </w:rPr>
            <w:t>41</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17"/>
            <w:keepNext w:val="0"/>
            <w:keepLines w:val="0"/>
            <w:pageBreakBefore w:val="0"/>
            <w:widowControl/>
            <w:tabs>
              <w:tab w:val="right" w:leader="dot" w:pos="9525"/>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_Toc27289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lang w:val="en-US" w:eastAsia="zh-CN"/>
            </w:rPr>
            <w:t>3.2.6主要生产设备</w:t>
          </w:r>
          <w:r>
            <w:rPr>
              <w:sz w:val="24"/>
              <w:szCs w:val="24"/>
            </w:rPr>
            <w:tab/>
          </w:r>
          <w:r>
            <w:rPr>
              <w:sz w:val="24"/>
              <w:szCs w:val="24"/>
            </w:rPr>
            <w:fldChar w:fldCharType="begin"/>
          </w:r>
          <w:r>
            <w:rPr>
              <w:sz w:val="24"/>
              <w:szCs w:val="24"/>
            </w:rPr>
            <w:instrText xml:space="preserve"> PAGEREF _Toc27289 \h </w:instrText>
          </w:r>
          <w:r>
            <w:rPr>
              <w:sz w:val="24"/>
              <w:szCs w:val="24"/>
            </w:rPr>
            <w:fldChar w:fldCharType="separate"/>
          </w:r>
          <w:r>
            <w:rPr>
              <w:sz w:val="24"/>
              <w:szCs w:val="24"/>
            </w:rPr>
            <w:t>43</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17"/>
            <w:keepNext w:val="0"/>
            <w:keepLines w:val="0"/>
            <w:pageBreakBefore w:val="0"/>
            <w:widowControl/>
            <w:tabs>
              <w:tab w:val="right" w:leader="dot" w:pos="9525"/>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_Toc26438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lang w:val="en-US" w:eastAsia="zh-CN"/>
            </w:rPr>
            <w:t>3.2.7公用工程</w:t>
          </w:r>
          <w:r>
            <w:rPr>
              <w:sz w:val="24"/>
              <w:szCs w:val="24"/>
            </w:rPr>
            <w:tab/>
          </w:r>
          <w:r>
            <w:rPr>
              <w:sz w:val="24"/>
              <w:szCs w:val="24"/>
            </w:rPr>
            <w:fldChar w:fldCharType="begin"/>
          </w:r>
          <w:r>
            <w:rPr>
              <w:sz w:val="24"/>
              <w:szCs w:val="24"/>
            </w:rPr>
            <w:instrText xml:space="preserve"> PAGEREF _Toc26438 \h </w:instrText>
          </w:r>
          <w:r>
            <w:rPr>
              <w:sz w:val="24"/>
              <w:szCs w:val="24"/>
            </w:rPr>
            <w:fldChar w:fldCharType="separate"/>
          </w:r>
          <w:r>
            <w:rPr>
              <w:sz w:val="24"/>
              <w:szCs w:val="24"/>
            </w:rPr>
            <w:t>44</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17"/>
            <w:keepNext w:val="0"/>
            <w:keepLines w:val="0"/>
            <w:pageBreakBefore w:val="0"/>
            <w:widowControl/>
            <w:tabs>
              <w:tab w:val="right" w:leader="dot" w:pos="9525"/>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_Toc15223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lang w:val="en-US" w:eastAsia="zh-CN"/>
            </w:rPr>
            <w:t>3.2.8工作制度</w:t>
          </w:r>
          <w:r>
            <w:rPr>
              <w:sz w:val="24"/>
              <w:szCs w:val="24"/>
            </w:rPr>
            <w:tab/>
          </w:r>
          <w:r>
            <w:rPr>
              <w:sz w:val="24"/>
              <w:szCs w:val="24"/>
            </w:rPr>
            <w:fldChar w:fldCharType="begin"/>
          </w:r>
          <w:r>
            <w:rPr>
              <w:sz w:val="24"/>
              <w:szCs w:val="24"/>
            </w:rPr>
            <w:instrText xml:space="preserve"> PAGEREF _Toc15223 \h </w:instrText>
          </w:r>
          <w:r>
            <w:rPr>
              <w:sz w:val="24"/>
              <w:szCs w:val="24"/>
            </w:rPr>
            <w:fldChar w:fldCharType="separate"/>
          </w:r>
          <w:r>
            <w:rPr>
              <w:sz w:val="24"/>
              <w:szCs w:val="24"/>
            </w:rPr>
            <w:t>46</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26"/>
            <w:keepNext w:val="0"/>
            <w:keepLines w:val="0"/>
            <w:pageBreakBefore w:val="0"/>
            <w:widowControl/>
            <w:tabs>
              <w:tab w:val="right" w:leader="dot" w:pos="9525"/>
              <w:tab w:val="clear" w:pos="9072"/>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_Toc27819 </w:instrText>
          </w:r>
          <w:r>
            <w:rPr>
              <w:rFonts w:hint="eastAsia" w:ascii="宋体" w:hAnsi="宋体" w:eastAsia="宋体" w:cs="宋体"/>
              <w:sz w:val="24"/>
              <w:szCs w:val="24"/>
            </w:rPr>
            <w:fldChar w:fldCharType="separate"/>
          </w:r>
          <w:r>
            <w:rPr>
              <w:rFonts w:hint="eastAsia" w:ascii="宋体" w:hAnsi="宋体" w:eastAsia="宋体" w:cs="宋体"/>
              <w:bCs/>
              <w:sz w:val="24"/>
              <w:szCs w:val="24"/>
              <w:highlight w:val="none"/>
              <w:lang w:val="en-US" w:eastAsia="zh-CN"/>
            </w:rPr>
            <w:t>3.3建设项目工程分析</w:t>
          </w:r>
          <w:r>
            <w:rPr>
              <w:sz w:val="24"/>
              <w:szCs w:val="24"/>
            </w:rPr>
            <w:tab/>
          </w:r>
          <w:r>
            <w:rPr>
              <w:sz w:val="24"/>
              <w:szCs w:val="24"/>
            </w:rPr>
            <w:fldChar w:fldCharType="begin"/>
          </w:r>
          <w:r>
            <w:rPr>
              <w:sz w:val="24"/>
              <w:szCs w:val="24"/>
            </w:rPr>
            <w:instrText xml:space="preserve"> PAGEREF _Toc27819 \h </w:instrText>
          </w:r>
          <w:r>
            <w:rPr>
              <w:sz w:val="24"/>
              <w:szCs w:val="24"/>
            </w:rPr>
            <w:fldChar w:fldCharType="separate"/>
          </w:r>
          <w:r>
            <w:rPr>
              <w:sz w:val="24"/>
              <w:szCs w:val="24"/>
            </w:rPr>
            <w:t>46</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17"/>
            <w:keepNext w:val="0"/>
            <w:keepLines w:val="0"/>
            <w:pageBreakBefore w:val="0"/>
            <w:widowControl/>
            <w:tabs>
              <w:tab w:val="right" w:leader="dot" w:pos="9525"/>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_Toc27243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lang w:val="en-US" w:eastAsia="zh-CN"/>
            </w:rPr>
            <w:t>3.3.1热亚胺化法生产工艺及产污节点分析</w:t>
          </w:r>
          <w:r>
            <w:rPr>
              <w:sz w:val="24"/>
              <w:szCs w:val="24"/>
            </w:rPr>
            <w:tab/>
          </w:r>
          <w:r>
            <w:rPr>
              <w:sz w:val="24"/>
              <w:szCs w:val="24"/>
            </w:rPr>
            <w:fldChar w:fldCharType="begin"/>
          </w:r>
          <w:r>
            <w:rPr>
              <w:sz w:val="24"/>
              <w:szCs w:val="24"/>
            </w:rPr>
            <w:instrText xml:space="preserve"> PAGEREF _Toc27243 \h </w:instrText>
          </w:r>
          <w:r>
            <w:rPr>
              <w:sz w:val="24"/>
              <w:szCs w:val="24"/>
            </w:rPr>
            <w:fldChar w:fldCharType="separate"/>
          </w:r>
          <w:r>
            <w:rPr>
              <w:sz w:val="24"/>
              <w:szCs w:val="24"/>
            </w:rPr>
            <w:t>46</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17"/>
            <w:keepNext w:val="0"/>
            <w:keepLines w:val="0"/>
            <w:pageBreakBefore w:val="0"/>
            <w:widowControl/>
            <w:tabs>
              <w:tab w:val="right" w:leader="dot" w:pos="9525"/>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_Toc11529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3.3.2污染源源强核算</w:t>
          </w:r>
          <w:r>
            <w:rPr>
              <w:sz w:val="24"/>
              <w:szCs w:val="24"/>
            </w:rPr>
            <w:tab/>
          </w:r>
          <w:r>
            <w:rPr>
              <w:sz w:val="24"/>
              <w:szCs w:val="24"/>
            </w:rPr>
            <w:fldChar w:fldCharType="begin"/>
          </w:r>
          <w:r>
            <w:rPr>
              <w:sz w:val="24"/>
              <w:szCs w:val="24"/>
            </w:rPr>
            <w:instrText xml:space="preserve"> PAGEREF _Toc11529 \h </w:instrText>
          </w:r>
          <w:r>
            <w:rPr>
              <w:sz w:val="24"/>
              <w:szCs w:val="24"/>
            </w:rPr>
            <w:fldChar w:fldCharType="separate"/>
          </w:r>
          <w:r>
            <w:rPr>
              <w:sz w:val="24"/>
              <w:szCs w:val="24"/>
            </w:rPr>
            <w:t>55</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17"/>
            <w:keepNext w:val="0"/>
            <w:keepLines w:val="0"/>
            <w:pageBreakBefore w:val="0"/>
            <w:widowControl/>
            <w:tabs>
              <w:tab w:val="right" w:leader="dot" w:pos="9525"/>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_Toc8643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lang w:eastAsia="zh-CN"/>
            </w:rPr>
            <w:t>3.3</w:t>
          </w:r>
          <w:r>
            <w:rPr>
              <w:rFonts w:hint="eastAsia" w:ascii="宋体" w:hAnsi="宋体" w:eastAsia="宋体" w:cs="宋体"/>
              <w:sz w:val="24"/>
              <w:szCs w:val="24"/>
              <w:highlight w:val="none"/>
              <w:lang w:val="en-US" w:eastAsia="zh-CN"/>
            </w:rPr>
            <w:t>“三本账”</w:t>
          </w:r>
          <w:r>
            <w:rPr>
              <w:sz w:val="24"/>
              <w:szCs w:val="24"/>
            </w:rPr>
            <w:tab/>
          </w:r>
          <w:r>
            <w:rPr>
              <w:sz w:val="24"/>
              <w:szCs w:val="24"/>
            </w:rPr>
            <w:fldChar w:fldCharType="begin"/>
          </w:r>
          <w:r>
            <w:rPr>
              <w:sz w:val="24"/>
              <w:szCs w:val="24"/>
            </w:rPr>
            <w:instrText xml:space="preserve"> PAGEREF _Toc8643 \h </w:instrText>
          </w:r>
          <w:r>
            <w:rPr>
              <w:sz w:val="24"/>
              <w:szCs w:val="24"/>
            </w:rPr>
            <w:fldChar w:fldCharType="separate"/>
          </w:r>
          <w:r>
            <w:rPr>
              <w:sz w:val="24"/>
              <w:szCs w:val="24"/>
            </w:rPr>
            <w:t>63</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23"/>
            <w:keepNext w:val="0"/>
            <w:keepLines w:val="0"/>
            <w:pageBreakBefore w:val="0"/>
            <w:widowControl/>
            <w:tabs>
              <w:tab w:val="right" w:leader="dot" w:pos="9525"/>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_Toc12120 </w:instrText>
          </w:r>
          <w:r>
            <w:rPr>
              <w:rFonts w:hint="eastAsia" w:ascii="宋体" w:hAnsi="宋体" w:eastAsia="宋体" w:cs="宋体"/>
              <w:sz w:val="24"/>
              <w:szCs w:val="24"/>
            </w:rPr>
            <w:fldChar w:fldCharType="separate"/>
          </w:r>
          <w:r>
            <w:rPr>
              <w:rFonts w:hint="eastAsia" w:ascii="宋体" w:hAnsi="宋体" w:eastAsia="宋体" w:cs="宋体"/>
              <w:sz w:val="24"/>
              <w:szCs w:val="24"/>
              <w:lang w:eastAsia="zh-CN"/>
            </w:rPr>
            <w:t xml:space="preserve">四、 </w:t>
          </w:r>
          <w:r>
            <w:rPr>
              <w:rFonts w:hint="eastAsia" w:ascii="宋体" w:hAnsi="宋体" w:eastAsia="宋体" w:cs="宋体"/>
              <w:sz w:val="24"/>
              <w:szCs w:val="24"/>
              <w:lang w:val="en-US" w:eastAsia="zh-CN"/>
            </w:rPr>
            <w:t>区域环境概况</w:t>
          </w:r>
          <w:r>
            <w:rPr>
              <w:sz w:val="24"/>
              <w:szCs w:val="24"/>
            </w:rPr>
            <w:tab/>
          </w:r>
          <w:r>
            <w:rPr>
              <w:sz w:val="24"/>
              <w:szCs w:val="24"/>
            </w:rPr>
            <w:fldChar w:fldCharType="begin"/>
          </w:r>
          <w:r>
            <w:rPr>
              <w:sz w:val="24"/>
              <w:szCs w:val="24"/>
            </w:rPr>
            <w:instrText xml:space="preserve"> PAGEREF _Toc12120 \h </w:instrText>
          </w:r>
          <w:r>
            <w:rPr>
              <w:sz w:val="24"/>
              <w:szCs w:val="24"/>
            </w:rPr>
            <w:fldChar w:fldCharType="separate"/>
          </w:r>
          <w:r>
            <w:rPr>
              <w:sz w:val="24"/>
              <w:szCs w:val="24"/>
            </w:rPr>
            <w:t>64</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26"/>
            <w:keepNext w:val="0"/>
            <w:keepLines w:val="0"/>
            <w:pageBreakBefore w:val="0"/>
            <w:widowControl/>
            <w:tabs>
              <w:tab w:val="right" w:leader="dot" w:pos="9525"/>
              <w:tab w:val="clear" w:pos="9072"/>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_Toc13882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lang w:val="en-US" w:eastAsia="zh-CN"/>
            </w:rPr>
            <w:t>4.1</w:t>
          </w:r>
          <w:r>
            <w:rPr>
              <w:rFonts w:hint="eastAsia" w:ascii="宋体" w:hAnsi="宋体" w:eastAsia="宋体" w:cs="宋体"/>
              <w:sz w:val="24"/>
              <w:szCs w:val="24"/>
              <w:highlight w:val="none"/>
              <w:lang w:eastAsia="zh-CN"/>
            </w:rPr>
            <w:t>自然环境概况</w:t>
          </w:r>
          <w:r>
            <w:rPr>
              <w:sz w:val="24"/>
              <w:szCs w:val="24"/>
            </w:rPr>
            <w:tab/>
          </w:r>
          <w:r>
            <w:rPr>
              <w:sz w:val="24"/>
              <w:szCs w:val="24"/>
            </w:rPr>
            <w:fldChar w:fldCharType="begin"/>
          </w:r>
          <w:r>
            <w:rPr>
              <w:sz w:val="24"/>
              <w:szCs w:val="24"/>
            </w:rPr>
            <w:instrText xml:space="preserve"> PAGEREF _Toc13882 \h </w:instrText>
          </w:r>
          <w:r>
            <w:rPr>
              <w:sz w:val="24"/>
              <w:szCs w:val="24"/>
            </w:rPr>
            <w:fldChar w:fldCharType="separate"/>
          </w:r>
          <w:r>
            <w:rPr>
              <w:sz w:val="24"/>
              <w:szCs w:val="24"/>
            </w:rPr>
            <w:t>64</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17"/>
            <w:keepNext w:val="0"/>
            <w:keepLines w:val="0"/>
            <w:pageBreakBefore w:val="0"/>
            <w:widowControl/>
            <w:tabs>
              <w:tab w:val="right" w:leader="dot" w:pos="9525"/>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_Toc18818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lang w:eastAsia="zh-CN"/>
            </w:rPr>
            <w:t>1.1地理位置</w:t>
          </w:r>
          <w:r>
            <w:rPr>
              <w:sz w:val="24"/>
              <w:szCs w:val="24"/>
            </w:rPr>
            <w:tab/>
          </w:r>
          <w:r>
            <w:rPr>
              <w:sz w:val="24"/>
              <w:szCs w:val="24"/>
            </w:rPr>
            <w:fldChar w:fldCharType="begin"/>
          </w:r>
          <w:r>
            <w:rPr>
              <w:sz w:val="24"/>
              <w:szCs w:val="24"/>
            </w:rPr>
            <w:instrText xml:space="preserve"> PAGEREF _Toc18818 \h </w:instrText>
          </w:r>
          <w:r>
            <w:rPr>
              <w:sz w:val="24"/>
              <w:szCs w:val="24"/>
            </w:rPr>
            <w:fldChar w:fldCharType="separate"/>
          </w:r>
          <w:r>
            <w:rPr>
              <w:sz w:val="24"/>
              <w:szCs w:val="24"/>
            </w:rPr>
            <w:t>64</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17"/>
            <w:keepNext w:val="0"/>
            <w:keepLines w:val="0"/>
            <w:pageBreakBefore w:val="0"/>
            <w:widowControl/>
            <w:tabs>
              <w:tab w:val="right" w:leader="dot" w:pos="9525"/>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_Toc23121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lang w:eastAsia="zh-CN"/>
            </w:rPr>
            <w:t>1.2地形、地貌、地质</w:t>
          </w:r>
          <w:r>
            <w:rPr>
              <w:sz w:val="24"/>
              <w:szCs w:val="24"/>
            </w:rPr>
            <w:tab/>
          </w:r>
          <w:r>
            <w:rPr>
              <w:sz w:val="24"/>
              <w:szCs w:val="24"/>
            </w:rPr>
            <w:fldChar w:fldCharType="begin"/>
          </w:r>
          <w:r>
            <w:rPr>
              <w:sz w:val="24"/>
              <w:szCs w:val="24"/>
            </w:rPr>
            <w:instrText xml:space="preserve"> PAGEREF _Toc23121 \h </w:instrText>
          </w:r>
          <w:r>
            <w:rPr>
              <w:sz w:val="24"/>
              <w:szCs w:val="24"/>
            </w:rPr>
            <w:fldChar w:fldCharType="separate"/>
          </w:r>
          <w:r>
            <w:rPr>
              <w:sz w:val="24"/>
              <w:szCs w:val="24"/>
            </w:rPr>
            <w:t>64</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17"/>
            <w:keepNext w:val="0"/>
            <w:keepLines w:val="0"/>
            <w:pageBreakBefore w:val="0"/>
            <w:widowControl/>
            <w:tabs>
              <w:tab w:val="right" w:leader="dot" w:pos="9525"/>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_Toc16544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lang w:eastAsia="zh-CN"/>
            </w:rPr>
            <w:t>1.3土壤、</w:t>
          </w:r>
          <w:r>
            <w:rPr>
              <w:rFonts w:hint="eastAsia" w:ascii="宋体" w:hAnsi="宋体" w:eastAsia="宋体" w:cs="宋体"/>
              <w:sz w:val="24"/>
              <w:szCs w:val="24"/>
              <w:highlight w:val="none"/>
              <w:lang w:val="en-US" w:eastAsia="zh-CN"/>
            </w:rPr>
            <w:t>植被</w:t>
          </w:r>
          <w:r>
            <w:rPr>
              <w:sz w:val="24"/>
              <w:szCs w:val="24"/>
            </w:rPr>
            <w:tab/>
          </w:r>
          <w:r>
            <w:rPr>
              <w:sz w:val="24"/>
              <w:szCs w:val="24"/>
            </w:rPr>
            <w:fldChar w:fldCharType="begin"/>
          </w:r>
          <w:r>
            <w:rPr>
              <w:sz w:val="24"/>
              <w:szCs w:val="24"/>
            </w:rPr>
            <w:instrText xml:space="preserve"> PAGEREF _Toc16544 \h </w:instrText>
          </w:r>
          <w:r>
            <w:rPr>
              <w:sz w:val="24"/>
              <w:szCs w:val="24"/>
            </w:rPr>
            <w:fldChar w:fldCharType="separate"/>
          </w:r>
          <w:r>
            <w:rPr>
              <w:sz w:val="24"/>
              <w:szCs w:val="24"/>
            </w:rPr>
            <w:t>64</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17"/>
            <w:keepNext w:val="0"/>
            <w:keepLines w:val="0"/>
            <w:pageBreakBefore w:val="0"/>
            <w:widowControl/>
            <w:tabs>
              <w:tab w:val="right" w:leader="dot" w:pos="9525"/>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_Toc6509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lang w:eastAsia="zh-CN"/>
            </w:rPr>
            <w:t>1.4区域地表水系</w:t>
          </w:r>
          <w:r>
            <w:rPr>
              <w:sz w:val="24"/>
              <w:szCs w:val="24"/>
            </w:rPr>
            <w:tab/>
          </w:r>
          <w:r>
            <w:rPr>
              <w:sz w:val="24"/>
              <w:szCs w:val="24"/>
            </w:rPr>
            <w:fldChar w:fldCharType="begin"/>
          </w:r>
          <w:r>
            <w:rPr>
              <w:sz w:val="24"/>
              <w:szCs w:val="24"/>
            </w:rPr>
            <w:instrText xml:space="preserve"> PAGEREF _Toc6509 \h </w:instrText>
          </w:r>
          <w:r>
            <w:rPr>
              <w:sz w:val="24"/>
              <w:szCs w:val="24"/>
            </w:rPr>
            <w:fldChar w:fldCharType="separate"/>
          </w:r>
          <w:r>
            <w:rPr>
              <w:sz w:val="24"/>
              <w:szCs w:val="24"/>
            </w:rPr>
            <w:t>64</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26"/>
            <w:keepNext w:val="0"/>
            <w:keepLines w:val="0"/>
            <w:pageBreakBefore w:val="0"/>
            <w:widowControl/>
            <w:tabs>
              <w:tab w:val="right" w:leader="dot" w:pos="9525"/>
              <w:tab w:val="clear" w:pos="9072"/>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_Toc10762 </w:instrText>
          </w:r>
          <w:r>
            <w:rPr>
              <w:rFonts w:hint="eastAsia" w:ascii="宋体" w:hAnsi="宋体" w:eastAsia="宋体" w:cs="宋体"/>
              <w:sz w:val="24"/>
              <w:szCs w:val="24"/>
            </w:rPr>
            <w:fldChar w:fldCharType="separate"/>
          </w:r>
          <w:r>
            <w:rPr>
              <w:rFonts w:hint="eastAsia" w:ascii="宋体" w:hAnsi="宋体" w:eastAsia="宋体" w:cs="宋体"/>
              <w:kern w:val="2"/>
              <w:sz w:val="24"/>
              <w:szCs w:val="24"/>
              <w:highlight w:val="none"/>
              <w:lang w:val="en-US" w:eastAsia="zh-CN"/>
            </w:rPr>
            <w:t>4.2</w:t>
          </w:r>
          <w:r>
            <w:rPr>
              <w:rFonts w:hint="eastAsia" w:ascii="宋体" w:hAnsi="宋体" w:eastAsia="宋体" w:cs="宋体"/>
              <w:kern w:val="2"/>
              <w:sz w:val="24"/>
              <w:szCs w:val="24"/>
              <w:highlight w:val="none"/>
              <w:lang w:val="zh-CN"/>
            </w:rPr>
            <w:t>环境质量现状调查与评价</w:t>
          </w:r>
          <w:r>
            <w:rPr>
              <w:sz w:val="24"/>
              <w:szCs w:val="24"/>
            </w:rPr>
            <w:tab/>
          </w:r>
          <w:r>
            <w:rPr>
              <w:sz w:val="24"/>
              <w:szCs w:val="24"/>
            </w:rPr>
            <w:fldChar w:fldCharType="begin"/>
          </w:r>
          <w:r>
            <w:rPr>
              <w:sz w:val="24"/>
              <w:szCs w:val="24"/>
            </w:rPr>
            <w:instrText xml:space="preserve"> PAGEREF _Toc10762 \h </w:instrText>
          </w:r>
          <w:r>
            <w:rPr>
              <w:sz w:val="24"/>
              <w:szCs w:val="24"/>
            </w:rPr>
            <w:fldChar w:fldCharType="separate"/>
          </w:r>
          <w:r>
            <w:rPr>
              <w:sz w:val="24"/>
              <w:szCs w:val="24"/>
            </w:rPr>
            <w:t>66</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17"/>
            <w:keepNext w:val="0"/>
            <w:keepLines w:val="0"/>
            <w:pageBreakBefore w:val="0"/>
            <w:widowControl/>
            <w:tabs>
              <w:tab w:val="right" w:leader="dot" w:pos="9525"/>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_Toc11417 </w:instrText>
          </w:r>
          <w:r>
            <w:rPr>
              <w:rFonts w:hint="eastAsia" w:ascii="宋体" w:hAnsi="宋体" w:eastAsia="宋体" w:cs="宋体"/>
              <w:sz w:val="24"/>
              <w:szCs w:val="24"/>
            </w:rPr>
            <w:fldChar w:fldCharType="separate"/>
          </w:r>
          <w:r>
            <w:rPr>
              <w:rFonts w:hint="eastAsia" w:ascii="宋体" w:hAnsi="宋体" w:eastAsia="宋体" w:cs="宋体"/>
              <w:bCs/>
              <w:sz w:val="24"/>
              <w:szCs w:val="24"/>
              <w:highlight w:val="none"/>
              <w:lang w:val="en-US" w:eastAsia="zh-CN"/>
            </w:rPr>
            <w:t>4.</w:t>
          </w:r>
          <w:r>
            <w:rPr>
              <w:rFonts w:hint="eastAsia" w:ascii="宋体" w:hAnsi="宋体" w:eastAsia="宋体" w:cs="宋体"/>
              <w:bCs/>
              <w:sz w:val="24"/>
              <w:szCs w:val="24"/>
              <w:highlight w:val="none"/>
              <w:lang w:eastAsia="zh-CN"/>
            </w:rPr>
            <w:t>2.1地表水</w:t>
          </w:r>
          <w:r>
            <w:rPr>
              <w:sz w:val="24"/>
              <w:szCs w:val="24"/>
            </w:rPr>
            <w:tab/>
          </w:r>
          <w:r>
            <w:rPr>
              <w:sz w:val="24"/>
              <w:szCs w:val="24"/>
            </w:rPr>
            <w:fldChar w:fldCharType="begin"/>
          </w:r>
          <w:r>
            <w:rPr>
              <w:sz w:val="24"/>
              <w:szCs w:val="24"/>
            </w:rPr>
            <w:instrText xml:space="preserve"> PAGEREF _Toc11417 \h </w:instrText>
          </w:r>
          <w:r>
            <w:rPr>
              <w:sz w:val="24"/>
              <w:szCs w:val="24"/>
            </w:rPr>
            <w:fldChar w:fldCharType="separate"/>
          </w:r>
          <w:r>
            <w:rPr>
              <w:sz w:val="24"/>
              <w:szCs w:val="24"/>
            </w:rPr>
            <w:t>66</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17"/>
            <w:keepNext w:val="0"/>
            <w:keepLines w:val="0"/>
            <w:pageBreakBefore w:val="0"/>
            <w:widowControl/>
            <w:tabs>
              <w:tab w:val="right" w:leader="dot" w:pos="9525"/>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_Toc14180 </w:instrText>
          </w:r>
          <w:r>
            <w:rPr>
              <w:rFonts w:hint="eastAsia" w:ascii="宋体" w:hAnsi="宋体" w:eastAsia="宋体" w:cs="宋体"/>
              <w:sz w:val="24"/>
              <w:szCs w:val="24"/>
            </w:rPr>
            <w:fldChar w:fldCharType="separate"/>
          </w:r>
          <w:r>
            <w:rPr>
              <w:rFonts w:hint="eastAsia" w:ascii="宋体" w:hAnsi="宋体" w:eastAsia="宋体" w:cs="宋体"/>
              <w:bCs/>
              <w:sz w:val="24"/>
              <w:szCs w:val="24"/>
              <w:highlight w:val="none"/>
              <w:lang w:val="en-US" w:eastAsia="zh-CN"/>
            </w:rPr>
            <w:t>4.</w:t>
          </w:r>
          <w:r>
            <w:rPr>
              <w:rFonts w:hint="eastAsia" w:ascii="宋体" w:hAnsi="宋体" w:eastAsia="宋体" w:cs="宋体"/>
              <w:bCs/>
              <w:sz w:val="24"/>
              <w:szCs w:val="24"/>
              <w:highlight w:val="none"/>
              <w:lang w:eastAsia="zh-CN"/>
            </w:rPr>
            <w:t>2.2大气</w:t>
          </w:r>
          <w:r>
            <w:rPr>
              <w:sz w:val="24"/>
              <w:szCs w:val="24"/>
            </w:rPr>
            <w:tab/>
          </w:r>
          <w:r>
            <w:rPr>
              <w:sz w:val="24"/>
              <w:szCs w:val="24"/>
            </w:rPr>
            <w:fldChar w:fldCharType="begin"/>
          </w:r>
          <w:r>
            <w:rPr>
              <w:sz w:val="24"/>
              <w:szCs w:val="24"/>
            </w:rPr>
            <w:instrText xml:space="preserve"> PAGEREF _Toc14180 \h </w:instrText>
          </w:r>
          <w:r>
            <w:rPr>
              <w:sz w:val="24"/>
              <w:szCs w:val="24"/>
            </w:rPr>
            <w:fldChar w:fldCharType="separate"/>
          </w:r>
          <w:r>
            <w:rPr>
              <w:sz w:val="24"/>
              <w:szCs w:val="24"/>
            </w:rPr>
            <w:t>66</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17"/>
            <w:keepNext w:val="0"/>
            <w:keepLines w:val="0"/>
            <w:pageBreakBefore w:val="0"/>
            <w:widowControl/>
            <w:tabs>
              <w:tab w:val="right" w:leader="dot" w:pos="9525"/>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_Toc4237 </w:instrText>
          </w:r>
          <w:r>
            <w:rPr>
              <w:rFonts w:hint="eastAsia" w:ascii="宋体" w:hAnsi="宋体" w:eastAsia="宋体" w:cs="宋体"/>
              <w:sz w:val="24"/>
              <w:szCs w:val="24"/>
            </w:rPr>
            <w:fldChar w:fldCharType="separate"/>
          </w:r>
          <w:r>
            <w:rPr>
              <w:rFonts w:hint="eastAsia" w:ascii="宋体" w:hAnsi="宋体" w:eastAsia="宋体" w:cs="宋体"/>
              <w:bCs/>
              <w:sz w:val="24"/>
              <w:szCs w:val="24"/>
              <w:highlight w:val="none"/>
              <w:lang w:val="en-US" w:eastAsia="zh-CN"/>
            </w:rPr>
            <w:t>4.</w:t>
          </w:r>
          <w:r>
            <w:rPr>
              <w:rFonts w:hint="eastAsia" w:ascii="宋体" w:hAnsi="宋体" w:eastAsia="宋体" w:cs="宋体"/>
              <w:bCs/>
              <w:sz w:val="24"/>
              <w:szCs w:val="24"/>
              <w:highlight w:val="none"/>
              <w:lang w:eastAsia="zh-CN"/>
            </w:rPr>
            <w:t>2.3声环境</w:t>
          </w:r>
          <w:r>
            <w:rPr>
              <w:sz w:val="24"/>
              <w:szCs w:val="24"/>
            </w:rPr>
            <w:tab/>
          </w:r>
          <w:r>
            <w:rPr>
              <w:sz w:val="24"/>
              <w:szCs w:val="24"/>
            </w:rPr>
            <w:fldChar w:fldCharType="begin"/>
          </w:r>
          <w:r>
            <w:rPr>
              <w:sz w:val="24"/>
              <w:szCs w:val="24"/>
            </w:rPr>
            <w:instrText xml:space="preserve"> PAGEREF _Toc4237 \h </w:instrText>
          </w:r>
          <w:r>
            <w:rPr>
              <w:sz w:val="24"/>
              <w:szCs w:val="24"/>
            </w:rPr>
            <w:fldChar w:fldCharType="separate"/>
          </w:r>
          <w:r>
            <w:rPr>
              <w:sz w:val="24"/>
              <w:szCs w:val="24"/>
            </w:rPr>
            <w:t>67</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17"/>
            <w:keepNext w:val="0"/>
            <w:keepLines w:val="0"/>
            <w:pageBreakBefore w:val="0"/>
            <w:widowControl/>
            <w:tabs>
              <w:tab w:val="right" w:leader="dot" w:pos="9525"/>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_Toc17829 </w:instrText>
          </w:r>
          <w:r>
            <w:rPr>
              <w:rFonts w:hint="eastAsia" w:ascii="宋体" w:hAnsi="宋体" w:eastAsia="宋体" w:cs="宋体"/>
              <w:sz w:val="24"/>
              <w:szCs w:val="24"/>
            </w:rPr>
            <w:fldChar w:fldCharType="separate"/>
          </w:r>
          <w:r>
            <w:rPr>
              <w:rFonts w:hint="eastAsia" w:ascii="宋体" w:hAnsi="宋体" w:eastAsia="宋体" w:cs="宋体"/>
              <w:bCs/>
              <w:sz w:val="24"/>
              <w:szCs w:val="24"/>
              <w:highlight w:val="none"/>
              <w:lang w:val="en-US" w:eastAsia="zh-CN"/>
            </w:rPr>
            <w:t>4.</w:t>
          </w:r>
          <w:r>
            <w:rPr>
              <w:rFonts w:hint="eastAsia" w:ascii="宋体" w:hAnsi="宋体" w:eastAsia="宋体" w:cs="宋体"/>
              <w:bCs/>
              <w:sz w:val="24"/>
              <w:szCs w:val="24"/>
              <w:highlight w:val="none"/>
              <w:lang w:eastAsia="zh-CN"/>
            </w:rPr>
            <w:t>2.</w:t>
          </w:r>
          <w:r>
            <w:rPr>
              <w:rFonts w:hint="eastAsia" w:ascii="宋体" w:hAnsi="宋体" w:eastAsia="宋体" w:cs="宋体"/>
              <w:bCs/>
              <w:sz w:val="24"/>
              <w:szCs w:val="24"/>
              <w:highlight w:val="none"/>
              <w:lang w:val="en-US" w:eastAsia="zh-CN"/>
            </w:rPr>
            <w:t>4</w:t>
          </w:r>
          <w:r>
            <w:rPr>
              <w:rFonts w:hint="eastAsia" w:ascii="宋体" w:hAnsi="宋体" w:eastAsia="宋体" w:cs="宋体"/>
              <w:bCs/>
              <w:sz w:val="24"/>
              <w:szCs w:val="24"/>
              <w:highlight w:val="none"/>
              <w:lang w:eastAsia="zh-CN"/>
            </w:rPr>
            <w:t>土壤</w:t>
          </w:r>
          <w:r>
            <w:rPr>
              <w:sz w:val="24"/>
              <w:szCs w:val="24"/>
            </w:rPr>
            <w:tab/>
          </w:r>
          <w:r>
            <w:rPr>
              <w:sz w:val="24"/>
              <w:szCs w:val="24"/>
            </w:rPr>
            <w:fldChar w:fldCharType="begin"/>
          </w:r>
          <w:r>
            <w:rPr>
              <w:sz w:val="24"/>
              <w:szCs w:val="24"/>
            </w:rPr>
            <w:instrText xml:space="preserve"> PAGEREF _Toc17829 \h </w:instrText>
          </w:r>
          <w:r>
            <w:rPr>
              <w:sz w:val="24"/>
              <w:szCs w:val="24"/>
            </w:rPr>
            <w:fldChar w:fldCharType="separate"/>
          </w:r>
          <w:r>
            <w:rPr>
              <w:sz w:val="24"/>
              <w:szCs w:val="24"/>
            </w:rPr>
            <w:t>68</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17"/>
            <w:keepNext w:val="0"/>
            <w:keepLines w:val="0"/>
            <w:pageBreakBefore w:val="0"/>
            <w:widowControl/>
            <w:tabs>
              <w:tab w:val="right" w:leader="dot" w:pos="9525"/>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_Toc7442 </w:instrText>
          </w:r>
          <w:r>
            <w:rPr>
              <w:rFonts w:hint="eastAsia" w:ascii="宋体" w:hAnsi="宋体" w:eastAsia="宋体" w:cs="宋体"/>
              <w:sz w:val="24"/>
              <w:szCs w:val="24"/>
            </w:rPr>
            <w:fldChar w:fldCharType="separate"/>
          </w:r>
          <w:r>
            <w:rPr>
              <w:rFonts w:hint="eastAsia" w:ascii="宋体" w:hAnsi="宋体" w:eastAsia="宋体" w:cs="宋体"/>
              <w:bCs/>
              <w:sz w:val="24"/>
              <w:szCs w:val="24"/>
              <w:highlight w:val="none"/>
              <w:lang w:val="en-US" w:eastAsia="zh-CN"/>
            </w:rPr>
            <w:t>4.2.5生态</w:t>
          </w:r>
          <w:r>
            <w:rPr>
              <w:sz w:val="24"/>
              <w:szCs w:val="24"/>
            </w:rPr>
            <w:tab/>
          </w:r>
          <w:r>
            <w:rPr>
              <w:sz w:val="24"/>
              <w:szCs w:val="24"/>
            </w:rPr>
            <w:fldChar w:fldCharType="begin"/>
          </w:r>
          <w:r>
            <w:rPr>
              <w:sz w:val="24"/>
              <w:szCs w:val="24"/>
            </w:rPr>
            <w:instrText xml:space="preserve"> PAGEREF _Toc7442 \h </w:instrText>
          </w:r>
          <w:r>
            <w:rPr>
              <w:sz w:val="24"/>
              <w:szCs w:val="24"/>
            </w:rPr>
            <w:fldChar w:fldCharType="separate"/>
          </w:r>
          <w:r>
            <w:rPr>
              <w:sz w:val="24"/>
              <w:szCs w:val="24"/>
            </w:rPr>
            <w:t>70</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26"/>
            <w:keepNext w:val="0"/>
            <w:keepLines w:val="0"/>
            <w:pageBreakBefore w:val="0"/>
            <w:widowControl/>
            <w:tabs>
              <w:tab w:val="right" w:leader="dot" w:pos="9525"/>
              <w:tab w:val="clear" w:pos="9072"/>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_Toc18779 </w:instrText>
          </w:r>
          <w:r>
            <w:rPr>
              <w:rFonts w:hint="eastAsia" w:ascii="宋体" w:hAnsi="宋体" w:eastAsia="宋体" w:cs="宋体"/>
              <w:sz w:val="24"/>
              <w:szCs w:val="24"/>
            </w:rPr>
            <w:fldChar w:fldCharType="separate"/>
          </w:r>
          <w:r>
            <w:rPr>
              <w:rFonts w:hint="eastAsia" w:ascii="宋体" w:hAnsi="宋体" w:eastAsia="宋体" w:cs="宋体"/>
              <w:bCs/>
              <w:kern w:val="2"/>
              <w:sz w:val="24"/>
              <w:szCs w:val="24"/>
              <w:highlight w:val="none"/>
              <w:lang w:val="en-US" w:eastAsia="zh-CN" w:bidi="ar-SA"/>
            </w:rPr>
            <w:t>4.</w:t>
          </w:r>
          <w:r>
            <w:rPr>
              <w:rFonts w:hint="eastAsia" w:ascii="宋体" w:hAnsi="宋体" w:eastAsia="宋体" w:cs="宋体"/>
              <w:bCs/>
              <w:kern w:val="2"/>
              <w:sz w:val="24"/>
              <w:szCs w:val="24"/>
              <w:highlight w:val="none"/>
              <w:lang w:val="zh-CN" w:eastAsia="zh-CN" w:bidi="ar-SA"/>
            </w:rPr>
            <w:t>3区域污染源调查</w:t>
          </w:r>
          <w:r>
            <w:rPr>
              <w:sz w:val="24"/>
              <w:szCs w:val="24"/>
            </w:rPr>
            <w:tab/>
          </w:r>
          <w:r>
            <w:rPr>
              <w:sz w:val="24"/>
              <w:szCs w:val="24"/>
            </w:rPr>
            <w:fldChar w:fldCharType="begin"/>
          </w:r>
          <w:r>
            <w:rPr>
              <w:sz w:val="24"/>
              <w:szCs w:val="24"/>
            </w:rPr>
            <w:instrText xml:space="preserve"> PAGEREF _Toc18779 \h </w:instrText>
          </w:r>
          <w:r>
            <w:rPr>
              <w:sz w:val="24"/>
              <w:szCs w:val="24"/>
            </w:rPr>
            <w:fldChar w:fldCharType="separate"/>
          </w:r>
          <w:r>
            <w:rPr>
              <w:sz w:val="24"/>
              <w:szCs w:val="24"/>
            </w:rPr>
            <w:t>71</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23"/>
            <w:keepNext w:val="0"/>
            <w:keepLines w:val="0"/>
            <w:pageBreakBefore w:val="0"/>
            <w:widowControl/>
            <w:tabs>
              <w:tab w:val="right" w:leader="dot" w:pos="9525"/>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_Toc10438 </w:instrText>
          </w:r>
          <w:r>
            <w:rPr>
              <w:rFonts w:hint="eastAsia" w:ascii="宋体" w:hAnsi="宋体" w:eastAsia="宋体" w:cs="宋体"/>
              <w:sz w:val="24"/>
              <w:szCs w:val="24"/>
            </w:rPr>
            <w:fldChar w:fldCharType="separate"/>
          </w:r>
          <w:r>
            <w:rPr>
              <w:rFonts w:hint="eastAsia" w:ascii="宋体" w:hAnsi="宋体" w:eastAsia="宋体" w:cs="宋体"/>
              <w:sz w:val="24"/>
              <w:szCs w:val="24"/>
              <w:lang w:eastAsia="zh-CN"/>
            </w:rPr>
            <w:t>五、 环境影响与预测</w:t>
          </w:r>
          <w:r>
            <w:rPr>
              <w:sz w:val="24"/>
              <w:szCs w:val="24"/>
            </w:rPr>
            <w:tab/>
          </w:r>
          <w:r>
            <w:rPr>
              <w:sz w:val="24"/>
              <w:szCs w:val="24"/>
            </w:rPr>
            <w:fldChar w:fldCharType="begin"/>
          </w:r>
          <w:r>
            <w:rPr>
              <w:sz w:val="24"/>
              <w:szCs w:val="24"/>
            </w:rPr>
            <w:instrText xml:space="preserve"> PAGEREF _Toc10438 \h </w:instrText>
          </w:r>
          <w:r>
            <w:rPr>
              <w:sz w:val="24"/>
              <w:szCs w:val="24"/>
            </w:rPr>
            <w:fldChar w:fldCharType="separate"/>
          </w:r>
          <w:r>
            <w:rPr>
              <w:sz w:val="24"/>
              <w:szCs w:val="24"/>
            </w:rPr>
            <w:t>72</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26"/>
            <w:keepNext w:val="0"/>
            <w:keepLines w:val="0"/>
            <w:pageBreakBefore w:val="0"/>
            <w:widowControl/>
            <w:tabs>
              <w:tab w:val="right" w:leader="dot" w:pos="9525"/>
              <w:tab w:val="clear" w:pos="9072"/>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_Toc10725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lang w:val="en-US" w:eastAsia="zh-CN"/>
            </w:rPr>
            <w:t>5.1施工期环境影响分析</w:t>
          </w:r>
          <w:r>
            <w:rPr>
              <w:sz w:val="24"/>
              <w:szCs w:val="24"/>
            </w:rPr>
            <w:tab/>
          </w:r>
          <w:r>
            <w:rPr>
              <w:sz w:val="24"/>
              <w:szCs w:val="24"/>
            </w:rPr>
            <w:fldChar w:fldCharType="begin"/>
          </w:r>
          <w:r>
            <w:rPr>
              <w:sz w:val="24"/>
              <w:szCs w:val="24"/>
            </w:rPr>
            <w:instrText xml:space="preserve"> PAGEREF _Toc10725 \h </w:instrText>
          </w:r>
          <w:r>
            <w:rPr>
              <w:sz w:val="24"/>
              <w:szCs w:val="24"/>
            </w:rPr>
            <w:fldChar w:fldCharType="separate"/>
          </w:r>
          <w:r>
            <w:rPr>
              <w:sz w:val="24"/>
              <w:szCs w:val="24"/>
            </w:rPr>
            <w:t>72</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26"/>
            <w:keepNext w:val="0"/>
            <w:keepLines w:val="0"/>
            <w:pageBreakBefore w:val="0"/>
            <w:widowControl/>
            <w:tabs>
              <w:tab w:val="right" w:leader="dot" w:pos="9525"/>
              <w:tab w:val="clear" w:pos="9072"/>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_Toc9173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lang w:val="en-US" w:eastAsia="zh-CN"/>
            </w:rPr>
            <w:t>5.2营运期环境影响分析</w:t>
          </w:r>
          <w:r>
            <w:rPr>
              <w:sz w:val="24"/>
              <w:szCs w:val="24"/>
            </w:rPr>
            <w:tab/>
          </w:r>
          <w:r>
            <w:rPr>
              <w:sz w:val="24"/>
              <w:szCs w:val="24"/>
            </w:rPr>
            <w:fldChar w:fldCharType="begin"/>
          </w:r>
          <w:r>
            <w:rPr>
              <w:sz w:val="24"/>
              <w:szCs w:val="24"/>
            </w:rPr>
            <w:instrText xml:space="preserve"> PAGEREF _Toc9173 \h </w:instrText>
          </w:r>
          <w:r>
            <w:rPr>
              <w:sz w:val="24"/>
              <w:szCs w:val="24"/>
            </w:rPr>
            <w:fldChar w:fldCharType="separate"/>
          </w:r>
          <w:r>
            <w:rPr>
              <w:sz w:val="24"/>
              <w:szCs w:val="24"/>
            </w:rPr>
            <w:t>72</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17"/>
            <w:keepNext w:val="0"/>
            <w:keepLines w:val="0"/>
            <w:pageBreakBefore w:val="0"/>
            <w:widowControl/>
            <w:tabs>
              <w:tab w:val="right" w:leader="dot" w:pos="9525"/>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_Toc27590 </w:instrText>
          </w:r>
          <w:r>
            <w:rPr>
              <w:rFonts w:hint="eastAsia" w:ascii="宋体" w:hAnsi="宋体" w:eastAsia="宋体" w:cs="宋体"/>
              <w:sz w:val="24"/>
              <w:szCs w:val="24"/>
            </w:rPr>
            <w:fldChar w:fldCharType="separate"/>
          </w:r>
          <w:r>
            <w:rPr>
              <w:rFonts w:hint="eastAsia" w:ascii="宋体" w:hAnsi="宋体" w:eastAsia="宋体" w:cs="宋体"/>
              <w:bCs/>
              <w:sz w:val="24"/>
              <w:szCs w:val="24"/>
              <w:highlight w:val="none"/>
              <w:lang w:val="en-US" w:eastAsia="zh-CN"/>
            </w:rPr>
            <w:t>5.2.1大气环境影响分析</w:t>
          </w:r>
          <w:r>
            <w:rPr>
              <w:sz w:val="24"/>
              <w:szCs w:val="24"/>
            </w:rPr>
            <w:tab/>
          </w:r>
          <w:r>
            <w:rPr>
              <w:sz w:val="24"/>
              <w:szCs w:val="24"/>
            </w:rPr>
            <w:fldChar w:fldCharType="begin"/>
          </w:r>
          <w:r>
            <w:rPr>
              <w:sz w:val="24"/>
              <w:szCs w:val="24"/>
            </w:rPr>
            <w:instrText xml:space="preserve"> PAGEREF _Toc27590 \h </w:instrText>
          </w:r>
          <w:r>
            <w:rPr>
              <w:sz w:val="24"/>
              <w:szCs w:val="24"/>
            </w:rPr>
            <w:fldChar w:fldCharType="separate"/>
          </w:r>
          <w:r>
            <w:rPr>
              <w:sz w:val="24"/>
              <w:szCs w:val="24"/>
            </w:rPr>
            <w:t>72</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17"/>
            <w:keepNext w:val="0"/>
            <w:keepLines w:val="0"/>
            <w:pageBreakBefore w:val="0"/>
            <w:widowControl/>
            <w:tabs>
              <w:tab w:val="right" w:leader="dot" w:pos="9525"/>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_Toc10657 </w:instrText>
          </w:r>
          <w:r>
            <w:rPr>
              <w:rFonts w:hint="eastAsia" w:ascii="宋体" w:hAnsi="宋体" w:eastAsia="宋体" w:cs="宋体"/>
              <w:sz w:val="24"/>
              <w:szCs w:val="24"/>
            </w:rPr>
            <w:fldChar w:fldCharType="separate"/>
          </w:r>
          <w:r>
            <w:rPr>
              <w:rFonts w:hint="eastAsia" w:ascii="宋体" w:hAnsi="宋体" w:eastAsia="宋体" w:cs="宋体"/>
              <w:bCs/>
              <w:sz w:val="24"/>
              <w:szCs w:val="24"/>
              <w:highlight w:val="none"/>
              <w:lang w:val="en-US" w:eastAsia="zh-CN"/>
            </w:rPr>
            <w:t>5.2.2地表水环境影响分析</w:t>
          </w:r>
          <w:r>
            <w:rPr>
              <w:sz w:val="24"/>
              <w:szCs w:val="24"/>
            </w:rPr>
            <w:tab/>
          </w:r>
          <w:r>
            <w:rPr>
              <w:sz w:val="24"/>
              <w:szCs w:val="24"/>
            </w:rPr>
            <w:fldChar w:fldCharType="begin"/>
          </w:r>
          <w:r>
            <w:rPr>
              <w:sz w:val="24"/>
              <w:szCs w:val="24"/>
            </w:rPr>
            <w:instrText xml:space="preserve"> PAGEREF _Toc10657 \h </w:instrText>
          </w:r>
          <w:r>
            <w:rPr>
              <w:sz w:val="24"/>
              <w:szCs w:val="24"/>
            </w:rPr>
            <w:fldChar w:fldCharType="separate"/>
          </w:r>
          <w:r>
            <w:rPr>
              <w:sz w:val="24"/>
              <w:szCs w:val="24"/>
            </w:rPr>
            <w:t>78</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17"/>
            <w:keepNext w:val="0"/>
            <w:keepLines w:val="0"/>
            <w:pageBreakBefore w:val="0"/>
            <w:widowControl/>
            <w:tabs>
              <w:tab w:val="right" w:leader="dot" w:pos="9525"/>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_Toc19000 </w:instrText>
          </w:r>
          <w:r>
            <w:rPr>
              <w:rFonts w:hint="eastAsia" w:ascii="宋体" w:hAnsi="宋体" w:eastAsia="宋体" w:cs="宋体"/>
              <w:sz w:val="24"/>
              <w:szCs w:val="24"/>
            </w:rPr>
            <w:fldChar w:fldCharType="separate"/>
          </w:r>
          <w:r>
            <w:rPr>
              <w:rFonts w:hint="eastAsia" w:ascii="宋体" w:hAnsi="宋体" w:eastAsia="宋体" w:cs="宋体"/>
              <w:bCs/>
              <w:sz w:val="24"/>
              <w:szCs w:val="24"/>
              <w:highlight w:val="none"/>
              <w:lang w:val="en-US" w:eastAsia="zh-CN"/>
            </w:rPr>
            <w:t>5.2.3噪声环境影响分析</w:t>
          </w:r>
          <w:r>
            <w:rPr>
              <w:sz w:val="24"/>
              <w:szCs w:val="24"/>
            </w:rPr>
            <w:tab/>
          </w:r>
          <w:r>
            <w:rPr>
              <w:sz w:val="24"/>
              <w:szCs w:val="24"/>
            </w:rPr>
            <w:fldChar w:fldCharType="begin"/>
          </w:r>
          <w:r>
            <w:rPr>
              <w:sz w:val="24"/>
              <w:szCs w:val="24"/>
            </w:rPr>
            <w:instrText xml:space="preserve"> PAGEREF _Toc19000 \h </w:instrText>
          </w:r>
          <w:r>
            <w:rPr>
              <w:sz w:val="24"/>
              <w:szCs w:val="24"/>
            </w:rPr>
            <w:fldChar w:fldCharType="separate"/>
          </w:r>
          <w:r>
            <w:rPr>
              <w:sz w:val="24"/>
              <w:szCs w:val="24"/>
            </w:rPr>
            <w:t>79</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17"/>
            <w:keepNext w:val="0"/>
            <w:keepLines w:val="0"/>
            <w:pageBreakBefore w:val="0"/>
            <w:widowControl/>
            <w:tabs>
              <w:tab w:val="right" w:leader="dot" w:pos="9525"/>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_Toc18537 </w:instrText>
          </w:r>
          <w:r>
            <w:rPr>
              <w:rFonts w:hint="eastAsia" w:ascii="宋体" w:hAnsi="宋体" w:eastAsia="宋体" w:cs="宋体"/>
              <w:sz w:val="24"/>
              <w:szCs w:val="24"/>
            </w:rPr>
            <w:fldChar w:fldCharType="separate"/>
          </w:r>
          <w:r>
            <w:rPr>
              <w:rFonts w:hint="eastAsia" w:ascii="宋体" w:hAnsi="宋体" w:eastAsia="宋体" w:cs="宋体"/>
              <w:bCs/>
              <w:sz w:val="24"/>
              <w:szCs w:val="24"/>
              <w:highlight w:val="none"/>
              <w:lang w:val="en-US" w:eastAsia="zh-CN"/>
            </w:rPr>
            <w:t>5.2.4固体废物环境影响分析</w:t>
          </w:r>
          <w:r>
            <w:rPr>
              <w:sz w:val="24"/>
              <w:szCs w:val="24"/>
            </w:rPr>
            <w:tab/>
          </w:r>
          <w:r>
            <w:rPr>
              <w:sz w:val="24"/>
              <w:szCs w:val="24"/>
            </w:rPr>
            <w:fldChar w:fldCharType="begin"/>
          </w:r>
          <w:r>
            <w:rPr>
              <w:sz w:val="24"/>
              <w:szCs w:val="24"/>
            </w:rPr>
            <w:instrText xml:space="preserve"> PAGEREF _Toc18537 \h </w:instrText>
          </w:r>
          <w:r>
            <w:rPr>
              <w:sz w:val="24"/>
              <w:szCs w:val="24"/>
            </w:rPr>
            <w:fldChar w:fldCharType="separate"/>
          </w:r>
          <w:r>
            <w:rPr>
              <w:sz w:val="24"/>
              <w:szCs w:val="24"/>
            </w:rPr>
            <w:t>82</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17"/>
            <w:keepNext w:val="0"/>
            <w:keepLines w:val="0"/>
            <w:pageBreakBefore w:val="0"/>
            <w:widowControl/>
            <w:tabs>
              <w:tab w:val="right" w:leader="dot" w:pos="9525"/>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_Toc8870 </w:instrText>
          </w:r>
          <w:r>
            <w:rPr>
              <w:rFonts w:hint="eastAsia" w:ascii="宋体" w:hAnsi="宋体" w:eastAsia="宋体" w:cs="宋体"/>
              <w:sz w:val="24"/>
              <w:szCs w:val="24"/>
            </w:rPr>
            <w:fldChar w:fldCharType="separate"/>
          </w:r>
          <w:r>
            <w:rPr>
              <w:rFonts w:hint="eastAsia" w:ascii="宋体" w:hAnsi="宋体" w:eastAsia="宋体" w:cs="宋体"/>
              <w:bCs/>
              <w:sz w:val="24"/>
              <w:szCs w:val="24"/>
              <w:highlight w:val="none"/>
              <w:lang w:val="en-US" w:eastAsia="zh-CN"/>
            </w:rPr>
            <w:t>5.2.5地下水环境影响预测分析</w:t>
          </w:r>
          <w:r>
            <w:rPr>
              <w:sz w:val="24"/>
              <w:szCs w:val="24"/>
            </w:rPr>
            <w:tab/>
          </w:r>
          <w:r>
            <w:rPr>
              <w:sz w:val="24"/>
              <w:szCs w:val="24"/>
            </w:rPr>
            <w:fldChar w:fldCharType="begin"/>
          </w:r>
          <w:r>
            <w:rPr>
              <w:sz w:val="24"/>
              <w:szCs w:val="24"/>
            </w:rPr>
            <w:instrText xml:space="preserve"> PAGEREF _Toc8870 \h </w:instrText>
          </w:r>
          <w:r>
            <w:rPr>
              <w:sz w:val="24"/>
              <w:szCs w:val="24"/>
            </w:rPr>
            <w:fldChar w:fldCharType="separate"/>
          </w:r>
          <w:r>
            <w:rPr>
              <w:sz w:val="24"/>
              <w:szCs w:val="24"/>
            </w:rPr>
            <w:t>85</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17"/>
            <w:keepNext w:val="0"/>
            <w:keepLines w:val="0"/>
            <w:pageBreakBefore w:val="0"/>
            <w:widowControl/>
            <w:tabs>
              <w:tab w:val="right" w:leader="dot" w:pos="9525"/>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_Toc30577 </w:instrText>
          </w:r>
          <w:r>
            <w:rPr>
              <w:rFonts w:hint="eastAsia" w:ascii="宋体" w:hAnsi="宋体" w:eastAsia="宋体" w:cs="宋体"/>
              <w:sz w:val="24"/>
              <w:szCs w:val="24"/>
            </w:rPr>
            <w:fldChar w:fldCharType="separate"/>
          </w:r>
          <w:r>
            <w:rPr>
              <w:rFonts w:hint="eastAsia" w:ascii="宋体" w:hAnsi="宋体" w:eastAsia="宋体" w:cs="宋体"/>
              <w:bCs/>
              <w:sz w:val="24"/>
              <w:szCs w:val="24"/>
              <w:highlight w:val="none"/>
              <w:lang w:val="en-US" w:eastAsia="zh-CN"/>
            </w:rPr>
            <w:t>5.2.6土壤环境影响预测分析</w:t>
          </w:r>
          <w:r>
            <w:rPr>
              <w:sz w:val="24"/>
              <w:szCs w:val="24"/>
            </w:rPr>
            <w:tab/>
          </w:r>
          <w:r>
            <w:rPr>
              <w:sz w:val="24"/>
              <w:szCs w:val="24"/>
            </w:rPr>
            <w:fldChar w:fldCharType="begin"/>
          </w:r>
          <w:r>
            <w:rPr>
              <w:sz w:val="24"/>
              <w:szCs w:val="24"/>
            </w:rPr>
            <w:instrText xml:space="preserve"> PAGEREF _Toc30577 \h </w:instrText>
          </w:r>
          <w:r>
            <w:rPr>
              <w:sz w:val="24"/>
              <w:szCs w:val="24"/>
            </w:rPr>
            <w:fldChar w:fldCharType="separate"/>
          </w:r>
          <w:r>
            <w:rPr>
              <w:sz w:val="24"/>
              <w:szCs w:val="24"/>
            </w:rPr>
            <w:t>86</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23"/>
            <w:keepNext w:val="0"/>
            <w:keepLines w:val="0"/>
            <w:pageBreakBefore w:val="0"/>
            <w:widowControl/>
            <w:tabs>
              <w:tab w:val="right" w:leader="dot" w:pos="9525"/>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_Toc26812 </w:instrText>
          </w:r>
          <w:r>
            <w:rPr>
              <w:rFonts w:hint="eastAsia" w:ascii="宋体" w:hAnsi="宋体" w:eastAsia="宋体" w:cs="宋体"/>
              <w:sz w:val="24"/>
              <w:szCs w:val="24"/>
            </w:rPr>
            <w:fldChar w:fldCharType="separate"/>
          </w:r>
          <w:r>
            <w:rPr>
              <w:rFonts w:hint="eastAsia" w:ascii="宋体" w:hAnsi="宋体" w:eastAsia="宋体" w:cs="宋体"/>
              <w:sz w:val="24"/>
              <w:szCs w:val="24"/>
              <w:lang w:eastAsia="zh-CN"/>
            </w:rPr>
            <w:t>六、 环境风险评价</w:t>
          </w:r>
          <w:r>
            <w:rPr>
              <w:sz w:val="24"/>
              <w:szCs w:val="24"/>
            </w:rPr>
            <w:tab/>
          </w:r>
          <w:r>
            <w:rPr>
              <w:sz w:val="24"/>
              <w:szCs w:val="24"/>
            </w:rPr>
            <w:fldChar w:fldCharType="begin"/>
          </w:r>
          <w:r>
            <w:rPr>
              <w:sz w:val="24"/>
              <w:szCs w:val="24"/>
            </w:rPr>
            <w:instrText xml:space="preserve"> PAGEREF _Toc26812 \h </w:instrText>
          </w:r>
          <w:r>
            <w:rPr>
              <w:sz w:val="24"/>
              <w:szCs w:val="24"/>
            </w:rPr>
            <w:fldChar w:fldCharType="separate"/>
          </w:r>
          <w:r>
            <w:rPr>
              <w:sz w:val="24"/>
              <w:szCs w:val="24"/>
            </w:rPr>
            <w:t>89</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26"/>
            <w:keepNext w:val="0"/>
            <w:keepLines w:val="0"/>
            <w:pageBreakBefore w:val="0"/>
            <w:widowControl/>
            <w:tabs>
              <w:tab w:val="right" w:leader="dot" w:pos="9525"/>
              <w:tab w:val="clear" w:pos="9072"/>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_Toc14146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lang w:val="en-US" w:eastAsia="zh-CN"/>
            </w:rPr>
            <w:t>6.1建设项目风险调查</w:t>
          </w:r>
          <w:r>
            <w:rPr>
              <w:sz w:val="24"/>
              <w:szCs w:val="24"/>
            </w:rPr>
            <w:tab/>
          </w:r>
          <w:r>
            <w:rPr>
              <w:sz w:val="24"/>
              <w:szCs w:val="24"/>
            </w:rPr>
            <w:fldChar w:fldCharType="begin"/>
          </w:r>
          <w:r>
            <w:rPr>
              <w:sz w:val="24"/>
              <w:szCs w:val="24"/>
            </w:rPr>
            <w:instrText xml:space="preserve"> PAGEREF _Toc14146 \h </w:instrText>
          </w:r>
          <w:r>
            <w:rPr>
              <w:sz w:val="24"/>
              <w:szCs w:val="24"/>
            </w:rPr>
            <w:fldChar w:fldCharType="separate"/>
          </w:r>
          <w:r>
            <w:rPr>
              <w:sz w:val="24"/>
              <w:szCs w:val="24"/>
            </w:rPr>
            <w:t>89</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17"/>
            <w:keepNext w:val="0"/>
            <w:keepLines w:val="0"/>
            <w:pageBreakBefore w:val="0"/>
            <w:widowControl/>
            <w:tabs>
              <w:tab w:val="right" w:leader="dot" w:pos="9525"/>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_Toc20524 </w:instrText>
          </w:r>
          <w:r>
            <w:rPr>
              <w:rFonts w:hint="eastAsia" w:ascii="宋体" w:hAnsi="宋体" w:eastAsia="宋体" w:cs="宋体"/>
              <w:sz w:val="24"/>
              <w:szCs w:val="24"/>
            </w:rPr>
            <w:fldChar w:fldCharType="separate"/>
          </w:r>
          <w:r>
            <w:rPr>
              <w:rFonts w:hint="eastAsia" w:ascii="宋体" w:hAnsi="宋体" w:eastAsia="宋体" w:cs="宋体"/>
              <w:bCs/>
              <w:sz w:val="24"/>
              <w:szCs w:val="24"/>
              <w:highlight w:val="none"/>
              <w:lang w:val="en-US" w:eastAsia="zh-CN"/>
            </w:rPr>
            <w:t>6.1.1风险源调查</w:t>
          </w:r>
          <w:r>
            <w:rPr>
              <w:sz w:val="24"/>
              <w:szCs w:val="24"/>
            </w:rPr>
            <w:tab/>
          </w:r>
          <w:r>
            <w:rPr>
              <w:sz w:val="24"/>
              <w:szCs w:val="24"/>
            </w:rPr>
            <w:fldChar w:fldCharType="begin"/>
          </w:r>
          <w:r>
            <w:rPr>
              <w:sz w:val="24"/>
              <w:szCs w:val="24"/>
            </w:rPr>
            <w:instrText xml:space="preserve"> PAGEREF _Toc20524 \h </w:instrText>
          </w:r>
          <w:r>
            <w:rPr>
              <w:sz w:val="24"/>
              <w:szCs w:val="24"/>
            </w:rPr>
            <w:fldChar w:fldCharType="separate"/>
          </w:r>
          <w:r>
            <w:rPr>
              <w:sz w:val="24"/>
              <w:szCs w:val="24"/>
            </w:rPr>
            <w:t>89</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17"/>
            <w:keepNext w:val="0"/>
            <w:keepLines w:val="0"/>
            <w:pageBreakBefore w:val="0"/>
            <w:widowControl/>
            <w:tabs>
              <w:tab w:val="right" w:leader="dot" w:pos="9525"/>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_Toc29935 </w:instrText>
          </w:r>
          <w:r>
            <w:rPr>
              <w:rFonts w:hint="eastAsia" w:ascii="宋体" w:hAnsi="宋体" w:eastAsia="宋体" w:cs="宋体"/>
              <w:sz w:val="24"/>
              <w:szCs w:val="24"/>
            </w:rPr>
            <w:fldChar w:fldCharType="separate"/>
          </w:r>
          <w:r>
            <w:rPr>
              <w:rFonts w:hint="eastAsia" w:ascii="宋体" w:hAnsi="宋体" w:eastAsia="宋体" w:cs="宋体"/>
              <w:bCs/>
              <w:sz w:val="24"/>
              <w:szCs w:val="24"/>
              <w:highlight w:val="none"/>
              <w:lang w:val="en-US" w:eastAsia="zh-CN"/>
            </w:rPr>
            <w:t>6.1.2环境敏感目标调查</w:t>
          </w:r>
          <w:r>
            <w:rPr>
              <w:sz w:val="24"/>
              <w:szCs w:val="24"/>
            </w:rPr>
            <w:tab/>
          </w:r>
          <w:r>
            <w:rPr>
              <w:sz w:val="24"/>
              <w:szCs w:val="24"/>
            </w:rPr>
            <w:fldChar w:fldCharType="begin"/>
          </w:r>
          <w:r>
            <w:rPr>
              <w:sz w:val="24"/>
              <w:szCs w:val="24"/>
            </w:rPr>
            <w:instrText xml:space="preserve"> PAGEREF _Toc29935 \h </w:instrText>
          </w:r>
          <w:r>
            <w:rPr>
              <w:sz w:val="24"/>
              <w:szCs w:val="24"/>
            </w:rPr>
            <w:fldChar w:fldCharType="separate"/>
          </w:r>
          <w:r>
            <w:rPr>
              <w:sz w:val="24"/>
              <w:szCs w:val="24"/>
            </w:rPr>
            <w:t>89</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26"/>
            <w:keepNext w:val="0"/>
            <w:keepLines w:val="0"/>
            <w:pageBreakBefore w:val="0"/>
            <w:widowControl/>
            <w:tabs>
              <w:tab w:val="right" w:leader="dot" w:pos="9525"/>
              <w:tab w:val="clear" w:pos="9072"/>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_Toc341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lang w:val="en-US" w:eastAsia="zh-CN"/>
            </w:rPr>
            <w:t>6.2环境风险潜势初判</w:t>
          </w:r>
          <w:r>
            <w:rPr>
              <w:sz w:val="24"/>
              <w:szCs w:val="24"/>
            </w:rPr>
            <w:tab/>
          </w:r>
          <w:r>
            <w:rPr>
              <w:sz w:val="24"/>
              <w:szCs w:val="24"/>
            </w:rPr>
            <w:fldChar w:fldCharType="begin"/>
          </w:r>
          <w:r>
            <w:rPr>
              <w:sz w:val="24"/>
              <w:szCs w:val="24"/>
            </w:rPr>
            <w:instrText xml:space="preserve"> PAGEREF _Toc341 \h </w:instrText>
          </w:r>
          <w:r>
            <w:rPr>
              <w:sz w:val="24"/>
              <w:szCs w:val="24"/>
            </w:rPr>
            <w:fldChar w:fldCharType="separate"/>
          </w:r>
          <w:r>
            <w:rPr>
              <w:sz w:val="24"/>
              <w:szCs w:val="24"/>
            </w:rPr>
            <w:t>89</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26"/>
            <w:keepNext w:val="0"/>
            <w:keepLines w:val="0"/>
            <w:pageBreakBefore w:val="0"/>
            <w:widowControl/>
            <w:tabs>
              <w:tab w:val="right" w:leader="dot" w:pos="9525"/>
              <w:tab w:val="clear" w:pos="9072"/>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_Toc20615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lang w:val="en-US" w:eastAsia="zh-CN"/>
            </w:rPr>
            <w:t>6.3、环境风险分析</w:t>
          </w:r>
          <w:r>
            <w:rPr>
              <w:sz w:val="24"/>
              <w:szCs w:val="24"/>
            </w:rPr>
            <w:tab/>
          </w:r>
          <w:r>
            <w:rPr>
              <w:sz w:val="24"/>
              <w:szCs w:val="24"/>
            </w:rPr>
            <w:fldChar w:fldCharType="begin"/>
          </w:r>
          <w:r>
            <w:rPr>
              <w:sz w:val="24"/>
              <w:szCs w:val="24"/>
            </w:rPr>
            <w:instrText xml:space="preserve"> PAGEREF _Toc20615 \h </w:instrText>
          </w:r>
          <w:r>
            <w:rPr>
              <w:sz w:val="24"/>
              <w:szCs w:val="24"/>
            </w:rPr>
            <w:fldChar w:fldCharType="separate"/>
          </w:r>
          <w:r>
            <w:rPr>
              <w:sz w:val="24"/>
              <w:szCs w:val="24"/>
            </w:rPr>
            <w:t>91</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17"/>
            <w:keepNext w:val="0"/>
            <w:keepLines w:val="0"/>
            <w:pageBreakBefore w:val="0"/>
            <w:widowControl/>
            <w:tabs>
              <w:tab w:val="right" w:leader="dot" w:pos="9525"/>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_Toc6257 </w:instrText>
          </w:r>
          <w:r>
            <w:rPr>
              <w:rFonts w:hint="eastAsia" w:ascii="宋体" w:hAnsi="宋体" w:eastAsia="宋体" w:cs="宋体"/>
              <w:sz w:val="24"/>
              <w:szCs w:val="24"/>
            </w:rPr>
            <w:fldChar w:fldCharType="separate"/>
          </w:r>
          <w:r>
            <w:rPr>
              <w:rFonts w:hint="eastAsia" w:ascii="宋体" w:hAnsi="宋体" w:eastAsia="宋体" w:cs="宋体"/>
              <w:bCs/>
              <w:sz w:val="24"/>
              <w:szCs w:val="24"/>
              <w:highlight w:val="none"/>
              <w:lang w:val="en-US" w:eastAsia="zh-CN"/>
            </w:rPr>
            <w:t>6.3.1物料泄漏影响分析</w:t>
          </w:r>
          <w:r>
            <w:rPr>
              <w:sz w:val="24"/>
              <w:szCs w:val="24"/>
            </w:rPr>
            <w:tab/>
          </w:r>
          <w:r>
            <w:rPr>
              <w:sz w:val="24"/>
              <w:szCs w:val="24"/>
            </w:rPr>
            <w:fldChar w:fldCharType="begin"/>
          </w:r>
          <w:r>
            <w:rPr>
              <w:sz w:val="24"/>
              <w:szCs w:val="24"/>
            </w:rPr>
            <w:instrText xml:space="preserve"> PAGEREF _Toc6257 \h </w:instrText>
          </w:r>
          <w:r>
            <w:rPr>
              <w:sz w:val="24"/>
              <w:szCs w:val="24"/>
            </w:rPr>
            <w:fldChar w:fldCharType="separate"/>
          </w:r>
          <w:r>
            <w:rPr>
              <w:sz w:val="24"/>
              <w:szCs w:val="24"/>
            </w:rPr>
            <w:t>91</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17"/>
            <w:keepNext w:val="0"/>
            <w:keepLines w:val="0"/>
            <w:pageBreakBefore w:val="0"/>
            <w:widowControl/>
            <w:tabs>
              <w:tab w:val="right" w:leader="dot" w:pos="9525"/>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_Toc10273 </w:instrText>
          </w:r>
          <w:r>
            <w:rPr>
              <w:rFonts w:hint="eastAsia" w:ascii="宋体" w:hAnsi="宋体" w:eastAsia="宋体" w:cs="宋体"/>
              <w:sz w:val="24"/>
              <w:szCs w:val="24"/>
            </w:rPr>
            <w:fldChar w:fldCharType="separate"/>
          </w:r>
          <w:r>
            <w:rPr>
              <w:rFonts w:hint="eastAsia" w:ascii="宋体" w:hAnsi="宋体" w:eastAsia="宋体" w:cs="宋体"/>
              <w:bCs/>
              <w:sz w:val="24"/>
              <w:szCs w:val="24"/>
              <w:highlight w:val="none"/>
              <w:lang w:val="en-US" w:eastAsia="zh-CN"/>
            </w:rPr>
            <w:t>6.3.2废气事故性排放对大气环境影响分析</w:t>
          </w:r>
          <w:r>
            <w:rPr>
              <w:sz w:val="24"/>
              <w:szCs w:val="24"/>
            </w:rPr>
            <w:tab/>
          </w:r>
          <w:r>
            <w:rPr>
              <w:sz w:val="24"/>
              <w:szCs w:val="24"/>
            </w:rPr>
            <w:fldChar w:fldCharType="begin"/>
          </w:r>
          <w:r>
            <w:rPr>
              <w:sz w:val="24"/>
              <w:szCs w:val="24"/>
            </w:rPr>
            <w:instrText xml:space="preserve"> PAGEREF _Toc10273 \h </w:instrText>
          </w:r>
          <w:r>
            <w:rPr>
              <w:sz w:val="24"/>
              <w:szCs w:val="24"/>
            </w:rPr>
            <w:fldChar w:fldCharType="separate"/>
          </w:r>
          <w:r>
            <w:rPr>
              <w:sz w:val="24"/>
              <w:szCs w:val="24"/>
            </w:rPr>
            <w:t>91</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17"/>
            <w:keepNext w:val="0"/>
            <w:keepLines w:val="0"/>
            <w:pageBreakBefore w:val="0"/>
            <w:widowControl/>
            <w:tabs>
              <w:tab w:val="right" w:leader="dot" w:pos="9525"/>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_Toc27388 </w:instrText>
          </w:r>
          <w:r>
            <w:rPr>
              <w:rFonts w:hint="eastAsia" w:ascii="宋体" w:hAnsi="宋体" w:eastAsia="宋体" w:cs="宋体"/>
              <w:sz w:val="24"/>
              <w:szCs w:val="24"/>
            </w:rPr>
            <w:fldChar w:fldCharType="separate"/>
          </w:r>
          <w:r>
            <w:rPr>
              <w:rFonts w:hint="eastAsia" w:ascii="宋体" w:hAnsi="宋体" w:eastAsia="宋体" w:cs="宋体"/>
              <w:bCs/>
              <w:sz w:val="24"/>
              <w:szCs w:val="24"/>
              <w:highlight w:val="none"/>
              <w:lang w:val="en-US" w:eastAsia="zh-CN"/>
            </w:rPr>
            <w:t>6.3.3火灾、爆炸环境影响分析</w:t>
          </w:r>
          <w:r>
            <w:rPr>
              <w:sz w:val="24"/>
              <w:szCs w:val="24"/>
            </w:rPr>
            <w:tab/>
          </w:r>
          <w:r>
            <w:rPr>
              <w:sz w:val="24"/>
              <w:szCs w:val="24"/>
            </w:rPr>
            <w:fldChar w:fldCharType="begin"/>
          </w:r>
          <w:r>
            <w:rPr>
              <w:sz w:val="24"/>
              <w:szCs w:val="24"/>
            </w:rPr>
            <w:instrText xml:space="preserve"> PAGEREF _Toc27388 \h </w:instrText>
          </w:r>
          <w:r>
            <w:rPr>
              <w:sz w:val="24"/>
              <w:szCs w:val="24"/>
            </w:rPr>
            <w:fldChar w:fldCharType="separate"/>
          </w:r>
          <w:r>
            <w:rPr>
              <w:sz w:val="24"/>
              <w:szCs w:val="24"/>
            </w:rPr>
            <w:t>92</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26"/>
            <w:keepNext w:val="0"/>
            <w:keepLines w:val="0"/>
            <w:pageBreakBefore w:val="0"/>
            <w:widowControl/>
            <w:tabs>
              <w:tab w:val="right" w:leader="dot" w:pos="9525"/>
              <w:tab w:val="clear" w:pos="9072"/>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_Toc5145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lang w:val="en-US" w:eastAsia="zh-CN"/>
            </w:rPr>
            <w:t>6.4环境风险防范措施及应急要求</w:t>
          </w:r>
          <w:r>
            <w:rPr>
              <w:sz w:val="24"/>
              <w:szCs w:val="24"/>
            </w:rPr>
            <w:tab/>
          </w:r>
          <w:r>
            <w:rPr>
              <w:sz w:val="24"/>
              <w:szCs w:val="24"/>
            </w:rPr>
            <w:fldChar w:fldCharType="begin"/>
          </w:r>
          <w:r>
            <w:rPr>
              <w:sz w:val="24"/>
              <w:szCs w:val="24"/>
            </w:rPr>
            <w:instrText xml:space="preserve"> PAGEREF _Toc5145 \h </w:instrText>
          </w:r>
          <w:r>
            <w:rPr>
              <w:sz w:val="24"/>
              <w:szCs w:val="24"/>
            </w:rPr>
            <w:fldChar w:fldCharType="separate"/>
          </w:r>
          <w:r>
            <w:rPr>
              <w:sz w:val="24"/>
              <w:szCs w:val="24"/>
            </w:rPr>
            <w:t>92</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17"/>
            <w:keepNext w:val="0"/>
            <w:keepLines w:val="0"/>
            <w:pageBreakBefore w:val="0"/>
            <w:widowControl/>
            <w:tabs>
              <w:tab w:val="right" w:leader="dot" w:pos="9525"/>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_Toc11623 </w:instrText>
          </w:r>
          <w:r>
            <w:rPr>
              <w:rFonts w:hint="eastAsia" w:ascii="宋体" w:hAnsi="宋体" w:eastAsia="宋体" w:cs="宋体"/>
              <w:sz w:val="24"/>
              <w:szCs w:val="24"/>
            </w:rPr>
            <w:fldChar w:fldCharType="separate"/>
          </w:r>
          <w:r>
            <w:rPr>
              <w:rFonts w:hint="eastAsia" w:ascii="宋体" w:hAnsi="宋体" w:eastAsia="宋体" w:cs="宋体"/>
              <w:bCs/>
              <w:sz w:val="24"/>
              <w:szCs w:val="24"/>
              <w:highlight w:val="none"/>
              <w:lang w:val="en-US" w:eastAsia="zh-CN"/>
            </w:rPr>
            <w:t>6.4.1物料泄漏防范措施</w:t>
          </w:r>
          <w:r>
            <w:rPr>
              <w:sz w:val="24"/>
              <w:szCs w:val="24"/>
            </w:rPr>
            <w:tab/>
          </w:r>
          <w:r>
            <w:rPr>
              <w:sz w:val="24"/>
              <w:szCs w:val="24"/>
            </w:rPr>
            <w:fldChar w:fldCharType="begin"/>
          </w:r>
          <w:r>
            <w:rPr>
              <w:sz w:val="24"/>
              <w:szCs w:val="24"/>
            </w:rPr>
            <w:instrText xml:space="preserve"> PAGEREF _Toc11623 \h </w:instrText>
          </w:r>
          <w:r>
            <w:rPr>
              <w:sz w:val="24"/>
              <w:szCs w:val="24"/>
            </w:rPr>
            <w:fldChar w:fldCharType="separate"/>
          </w:r>
          <w:r>
            <w:rPr>
              <w:sz w:val="24"/>
              <w:szCs w:val="24"/>
            </w:rPr>
            <w:t>92</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17"/>
            <w:keepNext w:val="0"/>
            <w:keepLines w:val="0"/>
            <w:pageBreakBefore w:val="0"/>
            <w:widowControl/>
            <w:tabs>
              <w:tab w:val="right" w:leader="dot" w:pos="9525"/>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_Toc9856 </w:instrText>
          </w:r>
          <w:r>
            <w:rPr>
              <w:rFonts w:hint="eastAsia" w:ascii="宋体" w:hAnsi="宋体" w:eastAsia="宋体" w:cs="宋体"/>
              <w:sz w:val="24"/>
              <w:szCs w:val="24"/>
            </w:rPr>
            <w:fldChar w:fldCharType="separate"/>
          </w:r>
          <w:r>
            <w:rPr>
              <w:rFonts w:hint="eastAsia" w:ascii="宋体" w:hAnsi="宋体" w:eastAsia="宋体" w:cs="宋体"/>
              <w:bCs/>
              <w:sz w:val="24"/>
              <w:szCs w:val="24"/>
              <w:highlight w:val="none"/>
              <w:lang w:val="en-US" w:eastAsia="zh-CN"/>
            </w:rPr>
            <w:t>6.4.2废气事故防范措施</w:t>
          </w:r>
          <w:r>
            <w:rPr>
              <w:sz w:val="24"/>
              <w:szCs w:val="24"/>
            </w:rPr>
            <w:tab/>
          </w:r>
          <w:r>
            <w:rPr>
              <w:sz w:val="24"/>
              <w:szCs w:val="24"/>
            </w:rPr>
            <w:fldChar w:fldCharType="begin"/>
          </w:r>
          <w:r>
            <w:rPr>
              <w:sz w:val="24"/>
              <w:szCs w:val="24"/>
            </w:rPr>
            <w:instrText xml:space="preserve"> PAGEREF _Toc9856 \h </w:instrText>
          </w:r>
          <w:r>
            <w:rPr>
              <w:sz w:val="24"/>
              <w:szCs w:val="24"/>
            </w:rPr>
            <w:fldChar w:fldCharType="separate"/>
          </w:r>
          <w:r>
            <w:rPr>
              <w:sz w:val="24"/>
              <w:szCs w:val="24"/>
            </w:rPr>
            <w:t>94</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17"/>
            <w:keepNext w:val="0"/>
            <w:keepLines w:val="0"/>
            <w:pageBreakBefore w:val="0"/>
            <w:widowControl/>
            <w:tabs>
              <w:tab w:val="right" w:leader="dot" w:pos="9525"/>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_Toc9050 </w:instrText>
          </w:r>
          <w:r>
            <w:rPr>
              <w:rFonts w:hint="eastAsia" w:ascii="宋体" w:hAnsi="宋体" w:eastAsia="宋体" w:cs="宋体"/>
              <w:sz w:val="24"/>
              <w:szCs w:val="24"/>
            </w:rPr>
            <w:fldChar w:fldCharType="separate"/>
          </w:r>
          <w:r>
            <w:rPr>
              <w:rFonts w:hint="eastAsia" w:ascii="宋体" w:hAnsi="宋体" w:eastAsia="宋体" w:cs="宋体"/>
              <w:bCs/>
              <w:sz w:val="24"/>
              <w:szCs w:val="24"/>
              <w:highlight w:val="none"/>
              <w:lang w:val="en-US" w:eastAsia="zh-CN"/>
            </w:rPr>
            <w:t>6.4.3火灾爆炸防范措施</w:t>
          </w:r>
          <w:r>
            <w:rPr>
              <w:sz w:val="24"/>
              <w:szCs w:val="24"/>
            </w:rPr>
            <w:tab/>
          </w:r>
          <w:r>
            <w:rPr>
              <w:sz w:val="24"/>
              <w:szCs w:val="24"/>
            </w:rPr>
            <w:fldChar w:fldCharType="begin"/>
          </w:r>
          <w:r>
            <w:rPr>
              <w:sz w:val="24"/>
              <w:szCs w:val="24"/>
            </w:rPr>
            <w:instrText xml:space="preserve"> PAGEREF _Toc9050 \h </w:instrText>
          </w:r>
          <w:r>
            <w:rPr>
              <w:sz w:val="24"/>
              <w:szCs w:val="24"/>
            </w:rPr>
            <w:fldChar w:fldCharType="separate"/>
          </w:r>
          <w:r>
            <w:rPr>
              <w:sz w:val="24"/>
              <w:szCs w:val="24"/>
            </w:rPr>
            <w:t>94</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26"/>
            <w:keepNext w:val="0"/>
            <w:keepLines w:val="0"/>
            <w:pageBreakBefore w:val="0"/>
            <w:widowControl/>
            <w:tabs>
              <w:tab w:val="right" w:leader="dot" w:pos="9525"/>
              <w:tab w:val="clear" w:pos="9072"/>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_Toc3792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lang w:val="en-US" w:eastAsia="zh-CN"/>
            </w:rPr>
            <w:t>6.5风险评价结论与建议</w:t>
          </w:r>
          <w:r>
            <w:rPr>
              <w:sz w:val="24"/>
              <w:szCs w:val="24"/>
            </w:rPr>
            <w:tab/>
          </w:r>
          <w:r>
            <w:rPr>
              <w:sz w:val="24"/>
              <w:szCs w:val="24"/>
            </w:rPr>
            <w:fldChar w:fldCharType="begin"/>
          </w:r>
          <w:r>
            <w:rPr>
              <w:sz w:val="24"/>
              <w:szCs w:val="24"/>
            </w:rPr>
            <w:instrText xml:space="preserve"> PAGEREF _Toc3792 \h </w:instrText>
          </w:r>
          <w:r>
            <w:rPr>
              <w:sz w:val="24"/>
              <w:szCs w:val="24"/>
            </w:rPr>
            <w:fldChar w:fldCharType="separate"/>
          </w:r>
          <w:r>
            <w:rPr>
              <w:sz w:val="24"/>
              <w:szCs w:val="24"/>
            </w:rPr>
            <w:t>95</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23"/>
            <w:keepNext w:val="0"/>
            <w:keepLines w:val="0"/>
            <w:pageBreakBefore w:val="0"/>
            <w:widowControl/>
            <w:tabs>
              <w:tab w:val="right" w:leader="dot" w:pos="9525"/>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_Toc5904 </w:instrText>
          </w:r>
          <w:r>
            <w:rPr>
              <w:rFonts w:hint="eastAsia" w:ascii="宋体" w:hAnsi="宋体" w:eastAsia="宋体" w:cs="宋体"/>
              <w:sz w:val="24"/>
              <w:szCs w:val="24"/>
            </w:rPr>
            <w:fldChar w:fldCharType="separate"/>
          </w:r>
          <w:r>
            <w:rPr>
              <w:rFonts w:hint="eastAsia" w:ascii="宋体" w:hAnsi="宋体" w:eastAsia="宋体" w:cs="宋体"/>
              <w:sz w:val="24"/>
              <w:szCs w:val="24"/>
              <w:lang w:eastAsia="zh-CN"/>
            </w:rPr>
            <w:t>七、 环境环保措施及其可行性分析</w:t>
          </w:r>
          <w:r>
            <w:rPr>
              <w:sz w:val="24"/>
              <w:szCs w:val="24"/>
            </w:rPr>
            <w:tab/>
          </w:r>
          <w:r>
            <w:rPr>
              <w:sz w:val="24"/>
              <w:szCs w:val="24"/>
            </w:rPr>
            <w:fldChar w:fldCharType="begin"/>
          </w:r>
          <w:r>
            <w:rPr>
              <w:sz w:val="24"/>
              <w:szCs w:val="24"/>
            </w:rPr>
            <w:instrText xml:space="preserve"> PAGEREF _Toc5904 \h </w:instrText>
          </w:r>
          <w:r>
            <w:rPr>
              <w:sz w:val="24"/>
              <w:szCs w:val="24"/>
            </w:rPr>
            <w:fldChar w:fldCharType="separate"/>
          </w:r>
          <w:r>
            <w:rPr>
              <w:sz w:val="24"/>
              <w:szCs w:val="24"/>
            </w:rPr>
            <w:t>97</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26"/>
            <w:keepNext w:val="0"/>
            <w:keepLines w:val="0"/>
            <w:pageBreakBefore w:val="0"/>
            <w:widowControl/>
            <w:tabs>
              <w:tab w:val="right" w:leader="dot" w:pos="9525"/>
              <w:tab w:val="clear" w:pos="9072"/>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_Toc3161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lang w:val="en-US" w:eastAsia="zh-CN"/>
            </w:rPr>
            <w:t>7.1废气污染防治措施分析</w:t>
          </w:r>
          <w:r>
            <w:rPr>
              <w:sz w:val="24"/>
              <w:szCs w:val="24"/>
            </w:rPr>
            <w:tab/>
          </w:r>
          <w:r>
            <w:rPr>
              <w:sz w:val="24"/>
              <w:szCs w:val="24"/>
            </w:rPr>
            <w:fldChar w:fldCharType="begin"/>
          </w:r>
          <w:r>
            <w:rPr>
              <w:sz w:val="24"/>
              <w:szCs w:val="24"/>
            </w:rPr>
            <w:instrText xml:space="preserve"> PAGEREF _Toc3161 \h </w:instrText>
          </w:r>
          <w:r>
            <w:rPr>
              <w:sz w:val="24"/>
              <w:szCs w:val="24"/>
            </w:rPr>
            <w:fldChar w:fldCharType="separate"/>
          </w:r>
          <w:r>
            <w:rPr>
              <w:sz w:val="24"/>
              <w:szCs w:val="24"/>
            </w:rPr>
            <w:t>97</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17"/>
            <w:keepNext w:val="0"/>
            <w:keepLines w:val="0"/>
            <w:pageBreakBefore w:val="0"/>
            <w:widowControl/>
            <w:tabs>
              <w:tab w:val="right" w:leader="dot" w:pos="9525"/>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_Toc30869 </w:instrText>
          </w:r>
          <w:r>
            <w:rPr>
              <w:rFonts w:hint="eastAsia" w:ascii="宋体" w:hAnsi="宋体" w:eastAsia="宋体" w:cs="宋体"/>
              <w:sz w:val="24"/>
              <w:szCs w:val="24"/>
            </w:rPr>
            <w:fldChar w:fldCharType="separate"/>
          </w:r>
          <w:r>
            <w:rPr>
              <w:rFonts w:hint="eastAsia" w:ascii="宋体" w:hAnsi="宋体" w:eastAsia="宋体" w:cs="宋体"/>
              <w:bCs/>
              <w:sz w:val="24"/>
              <w:szCs w:val="24"/>
              <w:highlight w:val="none"/>
              <w:lang w:val="en-US" w:eastAsia="zh-CN"/>
            </w:rPr>
            <w:t>7.1.1废气治理措施选型</w:t>
          </w:r>
          <w:r>
            <w:rPr>
              <w:sz w:val="24"/>
              <w:szCs w:val="24"/>
            </w:rPr>
            <w:tab/>
          </w:r>
          <w:r>
            <w:rPr>
              <w:sz w:val="24"/>
              <w:szCs w:val="24"/>
            </w:rPr>
            <w:fldChar w:fldCharType="begin"/>
          </w:r>
          <w:r>
            <w:rPr>
              <w:sz w:val="24"/>
              <w:szCs w:val="24"/>
            </w:rPr>
            <w:instrText xml:space="preserve"> PAGEREF _Toc30869 \h </w:instrText>
          </w:r>
          <w:r>
            <w:rPr>
              <w:sz w:val="24"/>
              <w:szCs w:val="24"/>
            </w:rPr>
            <w:fldChar w:fldCharType="separate"/>
          </w:r>
          <w:r>
            <w:rPr>
              <w:sz w:val="24"/>
              <w:szCs w:val="24"/>
            </w:rPr>
            <w:t>97</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17"/>
            <w:keepNext w:val="0"/>
            <w:keepLines w:val="0"/>
            <w:pageBreakBefore w:val="0"/>
            <w:widowControl/>
            <w:tabs>
              <w:tab w:val="right" w:leader="dot" w:pos="9525"/>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_Toc11528 </w:instrText>
          </w:r>
          <w:r>
            <w:rPr>
              <w:rFonts w:hint="eastAsia" w:ascii="宋体" w:hAnsi="宋体" w:eastAsia="宋体" w:cs="宋体"/>
              <w:sz w:val="24"/>
              <w:szCs w:val="24"/>
            </w:rPr>
            <w:fldChar w:fldCharType="separate"/>
          </w:r>
          <w:r>
            <w:rPr>
              <w:rFonts w:hint="eastAsia" w:ascii="宋体" w:hAnsi="宋体" w:eastAsia="宋体" w:cs="宋体"/>
              <w:bCs/>
              <w:sz w:val="24"/>
              <w:szCs w:val="24"/>
              <w:highlight w:val="none"/>
              <w:lang w:val="en-US" w:eastAsia="zh-CN"/>
            </w:rPr>
            <w:t>7.1.2有组织废气污染防治措施分析</w:t>
          </w:r>
          <w:r>
            <w:rPr>
              <w:sz w:val="24"/>
              <w:szCs w:val="24"/>
            </w:rPr>
            <w:tab/>
          </w:r>
          <w:r>
            <w:rPr>
              <w:sz w:val="24"/>
              <w:szCs w:val="24"/>
            </w:rPr>
            <w:fldChar w:fldCharType="begin"/>
          </w:r>
          <w:r>
            <w:rPr>
              <w:sz w:val="24"/>
              <w:szCs w:val="24"/>
            </w:rPr>
            <w:instrText xml:space="preserve"> PAGEREF _Toc11528 \h </w:instrText>
          </w:r>
          <w:r>
            <w:rPr>
              <w:sz w:val="24"/>
              <w:szCs w:val="24"/>
            </w:rPr>
            <w:fldChar w:fldCharType="separate"/>
          </w:r>
          <w:r>
            <w:rPr>
              <w:sz w:val="24"/>
              <w:szCs w:val="24"/>
            </w:rPr>
            <w:t>99</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17"/>
            <w:keepNext w:val="0"/>
            <w:keepLines w:val="0"/>
            <w:pageBreakBefore w:val="0"/>
            <w:widowControl/>
            <w:tabs>
              <w:tab w:val="right" w:leader="dot" w:pos="9525"/>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_Toc19437 </w:instrText>
          </w:r>
          <w:r>
            <w:rPr>
              <w:rFonts w:hint="eastAsia" w:ascii="宋体" w:hAnsi="宋体" w:eastAsia="宋体" w:cs="宋体"/>
              <w:sz w:val="24"/>
              <w:szCs w:val="24"/>
            </w:rPr>
            <w:fldChar w:fldCharType="separate"/>
          </w:r>
          <w:r>
            <w:rPr>
              <w:rFonts w:hint="eastAsia" w:ascii="宋体" w:hAnsi="宋体" w:eastAsia="宋体" w:cs="宋体"/>
              <w:bCs/>
              <w:sz w:val="24"/>
              <w:szCs w:val="24"/>
              <w:highlight w:val="none"/>
              <w:lang w:val="en-US" w:eastAsia="zh-CN"/>
            </w:rPr>
            <w:t>7.1.2无组织废气污染防治措施及可行性分析</w:t>
          </w:r>
          <w:r>
            <w:rPr>
              <w:sz w:val="24"/>
              <w:szCs w:val="24"/>
            </w:rPr>
            <w:tab/>
          </w:r>
          <w:r>
            <w:rPr>
              <w:sz w:val="24"/>
              <w:szCs w:val="24"/>
            </w:rPr>
            <w:fldChar w:fldCharType="begin"/>
          </w:r>
          <w:r>
            <w:rPr>
              <w:sz w:val="24"/>
              <w:szCs w:val="24"/>
            </w:rPr>
            <w:instrText xml:space="preserve"> PAGEREF _Toc19437 \h </w:instrText>
          </w:r>
          <w:r>
            <w:rPr>
              <w:sz w:val="24"/>
              <w:szCs w:val="24"/>
            </w:rPr>
            <w:fldChar w:fldCharType="separate"/>
          </w:r>
          <w:r>
            <w:rPr>
              <w:sz w:val="24"/>
              <w:szCs w:val="24"/>
            </w:rPr>
            <w:t>103</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17"/>
            <w:keepNext w:val="0"/>
            <w:keepLines w:val="0"/>
            <w:pageBreakBefore w:val="0"/>
            <w:widowControl/>
            <w:tabs>
              <w:tab w:val="right" w:leader="dot" w:pos="9525"/>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_Toc884 </w:instrText>
          </w:r>
          <w:r>
            <w:rPr>
              <w:rFonts w:hint="eastAsia" w:ascii="宋体" w:hAnsi="宋体" w:eastAsia="宋体" w:cs="宋体"/>
              <w:sz w:val="24"/>
              <w:szCs w:val="24"/>
            </w:rPr>
            <w:fldChar w:fldCharType="separate"/>
          </w:r>
          <w:r>
            <w:rPr>
              <w:rFonts w:hint="eastAsia" w:ascii="宋体" w:hAnsi="宋体" w:eastAsia="宋体" w:cs="宋体"/>
              <w:bCs/>
              <w:sz w:val="24"/>
              <w:szCs w:val="24"/>
              <w:highlight w:val="none"/>
              <w:lang w:val="en-US" w:eastAsia="zh-CN"/>
            </w:rPr>
            <w:t>7.1.3恶臭污染及控制对策</w:t>
          </w:r>
          <w:r>
            <w:rPr>
              <w:sz w:val="24"/>
              <w:szCs w:val="24"/>
            </w:rPr>
            <w:tab/>
          </w:r>
          <w:r>
            <w:rPr>
              <w:sz w:val="24"/>
              <w:szCs w:val="24"/>
            </w:rPr>
            <w:fldChar w:fldCharType="begin"/>
          </w:r>
          <w:r>
            <w:rPr>
              <w:sz w:val="24"/>
              <w:szCs w:val="24"/>
            </w:rPr>
            <w:instrText xml:space="preserve"> PAGEREF _Toc884 \h </w:instrText>
          </w:r>
          <w:r>
            <w:rPr>
              <w:sz w:val="24"/>
              <w:szCs w:val="24"/>
            </w:rPr>
            <w:fldChar w:fldCharType="separate"/>
          </w:r>
          <w:r>
            <w:rPr>
              <w:sz w:val="24"/>
              <w:szCs w:val="24"/>
            </w:rPr>
            <w:t>104</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26"/>
            <w:keepNext w:val="0"/>
            <w:keepLines w:val="0"/>
            <w:pageBreakBefore w:val="0"/>
            <w:widowControl/>
            <w:tabs>
              <w:tab w:val="right" w:leader="dot" w:pos="9525"/>
              <w:tab w:val="clear" w:pos="9072"/>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_Toc1386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lang w:val="en-US" w:eastAsia="zh-CN"/>
            </w:rPr>
            <w:t>7.2废水处理技术可行性分析</w:t>
          </w:r>
          <w:r>
            <w:rPr>
              <w:sz w:val="24"/>
              <w:szCs w:val="24"/>
            </w:rPr>
            <w:tab/>
          </w:r>
          <w:r>
            <w:rPr>
              <w:sz w:val="24"/>
              <w:szCs w:val="24"/>
            </w:rPr>
            <w:fldChar w:fldCharType="begin"/>
          </w:r>
          <w:r>
            <w:rPr>
              <w:sz w:val="24"/>
              <w:szCs w:val="24"/>
            </w:rPr>
            <w:instrText xml:space="preserve"> PAGEREF _Toc1386 \h </w:instrText>
          </w:r>
          <w:r>
            <w:rPr>
              <w:sz w:val="24"/>
              <w:szCs w:val="24"/>
            </w:rPr>
            <w:fldChar w:fldCharType="separate"/>
          </w:r>
          <w:r>
            <w:rPr>
              <w:sz w:val="24"/>
              <w:szCs w:val="24"/>
            </w:rPr>
            <w:t>105</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17"/>
            <w:keepNext w:val="0"/>
            <w:keepLines w:val="0"/>
            <w:pageBreakBefore w:val="0"/>
            <w:widowControl/>
            <w:tabs>
              <w:tab w:val="right" w:leader="dot" w:pos="9525"/>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_Toc5724 </w:instrText>
          </w:r>
          <w:r>
            <w:rPr>
              <w:rFonts w:hint="eastAsia" w:ascii="宋体" w:hAnsi="宋体" w:eastAsia="宋体" w:cs="宋体"/>
              <w:sz w:val="24"/>
              <w:szCs w:val="24"/>
            </w:rPr>
            <w:fldChar w:fldCharType="separate"/>
          </w:r>
          <w:r>
            <w:rPr>
              <w:rFonts w:hint="eastAsia" w:ascii="宋体" w:hAnsi="宋体" w:eastAsia="宋体" w:cs="宋体"/>
              <w:bCs/>
              <w:sz w:val="24"/>
              <w:szCs w:val="24"/>
              <w:highlight w:val="none"/>
              <w:lang w:val="en-US" w:eastAsia="zh-CN"/>
            </w:rPr>
            <w:t>7.2.1雨污分流</w:t>
          </w:r>
          <w:r>
            <w:rPr>
              <w:sz w:val="24"/>
              <w:szCs w:val="24"/>
            </w:rPr>
            <w:tab/>
          </w:r>
          <w:r>
            <w:rPr>
              <w:sz w:val="24"/>
              <w:szCs w:val="24"/>
            </w:rPr>
            <w:fldChar w:fldCharType="begin"/>
          </w:r>
          <w:r>
            <w:rPr>
              <w:sz w:val="24"/>
              <w:szCs w:val="24"/>
            </w:rPr>
            <w:instrText xml:space="preserve"> PAGEREF _Toc5724 \h </w:instrText>
          </w:r>
          <w:r>
            <w:rPr>
              <w:sz w:val="24"/>
              <w:szCs w:val="24"/>
            </w:rPr>
            <w:fldChar w:fldCharType="separate"/>
          </w:r>
          <w:r>
            <w:rPr>
              <w:sz w:val="24"/>
              <w:szCs w:val="24"/>
            </w:rPr>
            <w:t>105</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17"/>
            <w:keepNext w:val="0"/>
            <w:keepLines w:val="0"/>
            <w:pageBreakBefore w:val="0"/>
            <w:widowControl/>
            <w:tabs>
              <w:tab w:val="right" w:leader="dot" w:pos="9525"/>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_Toc11706 </w:instrText>
          </w:r>
          <w:r>
            <w:rPr>
              <w:rFonts w:hint="eastAsia" w:ascii="宋体" w:hAnsi="宋体" w:eastAsia="宋体" w:cs="宋体"/>
              <w:sz w:val="24"/>
              <w:szCs w:val="24"/>
            </w:rPr>
            <w:fldChar w:fldCharType="separate"/>
          </w:r>
          <w:r>
            <w:rPr>
              <w:rFonts w:hint="eastAsia" w:ascii="宋体" w:hAnsi="宋体" w:eastAsia="宋体" w:cs="宋体"/>
              <w:bCs/>
              <w:sz w:val="24"/>
              <w:szCs w:val="24"/>
              <w:highlight w:val="none"/>
              <w:lang w:val="en-US" w:eastAsia="zh-CN"/>
            </w:rPr>
            <w:t>7.2.2废水污染源情况</w:t>
          </w:r>
          <w:r>
            <w:rPr>
              <w:sz w:val="24"/>
              <w:szCs w:val="24"/>
            </w:rPr>
            <w:tab/>
          </w:r>
          <w:r>
            <w:rPr>
              <w:sz w:val="24"/>
              <w:szCs w:val="24"/>
            </w:rPr>
            <w:fldChar w:fldCharType="begin"/>
          </w:r>
          <w:r>
            <w:rPr>
              <w:sz w:val="24"/>
              <w:szCs w:val="24"/>
            </w:rPr>
            <w:instrText xml:space="preserve"> PAGEREF _Toc11706 \h </w:instrText>
          </w:r>
          <w:r>
            <w:rPr>
              <w:sz w:val="24"/>
              <w:szCs w:val="24"/>
            </w:rPr>
            <w:fldChar w:fldCharType="separate"/>
          </w:r>
          <w:r>
            <w:rPr>
              <w:sz w:val="24"/>
              <w:szCs w:val="24"/>
            </w:rPr>
            <w:t>105</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17"/>
            <w:keepNext w:val="0"/>
            <w:keepLines w:val="0"/>
            <w:pageBreakBefore w:val="0"/>
            <w:widowControl/>
            <w:tabs>
              <w:tab w:val="right" w:leader="dot" w:pos="9525"/>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_Toc7412 </w:instrText>
          </w:r>
          <w:r>
            <w:rPr>
              <w:rFonts w:hint="eastAsia" w:ascii="宋体" w:hAnsi="宋体" w:eastAsia="宋体" w:cs="宋体"/>
              <w:sz w:val="24"/>
              <w:szCs w:val="24"/>
            </w:rPr>
            <w:fldChar w:fldCharType="separate"/>
          </w:r>
          <w:r>
            <w:rPr>
              <w:rFonts w:hint="eastAsia" w:ascii="宋体" w:hAnsi="宋体" w:eastAsia="宋体" w:cs="宋体"/>
              <w:bCs/>
              <w:sz w:val="24"/>
              <w:szCs w:val="24"/>
              <w:highlight w:val="none"/>
              <w:lang w:val="en-US" w:eastAsia="zh-CN"/>
            </w:rPr>
            <w:t>7.2.3接管可行性分析</w:t>
          </w:r>
          <w:r>
            <w:rPr>
              <w:sz w:val="24"/>
              <w:szCs w:val="24"/>
            </w:rPr>
            <w:tab/>
          </w:r>
          <w:r>
            <w:rPr>
              <w:sz w:val="24"/>
              <w:szCs w:val="24"/>
            </w:rPr>
            <w:fldChar w:fldCharType="begin"/>
          </w:r>
          <w:r>
            <w:rPr>
              <w:sz w:val="24"/>
              <w:szCs w:val="24"/>
            </w:rPr>
            <w:instrText xml:space="preserve"> PAGEREF _Toc7412 \h </w:instrText>
          </w:r>
          <w:r>
            <w:rPr>
              <w:sz w:val="24"/>
              <w:szCs w:val="24"/>
            </w:rPr>
            <w:fldChar w:fldCharType="separate"/>
          </w:r>
          <w:r>
            <w:rPr>
              <w:sz w:val="24"/>
              <w:szCs w:val="24"/>
            </w:rPr>
            <w:t>105</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26"/>
            <w:keepNext w:val="0"/>
            <w:keepLines w:val="0"/>
            <w:pageBreakBefore w:val="0"/>
            <w:widowControl/>
            <w:tabs>
              <w:tab w:val="right" w:leader="dot" w:pos="9525"/>
              <w:tab w:val="clear" w:pos="9072"/>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_Toc13180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lang w:val="en-US" w:eastAsia="zh-CN"/>
            </w:rPr>
            <w:t>7.3固体废物处置措施</w:t>
          </w:r>
          <w:r>
            <w:rPr>
              <w:sz w:val="24"/>
              <w:szCs w:val="24"/>
            </w:rPr>
            <w:tab/>
          </w:r>
          <w:r>
            <w:rPr>
              <w:sz w:val="24"/>
              <w:szCs w:val="24"/>
            </w:rPr>
            <w:fldChar w:fldCharType="begin"/>
          </w:r>
          <w:r>
            <w:rPr>
              <w:sz w:val="24"/>
              <w:szCs w:val="24"/>
            </w:rPr>
            <w:instrText xml:space="preserve"> PAGEREF _Toc13180 \h </w:instrText>
          </w:r>
          <w:r>
            <w:rPr>
              <w:sz w:val="24"/>
              <w:szCs w:val="24"/>
            </w:rPr>
            <w:fldChar w:fldCharType="separate"/>
          </w:r>
          <w:r>
            <w:rPr>
              <w:sz w:val="24"/>
              <w:szCs w:val="24"/>
            </w:rPr>
            <w:t>106</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17"/>
            <w:keepNext w:val="0"/>
            <w:keepLines w:val="0"/>
            <w:pageBreakBefore w:val="0"/>
            <w:widowControl/>
            <w:tabs>
              <w:tab w:val="right" w:leader="dot" w:pos="9525"/>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_Toc30385 </w:instrText>
          </w:r>
          <w:r>
            <w:rPr>
              <w:rFonts w:hint="eastAsia" w:ascii="宋体" w:hAnsi="宋体" w:eastAsia="宋体" w:cs="宋体"/>
              <w:sz w:val="24"/>
              <w:szCs w:val="24"/>
            </w:rPr>
            <w:fldChar w:fldCharType="separate"/>
          </w:r>
          <w:r>
            <w:rPr>
              <w:rFonts w:hint="eastAsia" w:ascii="宋体" w:hAnsi="宋体" w:eastAsia="宋体" w:cs="宋体"/>
              <w:bCs/>
              <w:sz w:val="24"/>
              <w:szCs w:val="24"/>
              <w:highlight w:val="none"/>
              <w:lang w:val="en-US" w:eastAsia="zh-CN"/>
            </w:rPr>
            <w:t>7.3.1固体废物处置方案</w:t>
          </w:r>
          <w:r>
            <w:rPr>
              <w:sz w:val="24"/>
              <w:szCs w:val="24"/>
            </w:rPr>
            <w:tab/>
          </w:r>
          <w:r>
            <w:rPr>
              <w:sz w:val="24"/>
              <w:szCs w:val="24"/>
            </w:rPr>
            <w:fldChar w:fldCharType="begin"/>
          </w:r>
          <w:r>
            <w:rPr>
              <w:sz w:val="24"/>
              <w:szCs w:val="24"/>
            </w:rPr>
            <w:instrText xml:space="preserve"> PAGEREF _Toc30385 \h </w:instrText>
          </w:r>
          <w:r>
            <w:rPr>
              <w:sz w:val="24"/>
              <w:szCs w:val="24"/>
            </w:rPr>
            <w:fldChar w:fldCharType="separate"/>
          </w:r>
          <w:r>
            <w:rPr>
              <w:sz w:val="24"/>
              <w:szCs w:val="24"/>
            </w:rPr>
            <w:t>107</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17"/>
            <w:keepNext w:val="0"/>
            <w:keepLines w:val="0"/>
            <w:pageBreakBefore w:val="0"/>
            <w:widowControl/>
            <w:tabs>
              <w:tab w:val="right" w:leader="dot" w:pos="9525"/>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_Toc15960 </w:instrText>
          </w:r>
          <w:r>
            <w:rPr>
              <w:rFonts w:hint="eastAsia" w:ascii="宋体" w:hAnsi="宋体" w:eastAsia="宋体" w:cs="宋体"/>
              <w:sz w:val="24"/>
              <w:szCs w:val="24"/>
            </w:rPr>
            <w:fldChar w:fldCharType="separate"/>
          </w:r>
          <w:r>
            <w:rPr>
              <w:rFonts w:hint="eastAsia" w:ascii="宋体" w:hAnsi="宋体" w:eastAsia="宋体" w:cs="宋体"/>
              <w:bCs/>
              <w:sz w:val="24"/>
              <w:szCs w:val="24"/>
              <w:highlight w:val="none"/>
              <w:lang w:val="en-US" w:eastAsia="zh-CN"/>
            </w:rPr>
            <w:t>7.3.2危废暂存、储运及污染控制措施</w:t>
          </w:r>
          <w:r>
            <w:rPr>
              <w:sz w:val="24"/>
              <w:szCs w:val="24"/>
            </w:rPr>
            <w:tab/>
          </w:r>
          <w:r>
            <w:rPr>
              <w:sz w:val="24"/>
              <w:szCs w:val="24"/>
            </w:rPr>
            <w:fldChar w:fldCharType="begin"/>
          </w:r>
          <w:r>
            <w:rPr>
              <w:sz w:val="24"/>
              <w:szCs w:val="24"/>
            </w:rPr>
            <w:instrText xml:space="preserve"> PAGEREF _Toc15960 \h </w:instrText>
          </w:r>
          <w:r>
            <w:rPr>
              <w:sz w:val="24"/>
              <w:szCs w:val="24"/>
            </w:rPr>
            <w:fldChar w:fldCharType="separate"/>
          </w:r>
          <w:r>
            <w:rPr>
              <w:sz w:val="24"/>
              <w:szCs w:val="24"/>
            </w:rPr>
            <w:t>107</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17"/>
            <w:keepNext w:val="0"/>
            <w:keepLines w:val="0"/>
            <w:pageBreakBefore w:val="0"/>
            <w:widowControl/>
            <w:tabs>
              <w:tab w:val="right" w:leader="dot" w:pos="9525"/>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_Toc638 </w:instrText>
          </w:r>
          <w:r>
            <w:rPr>
              <w:rFonts w:hint="eastAsia" w:ascii="宋体" w:hAnsi="宋体" w:eastAsia="宋体" w:cs="宋体"/>
              <w:sz w:val="24"/>
              <w:szCs w:val="24"/>
            </w:rPr>
            <w:fldChar w:fldCharType="separate"/>
          </w:r>
          <w:r>
            <w:rPr>
              <w:rFonts w:hint="eastAsia" w:ascii="宋体" w:hAnsi="宋体" w:eastAsia="宋体" w:cs="宋体"/>
              <w:bCs/>
              <w:sz w:val="24"/>
              <w:szCs w:val="24"/>
              <w:highlight w:val="none"/>
              <w:lang w:val="en-US" w:eastAsia="zh-CN"/>
            </w:rPr>
            <w:t>7.3.3固体废弃物防治建议</w:t>
          </w:r>
          <w:r>
            <w:rPr>
              <w:sz w:val="24"/>
              <w:szCs w:val="24"/>
            </w:rPr>
            <w:tab/>
          </w:r>
          <w:r>
            <w:rPr>
              <w:sz w:val="24"/>
              <w:szCs w:val="24"/>
            </w:rPr>
            <w:fldChar w:fldCharType="begin"/>
          </w:r>
          <w:r>
            <w:rPr>
              <w:sz w:val="24"/>
              <w:szCs w:val="24"/>
            </w:rPr>
            <w:instrText xml:space="preserve"> PAGEREF _Toc638 \h </w:instrText>
          </w:r>
          <w:r>
            <w:rPr>
              <w:sz w:val="24"/>
              <w:szCs w:val="24"/>
            </w:rPr>
            <w:fldChar w:fldCharType="separate"/>
          </w:r>
          <w:r>
            <w:rPr>
              <w:sz w:val="24"/>
              <w:szCs w:val="24"/>
            </w:rPr>
            <w:t>108</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26"/>
            <w:keepNext w:val="0"/>
            <w:keepLines w:val="0"/>
            <w:pageBreakBefore w:val="0"/>
            <w:widowControl/>
            <w:tabs>
              <w:tab w:val="right" w:leader="dot" w:pos="9525"/>
              <w:tab w:val="clear" w:pos="9072"/>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_Toc14315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lang w:val="en-US" w:eastAsia="zh-CN"/>
            </w:rPr>
            <w:t>7.4地下水污染防治措施</w:t>
          </w:r>
          <w:r>
            <w:rPr>
              <w:sz w:val="24"/>
              <w:szCs w:val="24"/>
            </w:rPr>
            <w:tab/>
          </w:r>
          <w:r>
            <w:rPr>
              <w:sz w:val="24"/>
              <w:szCs w:val="24"/>
            </w:rPr>
            <w:fldChar w:fldCharType="begin"/>
          </w:r>
          <w:r>
            <w:rPr>
              <w:sz w:val="24"/>
              <w:szCs w:val="24"/>
            </w:rPr>
            <w:instrText xml:space="preserve"> PAGEREF _Toc14315 \h </w:instrText>
          </w:r>
          <w:r>
            <w:rPr>
              <w:sz w:val="24"/>
              <w:szCs w:val="24"/>
            </w:rPr>
            <w:fldChar w:fldCharType="separate"/>
          </w:r>
          <w:r>
            <w:rPr>
              <w:sz w:val="24"/>
              <w:szCs w:val="24"/>
            </w:rPr>
            <w:t>109</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17"/>
            <w:keepNext w:val="0"/>
            <w:keepLines w:val="0"/>
            <w:pageBreakBefore w:val="0"/>
            <w:widowControl/>
            <w:tabs>
              <w:tab w:val="right" w:leader="dot" w:pos="9525"/>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_Toc22647 </w:instrText>
          </w:r>
          <w:r>
            <w:rPr>
              <w:rFonts w:hint="eastAsia" w:ascii="宋体" w:hAnsi="宋体" w:eastAsia="宋体" w:cs="宋体"/>
              <w:sz w:val="24"/>
              <w:szCs w:val="24"/>
            </w:rPr>
            <w:fldChar w:fldCharType="separate"/>
          </w:r>
          <w:r>
            <w:rPr>
              <w:rFonts w:hint="eastAsia" w:ascii="宋体" w:hAnsi="宋体" w:eastAsia="宋体" w:cs="宋体"/>
              <w:bCs/>
              <w:sz w:val="24"/>
              <w:szCs w:val="24"/>
              <w:highlight w:val="none"/>
              <w:lang w:val="en-US" w:eastAsia="zh-CN"/>
            </w:rPr>
            <w:t>7.4.1源头控制措施</w:t>
          </w:r>
          <w:r>
            <w:rPr>
              <w:sz w:val="24"/>
              <w:szCs w:val="24"/>
            </w:rPr>
            <w:tab/>
          </w:r>
          <w:r>
            <w:rPr>
              <w:sz w:val="24"/>
              <w:szCs w:val="24"/>
            </w:rPr>
            <w:fldChar w:fldCharType="begin"/>
          </w:r>
          <w:r>
            <w:rPr>
              <w:sz w:val="24"/>
              <w:szCs w:val="24"/>
            </w:rPr>
            <w:instrText xml:space="preserve"> PAGEREF _Toc22647 \h </w:instrText>
          </w:r>
          <w:r>
            <w:rPr>
              <w:sz w:val="24"/>
              <w:szCs w:val="24"/>
            </w:rPr>
            <w:fldChar w:fldCharType="separate"/>
          </w:r>
          <w:r>
            <w:rPr>
              <w:sz w:val="24"/>
              <w:szCs w:val="24"/>
            </w:rPr>
            <w:t>110</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17"/>
            <w:keepNext w:val="0"/>
            <w:keepLines w:val="0"/>
            <w:pageBreakBefore w:val="0"/>
            <w:widowControl/>
            <w:tabs>
              <w:tab w:val="right" w:leader="dot" w:pos="9525"/>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_Toc8459 </w:instrText>
          </w:r>
          <w:r>
            <w:rPr>
              <w:rFonts w:hint="eastAsia" w:ascii="宋体" w:hAnsi="宋体" w:eastAsia="宋体" w:cs="宋体"/>
              <w:sz w:val="24"/>
              <w:szCs w:val="24"/>
            </w:rPr>
            <w:fldChar w:fldCharType="separate"/>
          </w:r>
          <w:r>
            <w:rPr>
              <w:rFonts w:hint="eastAsia" w:ascii="宋体" w:hAnsi="宋体" w:eastAsia="宋体" w:cs="宋体"/>
              <w:bCs/>
              <w:sz w:val="24"/>
              <w:szCs w:val="24"/>
              <w:highlight w:val="none"/>
              <w:lang w:val="en-US" w:eastAsia="zh-CN"/>
            </w:rPr>
            <w:t>7.4.2污染防治区划分</w:t>
          </w:r>
          <w:r>
            <w:rPr>
              <w:sz w:val="24"/>
              <w:szCs w:val="24"/>
            </w:rPr>
            <w:tab/>
          </w:r>
          <w:r>
            <w:rPr>
              <w:sz w:val="24"/>
              <w:szCs w:val="24"/>
            </w:rPr>
            <w:fldChar w:fldCharType="begin"/>
          </w:r>
          <w:r>
            <w:rPr>
              <w:sz w:val="24"/>
              <w:szCs w:val="24"/>
            </w:rPr>
            <w:instrText xml:space="preserve"> PAGEREF _Toc8459 \h </w:instrText>
          </w:r>
          <w:r>
            <w:rPr>
              <w:sz w:val="24"/>
              <w:szCs w:val="24"/>
            </w:rPr>
            <w:fldChar w:fldCharType="separate"/>
          </w:r>
          <w:r>
            <w:rPr>
              <w:sz w:val="24"/>
              <w:szCs w:val="24"/>
            </w:rPr>
            <w:t>110</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26"/>
            <w:keepNext w:val="0"/>
            <w:keepLines w:val="0"/>
            <w:pageBreakBefore w:val="0"/>
            <w:widowControl/>
            <w:tabs>
              <w:tab w:val="right" w:leader="dot" w:pos="9525"/>
              <w:tab w:val="clear" w:pos="9072"/>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_Toc17053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lang w:val="en-US" w:eastAsia="zh-CN"/>
            </w:rPr>
            <w:t>7.5噪声污染防治措施</w:t>
          </w:r>
          <w:r>
            <w:rPr>
              <w:sz w:val="24"/>
              <w:szCs w:val="24"/>
            </w:rPr>
            <w:tab/>
          </w:r>
          <w:r>
            <w:rPr>
              <w:sz w:val="24"/>
              <w:szCs w:val="24"/>
            </w:rPr>
            <w:fldChar w:fldCharType="begin"/>
          </w:r>
          <w:r>
            <w:rPr>
              <w:sz w:val="24"/>
              <w:szCs w:val="24"/>
            </w:rPr>
            <w:instrText xml:space="preserve"> PAGEREF _Toc17053 \h </w:instrText>
          </w:r>
          <w:r>
            <w:rPr>
              <w:sz w:val="24"/>
              <w:szCs w:val="24"/>
            </w:rPr>
            <w:fldChar w:fldCharType="separate"/>
          </w:r>
          <w:r>
            <w:rPr>
              <w:sz w:val="24"/>
              <w:szCs w:val="24"/>
            </w:rPr>
            <w:t>111</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17"/>
            <w:keepNext w:val="0"/>
            <w:keepLines w:val="0"/>
            <w:pageBreakBefore w:val="0"/>
            <w:widowControl/>
            <w:tabs>
              <w:tab w:val="right" w:leader="dot" w:pos="9525"/>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_Toc15913 </w:instrText>
          </w:r>
          <w:r>
            <w:rPr>
              <w:rFonts w:hint="eastAsia" w:ascii="宋体" w:hAnsi="宋体" w:eastAsia="宋体" w:cs="宋体"/>
              <w:sz w:val="24"/>
              <w:szCs w:val="24"/>
            </w:rPr>
            <w:fldChar w:fldCharType="separate"/>
          </w:r>
          <w:r>
            <w:rPr>
              <w:rFonts w:hint="eastAsia" w:ascii="宋体" w:hAnsi="宋体" w:eastAsia="宋体" w:cs="宋体"/>
              <w:bCs/>
              <w:sz w:val="24"/>
              <w:szCs w:val="24"/>
              <w:highlight w:val="none"/>
              <w:lang w:val="en-US" w:eastAsia="zh-CN"/>
            </w:rPr>
            <w:t>7.5.1噪声控制原则</w:t>
          </w:r>
          <w:r>
            <w:rPr>
              <w:sz w:val="24"/>
              <w:szCs w:val="24"/>
            </w:rPr>
            <w:tab/>
          </w:r>
          <w:r>
            <w:rPr>
              <w:sz w:val="24"/>
              <w:szCs w:val="24"/>
            </w:rPr>
            <w:fldChar w:fldCharType="begin"/>
          </w:r>
          <w:r>
            <w:rPr>
              <w:sz w:val="24"/>
              <w:szCs w:val="24"/>
            </w:rPr>
            <w:instrText xml:space="preserve"> PAGEREF _Toc15913 \h </w:instrText>
          </w:r>
          <w:r>
            <w:rPr>
              <w:sz w:val="24"/>
              <w:szCs w:val="24"/>
            </w:rPr>
            <w:fldChar w:fldCharType="separate"/>
          </w:r>
          <w:r>
            <w:rPr>
              <w:sz w:val="24"/>
              <w:szCs w:val="24"/>
            </w:rPr>
            <w:t>111</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17"/>
            <w:keepNext w:val="0"/>
            <w:keepLines w:val="0"/>
            <w:pageBreakBefore w:val="0"/>
            <w:widowControl/>
            <w:tabs>
              <w:tab w:val="right" w:leader="dot" w:pos="9525"/>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_Toc29739 </w:instrText>
          </w:r>
          <w:r>
            <w:rPr>
              <w:rFonts w:hint="eastAsia" w:ascii="宋体" w:hAnsi="宋体" w:eastAsia="宋体" w:cs="宋体"/>
              <w:sz w:val="24"/>
              <w:szCs w:val="24"/>
            </w:rPr>
            <w:fldChar w:fldCharType="separate"/>
          </w:r>
          <w:r>
            <w:rPr>
              <w:rFonts w:hint="eastAsia" w:ascii="宋体" w:hAnsi="宋体" w:eastAsia="宋体" w:cs="宋体"/>
              <w:bCs/>
              <w:sz w:val="24"/>
              <w:szCs w:val="24"/>
              <w:highlight w:val="none"/>
              <w:lang w:val="en-US" w:eastAsia="zh-CN"/>
            </w:rPr>
            <w:t>7.5.2噪声污染防治措施</w:t>
          </w:r>
          <w:r>
            <w:rPr>
              <w:sz w:val="24"/>
              <w:szCs w:val="24"/>
            </w:rPr>
            <w:tab/>
          </w:r>
          <w:r>
            <w:rPr>
              <w:sz w:val="24"/>
              <w:szCs w:val="24"/>
            </w:rPr>
            <w:fldChar w:fldCharType="begin"/>
          </w:r>
          <w:r>
            <w:rPr>
              <w:sz w:val="24"/>
              <w:szCs w:val="24"/>
            </w:rPr>
            <w:instrText xml:space="preserve"> PAGEREF _Toc29739 \h </w:instrText>
          </w:r>
          <w:r>
            <w:rPr>
              <w:sz w:val="24"/>
              <w:szCs w:val="24"/>
            </w:rPr>
            <w:fldChar w:fldCharType="separate"/>
          </w:r>
          <w:r>
            <w:rPr>
              <w:sz w:val="24"/>
              <w:szCs w:val="24"/>
            </w:rPr>
            <w:t>112</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26"/>
            <w:keepNext w:val="0"/>
            <w:keepLines w:val="0"/>
            <w:pageBreakBefore w:val="0"/>
            <w:widowControl/>
            <w:tabs>
              <w:tab w:val="right" w:leader="dot" w:pos="9525"/>
              <w:tab w:val="clear" w:pos="9072"/>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_Toc15461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lang w:val="en-US" w:eastAsia="zh-CN"/>
            </w:rPr>
            <w:t>7.6土壤污染防治措施</w:t>
          </w:r>
          <w:r>
            <w:rPr>
              <w:sz w:val="24"/>
              <w:szCs w:val="24"/>
            </w:rPr>
            <w:tab/>
          </w:r>
          <w:r>
            <w:rPr>
              <w:sz w:val="24"/>
              <w:szCs w:val="24"/>
            </w:rPr>
            <w:fldChar w:fldCharType="begin"/>
          </w:r>
          <w:r>
            <w:rPr>
              <w:sz w:val="24"/>
              <w:szCs w:val="24"/>
            </w:rPr>
            <w:instrText xml:space="preserve"> PAGEREF _Toc15461 \h </w:instrText>
          </w:r>
          <w:r>
            <w:rPr>
              <w:sz w:val="24"/>
              <w:szCs w:val="24"/>
            </w:rPr>
            <w:fldChar w:fldCharType="separate"/>
          </w:r>
          <w:r>
            <w:rPr>
              <w:sz w:val="24"/>
              <w:szCs w:val="24"/>
            </w:rPr>
            <w:t>112</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17"/>
            <w:keepNext w:val="0"/>
            <w:keepLines w:val="0"/>
            <w:pageBreakBefore w:val="0"/>
            <w:widowControl/>
            <w:tabs>
              <w:tab w:val="right" w:leader="dot" w:pos="9525"/>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_Toc13577 </w:instrText>
          </w:r>
          <w:r>
            <w:rPr>
              <w:rFonts w:hint="eastAsia" w:ascii="宋体" w:hAnsi="宋体" w:eastAsia="宋体" w:cs="宋体"/>
              <w:sz w:val="24"/>
              <w:szCs w:val="24"/>
            </w:rPr>
            <w:fldChar w:fldCharType="separate"/>
          </w:r>
          <w:r>
            <w:rPr>
              <w:rFonts w:hint="eastAsia" w:ascii="宋体" w:hAnsi="宋体" w:eastAsia="宋体" w:cs="宋体"/>
              <w:bCs/>
              <w:sz w:val="24"/>
              <w:szCs w:val="24"/>
              <w:highlight w:val="none"/>
              <w:lang w:val="en-US" w:eastAsia="zh-CN"/>
            </w:rPr>
            <w:t>7.6.1源头控制措施</w:t>
          </w:r>
          <w:r>
            <w:rPr>
              <w:sz w:val="24"/>
              <w:szCs w:val="24"/>
            </w:rPr>
            <w:tab/>
          </w:r>
          <w:r>
            <w:rPr>
              <w:sz w:val="24"/>
              <w:szCs w:val="24"/>
            </w:rPr>
            <w:fldChar w:fldCharType="begin"/>
          </w:r>
          <w:r>
            <w:rPr>
              <w:sz w:val="24"/>
              <w:szCs w:val="24"/>
            </w:rPr>
            <w:instrText xml:space="preserve"> PAGEREF _Toc13577 \h </w:instrText>
          </w:r>
          <w:r>
            <w:rPr>
              <w:sz w:val="24"/>
              <w:szCs w:val="24"/>
            </w:rPr>
            <w:fldChar w:fldCharType="separate"/>
          </w:r>
          <w:r>
            <w:rPr>
              <w:sz w:val="24"/>
              <w:szCs w:val="24"/>
            </w:rPr>
            <w:t>112</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17"/>
            <w:keepNext w:val="0"/>
            <w:keepLines w:val="0"/>
            <w:pageBreakBefore w:val="0"/>
            <w:widowControl/>
            <w:tabs>
              <w:tab w:val="right" w:leader="dot" w:pos="9525"/>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_Toc6432 </w:instrText>
          </w:r>
          <w:r>
            <w:rPr>
              <w:rFonts w:hint="eastAsia" w:ascii="宋体" w:hAnsi="宋体" w:eastAsia="宋体" w:cs="宋体"/>
              <w:sz w:val="24"/>
              <w:szCs w:val="24"/>
            </w:rPr>
            <w:fldChar w:fldCharType="separate"/>
          </w:r>
          <w:r>
            <w:rPr>
              <w:rFonts w:hint="eastAsia" w:ascii="宋体" w:hAnsi="宋体" w:eastAsia="宋体" w:cs="宋体"/>
              <w:bCs/>
              <w:sz w:val="24"/>
              <w:szCs w:val="24"/>
              <w:highlight w:val="none"/>
              <w:lang w:val="en-US" w:eastAsia="zh-CN"/>
            </w:rPr>
            <w:t>7.6.2过程防控措施</w:t>
          </w:r>
          <w:r>
            <w:rPr>
              <w:sz w:val="24"/>
              <w:szCs w:val="24"/>
            </w:rPr>
            <w:tab/>
          </w:r>
          <w:r>
            <w:rPr>
              <w:sz w:val="24"/>
              <w:szCs w:val="24"/>
            </w:rPr>
            <w:fldChar w:fldCharType="begin"/>
          </w:r>
          <w:r>
            <w:rPr>
              <w:sz w:val="24"/>
              <w:szCs w:val="24"/>
            </w:rPr>
            <w:instrText xml:space="preserve"> PAGEREF _Toc6432 \h </w:instrText>
          </w:r>
          <w:r>
            <w:rPr>
              <w:sz w:val="24"/>
              <w:szCs w:val="24"/>
            </w:rPr>
            <w:fldChar w:fldCharType="separate"/>
          </w:r>
          <w:r>
            <w:rPr>
              <w:sz w:val="24"/>
              <w:szCs w:val="24"/>
            </w:rPr>
            <w:t>113</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23"/>
            <w:keepNext w:val="0"/>
            <w:keepLines w:val="0"/>
            <w:pageBreakBefore w:val="0"/>
            <w:widowControl/>
            <w:tabs>
              <w:tab w:val="right" w:leader="dot" w:pos="9525"/>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_Toc3458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lang w:val="en-US" w:eastAsia="zh-CN"/>
            </w:rPr>
            <w:t>八、</w:t>
          </w:r>
          <w:r>
            <w:rPr>
              <w:rFonts w:hint="eastAsia" w:ascii="宋体" w:hAnsi="宋体" w:eastAsia="宋体" w:cs="宋体"/>
              <w:sz w:val="24"/>
              <w:szCs w:val="24"/>
              <w:highlight w:val="none"/>
              <w:lang w:eastAsia="zh-CN"/>
            </w:rPr>
            <w:t>环境经济损益分析</w:t>
          </w:r>
          <w:r>
            <w:rPr>
              <w:sz w:val="24"/>
              <w:szCs w:val="24"/>
            </w:rPr>
            <w:tab/>
          </w:r>
          <w:r>
            <w:rPr>
              <w:sz w:val="24"/>
              <w:szCs w:val="24"/>
            </w:rPr>
            <w:fldChar w:fldCharType="begin"/>
          </w:r>
          <w:r>
            <w:rPr>
              <w:sz w:val="24"/>
              <w:szCs w:val="24"/>
            </w:rPr>
            <w:instrText xml:space="preserve"> PAGEREF _Toc3458 \h </w:instrText>
          </w:r>
          <w:r>
            <w:rPr>
              <w:sz w:val="24"/>
              <w:szCs w:val="24"/>
            </w:rPr>
            <w:fldChar w:fldCharType="separate"/>
          </w:r>
          <w:r>
            <w:rPr>
              <w:sz w:val="24"/>
              <w:szCs w:val="24"/>
            </w:rPr>
            <w:t>114</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26"/>
            <w:keepNext w:val="0"/>
            <w:keepLines w:val="0"/>
            <w:pageBreakBefore w:val="0"/>
            <w:widowControl/>
            <w:tabs>
              <w:tab w:val="right" w:leader="dot" w:pos="9525"/>
              <w:tab w:val="clear" w:pos="9072"/>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_Toc28247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lang w:val="en-US" w:eastAsia="zh-CN"/>
            </w:rPr>
            <w:t>8.1经济效益分析</w:t>
          </w:r>
          <w:r>
            <w:rPr>
              <w:sz w:val="24"/>
              <w:szCs w:val="24"/>
            </w:rPr>
            <w:tab/>
          </w:r>
          <w:r>
            <w:rPr>
              <w:sz w:val="24"/>
              <w:szCs w:val="24"/>
            </w:rPr>
            <w:fldChar w:fldCharType="begin"/>
          </w:r>
          <w:r>
            <w:rPr>
              <w:sz w:val="24"/>
              <w:szCs w:val="24"/>
            </w:rPr>
            <w:instrText xml:space="preserve"> PAGEREF _Toc28247 \h </w:instrText>
          </w:r>
          <w:r>
            <w:rPr>
              <w:sz w:val="24"/>
              <w:szCs w:val="24"/>
            </w:rPr>
            <w:fldChar w:fldCharType="separate"/>
          </w:r>
          <w:r>
            <w:rPr>
              <w:sz w:val="24"/>
              <w:szCs w:val="24"/>
            </w:rPr>
            <w:t>114</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26"/>
            <w:keepNext w:val="0"/>
            <w:keepLines w:val="0"/>
            <w:pageBreakBefore w:val="0"/>
            <w:widowControl/>
            <w:tabs>
              <w:tab w:val="right" w:leader="dot" w:pos="9525"/>
              <w:tab w:val="clear" w:pos="9072"/>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_Toc29209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lang w:val="en-US" w:eastAsia="zh-CN"/>
            </w:rPr>
            <w:t>8.2社会效益分析</w:t>
          </w:r>
          <w:r>
            <w:rPr>
              <w:sz w:val="24"/>
              <w:szCs w:val="24"/>
            </w:rPr>
            <w:tab/>
          </w:r>
          <w:r>
            <w:rPr>
              <w:sz w:val="24"/>
              <w:szCs w:val="24"/>
            </w:rPr>
            <w:fldChar w:fldCharType="begin"/>
          </w:r>
          <w:r>
            <w:rPr>
              <w:sz w:val="24"/>
              <w:szCs w:val="24"/>
            </w:rPr>
            <w:instrText xml:space="preserve"> PAGEREF _Toc29209 \h </w:instrText>
          </w:r>
          <w:r>
            <w:rPr>
              <w:sz w:val="24"/>
              <w:szCs w:val="24"/>
            </w:rPr>
            <w:fldChar w:fldCharType="separate"/>
          </w:r>
          <w:r>
            <w:rPr>
              <w:sz w:val="24"/>
              <w:szCs w:val="24"/>
            </w:rPr>
            <w:t>114</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26"/>
            <w:keepNext w:val="0"/>
            <w:keepLines w:val="0"/>
            <w:pageBreakBefore w:val="0"/>
            <w:widowControl/>
            <w:tabs>
              <w:tab w:val="right" w:leader="dot" w:pos="9525"/>
              <w:tab w:val="clear" w:pos="9072"/>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_Toc4992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lang w:val="en-US" w:eastAsia="zh-CN"/>
            </w:rPr>
            <w:t>8.3环境效益分析</w:t>
          </w:r>
          <w:r>
            <w:rPr>
              <w:sz w:val="24"/>
              <w:szCs w:val="24"/>
            </w:rPr>
            <w:tab/>
          </w:r>
          <w:r>
            <w:rPr>
              <w:sz w:val="24"/>
              <w:szCs w:val="24"/>
            </w:rPr>
            <w:fldChar w:fldCharType="begin"/>
          </w:r>
          <w:r>
            <w:rPr>
              <w:sz w:val="24"/>
              <w:szCs w:val="24"/>
            </w:rPr>
            <w:instrText xml:space="preserve"> PAGEREF _Toc4992 \h </w:instrText>
          </w:r>
          <w:r>
            <w:rPr>
              <w:sz w:val="24"/>
              <w:szCs w:val="24"/>
            </w:rPr>
            <w:fldChar w:fldCharType="separate"/>
          </w:r>
          <w:r>
            <w:rPr>
              <w:sz w:val="24"/>
              <w:szCs w:val="24"/>
            </w:rPr>
            <w:t>114</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17"/>
            <w:keepNext w:val="0"/>
            <w:keepLines w:val="0"/>
            <w:pageBreakBefore w:val="0"/>
            <w:widowControl/>
            <w:tabs>
              <w:tab w:val="right" w:leader="dot" w:pos="9525"/>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_Toc2806 </w:instrText>
          </w:r>
          <w:r>
            <w:rPr>
              <w:rFonts w:hint="eastAsia" w:ascii="宋体" w:hAnsi="宋体" w:eastAsia="宋体" w:cs="宋体"/>
              <w:sz w:val="24"/>
              <w:szCs w:val="24"/>
            </w:rPr>
            <w:fldChar w:fldCharType="separate"/>
          </w:r>
          <w:r>
            <w:rPr>
              <w:rFonts w:hint="eastAsia" w:ascii="宋体" w:hAnsi="宋体" w:eastAsia="宋体" w:cs="宋体"/>
              <w:bCs/>
              <w:sz w:val="24"/>
              <w:szCs w:val="24"/>
              <w:highlight w:val="none"/>
              <w:lang w:val="en-US" w:eastAsia="zh-CN"/>
            </w:rPr>
            <w:t>8.3.1建设项目环境代价分析</w:t>
          </w:r>
          <w:r>
            <w:rPr>
              <w:sz w:val="24"/>
              <w:szCs w:val="24"/>
            </w:rPr>
            <w:tab/>
          </w:r>
          <w:r>
            <w:rPr>
              <w:sz w:val="24"/>
              <w:szCs w:val="24"/>
            </w:rPr>
            <w:fldChar w:fldCharType="begin"/>
          </w:r>
          <w:r>
            <w:rPr>
              <w:sz w:val="24"/>
              <w:szCs w:val="24"/>
            </w:rPr>
            <w:instrText xml:space="preserve"> PAGEREF _Toc2806 \h </w:instrText>
          </w:r>
          <w:r>
            <w:rPr>
              <w:sz w:val="24"/>
              <w:szCs w:val="24"/>
            </w:rPr>
            <w:fldChar w:fldCharType="separate"/>
          </w:r>
          <w:r>
            <w:rPr>
              <w:sz w:val="24"/>
              <w:szCs w:val="24"/>
            </w:rPr>
            <w:t>115</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17"/>
            <w:keepNext w:val="0"/>
            <w:keepLines w:val="0"/>
            <w:pageBreakBefore w:val="0"/>
            <w:widowControl/>
            <w:tabs>
              <w:tab w:val="right" w:leader="dot" w:pos="9525"/>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_Toc11397 </w:instrText>
          </w:r>
          <w:r>
            <w:rPr>
              <w:rFonts w:hint="eastAsia" w:ascii="宋体" w:hAnsi="宋体" w:eastAsia="宋体" w:cs="宋体"/>
              <w:sz w:val="24"/>
              <w:szCs w:val="24"/>
            </w:rPr>
            <w:fldChar w:fldCharType="separate"/>
          </w:r>
          <w:r>
            <w:rPr>
              <w:rFonts w:hint="eastAsia" w:ascii="宋体" w:hAnsi="宋体" w:eastAsia="宋体" w:cs="宋体"/>
              <w:bCs/>
              <w:sz w:val="24"/>
              <w:szCs w:val="24"/>
              <w:highlight w:val="none"/>
              <w:lang w:val="en-US" w:eastAsia="zh-CN"/>
            </w:rPr>
            <w:t>8.3.2建设项目环境成本分析</w:t>
          </w:r>
          <w:r>
            <w:rPr>
              <w:sz w:val="24"/>
              <w:szCs w:val="24"/>
            </w:rPr>
            <w:tab/>
          </w:r>
          <w:r>
            <w:rPr>
              <w:sz w:val="24"/>
              <w:szCs w:val="24"/>
            </w:rPr>
            <w:fldChar w:fldCharType="begin"/>
          </w:r>
          <w:r>
            <w:rPr>
              <w:sz w:val="24"/>
              <w:szCs w:val="24"/>
            </w:rPr>
            <w:instrText xml:space="preserve"> PAGEREF _Toc11397 \h </w:instrText>
          </w:r>
          <w:r>
            <w:rPr>
              <w:sz w:val="24"/>
              <w:szCs w:val="24"/>
            </w:rPr>
            <w:fldChar w:fldCharType="separate"/>
          </w:r>
          <w:r>
            <w:rPr>
              <w:sz w:val="24"/>
              <w:szCs w:val="24"/>
            </w:rPr>
            <w:t>116</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17"/>
            <w:keepNext w:val="0"/>
            <w:keepLines w:val="0"/>
            <w:pageBreakBefore w:val="0"/>
            <w:widowControl/>
            <w:tabs>
              <w:tab w:val="right" w:leader="dot" w:pos="9525"/>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_Toc7986 </w:instrText>
          </w:r>
          <w:r>
            <w:rPr>
              <w:rFonts w:hint="eastAsia" w:ascii="宋体" w:hAnsi="宋体" w:eastAsia="宋体" w:cs="宋体"/>
              <w:sz w:val="24"/>
              <w:szCs w:val="24"/>
            </w:rPr>
            <w:fldChar w:fldCharType="separate"/>
          </w:r>
          <w:r>
            <w:rPr>
              <w:rFonts w:hint="eastAsia" w:ascii="宋体" w:hAnsi="宋体" w:eastAsia="宋体" w:cs="宋体"/>
              <w:bCs/>
              <w:sz w:val="24"/>
              <w:szCs w:val="24"/>
              <w:highlight w:val="none"/>
              <w:lang w:val="en-US" w:eastAsia="zh-CN"/>
            </w:rPr>
            <w:t>8.3.3环境经济收益分析</w:t>
          </w:r>
          <w:r>
            <w:rPr>
              <w:sz w:val="24"/>
              <w:szCs w:val="24"/>
            </w:rPr>
            <w:tab/>
          </w:r>
          <w:r>
            <w:rPr>
              <w:sz w:val="24"/>
              <w:szCs w:val="24"/>
            </w:rPr>
            <w:fldChar w:fldCharType="begin"/>
          </w:r>
          <w:r>
            <w:rPr>
              <w:sz w:val="24"/>
              <w:szCs w:val="24"/>
            </w:rPr>
            <w:instrText xml:space="preserve"> PAGEREF _Toc7986 \h </w:instrText>
          </w:r>
          <w:r>
            <w:rPr>
              <w:sz w:val="24"/>
              <w:szCs w:val="24"/>
            </w:rPr>
            <w:fldChar w:fldCharType="separate"/>
          </w:r>
          <w:r>
            <w:rPr>
              <w:sz w:val="24"/>
              <w:szCs w:val="24"/>
            </w:rPr>
            <w:t>116</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17"/>
            <w:keepNext w:val="0"/>
            <w:keepLines w:val="0"/>
            <w:pageBreakBefore w:val="0"/>
            <w:widowControl/>
            <w:tabs>
              <w:tab w:val="right" w:leader="dot" w:pos="9525"/>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_Toc13197 </w:instrText>
          </w:r>
          <w:r>
            <w:rPr>
              <w:rFonts w:hint="eastAsia" w:ascii="宋体" w:hAnsi="宋体" w:eastAsia="宋体" w:cs="宋体"/>
              <w:sz w:val="24"/>
              <w:szCs w:val="24"/>
            </w:rPr>
            <w:fldChar w:fldCharType="separate"/>
          </w:r>
          <w:r>
            <w:rPr>
              <w:rFonts w:hint="eastAsia" w:ascii="宋体" w:hAnsi="宋体" w:eastAsia="宋体" w:cs="宋体"/>
              <w:bCs/>
              <w:sz w:val="24"/>
              <w:szCs w:val="24"/>
              <w:highlight w:val="none"/>
              <w:lang w:val="en-US" w:eastAsia="zh-CN"/>
            </w:rPr>
            <w:t>8.3.4建设项目环境经济效益分析</w:t>
          </w:r>
          <w:r>
            <w:rPr>
              <w:sz w:val="24"/>
              <w:szCs w:val="24"/>
            </w:rPr>
            <w:tab/>
          </w:r>
          <w:r>
            <w:rPr>
              <w:sz w:val="24"/>
              <w:szCs w:val="24"/>
            </w:rPr>
            <w:fldChar w:fldCharType="begin"/>
          </w:r>
          <w:r>
            <w:rPr>
              <w:sz w:val="24"/>
              <w:szCs w:val="24"/>
            </w:rPr>
            <w:instrText xml:space="preserve"> PAGEREF _Toc13197 \h </w:instrText>
          </w:r>
          <w:r>
            <w:rPr>
              <w:sz w:val="24"/>
              <w:szCs w:val="24"/>
            </w:rPr>
            <w:fldChar w:fldCharType="separate"/>
          </w:r>
          <w:r>
            <w:rPr>
              <w:sz w:val="24"/>
              <w:szCs w:val="24"/>
            </w:rPr>
            <w:t>116</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26"/>
            <w:keepNext w:val="0"/>
            <w:keepLines w:val="0"/>
            <w:pageBreakBefore w:val="0"/>
            <w:widowControl/>
            <w:tabs>
              <w:tab w:val="right" w:leader="dot" w:pos="9525"/>
              <w:tab w:val="clear" w:pos="9072"/>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_Toc6660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lang w:val="en-US" w:eastAsia="zh-CN"/>
            </w:rPr>
            <w:t>8.4小结</w:t>
          </w:r>
          <w:r>
            <w:rPr>
              <w:sz w:val="24"/>
              <w:szCs w:val="24"/>
            </w:rPr>
            <w:tab/>
          </w:r>
          <w:r>
            <w:rPr>
              <w:sz w:val="24"/>
              <w:szCs w:val="24"/>
            </w:rPr>
            <w:fldChar w:fldCharType="begin"/>
          </w:r>
          <w:r>
            <w:rPr>
              <w:sz w:val="24"/>
              <w:szCs w:val="24"/>
            </w:rPr>
            <w:instrText xml:space="preserve"> PAGEREF _Toc6660 \h </w:instrText>
          </w:r>
          <w:r>
            <w:rPr>
              <w:sz w:val="24"/>
              <w:szCs w:val="24"/>
            </w:rPr>
            <w:fldChar w:fldCharType="separate"/>
          </w:r>
          <w:r>
            <w:rPr>
              <w:sz w:val="24"/>
              <w:szCs w:val="24"/>
            </w:rPr>
            <w:t>117</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23"/>
            <w:keepNext w:val="0"/>
            <w:keepLines w:val="0"/>
            <w:pageBreakBefore w:val="0"/>
            <w:widowControl/>
            <w:tabs>
              <w:tab w:val="right" w:leader="dot" w:pos="9525"/>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_Toc503 </w:instrText>
          </w:r>
          <w:r>
            <w:rPr>
              <w:rFonts w:hint="eastAsia" w:ascii="宋体" w:hAnsi="宋体" w:eastAsia="宋体" w:cs="宋体"/>
              <w:sz w:val="24"/>
              <w:szCs w:val="24"/>
            </w:rPr>
            <w:fldChar w:fldCharType="separate"/>
          </w:r>
          <w:r>
            <w:rPr>
              <w:rFonts w:hint="eastAsia" w:ascii="宋体" w:hAnsi="宋体" w:eastAsia="宋体" w:cs="宋体"/>
              <w:bCs/>
              <w:sz w:val="24"/>
              <w:szCs w:val="24"/>
              <w:highlight w:val="none"/>
              <w:lang w:val="en-US" w:eastAsia="zh-CN"/>
            </w:rPr>
            <w:t>九、</w:t>
          </w:r>
          <w:r>
            <w:rPr>
              <w:rFonts w:hint="eastAsia" w:ascii="宋体" w:hAnsi="宋体" w:eastAsia="宋体" w:cs="宋体"/>
              <w:bCs/>
              <w:sz w:val="24"/>
              <w:szCs w:val="24"/>
              <w:highlight w:val="none"/>
              <w:lang w:eastAsia="zh-CN"/>
            </w:rPr>
            <w:t>环境管理与监测计划</w:t>
          </w:r>
          <w:r>
            <w:rPr>
              <w:sz w:val="24"/>
              <w:szCs w:val="24"/>
            </w:rPr>
            <w:tab/>
          </w:r>
          <w:r>
            <w:rPr>
              <w:sz w:val="24"/>
              <w:szCs w:val="24"/>
            </w:rPr>
            <w:fldChar w:fldCharType="begin"/>
          </w:r>
          <w:r>
            <w:rPr>
              <w:sz w:val="24"/>
              <w:szCs w:val="24"/>
            </w:rPr>
            <w:instrText xml:space="preserve"> PAGEREF _Toc503 \h </w:instrText>
          </w:r>
          <w:r>
            <w:rPr>
              <w:sz w:val="24"/>
              <w:szCs w:val="24"/>
            </w:rPr>
            <w:fldChar w:fldCharType="separate"/>
          </w:r>
          <w:r>
            <w:rPr>
              <w:sz w:val="24"/>
              <w:szCs w:val="24"/>
            </w:rPr>
            <w:t>118</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26"/>
            <w:keepNext w:val="0"/>
            <w:keepLines w:val="0"/>
            <w:pageBreakBefore w:val="0"/>
            <w:widowControl/>
            <w:tabs>
              <w:tab w:val="right" w:leader="dot" w:pos="9525"/>
              <w:tab w:val="clear" w:pos="9072"/>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_Toc23085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lang w:eastAsia="zh-CN"/>
            </w:rPr>
            <w:t>9.1环境管理要求</w:t>
          </w:r>
          <w:r>
            <w:rPr>
              <w:sz w:val="24"/>
              <w:szCs w:val="24"/>
            </w:rPr>
            <w:tab/>
          </w:r>
          <w:r>
            <w:rPr>
              <w:sz w:val="24"/>
              <w:szCs w:val="24"/>
            </w:rPr>
            <w:fldChar w:fldCharType="begin"/>
          </w:r>
          <w:r>
            <w:rPr>
              <w:sz w:val="24"/>
              <w:szCs w:val="24"/>
            </w:rPr>
            <w:instrText xml:space="preserve"> PAGEREF _Toc23085 \h </w:instrText>
          </w:r>
          <w:r>
            <w:rPr>
              <w:sz w:val="24"/>
              <w:szCs w:val="24"/>
            </w:rPr>
            <w:fldChar w:fldCharType="separate"/>
          </w:r>
          <w:r>
            <w:rPr>
              <w:sz w:val="24"/>
              <w:szCs w:val="24"/>
            </w:rPr>
            <w:t>118</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17"/>
            <w:keepNext w:val="0"/>
            <w:keepLines w:val="0"/>
            <w:pageBreakBefore w:val="0"/>
            <w:widowControl/>
            <w:tabs>
              <w:tab w:val="right" w:leader="dot" w:pos="9525"/>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_Toc31633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lang w:eastAsia="zh-CN"/>
            </w:rPr>
            <w:t>9.1.1施工期环境管理要求</w:t>
          </w:r>
          <w:r>
            <w:rPr>
              <w:sz w:val="24"/>
              <w:szCs w:val="24"/>
            </w:rPr>
            <w:tab/>
          </w:r>
          <w:r>
            <w:rPr>
              <w:sz w:val="24"/>
              <w:szCs w:val="24"/>
            </w:rPr>
            <w:fldChar w:fldCharType="begin"/>
          </w:r>
          <w:r>
            <w:rPr>
              <w:sz w:val="24"/>
              <w:szCs w:val="24"/>
            </w:rPr>
            <w:instrText xml:space="preserve"> PAGEREF _Toc31633 \h </w:instrText>
          </w:r>
          <w:r>
            <w:rPr>
              <w:sz w:val="24"/>
              <w:szCs w:val="24"/>
            </w:rPr>
            <w:fldChar w:fldCharType="separate"/>
          </w:r>
          <w:r>
            <w:rPr>
              <w:sz w:val="24"/>
              <w:szCs w:val="24"/>
            </w:rPr>
            <w:t>118</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17"/>
            <w:keepNext w:val="0"/>
            <w:keepLines w:val="0"/>
            <w:pageBreakBefore w:val="0"/>
            <w:widowControl/>
            <w:tabs>
              <w:tab w:val="right" w:leader="dot" w:pos="9525"/>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_Toc16716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lang w:eastAsia="zh-CN"/>
            </w:rPr>
            <w:t>9.1.2营运期环境管理要求</w:t>
          </w:r>
          <w:r>
            <w:rPr>
              <w:sz w:val="24"/>
              <w:szCs w:val="24"/>
            </w:rPr>
            <w:tab/>
          </w:r>
          <w:r>
            <w:rPr>
              <w:sz w:val="24"/>
              <w:szCs w:val="24"/>
            </w:rPr>
            <w:fldChar w:fldCharType="begin"/>
          </w:r>
          <w:r>
            <w:rPr>
              <w:sz w:val="24"/>
              <w:szCs w:val="24"/>
            </w:rPr>
            <w:instrText xml:space="preserve"> PAGEREF _Toc16716 \h </w:instrText>
          </w:r>
          <w:r>
            <w:rPr>
              <w:sz w:val="24"/>
              <w:szCs w:val="24"/>
            </w:rPr>
            <w:fldChar w:fldCharType="separate"/>
          </w:r>
          <w:r>
            <w:rPr>
              <w:sz w:val="24"/>
              <w:szCs w:val="24"/>
            </w:rPr>
            <w:t>118</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26"/>
            <w:keepNext w:val="0"/>
            <w:keepLines w:val="0"/>
            <w:pageBreakBefore w:val="0"/>
            <w:widowControl/>
            <w:tabs>
              <w:tab w:val="right" w:leader="dot" w:pos="9525"/>
              <w:tab w:val="clear" w:pos="9072"/>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_Toc3992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lang w:eastAsia="zh-CN"/>
            </w:rPr>
            <w:t>9.2污染物排放清单</w:t>
          </w:r>
          <w:r>
            <w:rPr>
              <w:sz w:val="24"/>
              <w:szCs w:val="24"/>
            </w:rPr>
            <w:tab/>
          </w:r>
          <w:r>
            <w:rPr>
              <w:sz w:val="24"/>
              <w:szCs w:val="24"/>
            </w:rPr>
            <w:fldChar w:fldCharType="begin"/>
          </w:r>
          <w:r>
            <w:rPr>
              <w:sz w:val="24"/>
              <w:szCs w:val="24"/>
            </w:rPr>
            <w:instrText xml:space="preserve"> PAGEREF _Toc3992 \h </w:instrText>
          </w:r>
          <w:r>
            <w:rPr>
              <w:sz w:val="24"/>
              <w:szCs w:val="24"/>
            </w:rPr>
            <w:fldChar w:fldCharType="separate"/>
          </w:r>
          <w:r>
            <w:rPr>
              <w:sz w:val="24"/>
              <w:szCs w:val="24"/>
            </w:rPr>
            <w:t>120</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17"/>
            <w:keepNext w:val="0"/>
            <w:keepLines w:val="0"/>
            <w:pageBreakBefore w:val="0"/>
            <w:widowControl/>
            <w:tabs>
              <w:tab w:val="right" w:leader="dot" w:pos="9525"/>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_Toc11942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lang w:eastAsia="zh-CN"/>
            </w:rPr>
            <w:t>9.</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lang w:eastAsia="zh-CN"/>
            </w:rPr>
            <w:t>.1产污节点、污染物及污染治理设施</w:t>
          </w:r>
          <w:r>
            <w:rPr>
              <w:sz w:val="24"/>
              <w:szCs w:val="24"/>
            </w:rPr>
            <w:tab/>
          </w:r>
          <w:r>
            <w:rPr>
              <w:sz w:val="24"/>
              <w:szCs w:val="24"/>
            </w:rPr>
            <w:fldChar w:fldCharType="begin"/>
          </w:r>
          <w:r>
            <w:rPr>
              <w:sz w:val="24"/>
              <w:szCs w:val="24"/>
            </w:rPr>
            <w:instrText xml:space="preserve"> PAGEREF _Toc11942 \h </w:instrText>
          </w:r>
          <w:r>
            <w:rPr>
              <w:sz w:val="24"/>
              <w:szCs w:val="24"/>
            </w:rPr>
            <w:fldChar w:fldCharType="separate"/>
          </w:r>
          <w:r>
            <w:rPr>
              <w:sz w:val="24"/>
              <w:szCs w:val="24"/>
            </w:rPr>
            <w:t>120</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17"/>
            <w:keepNext w:val="0"/>
            <w:keepLines w:val="0"/>
            <w:pageBreakBefore w:val="0"/>
            <w:widowControl/>
            <w:tabs>
              <w:tab w:val="right" w:leader="dot" w:pos="9525"/>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_Toc14935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lang w:val="en-US" w:eastAsia="zh-CN"/>
            </w:rPr>
            <w:t>9.2.2排放清单</w:t>
          </w:r>
          <w:r>
            <w:rPr>
              <w:sz w:val="24"/>
              <w:szCs w:val="24"/>
            </w:rPr>
            <w:tab/>
          </w:r>
          <w:r>
            <w:rPr>
              <w:sz w:val="24"/>
              <w:szCs w:val="24"/>
            </w:rPr>
            <w:fldChar w:fldCharType="begin"/>
          </w:r>
          <w:r>
            <w:rPr>
              <w:sz w:val="24"/>
              <w:szCs w:val="24"/>
            </w:rPr>
            <w:instrText xml:space="preserve"> PAGEREF _Toc14935 \h </w:instrText>
          </w:r>
          <w:r>
            <w:rPr>
              <w:sz w:val="24"/>
              <w:szCs w:val="24"/>
            </w:rPr>
            <w:fldChar w:fldCharType="separate"/>
          </w:r>
          <w:r>
            <w:rPr>
              <w:sz w:val="24"/>
              <w:szCs w:val="24"/>
            </w:rPr>
            <w:t>120</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17"/>
            <w:keepNext w:val="0"/>
            <w:keepLines w:val="0"/>
            <w:pageBreakBefore w:val="0"/>
            <w:widowControl/>
            <w:tabs>
              <w:tab w:val="right" w:leader="dot" w:pos="9525"/>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_Toc2212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lang w:val="en-US" w:eastAsia="zh-CN"/>
            </w:rPr>
            <w:t>9.2.3污染物排放的管理要求</w:t>
          </w:r>
          <w:r>
            <w:rPr>
              <w:sz w:val="24"/>
              <w:szCs w:val="24"/>
            </w:rPr>
            <w:tab/>
          </w:r>
          <w:r>
            <w:rPr>
              <w:sz w:val="24"/>
              <w:szCs w:val="24"/>
            </w:rPr>
            <w:fldChar w:fldCharType="begin"/>
          </w:r>
          <w:r>
            <w:rPr>
              <w:sz w:val="24"/>
              <w:szCs w:val="24"/>
            </w:rPr>
            <w:instrText xml:space="preserve"> PAGEREF _Toc2212 \h </w:instrText>
          </w:r>
          <w:r>
            <w:rPr>
              <w:sz w:val="24"/>
              <w:szCs w:val="24"/>
            </w:rPr>
            <w:fldChar w:fldCharType="separate"/>
          </w:r>
          <w:r>
            <w:rPr>
              <w:sz w:val="24"/>
              <w:szCs w:val="24"/>
            </w:rPr>
            <w:t>121</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17"/>
            <w:keepNext w:val="0"/>
            <w:keepLines w:val="0"/>
            <w:pageBreakBefore w:val="0"/>
            <w:widowControl/>
            <w:tabs>
              <w:tab w:val="right" w:leader="dot" w:pos="9525"/>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_Toc1482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lang w:val="en-US" w:eastAsia="zh-CN"/>
            </w:rPr>
            <w:t>9.2.4信息公开</w:t>
          </w:r>
          <w:r>
            <w:rPr>
              <w:sz w:val="24"/>
              <w:szCs w:val="24"/>
            </w:rPr>
            <w:tab/>
          </w:r>
          <w:r>
            <w:rPr>
              <w:sz w:val="24"/>
              <w:szCs w:val="24"/>
            </w:rPr>
            <w:fldChar w:fldCharType="begin"/>
          </w:r>
          <w:r>
            <w:rPr>
              <w:sz w:val="24"/>
              <w:szCs w:val="24"/>
            </w:rPr>
            <w:instrText xml:space="preserve"> PAGEREF _Toc1482 \h </w:instrText>
          </w:r>
          <w:r>
            <w:rPr>
              <w:sz w:val="24"/>
              <w:szCs w:val="24"/>
            </w:rPr>
            <w:fldChar w:fldCharType="separate"/>
          </w:r>
          <w:r>
            <w:rPr>
              <w:sz w:val="24"/>
              <w:szCs w:val="24"/>
            </w:rPr>
            <w:t>121</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17"/>
            <w:keepNext w:val="0"/>
            <w:keepLines w:val="0"/>
            <w:pageBreakBefore w:val="0"/>
            <w:widowControl/>
            <w:tabs>
              <w:tab w:val="right" w:leader="dot" w:pos="9525"/>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_Toc24998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lang w:val="en-US" w:eastAsia="zh-CN"/>
            </w:rPr>
            <w:t>9.2.5排污许可申报</w:t>
          </w:r>
          <w:r>
            <w:rPr>
              <w:sz w:val="24"/>
              <w:szCs w:val="24"/>
            </w:rPr>
            <w:tab/>
          </w:r>
          <w:r>
            <w:rPr>
              <w:sz w:val="24"/>
              <w:szCs w:val="24"/>
            </w:rPr>
            <w:fldChar w:fldCharType="begin"/>
          </w:r>
          <w:r>
            <w:rPr>
              <w:sz w:val="24"/>
              <w:szCs w:val="24"/>
            </w:rPr>
            <w:instrText xml:space="preserve"> PAGEREF _Toc24998 \h </w:instrText>
          </w:r>
          <w:r>
            <w:rPr>
              <w:sz w:val="24"/>
              <w:szCs w:val="24"/>
            </w:rPr>
            <w:fldChar w:fldCharType="separate"/>
          </w:r>
          <w:r>
            <w:rPr>
              <w:sz w:val="24"/>
              <w:szCs w:val="24"/>
            </w:rPr>
            <w:t>122</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26"/>
            <w:keepNext w:val="0"/>
            <w:keepLines w:val="0"/>
            <w:pageBreakBefore w:val="0"/>
            <w:widowControl/>
            <w:tabs>
              <w:tab w:val="right" w:leader="dot" w:pos="9525"/>
              <w:tab w:val="clear" w:pos="9072"/>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_Toc29150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lang w:eastAsia="zh-CN"/>
            </w:rPr>
            <w:t>9.3总量控制</w:t>
          </w:r>
          <w:r>
            <w:rPr>
              <w:sz w:val="24"/>
              <w:szCs w:val="24"/>
            </w:rPr>
            <w:tab/>
          </w:r>
          <w:r>
            <w:rPr>
              <w:sz w:val="24"/>
              <w:szCs w:val="24"/>
            </w:rPr>
            <w:fldChar w:fldCharType="begin"/>
          </w:r>
          <w:r>
            <w:rPr>
              <w:sz w:val="24"/>
              <w:szCs w:val="24"/>
            </w:rPr>
            <w:instrText xml:space="preserve"> PAGEREF _Toc29150 \h </w:instrText>
          </w:r>
          <w:r>
            <w:rPr>
              <w:sz w:val="24"/>
              <w:szCs w:val="24"/>
            </w:rPr>
            <w:fldChar w:fldCharType="separate"/>
          </w:r>
          <w:r>
            <w:rPr>
              <w:sz w:val="24"/>
              <w:szCs w:val="24"/>
            </w:rPr>
            <w:t>122</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26"/>
            <w:keepNext w:val="0"/>
            <w:keepLines w:val="0"/>
            <w:pageBreakBefore w:val="0"/>
            <w:widowControl/>
            <w:tabs>
              <w:tab w:val="right" w:leader="dot" w:pos="9525"/>
              <w:tab w:val="clear" w:pos="9072"/>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_Toc15550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lang w:eastAsia="zh-CN"/>
            </w:rPr>
            <w:t>9.</w:t>
          </w: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lang w:eastAsia="zh-CN"/>
            </w:rPr>
            <w:t>监测计划</w:t>
          </w:r>
          <w:r>
            <w:rPr>
              <w:sz w:val="24"/>
              <w:szCs w:val="24"/>
            </w:rPr>
            <w:tab/>
          </w:r>
          <w:r>
            <w:rPr>
              <w:sz w:val="24"/>
              <w:szCs w:val="24"/>
            </w:rPr>
            <w:fldChar w:fldCharType="begin"/>
          </w:r>
          <w:r>
            <w:rPr>
              <w:sz w:val="24"/>
              <w:szCs w:val="24"/>
            </w:rPr>
            <w:instrText xml:space="preserve"> PAGEREF _Toc15550 \h </w:instrText>
          </w:r>
          <w:r>
            <w:rPr>
              <w:sz w:val="24"/>
              <w:szCs w:val="24"/>
            </w:rPr>
            <w:fldChar w:fldCharType="separate"/>
          </w:r>
          <w:r>
            <w:rPr>
              <w:sz w:val="24"/>
              <w:szCs w:val="24"/>
            </w:rPr>
            <w:t>122</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26"/>
            <w:keepNext w:val="0"/>
            <w:keepLines w:val="0"/>
            <w:pageBreakBefore w:val="0"/>
            <w:widowControl/>
            <w:tabs>
              <w:tab w:val="right" w:leader="dot" w:pos="9525"/>
              <w:tab w:val="clear" w:pos="9072"/>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_Toc29875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lang w:eastAsia="zh-CN"/>
            </w:rPr>
            <w:t>9.</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lang w:eastAsia="zh-CN"/>
            </w:rPr>
            <w:t>排污口规范化</w:t>
          </w:r>
          <w:r>
            <w:rPr>
              <w:sz w:val="24"/>
              <w:szCs w:val="24"/>
            </w:rPr>
            <w:tab/>
          </w:r>
          <w:r>
            <w:rPr>
              <w:sz w:val="24"/>
              <w:szCs w:val="24"/>
            </w:rPr>
            <w:fldChar w:fldCharType="begin"/>
          </w:r>
          <w:r>
            <w:rPr>
              <w:sz w:val="24"/>
              <w:szCs w:val="24"/>
            </w:rPr>
            <w:instrText xml:space="preserve"> PAGEREF _Toc29875 \h </w:instrText>
          </w:r>
          <w:r>
            <w:rPr>
              <w:sz w:val="24"/>
              <w:szCs w:val="24"/>
            </w:rPr>
            <w:fldChar w:fldCharType="separate"/>
          </w:r>
          <w:r>
            <w:rPr>
              <w:sz w:val="24"/>
              <w:szCs w:val="24"/>
            </w:rPr>
            <w:t>123</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17"/>
            <w:keepNext w:val="0"/>
            <w:keepLines w:val="0"/>
            <w:pageBreakBefore w:val="0"/>
            <w:widowControl/>
            <w:tabs>
              <w:tab w:val="right" w:leader="dot" w:pos="9525"/>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_Toc8582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lang w:eastAsia="zh-CN"/>
            </w:rPr>
            <w:t>9.</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lang w:eastAsia="zh-CN"/>
            </w:rPr>
            <w:t>.1废气排放口</w:t>
          </w:r>
          <w:r>
            <w:rPr>
              <w:sz w:val="24"/>
              <w:szCs w:val="24"/>
            </w:rPr>
            <w:tab/>
          </w:r>
          <w:r>
            <w:rPr>
              <w:sz w:val="24"/>
              <w:szCs w:val="24"/>
            </w:rPr>
            <w:fldChar w:fldCharType="begin"/>
          </w:r>
          <w:r>
            <w:rPr>
              <w:sz w:val="24"/>
              <w:szCs w:val="24"/>
            </w:rPr>
            <w:instrText xml:space="preserve"> PAGEREF _Toc8582 \h </w:instrText>
          </w:r>
          <w:r>
            <w:rPr>
              <w:sz w:val="24"/>
              <w:szCs w:val="24"/>
            </w:rPr>
            <w:fldChar w:fldCharType="separate"/>
          </w:r>
          <w:r>
            <w:rPr>
              <w:sz w:val="24"/>
              <w:szCs w:val="24"/>
            </w:rPr>
            <w:t>123</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17"/>
            <w:keepNext w:val="0"/>
            <w:keepLines w:val="0"/>
            <w:pageBreakBefore w:val="0"/>
            <w:widowControl/>
            <w:tabs>
              <w:tab w:val="right" w:leader="dot" w:pos="9525"/>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_Toc424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lang w:eastAsia="zh-CN"/>
            </w:rPr>
            <w:t>9.</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lang w:eastAsia="zh-CN"/>
            </w:rPr>
            <w:t>.2废水排放口</w:t>
          </w:r>
          <w:r>
            <w:rPr>
              <w:sz w:val="24"/>
              <w:szCs w:val="24"/>
            </w:rPr>
            <w:tab/>
          </w:r>
          <w:r>
            <w:rPr>
              <w:sz w:val="24"/>
              <w:szCs w:val="24"/>
            </w:rPr>
            <w:fldChar w:fldCharType="begin"/>
          </w:r>
          <w:r>
            <w:rPr>
              <w:sz w:val="24"/>
              <w:szCs w:val="24"/>
            </w:rPr>
            <w:instrText xml:space="preserve"> PAGEREF _Toc424 \h </w:instrText>
          </w:r>
          <w:r>
            <w:rPr>
              <w:sz w:val="24"/>
              <w:szCs w:val="24"/>
            </w:rPr>
            <w:fldChar w:fldCharType="separate"/>
          </w:r>
          <w:r>
            <w:rPr>
              <w:sz w:val="24"/>
              <w:szCs w:val="24"/>
            </w:rPr>
            <w:t>123</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17"/>
            <w:keepNext w:val="0"/>
            <w:keepLines w:val="0"/>
            <w:pageBreakBefore w:val="0"/>
            <w:widowControl/>
            <w:tabs>
              <w:tab w:val="right" w:leader="dot" w:pos="9525"/>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_Toc16222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lang w:eastAsia="zh-CN"/>
            </w:rPr>
            <w:t>9.</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lang w:eastAsia="zh-CN"/>
            </w:rPr>
            <w:t>.3噪声排放源</w:t>
          </w:r>
          <w:r>
            <w:rPr>
              <w:sz w:val="24"/>
              <w:szCs w:val="24"/>
            </w:rPr>
            <w:tab/>
          </w:r>
          <w:r>
            <w:rPr>
              <w:sz w:val="24"/>
              <w:szCs w:val="24"/>
            </w:rPr>
            <w:fldChar w:fldCharType="begin"/>
          </w:r>
          <w:r>
            <w:rPr>
              <w:sz w:val="24"/>
              <w:szCs w:val="24"/>
            </w:rPr>
            <w:instrText xml:space="preserve"> PAGEREF _Toc16222 \h </w:instrText>
          </w:r>
          <w:r>
            <w:rPr>
              <w:sz w:val="24"/>
              <w:szCs w:val="24"/>
            </w:rPr>
            <w:fldChar w:fldCharType="separate"/>
          </w:r>
          <w:r>
            <w:rPr>
              <w:sz w:val="24"/>
              <w:szCs w:val="24"/>
            </w:rPr>
            <w:t>123</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17"/>
            <w:keepNext w:val="0"/>
            <w:keepLines w:val="0"/>
            <w:pageBreakBefore w:val="0"/>
            <w:widowControl/>
            <w:tabs>
              <w:tab w:val="right" w:leader="dot" w:pos="9525"/>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_Toc30231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lang w:eastAsia="zh-CN"/>
            </w:rPr>
            <w:t>9.4.4固体废物贮存（处置）场</w:t>
          </w:r>
          <w:r>
            <w:rPr>
              <w:sz w:val="24"/>
              <w:szCs w:val="24"/>
            </w:rPr>
            <w:tab/>
          </w:r>
          <w:r>
            <w:rPr>
              <w:sz w:val="24"/>
              <w:szCs w:val="24"/>
            </w:rPr>
            <w:fldChar w:fldCharType="begin"/>
          </w:r>
          <w:r>
            <w:rPr>
              <w:sz w:val="24"/>
              <w:szCs w:val="24"/>
            </w:rPr>
            <w:instrText xml:space="preserve"> PAGEREF _Toc30231 \h </w:instrText>
          </w:r>
          <w:r>
            <w:rPr>
              <w:sz w:val="24"/>
              <w:szCs w:val="24"/>
            </w:rPr>
            <w:fldChar w:fldCharType="separate"/>
          </w:r>
          <w:r>
            <w:rPr>
              <w:sz w:val="24"/>
              <w:szCs w:val="24"/>
            </w:rPr>
            <w:t>123</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17"/>
            <w:keepNext w:val="0"/>
            <w:keepLines w:val="0"/>
            <w:pageBreakBefore w:val="0"/>
            <w:widowControl/>
            <w:tabs>
              <w:tab w:val="right" w:leader="dot" w:pos="9525"/>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_Toc9167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lang w:eastAsia="zh-CN"/>
            </w:rPr>
            <w:t>9.</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lang w:eastAsia="zh-CN"/>
            </w:rPr>
            <w:t>.5设置标志牌要求</w:t>
          </w:r>
          <w:r>
            <w:rPr>
              <w:sz w:val="24"/>
              <w:szCs w:val="24"/>
            </w:rPr>
            <w:tab/>
          </w:r>
          <w:r>
            <w:rPr>
              <w:sz w:val="24"/>
              <w:szCs w:val="24"/>
            </w:rPr>
            <w:fldChar w:fldCharType="begin"/>
          </w:r>
          <w:r>
            <w:rPr>
              <w:sz w:val="24"/>
              <w:szCs w:val="24"/>
            </w:rPr>
            <w:instrText xml:space="preserve"> PAGEREF _Toc9167 \h </w:instrText>
          </w:r>
          <w:r>
            <w:rPr>
              <w:sz w:val="24"/>
              <w:szCs w:val="24"/>
            </w:rPr>
            <w:fldChar w:fldCharType="separate"/>
          </w:r>
          <w:r>
            <w:rPr>
              <w:sz w:val="24"/>
              <w:szCs w:val="24"/>
            </w:rPr>
            <w:t>123</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23"/>
            <w:keepNext w:val="0"/>
            <w:keepLines w:val="0"/>
            <w:pageBreakBefore w:val="0"/>
            <w:widowControl/>
            <w:tabs>
              <w:tab w:val="right" w:leader="dot" w:pos="9525"/>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_Toc172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lang w:val="en-US" w:eastAsia="zh-CN"/>
            </w:rPr>
            <w:t>十、</w:t>
          </w:r>
          <w:r>
            <w:rPr>
              <w:rFonts w:hint="eastAsia" w:ascii="宋体" w:hAnsi="宋体" w:eastAsia="宋体" w:cs="宋体"/>
              <w:sz w:val="24"/>
              <w:szCs w:val="24"/>
              <w:highlight w:val="none"/>
              <w:lang w:eastAsia="zh-CN"/>
            </w:rPr>
            <w:t>环境影响评价</w:t>
          </w:r>
          <w:r>
            <w:rPr>
              <w:rFonts w:hint="eastAsia" w:ascii="宋体" w:hAnsi="宋体" w:eastAsia="宋体" w:cs="宋体"/>
              <w:sz w:val="24"/>
              <w:szCs w:val="24"/>
              <w:highlight w:val="none"/>
            </w:rPr>
            <w:t>结论</w:t>
          </w:r>
          <w:r>
            <w:rPr>
              <w:sz w:val="24"/>
              <w:szCs w:val="24"/>
            </w:rPr>
            <w:tab/>
          </w:r>
          <w:r>
            <w:rPr>
              <w:sz w:val="24"/>
              <w:szCs w:val="24"/>
            </w:rPr>
            <w:fldChar w:fldCharType="begin"/>
          </w:r>
          <w:r>
            <w:rPr>
              <w:sz w:val="24"/>
              <w:szCs w:val="24"/>
            </w:rPr>
            <w:instrText xml:space="preserve"> PAGEREF _Toc172 \h </w:instrText>
          </w:r>
          <w:r>
            <w:rPr>
              <w:sz w:val="24"/>
              <w:szCs w:val="24"/>
            </w:rPr>
            <w:fldChar w:fldCharType="separate"/>
          </w:r>
          <w:r>
            <w:rPr>
              <w:sz w:val="24"/>
              <w:szCs w:val="24"/>
            </w:rPr>
            <w:t>125</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26"/>
            <w:keepNext w:val="0"/>
            <w:keepLines w:val="0"/>
            <w:pageBreakBefore w:val="0"/>
            <w:widowControl/>
            <w:tabs>
              <w:tab w:val="right" w:leader="dot" w:pos="9525"/>
              <w:tab w:val="clear" w:pos="9072"/>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_Toc25842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lang w:eastAsia="zh-CN"/>
            </w:rPr>
            <w:t>10.1</w:t>
          </w:r>
          <w:r>
            <w:rPr>
              <w:rFonts w:hint="eastAsia" w:ascii="宋体" w:hAnsi="宋体" w:eastAsia="宋体" w:cs="宋体"/>
              <w:sz w:val="24"/>
              <w:szCs w:val="24"/>
              <w:highlight w:val="none"/>
              <w:lang w:val="en-US" w:eastAsia="zh-CN"/>
            </w:rPr>
            <w:t>评价</w:t>
          </w:r>
          <w:r>
            <w:rPr>
              <w:rFonts w:hint="eastAsia" w:ascii="宋体" w:hAnsi="宋体" w:eastAsia="宋体" w:cs="宋体"/>
              <w:sz w:val="24"/>
              <w:szCs w:val="24"/>
              <w:highlight w:val="none"/>
              <w:lang w:eastAsia="zh-CN"/>
            </w:rPr>
            <w:t>结论</w:t>
          </w:r>
          <w:r>
            <w:rPr>
              <w:sz w:val="24"/>
              <w:szCs w:val="24"/>
            </w:rPr>
            <w:tab/>
          </w:r>
          <w:r>
            <w:rPr>
              <w:sz w:val="24"/>
              <w:szCs w:val="24"/>
            </w:rPr>
            <w:fldChar w:fldCharType="begin"/>
          </w:r>
          <w:r>
            <w:rPr>
              <w:sz w:val="24"/>
              <w:szCs w:val="24"/>
            </w:rPr>
            <w:instrText xml:space="preserve"> PAGEREF _Toc25842 \h </w:instrText>
          </w:r>
          <w:r>
            <w:rPr>
              <w:sz w:val="24"/>
              <w:szCs w:val="24"/>
            </w:rPr>
            <w:fldChar w:fldCharType="separate"/>
          </w:r>
          <w:r>
            <w:rPr>
              <w:sz w:val="24"/>
              <w:szCs w:val="24"/>
            </w:rPr>
            <w:t>125</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17"/>
            <w:keepNext w:val="0"/>
            <w:keepLines w:val="0"/>
            <w:pageBreakBefore w:val="0"/>
            <w:widowControl/>
            <w:tabs>
              <w:tab w:val="right" w:leader="dot" w:pos="9525"/>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_Toc188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lang w:val="en-US" w:eastAsia="zh-CN"/>
            </w:rPr>
            <w:t>10.1.1项目概况</w:t>
          </w:r>
          <w:r>
            <w:rPr>
              <w:sz w:val="24"/>
              <w:szCs w:val="24"/>
            </w:rPr>
            <w:tab/>
          </w:r>
          <w:r>
            <w:rPr>
              <w:sz w:val="24"/>
              <w:szCs w:val="24"/>
            </w:rPr>
            <w:fldChar w:fldCharType="begin"/>
          </w:r>
          <w:r>
            <w:rPr>
              <w:sz w:val="24"/>
              <w:szCs w:val="24"/>
            </w:rPr>
            <w:instrText xml:space="preserve"> PAGEREF _Toc188 \h </w:instrText>
          </w:r>
          <w:r>
            <w:rPr>
              <w:sz w:val="24"/>
              <w:szCs w:val="24"/>
            </w:rPr>
            <w:fldChar w:fldCharType="separate"/>
          </w:r>
          <w:r>
            <w:rPr>
              <w:sz w:val="24"/>
              <w:szCs w:val="24"/>
            </w:rPr>
            <w:t>125</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17"/>
            <w:keepNext w:val="0"/>
            <w:keepLines w:val="0"/>
            <w:pageBreakBefore w:val="0"/>
            <w:widowControl/>
            <w:tabs>
              <w:tab w:val="right" w:leader="dot" w:pos="9525"/>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_Toc26622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lang w:val="en-US" w:eastAsia="zh-CN"/>
            </w:rPr>
            <w:t>10.1.2环境质量现状</w:t>
          </w:r>
          <w:r>
            <w:rPr>
              <w:sz w:val="24"/>
              <w:szCs w:val="24"/>
            </w:rPr>
            <w:tab/>
          </w:r>
          <w:r>
            <w:rPr>
              <w:sz w:val="24"/>
              <w:szCs w:val="24"/>
            </w:rPr>
            <w:fldChar w:fldCharType="begin"/>
          </w:r>
          <w:r>
            <w:rPr>
              <w:sz w:val="24"/>
              <w:szCs w:val="24"/>
            </w:rPr>
            <w:instrText xml:space="preserve"> PAGEREF _Toc26622 \h </w:instrText>
          </w:r>
          <w:r>
            <w:rPr>
              <w:sz w:val="24"/>
              <w:szCs w:val="24"/>
            </w:rPr>
            <w:fldChar w:fldCharType="separate"/>
          </w:r>
          <w:r>
            <w:rPr>
              <w:sz w:val="24"/>
              <w:szCs w:val="24"/>
            </w:rPr>
            <w:t>125</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17"/>
            <w:keepNext w:val="0"/>
            <w:keepLines w:val="0"/>
            <w:pageBreakBefore w:val="0"/>
            <w:widowControl/>
            <w:tabs>
              <w:tab w:val="right" w:leader="dot" w:pos="9525"/>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_Toc1287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lang w:val="en-US" w:eastAsia="zh-CN"/>
            </w:rPr>
            <w:t>10.1.3污染物排放情况</w:t>
          </w:r>
          <w:r>
            <w:rPr>
              <w:sz w:val="24"/>
              <w:szCs w:val="24"/>
            </w:rPr>
            <w:tab/>
          </w:r>
          <w:r>
            <w:rPr>
              <w:sz w:val="24"/>
              <w:szCs w:val="24"/>
            </w:rPr>
            <w:fldChar w:fldCharType="begin"/>
          </w:r>
          <w:r>
            <w:rPr>
              <w:sz w:val="24"/>
              <w:szCs w:val="24"/>
            </w:rPr>
            <w:instrText xml:space="preserve"> PAGEREF _Toc1287 \h </w:instrText>
          </w:r>
          <w:r>
            <w:rPr>
              <w:sz w:val="24"/>
              <w:szCs w:val="24"/>
            </w:rPr>
            <w:fldChar w:fldCharType="separate"/>
          </w:r>
          <w:r>
            <w:rPr>
              <w:sz w:val="24"/>
              <w:szCs w:val="24"/>
            </w:rPr>
            <w:t>125</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17"/>
            <w:keepNext w:val="0"/>
            <w:keepLines w:val="0"/>
            <w:pageBreakBefore w:val="0"/>
            <w:widowControl/>
            <w:tabs>
              <w:tab w:val="right" w:leader="dot" w:pos="9525"/>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_Toc28020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lang w:val="en-US" w:eastAsia="zh-CN"/>
            </w:rPr>
            <w:t>10.1.4产业政策符合性</w:t>
          </w:r>
          <w:r>
            <w:rPr>
              <w:sz w:val="24"/>
              <w:szCs w:val="24"/>
            </w:rPr>
            <w:tab/>
          </w:r>
          <w:r>
            <w:rPr>
              <w:sz w:val="24"/>
              <w:szCs w:val="24"/>
            </w:rPr>
            <w:fldChar w:fldCharType="begin"/>
          </w:r>
          <w:r>
            <w:rPr>
              <w:sz w:val="24"/>
              <w:szCs w:val="24"/>
            </w:rPr>
            <w:instrText xml:space="preserve"> PAGEREF _Toc28020 \h </w:instrText>
          </w:r>
          <w:r>
            <w:rPr>
              <w:sz w:val="24"/>
              <w:szCs w:val="24"/>
            </w:rPr>
            <w:fldChar w:fldCharType="separate"/>
          </w:r>
          <w:r>
            <w:rPr>
              <w:sz w:val="24"/>
              <w:szCs w:val="24"/>
            </w:rPr>
            <w:t>127</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17"/>
            <w:keepNext w:val="0"/>
            <w:keepLines w:val="0"/>
            <w:pageBreakBefore w:val="0"/>
            <w:widowControl/>
            <w:tabs>
              <w:tab w:val="right" w:leader="dot" w:pos="9525"/>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_Toc3522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lang w:val="en-US" w:eastAsia="zh-CN"/>
            </w:rPr>
            <w:t>10.1.6公众参与</w:t>
          </w:r>
          <w:r>
            <w:rPr>
              <w:sz w:val="24"/>
              <w:szCs w:val="24"/>
            </w:rPr>
            <w:tab/>
          </w:r>
          <w:r>
            <w:rPr>
              <w:sz w:val="24"/>
              <w:szCs w:val="24"/>
            </w:rPr>
            <w:fldChar w:fldCharType="begin"/>
          </w:r>
          <w:r>
            <w:rPr>
              <w:sz w:val="24"/>
              <w:szCs w:val="24"/>
            </w:rPr>
            <w:instrText xml:space="preserve"> PAGEREF _Toc3522 \h </w:instrText>
          </w:r>
          <w:r>
            <w:rPr>
              <w:sz w:val="24"/>
              <w:szCs w:val="24"/>
            </w:rPr>
            <w:fldChar w:fldCharType="separate"/>
          </w:r>
          <w:r>
            <w:rPr>
              <w:sz w:val="24"/>
              <w:szCs w:val="24"/>
            </w:rPr>
            <w:t>127</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17"/>
            <w:keepNext w:val="0"/>
            <w:keepLines w:val="0"/>
            <w:pageBreakBefore w:val="0"/>
            <w:widowControl/>
            <w:tabs>
              <w:tab w:val="right" w:leader="dot" w:pos="9525"/>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_Toc6020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lang w:val="en-US" w:eastAsia="zh-CN"/>
            </w:rPr>
            <w:t>10.1.7结论</w:t>
          </w:r>
          <w:r>
            <w:rPr>
              <w:sz w:val="24"/>
              <w:szCs w:val="24"/>
            </w:rPr>
            <w:tab/>
          </w:r>
          <w:r>
            <w:rPr>
              <w:sz w:val="24"/>
              <w:szCs w:val="24"/>
            </w:rPr>
            <w:fldChar w:fldCharType="begin"/>
          </w:r>
          <w:r>
            <w:rPr>
              <w:sz w:val="24"/>
              <w:szCs w:val="24"/>
            </w:rPr>
            <w:instrText xml:space="preserve"> PAGEREF _Toc6020 \h </w:instrText>
          </w:r>
          <w:r>
            <w:rPr>
              <w:sz w:val="24"/>
              <w:szCs w:val="24"/>
            </w:rPr>
            <w:fldChar w:fldCharType="separate"/>
          </w:r>
          <w:r>
            <w:rPr>
              <w:sz w:val="24"/>
              <w:szCs w:val="24"/>
            </w:rPr>
            <w:t>127</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17"/>
            <w:keepNext w:val="0"/>
            <w:keepLines w:val="0"/>
            <w:pageBreakBefore w:val="0"/>
            <w:widowControl/>
            <w:tabs>
              <w:tab w:val="right" w:leader="dot" w:pos="9525"/>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_Toc5101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lang w:val="en-US" w:eastAsia="zh-CN"/>
            </w:rPr>
            <w:t>10.1.5总量控制</w:t>
          </w:r>
          <w:r>
            <w:rPr>
              <w:sz w:val="24"/>
              <w:szCs w:val="24"/>
            </w:rPr>
            <w:tab/>
          </w:r>
          <w:r>
            <w:rPr>
              <w:sz w:val="24"/>
              <w:szCs w:val="24"/>
            </w:rPr>
            <w:fldChar w:fldCharType="begin"/>
          </w:r>
          <w:r>
            <w:rPr>
              <w:sz w:val="24"/>
              <w:szCs w:val="24"/>
            </w:rPr>
            <w:instrText xml:space="preserve"> PAGEREF _Toc5101 \h </w:instrText>
          </w:r>
          <w:r>
            <w:rPr>
              <w:sz w:val="24"/>
              <w:szCs w:val="24"/>
            </w:rPr>
            <w:fldChar w:fldCharType="separate"/>
          </w:r>
          <w:r>
            <w:rPr>
              <w:sz w:val="24"/>
              <w:szCs w:val="24"/>
            </w:rPr>
            <w:t>127</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26"/>
            <w:keepNext w:val="0"/>
            <w:keepLines w:val="0"/>
            <w:pageBreakBefore w:val="0"/>
            <w:widowControl/>
            <w:tabs>
              <w:tab w:val="right" w:leader="dot" w:pos="9525"/>
              <w:tab w:val="clear" w:pos="9072"/>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sz w:val="24"/>
              <w:szCs w:val="24"/>
            </w:rPr>
            <w:instrText xml:space="preserve"> HYPERLINK \l _Toc1170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lang w:val="en-US" w:eastAsia="zh-CN"/>
            </w:rPr>
            <w:t>10.2建议</w:t>
          </w:r>
          <w:r>
            <w:rPr>
              <w:sz w:val="24"/>
              <w:szCs w:val="24"/>
            </w:rPr>
            <w:tab/>
          </w:r>
          <w:r>
            <w:rPr>
              <w:sz w:val="24"/>
              <w:szCs w:val="24"/>
            </w:rPr>
            <w:fldChar w:fldCharType="begin"/>
          </w:r>
          <w:r>
            <w:rPr>
              <w:sz w:val="24"/>
              <w:szCs w:val="24"/>
            </w:rPr>
            <w:instrText xml:space="preserve"> PAGEREF _Toc1170 \h </w:instrText>
          </w:r>
          <w:r>
            <w:rPr>
              <w:sz w:val="24"/>
              <w:szCs w:val="24"/>
            </w:rPr>
            <w:fldChar w:fldCharType="separate"/>
          </w:r>
          <w:r>
            <w:rPr>
              <w:sz w:val="24"/>
              <w:szCs w:val="24"/>
            </w:rPr>
            <w:t>128</w:t>
          </w:r>
          <w:r>
            <w:rPr>
              <w:sz w:val="24"/>
              <w:szCs w:val="24"/>
            </w:rPr>
            <w:fldChar w:fldCharType="end"/>
          </w:r>
          <w:r>
            <w:rPr>
              <w:rFonts w:hint="eastAsia" w:ascii="宋体" w:hAnsi="宋体" w:eastAsia="宋体" w:cs="宋体"/>
              <w:color w:val="000000" w:themeColor="text1"/>
              <w:sz w:val="24"/>
              <w:szCs w:val="24"/>
              <w14:textFill>
                <w14:solidFill>
                  <w14:schemeClr w14:val="tx1"/>
                </w14:solidFill>
              </w14:textFill>
            </w:rPr>
            <w:fldChar w:fldCharType="end"/>
          </w:r>
        </w:p>
        <w:p>
          <w:pPr>
            <w:pStyle w:val="7"/>
            <w:keepNext w:val="0"/>
            <w:keepLines w:val="0"/>
            <w:pageBreakBefore w:val="0"/>
            <w:widowControl/>
            <w:kinsoku/>
            <w:wordWrap/>
            <w:overflowPunct/>
            <w:topLinePunct w:val="0"/>
            <w:bidi w:val="0"/>
            <w:adjustRightInd/>
            <w:snapToGrid/>
            <w:spacing w:line="30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fldChar w:fldCharType="end"/>
          </w:r>
        </w:p>
      </w:sdtContent>
    </w:sdt>
    <w:p>
      <w:pPr>
        <w:keepNext w:val="0"/>
        <w:keepLines w:val="0"/>
        <w:pageBreakBefore w:val="0"/>
        <w:widowControl/>
        <w:kinsoku/>
        <w:wordWrap/>
        <w:overflowPunct/>
        <w:topLinePunct w:val="0"/>
        <w:bidi w:val="0"/>
        <w:adjustRightInd/>
        <w:snapToGrid/>
        <w:spacing w:line="300" w:lineRule="auto"/>
        <w:textAlignment w:val="auto"/>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br w:type="page"/>
      </w:r>
    </w:p>
    <w:p>
      <w:pPr>
        <w:pageBreakBefore w:val="0"/>
        <w:widowControl/>
        <w:kinsoku/>
        <w:wordWrap/>
        <w:overflowPunct/>
        <w:topLinePunct w:val="0"/>
        <w:autoSpaceDE/>
        <w:autoSpaceDN/>
        <w:bidi w:val="0"/>
        <w:adjustRightInd/>
        <w:snapToGrid/>
        <w:spacing w:beforeLines="0" w:after="0" w:afterLines="0" w:line="360" w:lineRule="auto"/>
        <w:ind w:firstLine="482" w:firstLineChars="200"/>
        <w:jc w:val="left"/>
        <w:textAlignment w:val="auto"/>
        <w:outlineLvl w:val="9"/>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附件</w:t>
      </w:r>
    </w:p>
    <w:p>
      <w:pPr>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附件1委托函</w:t>
      </w:r>
    </w:p>
    <w:p>
      <w:pPr>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附件2营业执照</w:t>
      </w:r>
    </w:p>
    <w:p>
      <w:pPr>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附件3原环评批复</w:t>
      </w:r>
    </w:p>
    <w:p>
      <w:pPr>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附件4备案证明</w:t>
      </w:r>
    </w:p>
    <w:p>
      <w:pPr>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color w:val="000000" w:themeColor="text1"/>
          <w:sz w:val="24"/>
          <w:szCs w:val="24"/>
          <w:u w:val="none"/>
          <w:lang w:val="en-US" w:eastAsia="zh-CN"/>
          <w14:textFill>
            <w14:solidFill>
              <w14:schemeClr w14:val="tx1"/>
            </w14:solidFill>
          </w14:textFill>
        </w:rPr>
      </w:pPr>
      <w:r>
        <w:rPr>
          <w:rFonts w:hint="eastAsia" w:ascii="宋体" w:hAnsi="宋体" w:eastAsia="宋体" w:cs="宋体"/>
          <w:color w:val="000000" w:themeColor="text1"/>
          <w:sz w:val="24"/>
          <w:szCs w:val="24"/>
          <w:u w:val="none"/>
          <w:lang w:val="en-US" w:eastAsia="zh-CN"/>
          <w14:textFill>
            <w14:solidFill>
              <w14:schemeClr w14:val="tx1"/>
            </w14:solidFill>
          </w14:textFill>
        </w:rPr>
        <w:t>附件5规划许可证</w:t>
      </w:r>
    </w:p>
    <w:p>
      <w:pPr>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color w:val="000000" w:themeColor="text1"/>
          <w:sz w:val="24"/>
          <w:szCs w:val="24"/>
          <w:u w:val="none"/>
          <w:lang w:val="en-US" w:eastAsia="zh-CN"/>
          <w14:textFill>
            <w14:solidFill>
              <w14:schemeClr w14:val="tx1"/>
            </w14:solidFill>
          </w14:textFill>
        </w:rPr>
      </w:pPr>
      <w:r>
        <w:rPr>
          <w:rFonts w:hint="eastAsia" w:ascii="宋体" w:hAnsi="宋体" w:eastAsia="宋体" w:cs="宋体"/>
          <w:color w:val="000000" w:themeColor="text1"/>
          <w:sz w:val="24"/>
          <w:szCs w:val="24"/>
          <w:u w:val="none"/>
          <w:lang w:val="en-US" w:eastAsia="zh-CN"/>
          <w14:textFill>
            <w14:solidFill>
              <w14:schemeClr w14:val="tx1"/>
            </w14:solidFill>
          </w14:textFill>
        </w:rPr>
        <w:t>附件6标准函</w:t>
      </w:r>
    </w:p>
    <w:p>
      <w:pPr>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color w:val="000000" w:themeColor="text1"/>
          <w:sz w:val="24"/>
          <w:szCs w:val="24"/>
          <w:u w:val="none"/>
          <w:lang w:val="en-US" w:eastAsia="zh-CN"/>
          <w14:textFill>
            <w14:solidFill>
              <w14:schemeClr w14:val="tx1"/>
            </w14:solidFill>
          </w14:textFill>
        </w:rPr>
      </w:pPr>
      <w:r>
        <w:rPr>
          <w:rFonts w:hint="eastAsia" w:ascii="宋体" w:hAnsi="宋体" w:eastAsia="宋体" w:cs="宋体"/>
          <w:color w:val="000000" w:themeColor="text1"/>
          <w:sz w:val="24"/>
          <w:szCs w:val="24"/>
          <w:u w:val="none"/>
          <w:lang w:val="en-US" w:eastAsia="zh-CN"/>
          <w14:textFill>
            <w14:solidFill>
              <w14:schemeClr w14:val="tx1"/>
            </w14:solidFill>
          </w14:textFill>
        </w:rPr>
        <w:t>附件7监测报告</w:t>
      </w:r>
    </w:p>
    <w:p>
      <w:pPr>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color w:val="000000" w:themeColor="text1"/>
          <w:sz w:val="24"/>
          <w:szCs w:val="24"/>
          <w:u w:val="single"/>
          <w:lang w:val="en-US" w:eastAsia="zh-CN"/>
          <w14:textFill>
            <w14:solidFill>
              <w14:schemeClr w14:val="tx1"/>
            </w14:solidFill>
          </w14:textFill>
        </w:rPr>
      </w:pPr>
      <w:r>
        <w:rPr>
          <w:rFonts w:hint="eastAsia" w:ascii="宋体" w:hAnsi="宋体" w:eastAsia="宋体" w:cs="宋体"/>
          <w:color w:val="000000" w:themeColor="text1"/>
          <w:sz w:val="24"/>
          <w:szCs w:val="24"/>
          <w:u w:val="single"/>
          <w:lang w:val="en-US" w:eastAsia="zh-CN"/>
          <w14:textFill>
            <w14:solidFill>
              <w14:schemeClr w14:val="tx1"/>
            </w14:solidFill>
          </w14:textFill>
        </w:rPr>
        <w:t>附件8 新马创新工业园审查意见</w:t>
      </w:r>
    </w:p>
    <w:p>
      <w:pPr>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color w:val="000000" w:themeColor="text1"/>
          <w:sz w:val="24"/>
          <w:szCs w:val="24"/>
          <w:u w:val="single"/>
          <w:lang w:val="en-US" w:eastAsia="zh-CN"/>
          <w14:textFill>
            <w14:solidFill>
              <w14:schemeClr w14:val="tx1"/>
            </w14:solidFill>
          </w14:textFill>
        </w:rPr>
      </w:pPr>
      <w:r>
        <w:rPr>
          <w:rFonts w:hint="eastAsia" w:ascii="宋体" w:hAnsi="宋体" w:eastAsia="宋体" w:cs="宋体"/>
          <w:color w:val="000000" w:themeColor="text1"/>
          <w:sz w:val="24"/>
          <w:szCs w:val="24"/>
          <w:u w:val="single"/>
          <w:lang w:val="en-US" w:eastAsia="zh-CN"/>
          <w14:textFill>
            <w14:solidFill>
              <w14:schemeClr w14:val="tx1"/>
            </w14:solidFill>
          </w14:textFill>
        </w:rPr>
        <w:t>附件9 X射线豁免备案表</w:t>
      </w:r>
    </w:p>
    <w:p>
      <w:pPr>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color w:val="000000" w:themeColor="text1"/>
          <w:sz w:val="24"/>
          <w:szCs w:val="24"/>
          <w:u w:val="single"/>
          <w:lang w:val="en-US" w:eastAsia="zh-CN"/>
          <w14:textFill>
            <w14:solidFill>
              <w14:schemeClr w14:val="tx1"/>
            </w14:solidFill>
          </w14:textFill>
        </w:rPr>
      </w:pPr>
      <w:r>
        <w:rPr>
          <w:rFonts w:hint="eastAsia" w:ascii="宋体" w:hAnsi="宋体" w:eastAsia="宋体" w:cs="宋体"/>
          <w:color w:val="000000" w:themeColor="text1"/>
          <w:sz w:val="24"/>
          <w:szCs w:val="24"/>
          <w:u w:val="single"/>
          <w:lang w:val="en-US" w:eastAsia="zh-CN"/>
          <w14:textFill>
            <w14:solidFill>
              <w14:schemeClr w14:val="tx1"/>
            </w14:solidFill>
          </w14:textFill>
        </w:rPr>
        <w:t>附件10项目入园事项会议纪要</w:t>
      </w:r>
    </w:p>
    <w:p>
      <w:pPr>
        <w:pageBreakBefore w:val="0"/>
        <w:widowControl/>
        <w:kinsoku/>
        <w:wordWrap/>
        <w:overflowPunct/>
        <w:topLinePunct w:val="0"/>
        <w:autoSpaceDE/>
        <w:autoSpaceDN/>
        <w:bidi w:val="0"/>
        <w:adjustRightInd/>
        <w:snapToGrid/>
        <w:spacing w:beforeLines="0" w:after="0" w:afterLines="0" w:line="360" w:lineRule="auto"/>
        <w:ind w:firstLine="482" w:firstLineChars="200"/>
        <w:jc w:val="left"/>
        <w:textAlignment w:val="auto"/>
        <w:outlineLvl w:val="9"/>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附图</w:t>
      </w:r>
    </w:p>
    <w:p>
      <w:pPr>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附图1地理位置及监测布点图</w:t>
      </w:r>
    </w:p>
    <w:p>
      <w:pPr>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附图2-1 5#1F平面布置图</w:t>
      </w:r>
    </w:p>
    <w:p>
      <w:pPr>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附图2-2 5#2F平面布置图</w:t>
      </w:r>
    </w:p>
    <w:p>
      <w:pPr>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附图2-3全厂平面布置图</w:t>
      </w:r>
    </w:p>
    <w:p>
      <w:pPr>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附图3环保目标图</w:t>
      </w:r>
    </w:p>
    <w:p>
      <w:pPr>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附图4污水管网图</w:t>
      </w:r>
    </w:p>
    <w:p>
      <w:pPr>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附图5新马工业园土地利用规划图</w:t>
      </w:r>
    </w:p>
    <w:p>
      <w:pPr>
        <w:pageBreakBefore w:val="0"/>
        <w:widowControl/>
        <w:kinsoku/>
        <w:wordWrap/>
        <w:overflowPunct/>
        <w:topLinePunct w:val="0"/>
        <w:autoSpaceDE/>
        <w:autoSpaceDN/>
        <w:bidi w:val="0"/>
        <w:adjustRightInd/>
        <w:snapToGrid/>
        <w:spacing w:beforeLines="0" w:after="0" w:afterLines="0" w:line="360" w:lineRule="auto"/>
        <w:ind w:firstLine="482" w:firstLineChars="200"/>
        <w:jc w:val="left"/>
        <w:textAlignment w:val="auto"/>
        <w:outlineLvl w:val="9"/>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附表</w:t>
      </w:r>
    </w:p>
    <w:p>
      <w:pPr>
        <w:pageBreakBefore w:val="0"/>
        <w:widowControl/>
        <w:kinsoku/>
        <w:wordWrap/>
        <w:overflowPunct/>
        <w:topLinePunct w:val="0"/>
        <w:autoSpaceDE/>
        <w:autoSpaceDN/>
        <w:bidi w:val="0"/>
        <w:adjustRightInd/>
        <w:snapToGrid/>
        <w:spacing w:beforeLines="0" w:after="0" w:afterLines="0" w:line="360" w:lineRule="auto"/>
        <w:ind w:firstLine="480" w:firstLineChars="200"/>
        <w:jc w:val="left"/>
        <w:textAlignment w:val="auto"/>
        <w:outlineLvl w:val="9"/>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附表1大气环境影响评价自查表</w:t>
      </w:r>
    </w:p>
    <w:p>
      <w:pPr>
        <w:pageBreakBefore w:val="0"/>
        <w:widowControl/>
        <w:kinsoku/>
        <w:wordWrap/>
        <w:overflowPunct/>
        <w:topLinePunct w:val="0"/>
        <w:autoSpaceDE/>
        <w:autoSpaceDN/>
        <w:bidi w:val="0"/>
        <w:adjustRightInd/>
        <w:snapToGrid/>
        <w:spacing w:beforeLines="0" w:after="0" w:afterLines="0" w:line="360" w:lineRule="auto"/>
        <w:ind w:firstLine="480" w:firstLineChars="200"/>
        <w:jc w:val="left"/>
        <w:textAlignment w:val="auto"/>
        <w:outlineLvl w:val="9"/>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附表2地表水环境影响评价自查表</w:t>
      </w:r>
    </w:p>
    <w:p>
      <w:pPr>
        <w:pageBreakBefore w:val="0"/>
        <w:widowControl/>
        <w:kinsoku/>
        <w:wordWrap/>
        <w:overflowPunct/>
        <w:topLinePunct w:val="0"/>
        <w:autoSpaceDE/>
        <w:autoSpaceDN/>
        <w:bidi w:val="0"/>
        <w:adjustRightInd/>
        <w:snapToGrid/>
        <w:spacing w:beforeLines="0" w:after="0" w:afterLines="0" w:line="360" w:lineRule="auto"/>
        <w:ind w:firstLine="480" w:firstLineChars="200"/>
        <w:jc w:val="left"/>
        <w:textAlignment w:val="auto"/>
        <w:outlineLvl w:val="9"/>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附表3土壤环境影响评价自查表</w:t>
      </w:r>
    </w:p>
    <w:p>
      <w:pPr>
        <w:pageBreakBefore w:val="0"/>
        <w:widowControl/>
        <w:kinsoku/>
        <w:wordWrap/>
        <w:overflowPunct/>
        <w:topLinePunct w:val="0"/>
        <w:autoSpaceDE/>
        <w:autoSpaceDN/>
        <w:bidi w:val="0"/>
        <w:adjustRightInd/>
        <w:snapToGrid/>
        <w:spacing w:beforeLines="0" w:after="0" w:afterLines="0" w:line="360" w:lineRule="auto"/>
        <w:ind w:firstLine="480" w:firstLineChars="200"/>
        <w:jc w:val="left"/>
        <w:textAlignment w:val="auto"/>
        <w:outlineLvl w:val="9"/>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附表4环境风险自查表</w:t>
      </w:r>
    </w:p>
    <w:p>
      <w:pPr>
        <w:pageBreakBefore w:val="0"/>
        <w:widowControl/>
        <w:kinsoku/>
        <w:wordWrap/>
        <w:overflowPunct/>
        <w:topLinePunct w:val="0"/>
        <w:autoSpaceDE/>
        <w:autoSpaceDN/>
        <w:bidi w:val="0"/>
        <w:adjustRightInd/>
        <w:snapToGrid/>
        <w:spacing w:beforeLines="0" w:after="0" w:afterLines="0" w:line="360" w:lineRule="auto"/>
        <w:ind w:firstLine="480" w:firstLineChars="200"/>
        <w:jc w:val="left"/>
        <w:textAlignment w:val="auto"/>
        <w:outlineLvl w:val="9"/>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附表5 声环境影响评价自查表</w:t>
      </w:r>
    </w:p>
    <w:p>
      <w:pPr>
        <w:pageBreakBefore w:val="0"/>
        <w:widowControl/>
        <w:kinsoku/>
        <w:wordWrap/>
        <w:overflowPunct/>
        <w:topLinePunct w:val="0"/>
        <w:autoSpaceDE/>
        <w:autoSpaceDN/>
        <w:bidi w:val="0"/>
        <w:adjustRightInd/>
        <w:snapToGrid/>
        <w:spacing w:beforeLines="0" w:after="0" w:afterLines="0" w:line="360" w:lineRule="auto"/>
        <w:ind w:firstLine="480" w:firstLineChars="200"/>
        <w:jc w:val="left"/>
        <w:textAlignment w:val="auto"/>
        <w:outlineLvl w:val="9"/>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附表6基础信息表</w:t>
      </w:r>
    </w:p>
    <w:p>
      <w:pPr>
        <w:pageBreakBefore w:val="0"/>
        <w:widowControl/>
        <w:kinsoku/>
        <w:wordWrap/>
        <w:overflowPunct/>
        <w:topLinePunct w:val="0"/>
        <w:autoSpaceDE/>
        <w:autoSpaceDN/>
        <w:bidi w:val="0"/>
        <w:adjustRightInd/>
        <w:snapToGrid/>
        <w:spacing w:beforeLines="0" w:after="0" w:afterLines="0" w:line="360" w:lineRule="auto"/>
        <w:ind w:firstLine="480" w:firstLineChars="200"/>
        <w:jc w:val="left"/>
        <w:textAlignment w:val="auto"/>
        <w:outlineLvl w:val="9"/>
        <w:rPr>
          <w:rFonts w:hint="eastAsia" w:ascii="宋体" w:hAnsi="宋体" w:eastAsia="宋体" w:cs="宋体"/>
          <w:b w:val="0"/>
          <w:bCs w:val="0"/>
          <w:color w:val="000000" w:themeColor="text1"/>
          <w:sz w:val="24"/>
          <w:szCs w:val="24"/>
          <w:lang w:val="en-US" w:eastAsia="zh-CN"/>
          <w14:textFill>
            <w14:solidFill>
              <w14:schemeClr w14:val="tx1"/>
            </w14:solidFill>
          </w14:textFill>
        </w:rPr>
      </w:pPr>
    </w:p>
    <w:p>
      <w:pPr>
        <w:pageBreakBefore w:val="0"/>
        <w:widowControl/>
        <w:kinsoku/>
        <w:wordWrap/>
        <w:overflowPunct/>
        <w:topLinePunct w:val="0"/>
        <w:autoSpaceDE/>
        <w:autoSpaceDN/>
        <w:bidi w:val="0"/>
        <w:adjustRightInd/>
        <w:snapToGrid/>
        <w:spacing w:beforeLines="0" w:after="0" w:afterLines="0" w:line="360" w:lineRule="auto"/>
        <w:ind w:firstLine="480" w:firstLineChars="200"/>
        <w:jc w:val="left"/>
        <w:textAlignment w:val="auto"/>
        <w:outlineLvl w:val="9"/>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 xml:space="preserve">  </w:t>
      </w:r>
    </w:p>
    <w:p>
      <w:pPr>
        <w:pStyle w:val="2"/>
        <w:rPr>
          <w:rFonts w:hint="eastAsia" w:ascii="宋体" w:hAnsi="宋体" w:eastAsia="宋体" w:cs="宋体"/>
          <w:color w:val="000000" w:themeColor="text1"/>
          <w:lang w:val="en-US" w:eastAsia="zh-CN"/>
          <w14:textFill>
            <w14:solidFill>
              <w14:schemeClr w14:val="tx1"/>
            </w14:solidFill>
          </w14:textFill>
        </w:rPr>
        <w:sectPr>
          <w:footerReference r:id="rId5" w:type="default"/>
          <w:pgSz w:w="11906" w:h="16838"/>
          <w:pgMar w:top="1247" w:right="1134" w:bottom="1134" w:left="1247" w:header="680" w:footer="680" w:gutter="0"/>
          <w:pgBorders w:offsetFrom="page">
            <w:top w:val="none" w:sz="0" w:space="0"/>
            <w:left w:val="none" w:sz="0" w:space="0"/>
            <w:bottom w:val="none" w:sz="0" w:space="0"/>
            <w:right w:val="none" w:sz="0" w:space="0"/>
          </w:pgBorders>
          <w:pgNumType w:start="1"/>
          <w:cols w:space="720" w:num="1"/>
          <w:docGrid w:linePitch="571" w:charSpace="0"/>
        </w:sectPr>
      </w:pPr>
    </w:p>
    <w:p>
      <w:pPr>
        <w:pStyle w:val="6"/>
        <w:bidi w:val="0"/>
        <w:rPr>
          <w:rFonts w:hint="eastAsia" w:ascii="宋体" w:hAnsi="宋体" w:eastAsia="宋体" w:cs="宋体"/>
          <w:color w:val="000000" w:themeColor="text1"/>
          <w:lang w:eastAsia="zh-CN"/>
          <w14:textFill>
            <w14:solidFill>
              <w14:schemeClr w14:val="tx1"/>
            </w14:solidFill>
          </w14:textFill>
        </w:rPr>
      </w:pPr>
      <w:bookmarkStart w:id="36" w:name="_Toc12874"/>
      <w:bookmarkStart w:id="37" w:name="_Toc21836"/>
      <w:r>
        <w:rPr>
          <w:rFonts w:hint="eastAsia" w:ascii="宋体" w:hAnsi="宋体" w:eastAsia="宋体" w:cs="宋体"/>
          <w:color w:val="000000" w:themeColor="text1"/>
          <w:lang w:eastAsia="zh-CN"/>
          <w14:textFill>
            <w14:solidFill>
              <w14:schemeClr w14:val="tx1"/>
            </w14:solidFill>
          </w14:textFill>
        </w:rPr>
        <w:t>一、概述</w:t>
      </w:r>
      <w:bookmarkEnd w:id="36"/>
      <w:bookmarkEnd w:id="37"/>
    </w:p>
    <w:p>
      <w:pPr>
        <w:pStyle w:val="7"/>
        <w:keepNext w:val="0"/>
        <w:keepLines w:val="0"/>
        <w:pageBreakBefore w:val="0"/>
        <w:widowControl/>
        <w:kinsoku/>
        <w:wordWrap/>
        <w:overflowPunct/>
        <w:topLinePunct w:val="0"/>
        <w:autoSpaceDE/>
        <w:autoSpaceDN/>
        <w:bidi w:val="0"/>
        <w:adjustRightInd/>
        <w:snapToGrid/>
        <w:ind w:left="0" w:firstLine="482" w:firstLineChars="200"/>
        <w:textAlignment w:val="auto"/>
        <w:rPr>
          <w:rFonts w:hint="eastAsia" w:ascii="宋体" w:hAnsi="宋体" w:eastAsia="宋体" w:cs="宋体"/>
          <w:bCs/>
          <w:color w:val="000000" w:themeColor="text1"/>
          <w:sz w:val="24"/>
          <w:szCs w:val="24"/>
          <w:highlight w:val="none"/>
          <w:lang w:eastAsia="zh-CN"/>
          <w14:textFill>
            <w14:solidFill>
              <w14:schemeClr w14:val="tx1"/>
            </w14:solidFill>
          </w14:textFill>
        </w:rPr>
      </w:pPr>
      <w:bookmarkStart w:id="38" w:name="_Toc16807"/>
      <w:bookmarkStart w:id="39" w:name="_Toc9878"/>
      <w:bookmarkStart w:id="40" w:name="_Toc6685"/>
      <w:bookmarkStart w:id="41" w:name="_Toc9694"/>
      <w:bookmarkStart w:id="42" w:name="_Toc797"/>
      <w:bookmarkStart w:id="43" w:name="_Toc10699"/>
      <w:bookmarkStart w:id="44" w:name="_Toc1521"/>
      <w:bookmarkStart w:id="45" w:name="_Toc1634"/>
      <w:r>
        <w:rPr>
          <w:rFonts w:hint="eastAsia" w:ascii="宋体" w:hAnsi="宋体" w:eastAsia="宋体" w:cs="宋体"/>
          <w:bCs/>
          <w:color w:val="000000" w:themeColor="text1"/>
          <w:sz w:val="24"/>
          <w:szCs w:val="24"/>
          <w:highlight w:val="none"/>
          <w:lang w:eastAsia="zh-CN"/>
          <w14:textFill>
            <w14:solidFill>
              <w14:schemeClr w14:val="tx1"/>
            </w14:solidFill>
          </w14:textFill>
        </w:rPr>
        <w:t>1</w:t>
      </w:r>
      <w:r>
        <w:rPr>
          <w:rFonts w:hint="eastAsia" w:ascii="宋体" w:hAnsi="宋体" w:eastAsia="宋体" w:cs="宋体"/>
          <w:bCs/>
          <w:color w:val="000000" w:themeColor="text1"/>
          <w:sz w:val="24"/>
          <w:szCs w:val="24"/>
          <w:highlight w:val="none"/>
          <w:lang w:val="en-US" w:eastAsia="zh-CN"/>
          <w14:textFill>
            <w14:solidFill>
              <w14:schemeClr w14:val="tx1"/>
            </w14:solidFill>
          </w14:textFill>
        </w:rPr>
        <w:t>.1</w:t>
      </w:r>
      <w:r>
        <w:rPr>
          <w:rFonts w:hint="eastAsia" w:ascii="宋体" w:hAnsi="宋体" w:eastAsia="宋体" w:cs="宋体"/>
          <w:bCs/>
          <w:color w:val="000000" w:themeColor="text1"/>
          <w:sz w:val="24"/>
          <w:szCs w:val="24"/>
          <w:highlight w:val="none"/>
          <w:lang w:eastAsia="zh-CN"/>
          <w14:textFill>
            <w14:solidFill>
              <w14:schemeClr w14:val="tx1"/>
            </w14:solidFill>
          </w14:textFill>
        </w:rPr>
        <w:t>任务由来</w:t>
      </w:r>
      <w:bookmarkEnd w:id="38"/>
      <w:bookmarkEnd w:id="39"/>
      <w:bookmarkEnd w:id="40"/>
      <w:bookmarkEnd w:id="41"/>
      <w:bookmarkEnd w:id="42"/>
      <w:bookmarkEnd w:id="43"/>
      <w:bookmarkEnd w:id="44"/>
      <w:bookmarkEnd w:id="45"/>
    </w:p>
    <w:p>
      <w:pPr>
        <w:keepNext w:val="0"/>
        <w:keepLines w:val="0"/>
        <w:pageBreakBefore w:val="0"/>
        <w:widowControl/>
        <w:kinsoku/>
        <w:wordWrap/>
        <w:overflowPunct/>
        <w:topLinePunct w:val="0"/>
        <w:bidi w:val="0"/>
        <w:adjustRightInd/>
        <w:snapToGrid/>
        <w:spacing w:line="360" w:lineRule="auto"/>
        <w:ind w:left="0" w:firstLine="480" w:firstLineChars="200"/>
        <w:jc w:val="both"/>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株洲市绝缘材料有限责任公司成立于2006年06月02日，注册地址位于湖南省株洲市天元区黄河南路68号，法定代表人：丁立新；其经营范围包含：绝缘制品、电动机械制造、销售：绝缘制品进出口业务；铁路机车车辆配件制造、批发和零售；普通货物运输</w:t>
      </w:r>
      <w:r>
        <w:rPr>
          <w:rFonts w:hint="eastAsia" w:ascii="宋体" w:hAnsi="宋体" w:eastAsia="宋体" w:cs="宋体"/>
          <w:color w:val="000000" w:themeColor="text1"/>
          <w:sz w:val="24"/>
          <w:szCs w:val="24"/>
          <w:highlight w:val="none"/>
          <w14:textFill>
            <w14:solidFill>
              <w14:schemeClr w14:val="tx1"/>
            </w14:solidFill>
          </w14:textFill>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left="0" w:firstLine="480" w:firstLineChars="200"/>
        <w:jc w:val="both"/>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随着市场对聚酰亚胺产品需求不断提高，但产能有限</w:t>
      </w:r>
      <w:r>
        <w:rPr>
          <w:rFonts w:hint="eastAsia" w:ascii="宋体" w:hAnsi="宋体" w:eastAsia="宋体" w:cs="宋体"/>
          <w:color w:val="000000" w:themeColor="text1"/>
          <w:sz w:val="24"/>
          <w:szCs w:val="24"/>
          <w:highlight w:val="none"/>
          <w:lang w:eastAsia="zh-CN"/>
          <w14:textFill>
            <w14:solidFill>
              <w14:schemeClr w14:val="tx1"/>
            </w14:solidFill>
          </w14:textFill>
        </w:rPr>
        <w:t>，供给不足，不能满足市场的巨大需求，企业拟投资</w:t>
      </w:r>
      <w:r>
        <w:rPr>
          <w:rFonts w:hint="eastAsia" w:ascii="宋体" w:hAnsi="宋体" w:eastAsia="宋体" w:cs="宋体"/>
          <w:color w:val="000000" w:themeColor="text1"/>
          <w:sz w:val="24"/>
          <w:szCs w:val="24"/>
          <w:highlight w:val="none"/>
          <w:lang w:val="en-US" w:eastAsia="zh-CN"/>
          <w14:textFill>
            <w14:solidFill>
              <w14:schemeClr w14:val="tx1"/>
            </w14:solidFill>
          </w14:textFill>
        </w:rPr>
        <w:t>5000万元，于</w:t>
      </w:r>
      <w:r>
        <w:rPr>
          <w:rFonts w:hint="eastAsia" w:ascii="宋体" w:hAnsi="宋体" w:eastAsia="宋体" w:cs="宋体"/>
          <w:color w:val="000000" w:themeColor="text1"/>
          <w:sz w:val="24"/>
          <w:szCs w:val="24"/>
          <w:highlight w:val="none"/>
          <w:lang w:eastAsia="zh-CN"/>
          <w14:textFill>
            <w14:solidFill>
              <w14:schemeClr w14:val="tx1"/>
            </w14:solidFill>
          </w14:textFill>
        </w:rPr>
        <w:t>企业已规划的预留</w:t>
      </w:r>
      <w:r>
        <w:rPr>
          <w:rFonts w:hint="eastAsia" w:ascii="宋体" w:hAnsi="宋体" w:eastAsia="宋体" w:cs="宋体"/>
          <w:color w:val="000000" w:themeColor="text1"/>
          <w:sz w:val="24"/>
          <w:szCs w:val="24"/>
          <w:highlight w:val="none"/>
          <w:lang w:val="en-US" w:eastAsia="zh-CN"/>
          <w14:textFill>
            <w14:solidFill>
              <w14:schemeClr w14:val="tx1"/>
            </w14:solidFill>
          </w14:textFill>
        </w:rPr>
        <w:t>5#厂房</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建设“</w:t>
      </w:r>
      <w:r>
        <w:rPr>
          <w:rFonts w:hint="eastAsia" w:ascii="宋体" w:hAnsi="宋体" w:eastAsia="宋体" w:cs="宋体"/>
          <w:color w:val="000000" w:themeColor="text1"/>
          <w:sz w:val="24"/>
          <w:szCs w:val="24"/>
          <w:highlight w:val="none"/>
          <w:lang w:eastAsia="zh-CN"/>
          <w14:textFill>
            <w14:solidFill>
              <w14:schemeClr w14:val="tx1"/>
            </w14:solidFill>
          </w14:textFill>
        </w:rPr>
        <w:t>高性能电子级聚酰亚胺薄膜项目</w:t>
      </w:r>
      <w:r>
        <w:rPr>
          <w:rFonts w:hint="eastAsia" w:ascii="宋体" w:hAnsi="宋体" w:eastAsia="宋体" w:cs="宋体"/>
          <w:color w:val="000000" w:themeColor="text1"/>
          <w:sz w:val="24"/>
          <w:szCs w:val="24"/>
          <w:highlight w:val="none"/>
          <w:lang w:val="en-US" w:eastAsia="zh-CN"/>
          <w14:textFill>
            <w14:solidFill>
              <w14:schemeClr w14:val="tx1"/>
            </w14:solidFill>
          </w14:textFill>
        </w:rPr>
        <w:t>”，项目建成后，新增年产200吨新型电子用聚酰亚胺膜材料，本项目已于</w:t>
      </w:r>
      <w:r>
        <w:rPr>
          <w:rFonts w:hint="eastAsia" w:ascii="宋体" w:hAnsi="宋体" w:eastAsia="宋体" w:cs="宋体"/>
          <w:color w:val="000000" w:themeColor="text1"/>
          <w:sz w:val="24"/>
          <w:szCs w:val="24"/>
          <w:highlight w:val="none"/>
          <w:lang w:eastAsia="zh-CN"/>
          <w14:textFill>
            <w14:solidFill>
              <w14:schemeClr w14:val="tx1"/>
            </w14:solidFill>
          </w14:textFill>
        </w:rPr>
        <w:t>202</w:t>
      </w:r>
      <w:r>
        <w:rPr>
          <w:rFonts w:hint="eastAsia" w:ascii="宋体" w:hAnsi="宋体" w:eastAsia="宋体" w:cs="宋体"/>
          <w:color w:val="000000" w:themeColor="text1"/>
          <w:sz w:val="24"/>
          <w:szCs w:val="24"/>
          <w:highlight w:val="none"/>
          <w:lang w:val="en-US" w:eastAsia="zh-CN"/>
          <w14:textFill>
            <w14:solidFill>
              <w14:schemeClr w14:val="tx1"/>
            </w14:solidFill>
          </w14:textFill>
        </w:rPr>
        <w:t>3</w:t>
      </w:r>
      <w:r>
        <w:rPr>
          <w:rFonts w:hint="eastAsia" w:ascii="宋体" w:hAnsi="宋体" w:eastAsia="宋体" w:cs="宋体"/>
          <w:color w:val="000000" w:themeColor="text1"/>
          <w:sz w:val="24"/>
          <w:szCs w:val="24"/>
          <w:highlight w:val="none"/>
          <w:lang w:eastAsia="zh-CN"/>
          <w14:textFill>
            <w14:solidFill>
              <w14:schemeClr w14:val="tx1"/>
            </w14:solidFill>
          </w14:textFill>
        </w:rPr>
        <w:t>年</w:t>
      </w:r>
      <w:r>
        <w:rPr>
          <w:rFonts w:hint="eastAsia" w:ascii="宋体" w:hAnsi="宋体" w:eastAsia="宋体" w:cs="宋体"/>
          <w:color w:val="000000" w:themeColor="text1"/>
          <w:sz w:val="24"/>
          <w:szCs w:val="24"/>
          <w:highlight w:val="none"/>
          <w:lang w:val="en-US" w:eastAsia="zh-CN"/>
          <w14:textFill>
            <w14:solidFill>
              <w14:schemeClr w14:val="tx1"/>
            </w14:solidFill>
          </w14:textFill>
        </w:rPr>
        <w:t>1</w:t>
      </w:r>
      <w:r>
        <w:rPr>
          <w:rFonts w:hint="eastAsia" w:ascii="宋体" w:hAnsi="宋体" w:eastAsia="宋体" w:cs="宋体"/>
          <w:color w:val="000000" w:themeColor="text1"/>
          <w:sz w:val="24"/>
          <w:szCs w:val="24"/>
          <w:highlight w:val="none"/>
          <w:lang w:eastAsia="zh-CN"/>
          <w14:textFill>
            <w14:solidFill>
              <w14:schemeClr w14:val="tx1"/>
            </w14:solidFill>
          </w14:textFill>
        </w:rPr>
        <w:t>月</w:t>
      </w:r>
      <w:r>
        <w:rPr>
          <w:rFonts w:hint="eastAsia" w:ascii="宋体" w:hAnsi="宋体" w:eastAsia="宋体" w:cs="宋体"/>
          <w:color w:val="000000" w:themeColor="text1"/>
          <w:sz w:val="24"/>
          <w:szCs w:val="24"/>
          <w:highlight w:val="none"/>
          <w:lang w:val="en-US" w:eastAsia="zh-CN"/>
          <w14:textFill>
            <w14:solidFill>
              <w14:schemeClr w14:val="tx1"/>
            </w14:solidFill>
          </w14:textFill>
        </w:rPr>
        <w:t>5</w:t>
      </w:r>
      <w:r>
        <w:rPr>
          <w:rFonts w:hint="eastAsia" w:ascii="宋体" w:hAnsi="宋体" w:eastAsia="宋体" w:cs="宋体"/>
          <w:color w:val="000000" w:themeColor="text1"/>
          <w:sz w:val="24"/>
          <w:szCs w:val="24"/>
          <w:highlight w:val="none"/>
          <w14:textFill>
            <w14:solidFill>
              <w14:schemeClr w14:val="tx1"/>
            </w14:solidFill>
          </w14:textFill>
        </w:rPr>
        <w:t>日</w:t>
      </w:r>
      <w:r>
        <w:rPr>
          <w:rFonts w:hint="eastAsia" w:ascii="宋体" w:hAnsi="宋体" w:eastAsia="宋体" w:cs="宋体"/>
          <w:color w:val="000000" w:themeColor="text1"/>
          <w:sz w:val="24"/>
          <w:szCs w:val="24"/>
          <w:highlight w:val="none"/>
          <w:lang w:val="en-US" w:eastAsia="zh-CN"/>
          <w14:textFill>
            <w14:solidFill>
              <w14:schemeClr w14:val="tx1"/>
            </w14:solidFill>
          </w14:textFill>
        </w:rPr>
        <w:t>取得株洲市天元区</w:t>
      </w:r>
      <w:r>
        <w:rPr>
          <w:rFonts w:hint="eastAsia" w:ascii="宋体" w:hAnsi="宋体" w:eastAsia="宋体" w:cs="宋体"/>
          <w:color w:val="000000" w:themeColor="text1"/>
          <w:sz w:val="24"/>
          <w:szCs w:val="24"/>
          <w:highlight w:val="none"/>
          <w14:textFill>
            <w14:solidFill>
              <w14:schemeClr w14:val="tx1"/>
            </w14:solidFill>
          </w14:textFill>
        </w:rPr>
        <w:t>发展和改革委员会《</w:t>
      </w:r>
      <w:r>
        <w:rPr>
          <w:rFonts w:hint="eastAsia" w:ascii="宋体" w:hAnsi="宋体" w:eastAsia="宋体" w:cs="宋体"/>
          <w:color w:val="000000" w:themeColor="text1"/>
          <w:sz w:val="24"/>
          <w:szCs w:val="24"/>
          <w:highlight w:val="none"/>
          <w:lang w:eastAsia="zh-CN"/>
          <w14:textFill>
            <w14:solidFill>
              <w14:schemeClr w14:val="tx1"/>
            </w14:solidFill>
          </w14:textFill>
        </w:rPr>
        <w:t>关于株洲市绝缘材料有限责任公司高性能电子级聚酰亚胺薄膜项目</w:t>
      </w:r>
      <w:r>
        <w:rPr>
          <w:rFonts w:hint="eastAsia" w:ascii="宋体" w:hAnsi="宋体" w:eastAsia="宋体" w:cs="宋体"/>
          <w:color w:val="000000" w:themeColor="text1"/>
          <w:sz w:val="24"/>
          <w:szCs w:val="24"/>
          <w:highlight w:val="none"/>
          <w:lang w:val="en-US" w:eastAsia="zh-CN"/>
          <w14:textFill>
            <w14:solidFill>
              <w14:schemeClr w14:val="tx1"/>
            </w14:solidFill>
          </w14:textFill>
        </w:rPr>
        <w:t>备案证明</w:t>
      </w: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备案编码</w:t>
      </w: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2301-430211-04-05-718959</w:t>
      </w: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w:t>
      </w:r>
    </w:p>
    <w:p>
      <w:pPr>
        <w:keepNext w:val="0"/>
        <w:keepLines w:val="0"/>
        <w:pageBreakBefore w:val="0"/>
        <w:widowControl/>
        <w:kinsoku/>
        <w:wordWrap/>
        <w:overflowPunct/>
        <w:topLinePunct w:val="0"/>
        <w:bidi w:val="0"/>
        <w:adjustRightInd/>
        <w:snapToGrid/>
        <w:spacing w:line="360" w:lineRule="auto"/>
        <w:ind w:left="0" w:firstLine="480" w:firstLineChars="200"/>
        <w:jc w:val="both"/>
        <w:textAlignment w:val="auto"/>
        <w:rPr>
          <w:rFonts w:hint="eastAsia" w:ascii="宋体" w:hAnsi="宋体" w:eastAsia="宋体" w:cs="宋体"/>
          <w:snapToGrid w:val="0"/>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sz w:val="24"/>
          <w:szCs w:val="24"/>
          <w:highlight w:val="none"/>
          <w14:textFill>
            <w14:solidFill>
              <w14:schemeClr w14:val="tx1"/>
            </w14:solidFill>
          </w14:textFill>
        </w:rPr>
        <w:t>根据《中华人民共和国环境影响评价法》，国务院（1998）第253号令《建设项目环境保护管理条例》、国务院第682号令《国务院关于修改〈建设项目环境保护管理条例〉的决定》以及</w:t>
      </w:r>
      <w:r>
        <w:rPr>
          <w:rFonts w:hint="eastAsia" w:ascii="宋体" w:hAnsi="宋体" w:eastAsia="宋体" w:cs="宋体"/>
          <w:snapToGrid w:val="0"/>
          <w:color w:val="000000" w:themeColor="text1"/>
          <w:sz w:val="24"/>
          <w:szCs w:val="24"/>
          <w:highlight w:val="none"/>
          <w:lang w:val="en-US" w:eastAsia="zh-CN"/>
          <w14:textFill>
            <w14:solidFill>
              <w14:schemeClr w14:val="tx1"/>
            </w14:solidFill>
          </w14:textFill>
        </w:rPr>
        <w:t>生态环境部</w:t>
      </w:r>
      <w:r>
        <w:rPr>
          <w:rFonts w:hint="eastAsia" w:ascii="宋体" w:hAnsi="宋体" w:eastAsia="宋体" w:cs="宋体"/>
          <w:snapToGrid w:val="0"/>
          <w:color w:val="000000" w:themeColor="text1"/>
          <w:sz w:val="24"/>
          <w:szCs w:val="24"/>
          <w:highlight w:val="none"/>
          <w14:textFill>
            <w14:solidFill>
              <w14:schemeClr w14:val="tx1"/>
            </w14:solidFill>
          </w14:textFill>
        </w:rPr>
        <w:t>部令第16号《建设项目环境影响评价分类管理名录》的有关规定，</w:t>
      </w:r>
      <w:r>
        <w:rPr>
          <w:rFonts w:hint="eastAsia" w:ascii="宋体" w:hAnsi="宋体" w:eastAsia="宋体" w:cs="宋体"/>
          <w:color w:val="000000" w:themeColor="text1"/>
          <w:sz w:val="24"/>
          <w:szCs w:val="24"/>
          <w:highlight w:val="none"/>
          <w:lang w:eastAsia="zh-CN"/>
          <w14:textFill>
            <w14:solidFill>
              <w14:schemeClr w14:val="tx1"/>
            </w14:solidFill>
          </w14:textFill>
        </w:rPr>
        <w:t>株洲市绝缘材料有限责任公司</w:t>
      </w:r>
      <w:r>
        <w:rPr>
          <w:rFonts w:hint="eastAsia" w:ascii="宋体" w:hAnsi="宋体" w:eastAsia="宋体" w:cs="宋体"/>
          <w:snapToGrid w:val="0"/>
          <w:color w:val="000000" w:themeColor="text1"/>
          <w:sz w:val="24"/>
          <w:szCs w:val="24"/>
          <w:highlight w:val="none"/>
          <w14:textFill>
            <w14:solidFill>
              <w14:schemeClr w14:val="tx1"/>
            </w14:solidFill>
          </w14:textFill>
        </w:rPr>
        <w:t>于202</w:t>
      </w:r>
      <w:r>
        <w:rPr>
          <w:rFonts w:hint="eastAsia" w:ascii="宋体" w:hAnsi="宋体" w:eastAsia="宋体" w:cs="宋体"/>
          <w:snapToGrid w:val="0"/>
          <w:color w:val="000000" w:themeColor="text1"/>
          <w:sz w:val="24"/>
          <w:szCs w:val="24"/>
          <w:highlight w:val="none"/>
          <w:lang w:val="en-US" w:eastAsia="zh-CN"/>
          <w14:textFill>
            <w14:solidFill>
              <w14:schemeClr w14:val="tx1"/>
            </w14:solidFill>
          </w14:textFill>
        </w:rPr>
        <w:t>3</w:t>
      </w:r>
      <w:r>
        <w:rPr>
          <w:rFonts w:hint="eastAsia" w:ascii="宋体" w:hAnsi="宋体" w:eastAsia="宋体" w:cs="宋体"/>
          <w:snapToGrid w:val="0"/>
          <w:color w:val="000000" w:themeColor="text1"/>
          <w:sz w:val="24"/>
          <w:szCs w:val="24"/>
          <w:highlight w:val="none"/>
          <w14:textFill>
            <w14:solidFill>
              <w14:schemeClr w14:val="tx1"/>
            </w14:solidFill>
          </w14:textFill>
        </w:rPr>
        <w:t>年</w:t>
      </w:r>
      <w:r>
        <w:rPr>
          <w:rFonts w:hint="eastAsia" w:ascii="宋体" w:hAnsi="宋体" w:eastAsia="宋体" w:cs="宋体"/>
          <w:snapToGrid w:val="0"/>
          <w:color w:val="000000" w:themeColor="text1"/>
          <w:sz w:val="24"/>
          <w:szCs w:val="24"/>
          <w:highlight w:val="none"/>
          <w:lang w:val="en-US" w:eastAsia="zh-CN"/>
          <w14:textFill>
            <w14:solidFill>
              <w14:schemeClr w14:val="tx1"/>
            </w14:solidFill>
          </w14:textFill>
        </w:rPr>
        <w:t>4</w:t>
      </w:r>
      <w:r>
        <w:rPr>
          <w:rFonts w:hint="eastAsia" w:ascii="宋体" w:hAnsi="宋体" w:eastAsia="宋体" w:cs="宋体"/>
          <w:snapToGrid w:val="0"/>
          <w:color w:val="000000" w:themeColor="text1"/>
          <w:sz w:val="24"/>
          <w:szCs w:val="24"/>
          <w:highlight w:val="none"/>
          <w14:textFill>
            <w14:solidFill>
              <w14:schemeClr w14:val="tx1"/>
            </w14:solidFill>
          </w14:textFill>
        </w:rPr>
        <w:t>月委托</w:t>
      </w:r>
      <w:r>
        <w:rPr>
          <w:rFonts w:hint="eastAsia" w:ascii="宋体" w:hAnsi="宋体" w:eastAsia="宋体" w:cs="宋体"/>
          <w:snapToGrid w:val="0"/>
          <w:color w:val="000000" w:themeColor="text1"/>
          <w:sz w:val="24"/>
          <w:szCs w:val="24"/>
          <w:highlight w:val="none"/>
          <w:lang w:val="en-US" w:eastAsia="zh-CN"/>
          <w14:textFill>
            <w14:solidFill>
              <w14:schemeClr w14:val="tx1"/>
            </w14:solidFill>
          </w14:textFill>
        </w:rPr>
        <w:t>长沙博均环保科技有限公司</w:t>
      </w:r>
      <w:r>
        <w:rPr>
          <w:rFonts w:hint="eastAsia" w:ascii="宋体" w:hAnsi="宋体" w:eastAsia="宋体" w:cs="宋体"/>
          <w:snapToGrid w:val="0"/>
          <w:color w:val="000000" w:themeColor="text1"/>
          <w:sz w:val="24"/>
          <w:szCs w:val="24"/>
          <w:highlight w:val="none"/>
          <w14:textFill>
            <w14:solidFill>
              <w14:schemeClr w14:val="tx1"/>
            </w14:solidFill>
          </w14:textFill>
        </w:rPr>
        <w:t>承担该工程的环境影响评价工作。本次拟建项目产品为聚酰亚胺薄膜。</w:t>
      </w:r>
      <w:r>
        <w:rPr>
          <w:rFonts w:hint="eastAsia" w:ascii="宋体" w:hAnsi="宋体" w:eastAsia="宋体" w:cs="宋体"/>
          <w:color w:val="000000" w:themeColor="text1"/>
          <w:kern w:val="2"/>
          <w:sz w:val="24"/>
          <w:szCs w:val="24"/>
          <w:highlight w:val="none"/>
          <w:lang w:eastAsia="zh-CN"/>
          <w14:textFill>
            <w14:solidFill>
              <w14:schemeClr w14:val="tx1"/>
            </w14:solidFill>
          </w14:textFill>
        </w:rPr>
        <w:t>产品</w:t>
      </w:r>
      <w:r>
        <w:rPr>
          <w:rFonts w:hint="eastAsia" w:ascii="宋体" w:hAnsi="宋体" w:eastAsia="宋体" w:cs="宋体"/>
          <w:color w:val="000000" w:themeColor="text1"/>
          <w:kern w:val="2"/>
          <w:sz w:val="24"/>
          <w:szCs w:val="24"/>
          <w:highlight w:val="none"/>
          <w14:textFill>
            <w14:solidFill>
              <w14:schemeClr w14:val="tx1"/>
            </w14:solidFill>
          </w14:textFill>
        </w:rPr>
        <w:t>聚酰亚胺薄膜属于</w:t>
      </w:r>
      <w:r>
        <w:rPr>
          <w:rFonts w:hint="eastAsia" w:ascii="宋体" w:hAnsi="宋体" w:eastAsia="宋体" w:cs="宋体"/>
          <w:color w:val="000000" w:themeColor="text1"/>
          <w:kern w:val="2"/>
          <w:sz w:val="24"/>
          <w:szCs w:val="24"/>
          <w:highlight w:val="none"/>
          <w:lang w:eastAsia="zh-CN"/>
          <w14:textFill>
            <w14:solidFill>
              <w14:schemeClr w14:val="tx1"/>
            </w14:solidFill>
          </w14:textFill>
        </w:rPr>
        <w:t>“三十六</w:t>
      </w:r>
      <w:r>
        <w:rPr>
          <w:rFonts w:hint="eastAsia" w:ascii="宋体" w:hAnsi="宋体" w:eastAsia="宋体" w:cs="宋体"/>
          <w:color w:val="000000" w:themeColor="text1"/>
          <w:kern w:val="2"/>
          <w:sz w:val="24"/>
          <w:szCs w:val="24"/>
          <w:highlight w:val="none"/>
          <w14:textFill>
            <w14:solidFill>
              <w14:schemeClr w14:val="tx1"/>
            </w14:solidFill>
          </w14:textFill>
        </w:rPr>
        <w:t>计算机、通信和其他电子设备制造业</w:t>
      </w:r>
      <w:r>
        <w:rPr>
          <w:rFonts w:hint="eastAsia" w:ascii="宋体" w:hAnsi="宋体" w:eastAsia="宋体" w:cs="宋体"/>
          <w:color w:val="000000" w:themeColor="text1"/>
          <w:kern w:val="2"/>
          <w:sz w:val="24"/>
          <w:szCs w:val="24"/>
          <w:highlight w:val="none"/>
          <w:lang w:eastAsia="zh-CN"/>
          <w14:textFill>
            <w14:solidFill>
              <w14:schemeClr w14:val="tx1"/>
            </w14:solidFill>
          </w14:textFill>
        </w:rPr>
        <w:t>”</w:t>
      </w:r>
      <w:r>
        <w:rPr>
          <w:rFonts w:hint="eastAsia" w:ascii="宋体" w:hAnsi="宋体" w:eastAsia="宋体" w:cs="宋体"/>
          <w:color w:val="000000" w:themeColor="text1"/>
          <w:kern w:val="2"/>
          <w:sz w:val="24"/>
          <w:szCs w:val="24"/>
          <w:highlight w:val="none"/>
          <w14:textFill>
            <w14:solidFill>
              <w14:schemeClr w14:val="tx1"/>
            </w14:solidFill>
          </w14:textFill>
        </w:rPr>
        <w:t>中的</w:t>
      </w:r>
      <w:r>
        <w:rPr>
          <w:rFonts w:hint="eastAsia" w:ascii="宋体" w:hAnsi="宋体" w:eastAsia="宋体" w:cs="宋体"/>
          <w:color w:val="000000" w:themeColor="text1"/>
          <w:kern w:val="2"/>
          <w:sz w:val="24"/>
          <w:szCs w:val="24"/>
          <w:highlight w:val="none"/>
          <w:lang w:eastAsia="zh-CN"/>
          <w14:textFill>
            <w14:solidFill>
              <w14:schemeClr w14:val="tx1"/>
            </w14:solidFill>
          </w14:textFill>
        </w:rPr>
        <w:t>“</w:t>
      </w:r>
      <w:r>
        <w:rPr>
          <w:rFonts w:hint="eastAsia" w:ascii="宋体" w:hAnsi="宋体" w:eastAsia="宋体" w:cs="宋体"/>
          <w:color w:val="000000" w:themeColor="text1"/>
          <w:kern w:val="2"/>
          <w:sz w:val="24"/>
          <w:szCs w:val="24"/>
          <w:highlight w:val="none"/>
          <w14:textFill>
            <w14:solidFill>
              <w14:schemeClr w14:val="tx1"/>
            </w14:solidFill>
          </w14:textFill>
        </w:rPr>
        <w:t>电子元件及电子专用材料制造398</w:t>
      </w:r>
      <w:r>
        <w:rPr>
          <w:rFonts w:hint="eastAsia" w:ascii="宋体" w:hAnsi="宋体" w:eastAsia="宋体" w:cs="宋体"/>
          <w:color w:val="000000" w:themeColor="text1"/>
          <w:kern w:val="2"/>
          <w:sz w:val="24"/>
          <w:szCs w:val="24"/>
          <w:highlight w:val="none"/>
          <w:lang w:eastAsia="zh-CN"/>
          <w14:textFill>
            <w14:solidFill>
              <w14:schemeClr w14:val="tx1"/>
            </w14:solidFill>
          </w14:textFill>
        </w:rPr>
        <w:t>”</w:t>
      </w:r>
      <w:r>
        <w:rPr>
          <w:rFonts w:hint="eastAsia" w:ascii="宋体" w:hAnsi="宋体" w:eastAsia="宋体" w:cs="宋体"/>
          <w:color w:val="000000" w:themeColor="text1"/>
          <w:kern w:val="2"/>
          <w:sz w:val="24"/>
          <w:szCs w:val="24"/>
          <w:highlight w:val="none"/>
          <w14:textFill>
            <w14:solidFill>
              <w14:schemeClr w14:val="tx1"/>
            </w14:solidFill>
          </w14:textFill>
        </w:rPr>
        <w:t>，属于</w:t>
      </w:r>
      <w:r>
        <w:rPr>
          <w:rFonts w:hint="eastAsia" w:ascii="宋体" w:hAnsi="宋体" w:eastAsia="宋体" w:cs="宋体"/>
          <w:color w:val="000000" w:themeColor="text1"/>
          <w:kern w:val="2"/>
          <w:sz w:val="24"/>
          <w:szCs w:val="24"/>
          <w:highlight w:val="none"/>
          <w:lang w:eastAsia="zh-CN"/>
          <w14:textFill>
            <w14:solidFill>
              <w14:schemeClr w14:val="tx1"/>
            </w14:solidFill>
          </w14:textFill>
        </w:rPr>
        <w:t>“</w:t>
      </w:r>
      <w:r>
        <w:rPr>
          <w:rFonts w:hint="eastAsia" w:ascii="宋体" w:hAnsi="宋体" w:eastAsia="宋体" w:cs="宋体"/>
          <w:color w:val="000000" w:themeColor="text1"/>
          <w:kern w:val="2"/>
          <w:sz w:val="24"/>
          <w:szCs w:val="24"/>
          <w:highlight w:val="none"/>
          <w14:textFill>
            <w14:solidFill>
              <w14:schemeClr w14:val="tx1"/>
            </w14:solidFill>
          </w14:textFill>
        </w:rPr>
        <w:t>电子化工材料制造</w:t>
      </w:r>
      <w:r>
        <w:rPr>
          <w:rFonts w:hint="eastAsia" w:ascii="宋体" w:hAnsi="宋体" w:eastAsia="宋体" w:cs="宋体"/>
          <w:color w:val="000000" w:themeColor="text1"/>
          <w:kern w:val="2"/>
          <w:sz w:val="24"/>
          <w:szCs w:val="24"/>
          <w:highlight w:val="none"/>
          <w:lang w:eastAsia="zh-CN"/>
          <w14:textFill>
            <w14:solidFill>
              <w14:schemeClr w14:val="tx1"/>
            </w14:solidFill>
          </w14:textFill>
        </w:rPr>
        <w:t>”</w:t>
      </w:r>
      <w:r>
        <w:rPr>
          <w:rFonts w:hint="eastAsia" w:ascii="宋体" w:hAnsi="宋体" w:eastAsia="宋体" w:cs="宋体"/>
          <w:color w:val="000000" w:themeColor="text1"/>
          <w:kern w:val="2"/>
          <w:sz w:val="24"/>
          <w:szCs w:val="24"/>
          <w:highlight w:val="none"/>
          <w14:textFill>
            <w14:solidFill>
              <w14:schemeClr w14:val="tx1"/>
            </w14:solidFill>
          </w14:textFill>
        </w:rPr>
        <w:t>，应当编制环境影响报告书。</w:t>
      </w:r>
    </w:p>
    <w:p>
      <w:pPr>
        <w:pStyle w:val="34"/>
        <w:keepNext w:val="0"/>
        <w:keepLines w:val="0"/>
        <w:pageBreakBefore w:val="0"/>
        <w:widowControl/>
        <w:kinsoku/>
        <w:wordWrap/>
        <w:overflowPunct/>
        <w:topLinePunct w:val="0"/>
        <w:bidi w:val="0"/>
        <w:adjustRightInd/>
        <w:snapToGrid/>
        <w:spacing w:line="360" w:lineRule="auto"/>
        <w:ind w:left="0" w:firstLine="480" w:firstLineChars="200"/>
        <w:jc w:val="both"/>
        <w:textAlignment w:val="auto"/>
        <w:rPr>
          <w:rFonts w:hint="eastAsia" w:ascii="宋体" w:hAnsi="宋体" w:eastAsia="宋体" w:cs="宋体"/>
          <w:snapToGrid w:val="0"/>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sz w:val="24"/>
          <w:szCs w:val="24"/>
          <w:highlight w:val="none"/>
          <w14:textFill>
            <w14:solidFill>
              <w14:schemeClr w14:val="tx1"/>
            </w14:solidFill>
          </w14:textFill>
        </w:rPr>
        <w:t>我司接受委托后，立即组织技术人员进行现场踏勘，同时根据拟建项目的工程特征和项目拟建区的环境情况，对工程环境影响因素进行了初步识别和筛选。依据建设项目环境影响评价技术导则，编制了《</w:t>
      </w:r>
      <w:r>
        <w:rPr>
          <w:rFonts w:hint="eastAsia" w:ascii="宋体" w:hAnsi="宋体" w:eastAsia="宋体" w:cs="宋体"/>
          <w:color w:val="000000" w:themeColor="text1"/>
          <w:sz w:val="24"/>
          <w:szCs w:val="24"/>
          <w:highlight w:val="none"/>
          <w:lang w:eastAsia="zh-CN"/>
          <w14:textFill>
            <w14:solidFill>
              <w14:schemeClr w14:val="tx1"/>
            </w14:solidFill>
          </w14:textFill>
        </w:rPr>
        <w:t>株洲市绝缘材料有限责任公司高性能电子级聚酰亚胺薄膜项目</w:t>
      </w:r>
      <w:r>
        <w:rPr>
          <w:rFonts w:hint="eastAsia" w:ascii="宋体" w:hAnsi="宋体" w:eastAsia="宋体" w:cs="宋体"/>
          <w:snapToGrid w:val="0"/>
          <w:color w:val="000000" w:themeColor="text1"/>
          <w:sz w:val="24"/>
          <w:szCs w:val="24"/>
          <w:highlight w:val="none"/>
          <w14:textFill>
            <w14:solidFill>
              <w14:schemeClr w14:val="tx1"/>
            </w14:solidFill>
          </w14:textFill>
        </w:rPr>
        <w:t>环境影响报告书》，呈报环境保护主管部门审批。</w:t>
      </w:r>
    </w:p>
    <w:p>
      <w:pPr>
        <w:pStyle w:val="7"/>
        <w:keepNext w:val="0"/>
        <w:keepLines w:val="0"/>
        <w:pageBreakBefore w:val="0"/>
        <w:widowControl/>
        <w:kinsoku/>
        <w:wordWrap/>
        <w:overflowPunct/>
        <w:topLinePunct w:val="0"/>
        <w:autoSpaceDE/>
        <w:autoSpaceDN/>
        <w:bidi w:val="0"/>
        <w:adjustRightInd/>
        <w:snapToGrid/>
        <w:ind w:left="0" w:firstLine="482" w:firstLineChars="200"/>
        <w:textAlignment w:val="auto"/>
        <w:rPr>
          <w:rFonts w:hint="eastAsia" w:ascii="宋体" w:hAnsi="宋体" w:eastAsia="宋体" w:cs="宋体"/>
          <w:bCs/>
          <w:color w:val="000000" w:themeColor="text1"/>
          <w:sz w:val="24"/>
          <w:szCs w:val="24"/>
          <w:highlight w:val="none"/>
          <w:lang w:eastAsia="zh-CN"/>
          <w14:textFill>
            <w14:solidFill>
              <w14:schemeClr w14:val="tx1"/>
            </w14:solidFill>
          </w14:textFill>
        </w:rPr>
      </w:pPr>
      <w:bookmarkStart w:id="46" w:name="_Toc21544"/>
      <w:bookmarkStart w:id="47" w:name="_Toc21830"/>
      <w:bookmarkStart w:id="48" w:name="_Toc26356"/>
      <w:bookmarkStart w:id="49" w:name="_Toc15333"/>
      <w:bookmarkStart w:id="50" w:name="_Toc20887"/>
      <w:bookmarkStart w:id="51" w:name="_Toc12181"/>
      <w:bookmarkStart w:id="52" w:name="_Toc27619"/>
      <w:bookmarkStart w:id="53" w:name="_Toc29352"/>
      <w:r>
        <w:rPr>
          <w:rFonts w:hint="eastAsia" w:ascii="宋体" w:hAnsi="宋体" w:eastAsia="宋体" w:cs="宋体"/>
          <w:bCs/>
          <w:color w:val="000000" w:themeColor="text1"/>
          <w:sz w:val="24"/>
          <w:szCs w:val="24"/>
          <w:highlight w:val="none"/>
          <w:lang w:val="en-US" w:eastAsia="zh-CN"/>
          <w14:textFill>
            <w14:solidFill>
              <w14:schemeClr w14:val="tx1"/>
            </w14:solidFill>
          </w14:textFill>
        </w:rPr>
        <w:t>1.2</w:t>
      </w:r>
      <w:r>
        <w:rPr>
          <w:rFonts w:hint="eastAsia" w:ascii="宋体" w:hAnsi="宋体" w:eastAsia="宋体" w:cs="宋体"/>
          <w:bCs/>
          <w:color w:val="000000" w:themeColor="text1"/>
          <w:sz w:val="24"/>
          <w:szCs w:val="24"/>
          <w:highlight w:val="none"/>
          <w:lang w:eastAsia="zh-CN"/>
          <w14:textFill>
            <w14:solidFill>
              <w14:schemeClr w14:val="tx1"/>
            </w14:solidFill>
          </w14:textFill>
        </w:rPr>
        <w:t>分析判定相关情况</w:t>
      </w:r>
      <w:bookmarkEnd w:id="46"/>
      <w:bookmarkEnd w:id="47"/>
      <w:bookmarkEnd w:id="48"/>
      <w:bookmarkEnd w:id="49"/>
      <w:bookmarkEnd w:id="50"/>
      <w:bookmarkEnd w:id="51"/>
      <w:bookmarkEnd w:id="52"/>
      <w:bookmarkEnd w:id="53"/>
    </w:p>
    <w:p>
      <w:pPr>
        <w:pStyle w:val="8"/>
        <w:keepNext w:val="0"/>
        <w:keepLines w:val="0"/>
        <w:pageBreakBefore w:val="0"/>
        <w:kinsoku/>
        <w:wordWrap/>
        <w:overflowPunct/>
        <w:topLinePunct w:val="0"/>
        <w:bidi w:val="0"/>
        <w:adjustRightInd/>
        <w:snapToGrid/>
        <w:ind w:firstLine="482" w:firstLineChars="200"/>
        <w:textAlignment w:val="auto"/>
        <w:rPr>
          <w:rFonts w:hint="eastAsia" w:ascii="宋体" w:hAnsi="宋体" w:eastAsia="宋体" w:cs="宋体"/>
          <w:bCs/>
          <w:color w:val="000000" w:themeColor="text1"/>
          <w:sz w:val="24"/>
          <w:szCs w:val="24"/>
          <w:highlight w:val="none"/>
          <w:lang w:eastAsia="zh-CN"/>
          <w14:textFill>
            <w14:solidFill>
              <w14:schemeClr w14:val="tx1"/>
            </w14:solidFill>
          </w14:textFill>
        </w:rPr>
      </w:pPr>
      <w:bookmarkStart w:id="54" w:name="_Toc31600"/>
      <w:r>
        <w:rPr>
          <w:rFonts w:hint="eastAsia" w:ascii="宋体" w:hAnsi="宋体" w:eastAsia="宋体" w:cs="宋体"/>
          <w:bCs/>
          <w:color w:val="000000" w:themeColor="text1"/>
          <w:sz w:val="24"/>
          <w:szCs w:val="24"/>
          <w:highlight w:val="none"/>
          <w:lang w:val="en-US" w:eastAsia="zh-CN"/>
          <w14:textFill>
            <w14:solidFill>
              <w14:schemeClr w14:val="tx1"/>
            </w14:solidFill>
          </w14:textFill>
        </w:rPr>
        <w:t>1.2</w:t>
      </w:r>
      <w:r>
        <w:rPr>
          <w:rFonts w:hint="eastAsia" w:ascii="宋体" w:hAnsi="宋体" w:eastAsia="宋体" w:cs="宋体"/>
          <w:bCs/>
          <w:color w:val="000000" w:themeColor="text1"/>
          <w:sz w:val="24"/>
          <w:szCs w:val="24"/>
          <w:highlight w:val="none"/>
          <w:lang w:eastAsia="zh-CN"/>
          <w14:textFill>
            <w14:solidFill>
              <w14:schemeClr w14:val="tx1"/>
            </w14:solidFill>
          </w14:textFill>
        </w:rPr>
        <w:t>.1产业政策符合性</w:t>
      </w:r>
      <w:bookmarkEnd w:id="54"/>
    </w:p>
    <w:p>
      <w:pPr>
        <w:keepNext w:val="0"/>
        <w:keepLines w:val="0"/>
        <w:pageBreakBefore w:val="0"/>
        <w:kinsoku/>
        <w:wordWrap/>
        <w:overflowPunct/>
        <w:topLinePunct w:val="0"/>
        <w:bidi w:val="0"/>
        <w:adjustRightInd/>
        <w:snapToGrid/>
        <w:spacing w:line="360" w:lineRule="auto"/>
        <w:ind w:firstLine="480" w:firstLineChars="200"/>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依据《国民经济行业分类》（GB/T4754-2017），该项目</w:t>
      </w:r>
      <w:r>
        <w:rPr>
          <w:rFonts w:hint="eastAsia" w:ascii="宋体" w:hAnsi="宋体" w:eastAsia="宋体" w:cs="宋体"/>
          <w:color w:val="000000" w:themeColor="text1"/>
          <w:sz w:val="24"/>
          <w:szCs w:val="24"/>
          <w:highlight w:val="none"/>
          <w:lang w:val="en-US" w:eastAsia="zh-CN"/>
          <w14:textFill>
            <w14:solidFill>
              <w14:schemeClr w14:val="tx1"/>
            </w14:solidFill>
          </w14:textFill>
        </w:rPr>
        <w:t>为</w:t>
      </w:r>
      <w:r>
        <w:rPr>
          <w:rFonts w:hint="eastAsia" w:ascii="宋体" w:hAnsi="宋体" w:eastAsia="宋体" w:cs="宋体"/>
          <w:color w:val="000000" w:themeColor="text1"/>
          <w:sz w:val="24"/>
          <w:szCs w:val="24"/>
          <w:highlight w:val="none"/>
          <w14:textFill>
            <w14:solidFill>
              <w14:schemeClr w14:val="tx1"/>
            </w14:solidFill>
          </w14:textFill>
        </w:rPr>
        <w:t>“电子专用材料制造（C3985）”建设项目。</w:t>
      </w:r>
      <w:r>
        <w:rPr>
          <w:rFonts w:hint="eastAsia" w:ascii="宋体" w:hAnsi="宋体" w:eastAsia="宋体" w:cs="宋体"/>
          <w:bCs/>
          <w:color w:val="000000" w:themeColor="text1"/>
          <w:sz w:val="24"/>
          <w:szCs w:val="24"/>
          <w:highlight w:val="none"/>
          <w14:textFill>
            <w14:solidFill>
              <w14:schemeClr w14:val="tx1"/>
            </w14:solidFill>
          </w14:textFill>
        </w:rPr>
        <w:t>根据《产业结构调整指导目录》（2019年），本项目聚酰亚胺薄膜属于鼓励类中第十一类第14项“纳米材料，功能性膜材料，超净高纯试剂、光刻胶、电子气、高性能液晶材料等新型精细化学品的开发与生产”，为国家产业政策鼓励发展的行业。</w:t>
      </w:r>
    </w:p>
    <w:p>
      <w:pPr>
        <w:pStyle w:val="34"/>
        <w:keepNext w:val="0"/>
        <w:keepLines w:val="0"/>
        <w:pageBreakBefore w:val="0"/>
        <w:kinsoku/>
        <w:wordWrap/>
        <w:overflowPunct/>
        <w:topLinePunct w:val="0"/>
        <w:bidi w:val="0"/>
        <w:adjustRightInd/>
        <w:snapToGrid/>
        <w:spacing w:line="360" w:lineRule="auto"/>
        <w:ind w:firstLine="480" w:firstLineChars="200"/>
        <w:jc w:val="both"/>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同时</w:t>
      </w:r>
      <w:r>
        <w:rPr>
          <w:rFonts w:hint="eastAsia" w:ascii="宋体" w:hAnsi="宋体" w:eastAsia="宋体" w:cs="宋体"/>
          <w:color w:val="000000" w:themeColor="text1"/>
          <w:sz w:val="24"/>
          <w:szCs w:val="24"/>
          <w:highlight w:val="none"/>
          <w:lang w:val="en-US" w:eastAsia="zh-CN"/>
          <w14:textFill>
            <w14:solidFill>
              <w14:schemeClr w14:val="tx1"/>
            </w14:solidFill>
          </w14:textFill>
        </w:rPr>
        <w:t>株洲市天元区</w:t>
      </w:r>
      <w:r>
        <w:rPr>
          <w:rFonts w:hint="eastAsia" w:ascii="宋体" w:hAnsi="宋体" w:eastAsia="宋体" w:cs="宋体"/>
          <w:color w:val="000000" w:themeColor="text1"/>
          <w:sz w:val="24"/>
          <w:szCs w:val="24"/>
          <w:highlight w:val="none"/>
          <w14:textFill>
            <w14:solidFill>
              <w14:schemeClr w14:val="tx1"/>
            </w14:solidFill>
          </w14:textFill>
        </w:rPr>
        <w:t>发展和改革委员会出具了关于本项目</w:t>
      </w:r>
      <w:r>
        <w:rPr>
          <w:rFonts w:hint="eastAsia" w:ascii="宋体" w:hAnsi="宋体" w:eastAsia="宋体" w:cs="宋体"/>
          <w:color w:val="000000" w:themeColor="text1"/>
          <w:sz w:val="24"/>
          <w:szCs w:val="24"/>
          <w:highlight w:val="none"/>
          <w:lang w:val="en-US" w:eastAsia="zh-CN"/>
          <w14:textFill>
            <w14:solidFill>
              <w14:schemeClr w14:val="tx1"/>
            </w14:solidFill>
          </w14:textFill>
        </w:rPr>
        <w:t>备案证明</w:t>
      </w: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pacing w:val="0"/>
          <w:kern w:val="2"/>
          <w:sz w:val="24"/>
          <w:szCs w:val="24"/>
          <w:highlight w:val="none"/>
          <w:lang w:val="en-US" w:eastAsia="zh-CN" w:bidi="ar-SA"/>
          <w14:textFill>
            <w14:solidFill>
              <w14:schemeClr w14:val="tx1"/>
            </w14:solidFill>
          </w14:textFill>
        </w:rPr>
        <w:t>对“株洲市绝缘材料有限责任公司高性能电子级聚酰亚胺薄膜项目”予以赋码以开展前期环评工作。</w:t>
      </w:r>
    </w:p>
    <w:p>
      <w:pPr>
        <w:pStyle w:val="18"/>
        <w:keepNext w:val="0"/>
        <w:keepLines w:val="0"/>
        <w:pageBreakBefore w:val="0"/>
        <w:widowControl w:val="0"/>
        <w:kinsoku/>
        <w:wordWrap/>
        <w:overflowPunct/>
        <w:topLinePunct w:val="0"/>
        <w:bidi w:val="0"/>
        <w:adjustRightInd/>
        <w:snapToGrid/>
        <w:ind w:firstLine="480" w:firstLineChars="200"/>
        <w:jc w:val="both"/>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因此，项目符合国家和地方产业政策要求。</w:t>
      </w:r>
    </w:p>
    <w:p>
      <w:pPr>
        <w:pStyle w:val="8"/>
        <w:keepNext w:val="0"/>
        <w:keepLines w:val="0"/>
        <w:pageBreakBefore w:val="0"/>
        <w:kinsoku/>
        <w:wordWrap/>
        <w:overflowPunct/>
        <w:topLinePunct w:val="0"/>
        <w:bidi w:val="0"/>
        <w:adjustRightInd/>
        <w:snapToGrid/>
        <w:ind w:firstLine="482" w:firstLineChars="200"/>
        <w:textAlignment w:val="auto"/>
        <w:rPr>
          <w:rFonts w:hint="eastAsia" w:ascii="宋体" w:hAnsi="宋体" w:eastAsia="宋体" w:cs="宋体"/>
          <w:bCs/>
          <w:color w:val="000000" w:themeColor="text1"/>
          <w:sz w:val="24"/>
          <w:szCs w:val="24"/>
          <w:highlight w:val="none"/>
          <w:lang w:val="en-US" w:eastAsia="zh-CN"/>
          <w14:textFill>
            <w14:solidFill>
              <w14:schemeClr w14:val="tx1"/>
            </w14:solidFill>
          </w14:textFill>
        </w:rPr>
      </w:pPr>
      <w:bookmarkStart w:id="55" w:name="_Toc30006"/>
      <w:r>
        <w:rPr>
          <w:rFonts w:hint="eastAsia" w:ascii="宋体" w:hAnsi="宋体" w:eastAsia="宋体" w:cs="宋体"/>
          <w:bCs/>
          <w:color w:val="000000" w:themeColor="text1"/>
          <w:sz w:val="24"/>
          <w:szCs w:val="24"/>
          <w:highlight w:val="none"/>
          <w:lang w:val="en-US" w:eastAsia="zh-CN"/>
          <w14:textFill>
            <w14:solidFill>
              <w14:schemeClr w14:val="tx1"/>
            </w14:solidFill>
          </w14:textFill>
        </w:rPr>
        <w:t>1.2.2环境可行性分析</w:t>
      </w:r>
      <w:bookmarkEnd w:id="55"/>
    </w:p>
    <w:p>
      <w:pPr>
        <w:pStyle w:val="34"/>
        <w:keepNext w:val="0"/>
        <w:keepLines w:val="0"/>
        <w:pageBreakBefore w:val="0"/>
        <w:kinsoku/>
        <w:wordWrap/>
        <w:overflowPunct/>
        <w:topLinePunct w:val="0"/>
        <w:bidi w:val="0"/>
        <w:adjustRightInd/>
        <w:snapToGrid/>
        <w:spacing w:line="360" w:lineRule="auto"/>
        <w:ind w:firstLine="480" w:firstLineChars="200"/>
        <w:jc w:val="both"/>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区域环境空气质量基本满足《环境空气质量标准》（GB3095-2012）及其修改单二级标准要求，评价区域内水质能满足《地表水环境质量标准》（GB3838-2002）相关标准要求，项目区域噪声均可达到《声环境质量标准》（GB3096-2008）3类标准，项目周边环境质量总体良好。项目实施后，“三废”处理达标后排放，对周边环境产生影响较小，不会降低周边环境的质量标准，从环境保护的角度来说，项目的建设与周围环境是相容的。</w:t>
      </w:r>
    </w:p>
    <w:p>
      <w:pPr>
        <w:pStyle w:val="8"/>
        <w:keepNext w:val="0"/>
        <w:keepLines w:val="0"/>
        <w:pageBreakBefore w:val="0"/>
        <w:kinsoku/>
        <w:wordWrap/>
        <w:overflowPunct/>
        <w:topLinePunct w:val="0"/>
        <w:bidi w:val="0"/>
        <w:snapToGrid/>
        <w:spacing w:line="360" w:lineRule="auto"/>
        <w:ind w:firstLine="482"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bookmarkStart w:id="56" w:name="_Toc26343"/>
      <w:r>
        <w:rPr>
          <w:rFonts w:hint="eastAsia" w:ascii="宋体" w:hAnsi="宋体" w:eastAsia="宋体" w:cs="宋体"/>
          <w:color w:val="000000" w:themeColor="text1"/>
          <w:sz w:val="24"/>
          <w:szCs w:val="24"/>
          <w:highlight w:val="none"/>
          <w:lang w:val="en-US" w:eastAsia="zh-CN"/>
          <w14:textFill>
            <w14:solidFill>
              <w14:schemeClr w14:val="tx1"/>
            </w14:solidFill>
          </w14:textFill>
        </w:rPr>
        <w:t>1.2.3规划符合性</w:t>
      </w:r>
      <w:bookmarkEnd w:id="56"/>
    </w:p>
    <w:p>
      <w:pPr>
        <w:pStyle w:val="9"/>
        <w:keepNext w:val="0"/>
        <w:keepLines w:val="0"/>
        <w:pageBreakBefore w:val="0"/>
        <w:kinsoku/>
        <w:wordWrap/>
        <w:overflowPunct/>
        <w:topLinePunct w:val="0"/>
        <w:bidi w:val="0"/>
        <w:adjustRightInd/>
        <w:snapToGrid/>
        <w:ind w:firstLine="482" w:firstLineChars="20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1.2</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3</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1</w:t>
      </w:r>
      <w:r>
        <w:rPr>
          <w:rFonts w:hint="eastAsia" w:ascii="宋体" w:hAnsi="宋体" w:eastAsia="宋体" w:cs="宋体"/>
          <w:color w:val="000000" w:themeColor="text1"/>
          <w:sz w:val="24"/>
          <w:szCs w:val="24"/>
          <w:highlight w:val="none"/>
          <w:lang w:eastAsia="zh-CN"/>
          <w14:textFill>
            <w14:solidFill>
              <w14:schemeClr w14:val="tx1"/>
            </w14:solidFill>
          </w14:textFill>
        </w:rPr>
        <w:t>与《</w:t>
      </w:r>
      <w:r>
        <w:rPr>
          <w:rFonts w:hint="eastAsia" w:ascii="宋体" w:hAnsi="宋体" w:eastAsia="宋体" w:cs="宋体"/>
          <w:color w:val="000000" w:themeColor="text1"/>
          <w:sz w:val="24"/>
          <w:szCs w:val="24"/>
          <w:highlight w:val="none"/>
          <w:lang w:val="en-US" w:eastAsia="zh-CN"/>
          <w14:textFill>
            <w14:solidFill>
              <w14:schemeClr w14:val="tx1"/>
            </w14:solidFill>
          </w14:textFill>
        </w:rPr>
        <w:t>湖南省湘江保护条例</w:t>
      </w:r>
      <w:r>
        <w:rPr>
          <w:rFonts w:hint="eastAsia" w:ascii="宋体" w:hAnsi="宋体" w:eastAsia="宋体" w:cs="宋体"/>
          <w:color w:val="000000" w:themeColor="text1"/>
          <w:sz w:val="24"/>
          <w:szCs w:val="24"/>
          <w:highlight w:val="none"/>
          <w:lang w:eastAsia="zh-CN"/>
          <w14:textFill>
            <w14:solidFill>
              <w14:schemeClr w14:val="tx1"/>
            </w14:solidFill>
          </w14:textFill>
        </w:rPr>
        <w:t>》相符性分析</w:t>
      </w:r>
    </w:p>
    <w:p>
      <w:pPr>
        <w:keepNext w:val="0"/>
        <w:keepLines w:val="0"/>
        <w:pageBreakBefore w:val="0"/>
        <w:kinsoku/>
        <w:wordWrap/>
        <w:overflowPunct/>
        <w:topLinePunct w:val="0"/>
        <w:bidi w:val="0"/>
        <w:adjustRightInd/>
        <w:snapToGrid/>
        <w:spacing w:line="360" w:lineRule="auto"/>
        <w:ind w:firstLine="480" w:firstLineChars="200"/>
        <w:textAlignment w:val="auto"/>
        <w:rPr>
          <w:rFonts w:hint="eastAsia" w:ascii="宋体" w:hAnsi="宋体" w:eastAsia="宋体" w:cs="宋体"/>
          <w:b w:val="0"/>
          <w:bCs w:val="0"/>
          <w:i w:val="0"/>
          <w:iCs w:val="0"/>
          <w:color w:val="000000" w:themeColor="text1"/>
          <w:sz w:val="24"/>
          <w:szCs w:val="24"/>
          <w:lang w:eastAsia="zh-CN"/>
          <w14:textFill>
            <w14:solidFill>
              <w14:schemeClr w14:val="tx1"/>
            </w14:solidFill>
          </w14:textFill>
        </w:rPr>
      </w:pPr>
      <w:r>
        <w:rPr>
          <w:rFonts w:hint="eastAsia" w:ascii="宋体" w:hAnsi="宋体" w:eastAsia="宋体" w:cs="宋体"/>
          <w:b w:val="0"/>
          <w:bCs w:val="0"/>
          <w:i w:val="0"/>
          <w:iCs w:val="0"/>
          <w:color w:val="000000" w:themeColor="text1"/>
          <w:sz w:val="24"/>
          <w:szCs w:val="24"/>
          <w14:textFill>
            <w14:solidFill>
              <w14:schemeClr w14:val="tx1"/>
            </w14:solidFill>
          </w14:textFill>
        </w:rPr>
        <w:t>根据《湖南省湘江保护条例》（2018年11月30日修正）：“第二十五条禁止在湘江流域饮用水水源一级保护区内设置排污口（渠），禁止新建、改建、扩建与供水设施和保护水源无关的建设项目；已经设置排污口（渠）、建成与供水设施和保护水源无关的建设项目，县级以上人民政府应当在省人民政府规定期限内组织拆除或者关闭。禁止在湘江流域饮用水水源一级保护区内从事网箱养殖、旅游、游泳、垂钓或者其他可能污染饮用水水体的活动。”</w:t>
      </w:r>
    </w:p>
    <w:p>
      <w:pPr>
        <w:keepNext w:val="0"/>
        <w:keepLines w:val="0"/>
        <w:pageBreakBefore w:val="0"/>
        <w:kinsoku/>
        <w:wordWrap/>
        <w:overflowPunct/>
        <w:topLinePunct w:val="0"/>
        <w:bidi w:val="0"/>
        <w:adjustRightInd/>
        <w:snapToGrid/>
        <w:spacing w:line="360" w:lineRule="auto"/>
        <w:ind w:firstLine="480" w:firstLineChars="200"/>
        <w:textAlignment w:val="auto"/>
        <w:rPr>
          <w:rFonts w:hint="eastAsia" w:ascii="宋体" w:hAnsi="宋体" w:eastAsia="宋体" w:cs="宋体"/>
          <w:b w:val="0"/>
          <w:bCs w:val="0"/>
          <w:i w:val="0"/>
          <w:iCs w:val="0"/>
          <w:color w:val="000000" w:themeColor="text1"/>
          <w:sz w:val="24"/>
          <w:szCs w:val="24"/>
          <w:lang w:eastAsia="zh-CN"/>
          <w14:textFill>
            <w14:solidFill>
              <w14:schemeClr w14:val="tx1"/>
            </w14:solidFill>
          </w14:textFill>
        </w:rPr>
      </w:pPr>
      <w:r>
        <w:rPr>
          <w:rFonts w:hint="eastAsia" w:ascii="宋体" w:hAnsi="宋体" w:eastAsia="宋体" w:cs="宋体"/>
          <w:b w:val="0"/>
          <w:bCs w:val="0"/>
          <w:i w:val="0"/>
          <w:iCs w:val="0"/>
          <w:color w:val="000000" w:themeColor="text1"/>
          <w:sz w:val="24"/>
          <w:szCs w:val="24"/>
          <w14:textFill>
            <w14:solidFill>
              <w14:schemeClr w14:val="tx1"/>
            </w14:solidFill>
          </w14:textFill>
        </w:rPr>
        <w:t>“第二十六条禁止在湘江流域饮用水水源二级保护区内设置排污口（渠），禁止新建、改建、扩建排放污染物的建设项目；已经设置排污口（渠）、建成排放污染物的建设项目，县级以上人民政府应当在省人民政府规定期限内组织拆除或者关闭。”</w:t>
      </w:r>
    </w:p>
    <w:p>
      <w:pPr>
        <w:keepNext w:val="0"/>
        <w:keepLines w:val="0"/>
        <w:pageBreakBefore w:val="0"/>
        <w:kinsoku/>
        <w:wordWrap/>
        <w:overflowPunct/>
        <w:topLinePunct w:val="0"/>
        <w:bidi w:val="0"/>
        <w:adjustRightInd/>
        <w:snapToGrid/>
        <w:spacing w:line="360" w:lineRule="auto"/>
        <w:ind w:firstLine="480" w:firstLineChars="200"/>
        <w:textAlignment w:val="auto"/>
        <w:rPr>
          <w:rFonts w:hint="eastAsia" w:ascii="宋体" w:hAnsi="宋体" w:eastAsia="宋体" w:cs="宋体"/>
          <w:b w:val="0"/>
          <w:bCs w:val="0"/>
          <w:i w:val="0"/>
          <w:iCs w:val="0"/>
          <w:color w:val="000000" w:themeColor="text1"/>
          <w:sz w:val="24"/>
          <w:szCs w:val="24"/>
          <w:lang w:eastAsia="zh-CN"/>
          <w14:textFill>
            <w14:solidFill>
              <w14:schemeClr w14:val="tx1"/>
            </w14:solidFill>
          </w14:textFill>
        </w:rPr>
      </w:pPr>
      <w:r>
        <w:rPr>
          <w:rFonts w:hint="eastAsia" w:ascii="宋体" w:hAnsi="宋体" w:eastAsia="宋体" w:cs="宋体"/>
          <w:b w:val="0"/>
          <w:bCs w:val="0"/>
          <w:i w:val="0"/>
          <w:iCs w:val="0"/>
          <w:color w:val="000000" w:themeColor="text1"/>
          <w:sz w:val="24"/>
          <w:szCs w:val="24"/>
          <w14:textFill>
            <w14:solidFill>
              <w14:schemeClr w14:val="tx1"/>
            </w14:solidFill>
          </w14:textFill>
        </w:rPr>
        <w:t>“第四十九条省人民政府应当组织发展和改革、工业和信息化、生态环境、有色金属工业等部门，编制湘江流域产业发展规划。在湘江干流两岸各二十公里范围内不得新建化学制浆、造纸、制革和外排水污染物涉及重金属的项目。”</w:t>
      </w:r>
    </w:p>
    <w:p>
      <w:pPr>
        <w:keepNext w:val="0"/>
        <w:keepLines w:val="0"/>
        <w:pageBreakBefore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val="0"/>
          <w:bCs w:val="0"/>
          <w:i w:val="0"/>
          <w:iCs w:val="0"/>
          <w:color w:val="000000" w:themeColor="text1"/>
          <w:sz w:val="24"/>
          <w:szCs w:val="24"/>
          <w14:textFill>
            <w14:solidFill>
              <w14:schemeClr w14:val="tx1"/>
            </w14:solidFill>
          </w14:textFill>
        </w:rPr>
        <w:t>本项目经预处理后的废水排入市政污水管网，不设入河排污口，项目外排废水污染物不涉及重金属，且本项目为</w:t>
      </w:r>
      <w:r>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t>电子专用材料制造</w:t>
      </w:r>
      <w:r>
        <w:rPr>
          <w:rFonts w:hint="eastAsia" w:ascii="宋体" w:hAnsi="宋体" w:eastAsia="宋体" w:cs="宋体"/>
          <w:b w:val="0"/>
          <w:bCs w:val="0"/>
          <w:i w:val="0"/>
          <w:iCs w:val="0"/>
          <w:color w:val="000000" w:themeColor="text1"/>
          <w:sz w:val="24"/>
          <w:szCs w:val="24"/>
          <w14:textFill>
            <w14:solidFill>
              <w14:schemeClr w14:val="tx1"/>
            </w14:solidFill>
          </w14:textFill>
        </w:rPr>
        <w:t>，不属于《湖南省湘江保护条例》禁止引进的企业。因此，本项目符合《湖南省湘江保护条例》的相关规定</w:t>
      </w:r>
      <w:r>
        <w:rPr>
          <w:rFonts w:hint="eastAsia" w:ascii="宋体" w:hAnsi="宋体" w:eastAsia="宋体" w:cs="宋体"/>
          <w:color w:val="000000" w:themeColor="text1"/>
          <w:sz w:val="24"/>
          <w:szCs w:val="24"/>
          <w:highlight w:val="none"/>
          <w14:textFill>
            <w14:solidFill>
              <w14:schemeClr w14:val="tx1"/>
            </w14:solidFill>
          </w14:textFill>
        </w:rPr>
        <w:t>。</w:t>
      </w:r>
    </w:p>
    <w:p>
      <w:pPr>
        <w:pStyle w:val="9"/>
        <w:keepNext w:val="0"/>
        <w:keepLines w:val="0"/>
        <w:pageBreakBefore w:val="0"/>
        <w:kinsoku/>
        <w:wordWrap/>
        <w:overflowPunct/>
        <w:topLinePunct w:val="0"/>
        <w:bidi w:val="0"/>
        <w:adjustRightInd/>
        <w:snapToGrid/>
        <w:ind w:firstLine="482" w:firstLineChars="20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1.2</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3</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2</w:t>
      </w:r>
      <w:r>
        <w:rPr>
          <w:rFonts w:hint="eastAsia" w:ascii="宋体" w:hAnsi="宋体" w:eastAsia="宋体" w:cs="宋体"/>
          <w:color w:val="000000" w:themeColor="text1"/>
          <w:sz w:val="24"/>
          <w:szCs w:val="24"/>
          <w:highlight w:val="none"/>
          <w:lang w:eastAsia="zh-CN"/>
          <w14:textFill>
            <w14:solidFill>
              <w14:schemeClr w14:val="tx1"/>
            </w14:solidFill>
          </w14:textFill>
        </w:rPr>
        <w:t>与《湖南省长江经济带发展负面清单实施细则（试行，2022年版）》相符性分析</w:t>
      </w:r>
    </w:p>
    <w:p>
      <w:pPr>
        <w:keepNext w:val="0"/>
        <w:keepLines w:val="0"/>
        <w:pageBreakBefore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根据</w:t>
      </w:r>
      <w:r>
        <w:rPr>
          <w:rFonts w:hint="eastAsia" w:ascii="宋体" w:hAnsi="宋体" w:eastAsia="宋体" w:cs="宋体"/>
          <w:color w:val="000000" w:themeColor="text1"/>
          <w:sz w:val="24"/>
          <w:szCs w:val="24"/>
          <w:highlight w:val="none"/>
          <w:lang w:eastAsia="zh-CN"/>
          <w14:textFill>
            <w14:solidFill>
              <w14:schemeClr w14:val="tx1"/>
            </w14:solidFill>
          </w14:textFill>
        </w:rPr>
        <w:t>《湖南省长江经济带发展负面清单实施细则（试行，2022年版）》，</w:t>
      </w:r>
      <w:r>
        <w:rPr>
          <w:rFonts w:hint="eastAsia" w:ascii="宋体" w:hAnsi="宋体" w:eastAsia="宋体" w:cs="宋体"/>
          <w:color w:val="000000" w:themeColor="text1"/>
          <w:sz w:val="24"/>
          <w:szCs w:val="24"/>
          <w:lang w:val="en-US"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第</w:t>
      </w:r>
      <w:r>
        <w:rPr>
          <w:rFonts w:hint="eastAsia" w:ascii="宋体" w:hAnsi="宋体" w:eastAsia="宋体" w:cs="宋体"/>
          <w:color w:val="000000" w:themeColor="text1"/>
          <w:sz w:val="24"/>
          <w:szCs w:val="24"/>
          <w:highlight w:val="none"/>
          <w:lang w:val="en-US" w:eastAsia="zh-CN"/>
          <w14:textFill>
            <w14:solidFill>
              <w14:schemeClr w14:val="tx1"/>
            </w14:solidFill>
          </w14:textFill>
        </w:rPr>
        <w:t>十五</w:t>
      </w:r>
      <w:r>
        <w:rPr>
          <w:rFonts w:hint="eastAsia" w:ascii="宋体" w:hAnsi="宋体" w:eastAsia="宋体" w:cs="宋体"/>
          <w:color w:val="000000" w:themeColor="text1"/>
          <w:sz w:val="24"/>
          <w:szCs w:val="24"/>
          <w:highlight w:val="none"/>
          <w14:textFill>
            <w14:solidFill>
              <w14:schemeClr w14:val="tx1"/>
            </w14:solidFill>
          </w14:textFill>
        </w:rPr>
        <w:t>条</w:t>
      </w:r>
      <w:r>
        <w:rPr>
          <w:rFonts w:hint="eastAsia" w:ascii="宋体" w:hAnsi="宋体" w:eastAsia="宋体" w:cs="宋体"/>
          <w:color w:val="000000" w:themeColor="text1"/>
          <w:sz w:val="24"/>
          <w:szCs w:val="24"/>
          <w:lang w:val="en-US" w:eastAsia="zh-CN"/>
          <w14:textFill>
            <w14:solidFill>
              <w14:schemeClr w14:val="tx1"/>
            </w14:solidFill>
          </w14:textFill>
        </w:rPr>
        <w:t>禁止在长江湖南段岸线三公里范围内和湘江、资江、沅江、澧水岸线一公里范围内新建、改建、扩建尾矿库、冶炼渣库和磷石膏库，以提升安全、生态环境保护水平为目的的改建除外”，“第十六条 禁止在合规园区外新建、扩建钢铁、石化、化工、焦化、建材、有色、制浆造纸等高污染项目。高污染项目严格按照生态环境部《环境保护综合名录（2021年版）》有关要求执行”</w:t>
      </w:r>
      <w:r>
        <w:rPr>
          <w:rFonts w:hint="eastAsia" w:ascii="宋体" w:hAnsi="宋体" w:eastAsia="宋体" w:cs="宋体"/>
          <w:color w:val="000000" w:themeColor="text1"/>
          <w:sz w:val="24"/>
          <w:szCs w:val="24"/>
          <w:highlight w:val="none"/>
          <w14:textFill>
            <w14:solidFill>
              <w14:schemeClr w14:val="tx1"/>
            </w14:solidFill>
          </w14:textFill>
        </w:rPr>
        <w:t>。项目拟建地不涉及港口、自然保护区、风景名胜区及河道；项目不在饮用水水源一级保护区（岸线和河段）、二级保护区（岸线和河段）范围内。项目为</w:t>
      </w:r>
      <w:r>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t>电子专用材料制造</w:t>
      </w:r>
      <w:r>
        <w:rPr>
          <w:rFonts w:hint="eastAsia" w:ascii="宋体" w:hAnsi="宋体" w:eastAsia="宋体" w:cs="宋体"/>
          <w:color w:val="000000" w:themeColor="text1"/>
          <w:sz w:val="24"/>
          <w:szCs w:val="24"/>
          <w:highlight w:val="none"/>
          <w14:textFill>
            <w14:solidFill>
              <w14:schemeClr w14:val="tx1"/>
            </w14:solidFill>
          </w14:textFill>
        </w:rPr>
        <w:t>，不属于禁止建设的高污染、高能耗、高排放项目。因此，项目不属于</w:t>
      </w:r>
      <w:r>
        <w:rPr>
          <w:rFonts w:hint="eastAsia" w:ascii="宋体" w:hAnsi="宋体" w:eastAsia="宋体" w:cs="宋体"/>
          <w:color w:val="000000" w:themeColor="text1"/>
          <w:sz w:val="24"/>
          <w:szCs w:val="24"/>
          <w:highlight w:val="none"/>
          <w:lang w:val="en-US" w:eastAsia="zh-CN"/>
          <w14:textFill>
            <w14:solidFill>
              <w14:schemeClr w14:val="tx1"/>
            </w14:solidFill>
          </w14:textFill>
        </w:rPr>
        <w:t>湖南省</w:t>
      </w:r>
      <w:r>
        <w:rPr>
          <w:rFonts w:hint="eastAsia" w:ascii="宋体" w:hAnsi="宋体" w:eastAsia="宋体" w:cs="宋体"/>
          <w:color w:val="000000" w:themeColor="text1"/>
          <w:sz w:val="24"/>
          <w:szCs w:val="24"/>
          <w:highlight w:val="none"/>
          <w14:textFill>
            <w14:solidFill>
              <w14:schemeClr w14:val="tx1"/>
            </w14:solidFill>
          </w14:textFill>
        </w:rPr>
        <w:t>长江经济带发展负面清单内，符合相关要求</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pPr>
        <w:pStyle w:val="9"/>
        <w:keepNext w:val="0"/>
        <w:keepLines w:val="0"/>
        <w:pageBreakBefore w:val="0"/>
        <w:kinsoku/>
        <w:wordWrap/>
        <w:overflowPunct/>
        <w:topLinePunct w:val="0"/>
        <w:bidi w:val="0"/>
        <w:adjustRightInd/>
        <w:snapToGrid/>
        <w:ind w:firstLine="482"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1.2.3.3与《湖南省 VOCs 污染防治三年实施方案》符合性分析</w:t>
      </w:r>
    </w:p>
    <w:p>
      <w:pPr>
        <w:keepNext w:val="0"/>
        <w:keepLines w:val="0"/>
        <w:pageBreakBefore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方案提出：总体要求：以改善环境空气质量为核心，以重点地区为主要着力点，以重点行业和重点污染物为主要控制对象，以重点减排项目为支撑，推进VOCs与NOx协同减排，强化新增污染物排放控制，实施固定污染源排污许可，全面加强基础能力建设和政策支持保障，因地制宜，突出重点，源头防控，分业施策，建立VOCs污染防治长效机制，促进环境空气质量持续改善和产业绿色发展。</w:t>
      </w:r>
    </w:p>
    <w:p>
      <w:pPr>
        <w:keepNext w:val="0"/>
        <w:keepLines w:val="0"/>
        <w:pageBreakBefore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严格建设项目环境准入。提高VOCs排放重点行业环保准入门槛，严格控制新增污染物排放量。要严格限制石化、化工、包装印刷、工业涂装、家具制造、制药等高VOCs排放建设项目，新建涉VOCs排放的工业企业要入园区。未纳入《石化产业规划布局方案》的新建炼化项目一律不得建设。严格涉VOCs建设项目环境影响评价，实行区域内VOCs排放等量或倍量削减替代，并将替代方案落实到企业排污许可证中，纳入环境执法管理。新、改、扩建涉VOCs排放项目，应从源头加强控制，使用低（无）VOCs含量的原辅材料，加强废气收集，安装高效治理设施</w:t>
      </w:r>
    </w:p>
    <w:p>
      <w:pPr>
        <w:keepNext w:val="0"/>
        <w:keepLines w:val="0"/>
        <w:pageBreakBefore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本项目生产过程会产生VOCs气体，但项目位于新马工业园区，符合方案要求的新建涉VOCs工业企业必须入园区的要求。同时企业积极采取VOCs气体收集和处理装置，根据评价分析，VOCs气体经收集处理后，能够做到达标排放，本项目符合《湖南省VOCs污染防治三年实施方案》</w:t>
      </w:r>
    </w:p>
    <w:p>
      <w:pPr>
        <w:pStyle w:val="9"/>
        <w:keepNext w:val="0"/>
        <w:keepLines w:val="0"/>
        <w:pageBreakBefore w:val="0"/>
        <w:kinsoku/>
        <w:wordWrap/>
        <w:overflowPunct/>
        <w:topLinePunct w:val="0"/>
        <w:bidi w:val="0"/>
        <w:adjustRightInd/>
        <w:snapToGrid/>
        <w:ind w:firstLine="482" w:firstLineChars="200"/>
        <w:textAlignment w:val="auto"/>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pP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1.2.3.4与其他挥发性有机物控制相关环保政策符合性分析</w:t>
      </w:r>
    </w:p>
    <w:p>
      <w:pPr>
        <w:keepNext w:val="0"/>
        <w:keepLines w:val="0"/>
        <w:pageBreakBefore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pP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本项目与其它挥发性有机物控制相关环保政策符合性分析见下表。</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0" w:firstLineChars="0"/>
        <w:jc w:val="center"/>
        <w:textAlignment w:val="auto"/>
        <w:rPr>
          <w:rFonts w:hint="eastAsia" w:ascii="宋体" w:hAnsi="宋体" w:eastAsia="宋体" w:cs="宋体"/>
          <w:b/>
          <w:bCs/>
          <w:color w:val="000000" w:themeColor="text1"/>
          <w:sz w:val="24"/>
          <w:szCs w:val="24"/>
          <w:highlight w:val="none"/>
          <w:u w:val="singl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u w:val="single"/>
          <w:lang w:val="en-US" w:eastAsia="zh-CN"/>
          <w14:textFill>
            <w14:solidFill>
              <w14:schemeClr w14:val="tx1"/>
            </w14:solidFill>
          </w14:textFill>
        </w:rPr>
        <w:t>表1.2.3.4-1  项目与环保相关政策相符性分析一览表</w:t>
      </w:r>
    </w:p>
    <w:tbl>
      <w:tblPr>
        <w:tblStyle w:val="30"/>
        <w:tblW w:w="4993"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425"/>
        <w:gridCol w:w="1269"/>
        <w:gridCol w:w="4413"/>
        <w:gridCol w:w="2965"/>
        <w:gridCol w:w="65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218" w:type="pct"/>
            <w:tcBorders>
              <w:tl2br w:val="nil"/>
              <w:tr2bl w:val="nil"/>
            </w:tcBorders>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序号</w:t>
            </w:r>
          </w:p>
        </w:tc>
        <w:tc>
          <w:tcPr>
            <w:tcW w:w="652" w:type="pct"/>
            <w:tcBorders>
              <w:tl2br w:val="nil"/>
              <w:tr2bl w:val="nil"/>
            </w:tcBorders>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政策名称</w:t>
            </w:r>
          </w:p>
        </w:tc>
        <w:tc>
          <w:tcPr>
            <w:tcW w:w="2268" w:type="pct"/>
            <w:tcBorders>
              <w:tl2br w:val="nil"/>
              <w:tr2bl w:val="nil"/>
            </w:tcBorders>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相关要求</w:t>
            </w:r>
          </w:p>
        </w:tc>
        <w:tc>
          <w:tcPr>
            <w:tcW w:w="1524" w:type="pct"/>
            <w:tcBorders>
              <w:tl2br w:val="nil"/>
              <w:tr2bl w:val="nil"/>
            </w:tcBorders>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符合性分析</w:t>
            </w:r>
          </w:p>
        </w:tc>
        <w:tc>
          <w:tcPr>
            <w:tcW w:w="336" w:type="pct"/>
            <w:tcBorders>
              <w:tl2br w:val="nil"/>
              <w:tr2bl w:val="nil"/>
            </w:tcBorders>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分析结果</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218" w:type="pct"/>
            <w:tcBorders>
              <w:tl2br w:val="nil"/>
              <w:tr2bl w:val="nil"/>
            </w:tcBorders>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p>
        </w:tc>
        <w:tc>
          <w:tcPr>
            <w:tcW w:w="652" w:type="pct"/>
            <w:tcBorders>
              <w:tl2br w:val="nil"/>
              <w:tr2bl w:val="nil"/>
            </w:tcBorders>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《挥发性有机物无组织排放控制标准》（GB37822-2019）</w:t>
            </w:r>
          </w:p>
        </w:tc>
        <w:tc>
          <w:tcPr>
            <w:tcW w:w="2268" w:type="pct"/>
            <w:tcBorders>
              <w:tl2br w:val="nil"/>
              <w:tr2bl w:val="nil"/>
            </w:tcBorders>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VOCs物料储存无组织控制要求：VOCs物料应储存于密闭的容器、包装袋、储罐、储库、料仓中。盛装VOCs物料的容器或包装袋应存放于室内或存放于设置有雨棚、遮阳和防渗设施的专用场地。盛装VOCs物料的容器或装包袋在非取用状态时应加盖、封口，保持密闭。</w:t>
            </w:r>
          </w:p>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VOCs物料转移和输送无组织控制要求：液态VOCs物料应采用密闭管道输送，采用非管道输送方式转移液态VOCs物料时，应采用密闭容器、罐车。反应设备进料置换废气、挥发排气、反应尾气应排至VOCs废气收集处理系统。</w:t>
            </w:r>
          </w:p>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工艺过程VOCs无组织排放控制要求：①液态VOCs物料应采用密闭管道输送方式或采用高位槽（罐）、桶泵等给料方式密闭投加，无法密闭投加的应在密闭空间内操作，或进行局部气体收集，废气应排至除尘设施，VOCs废气收集处理系统。②VOCs物料卸（出、放）料过程应密闭，卸料废气应排至VOCs废气收集处理系统；无法密闭的，应采取局部气体收集措施，废气应排至VOCs废气收集处理系统。③反应设备进料置换废气、挥发废气、反应尾气等应排至VOCs废气收集处理系统。吸收、洗涤、蒸馏/精馏、萃取、结晶等单元操作排放的废气，冷凝单元操作排放的不凝尾气，吸附单元操作的脱附尾气等应排至VOCs废气收集处理系统。</w:t>
            </w:r>
          </w:p>
        </w:tc>
        <w:tc>
          <w:tcPr>
            <w:tcW w:w="1524" w:type="pct"/>
            <w:tcBorders>
              <w:tl2br w:val="nil"/>
              <w:tr2bl w:val="nil"/>
            </w:tcBorders>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（1）项目二甲基乙酰胺外包装为包装桶，利用储罐储存，二甲基乙酰胺物料经泵通过管道送入搅拌罐中，非取用状态时加盖、封口，保持密闭。副产品加盖密闭，贮存于回收储罐内。</w:t>
            </w:r>
          </w:p>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（2）项目二甲基乙酰胺外包装为包装桶，由推车运至各车间一楼，二甲基乙酰胺直接在一楼操作间泵入中间罐，经计量的物料通过管道输送至搅拌罐。</w:t>
            </w:r>
          </w:p>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①二甲基乙酰胺直接在一楼操作间泵入中间罐，经计量的物料通过管道输送至搅拌罐。②项目工艺过程物料转移均采用管道输送。③项目对生产工艺过程VOCs均采用密闭管道收集，溶解、缩合反应、消泡、流涎、亚胺化工序均为密闭式作业，</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项目两条生产线流延工序均含有四级冷凝回收系统以及亚胺化工序均含有一级冷凝回收系统。两条生产线流延工序共用一套“三级喷淋+湿电系统”，经DA001排气筒高空排放；两条生产线的亚胺化工序，共用一套“二级喷淋+湿电系统”，经DA002排气筒高空排放</w:t>
            </w:r>
            <w:r>
              <w:rPr>
                <w:rFonts w:hint="eastAsia" w:ascii="宋体" w:hAnsi="宋体" w:eastAsia="宋体" w:cs="宋体"/>
                <w:color w:val="000000" w:themeColor="text1"/>
                <w:sz w:val="21"/>
                <w:szCs w:val="21"/>
                <w:highlight w:val="none"/>
                <w:lang w:val="en-US" w:eastAsia="zh-CN"/>
                <w14:textFill>
                  <w14:solidFill>
                    <w14:schemeClr w14:val="tx1"/>
                  </w14:solidFill>
                </w14:textFill>
              </w:rPr>
              <w:t>。项目废气收集率、治理设施同步运行率和污染物去除率满足治理要求。</w:t>
            </w:r>
          </w:p>
        </w:tc>
        <w:tc>
          <w:tcPr>
            <w:tcW w:w="336" w:type="pct"/>
            <w:tcBorders>
              <w:tl2br w:val="nil"/>
              <w:tr2bl w:val="nil"/>
            </w:tcBorders>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符合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218" w:type="pct"/>
            <w:tcBorders>
              <w:tl2br w:val="nil"/>
              <w:tr2bl w:val="nil"/>
            </w:tcBorders>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c>
          <w:tcPr>
            <w:tcW w:w="652" w:type="pct"/>
            <w:tcBorders>
              <w:tl2br w:val="nil"/>
              <w:tr2bl w:val="nil"/>
            </w:tcBorders>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关于印发《重点行业挥发性有机物综合治理方案》的通知，环大气【2019】53号</w:t>
            </w:r>
          </w:p>
        </w:tc>
        <w:tc>
          <w:tcPr>
            <w:tcW w:w="2268" w:type="pct"/>
            <w:tcBorders>
              <w:tl2br w:val="nil"/>
              <w:tr2bl w:val="nil"/>
            </w:tcBorders>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大力推进源头替代。化工行业要推广使用低（无）VOCs含量、低反应活性的原辅材料，加快对芳香烃、含卤素有机化合物的绿色替代。</w:t>
            </w:r>
          </w:p>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加强无组织排放控制。①加强设备与场所密闭管理。含VOCs物料应储存于密闭容器、包装袋，高效密封储罐，封闭式储库、料仓等。含VOCs物料转移和输送，应采用密闭管道或密闭容器、罐车等。②推进使用先进生产工艺。通过采用全密闭、连续化、自动化等生产技术，以及高效工艺与设备等，减少工艺过程无组织排放。挥发性有机液体装载优先采用底部装载方式。③提高废气收集率。遵循“应收尽收、分质收集”的原则，科学设计废气收集系统，将无组织排放转变为有组织排放进行控制。</w:t>
            </w:r>
          </w:p>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推进建设适宜高效的治污设施。①企业新建治污设施或对现有治污设施实施改造，应依据排放废气的浓度、组分、风量，温度、湿度、压力，以及生产工况等，合理选择治理技术。鼓励企业采用多种技术的组合工艺，提高VOCs治理效率。低浓度、大风量废气，宜采用沸石转轮吸附、活性炭吸附、减风增浓等浓缩技术，提高VOCs浓度后净化处理；高浓度废气，优先进行溶剂回收，难以回收的，宜采用高温焚烧、催化燃烧等技术。油气（溶剂）回收宜采用冷凝+吸附、吸附+吸收、膜分离+吸附等技术。低温等离子、光催化、光氧化技术主要适用于恶臭异味等治理；生物法主要适用于低浓度VOCs废气治理和恶臭异味治理。非水溶性的VOCs废气禁止采用水或水溶液喷淋吸收处理。采用一次性活性炭吸附技术的，应定期更换活性炭，废旧活性炭应再生或处理处置。②实行重点排放源排放浓度与去除效率双重控制。车间或生产设施收集排放的废气，VOCs初始排放速率大于等于3千克/小时、重点区域大于等于2千克/小时的，应加大控制力度，除确保排放浓度稳定达标外，还应实行去除效率控制，去除效率不低于80%；</w:t>
            </w:r>
          </w:p>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深入实施精细化管控。①推行“一厂一策”制度。各地应加强对企业帮扶指导，对本地污染物排放量较大的企业，组织专家提供专业化技术支持，严格把关，指导企业编制切实可行的污染治理方案，明确原辅材料替代、工艺改进、无组织排放管控、废气收集、治污设施建设等全过程减排要求，测算投资成本和减排效益，为企业有效开展VOCs综合治理提供技术服务。②加强企业运行管理。企业应系统梳理VOCs排放主要环节和工序，包括启停机、检维修作业等，制定具体操作规程，落实到具体责任人。健全内部考核制度。加强人员能力培训和技术交流。建立管理台账，记录企业生产和治污设施运行的关键参数，在线监控参数要确保能够实时调取，相关台账记录至少保存三年。</w:t>
            </w:r>
          </w:p>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524" w:type="pct"/>
            <w:tcBorders>
              <w:tl2br w:val="nil"/>
              <w:tr2bl w:val="nil"/>
            </w:tcBorders>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本项目使用二甲基乙酰胺有机溶剂作为原辅材料，项目生产过程中废气通过四级冷凝回收副产，减少VOCs的排放。不凝气通过水喷淋、除水雾、光解等措施处理。</w:t>
            </w:r>
          </w:p>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（2）项目二甲基乙酰胺外包装为包装桶，储存于储罐内，二甲基乙酰胺物料通过密闭管道送入溶解釜中，非取用状态时加盖、封口，保持密闭。</w:t>
            </w:r>
          </w:p>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（2）项目对生产工艺过程VOCs均采用密闭管道收集，溶解、缩合反应、消泡、流涎、亚胺化工序均为密闭式作业，流涎、</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项目两条生产线流延工序均含有四级冷凝回收系统以及亚胺化工序均含有一级冷凝回收系统。两条生产线流延工序共用一套“三级喷淋+湿电系统”，经DA001排气筒高空排放；两条生产线的亚胺化工序，共用一套“二级喷淋+湿电系统”，经DA002排气筒高空排放</w:t>
            </w:r>
          </w:p>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项目根据废气组分、浓度、风量、湿度、温度等情况，合理选择废气处理措施，项目具有回收价值的二甲基乙酰胺采用冷凝方式进行回收，不凝气经喷淋回收+湿电系统处理后通过20m高排气筒排放，满足《合成树脂工业污染物排放标准》（GB31572-2015）表</w:t>
            </w:r>
            <w:r>
              <w:rPr>
                <w:rFonts w:hint="eastAsia" w:cs="宋体"/>
                <w:color w:val="000000" w:themeColor="text1"/>
                <w:sz w:val="21"/>
                <w:szCs w:val="21"/>
                <w:highlight w:val="none"/>
                <w:lang w:val="en-US" w:eastAsia="zh-CN"/>
                <w14:textFill>
                  <w14:solidFill>
                    <w14:schemeClr w14:val="tx1"/>
                  </w14:solidFill>
                </w14:textFill>
              </w:rPr>
              <w:t>4</w:t>
            </w:r>
            <w:r>
              <w:rPr>
                <w:rFonts w:hint="eastAsia" w:ascii="宋体" w:hAnsi="宋体" w:eastAsia="宋体" w:cs="宋体"/>
                <w:color w:val="000000" w:themeColor="text1"/>
                <w:sz w:val="21"/>
                <w:szCs w:val="21"/>
                <w:highlight w:val="none"/>
                <w:lang w:val="en-US" w:eastAsia="zh-CN"/>
                <w14:textFill>
                  <w14:solidFill>
                    <w14:schemeClr w14:val="tx1"/>
                  </w14:solidFill>
                </w14:textFill>
              </w:rPr>
              <w:t>中大气污染物排放限值。项目流涎、亚胺化工序收集的废气，加大控制力度，采取适宜高效的治理设施，综合分析，冷凝去除效率分别为98%，80%；不凝气处理效率99.5%。满足排放浓度和去除效率双重控制要求。</w:t>
            </w:r>
          </w:p>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4）评价要求建设单位按照要求完成VOCs“一厂一策”方案的编制。运行后企业需加强日常运行管理，系统梳理VOCs排放主要环节和工序，包括启停机、检维修作业等，制定具体操作规程，落实到具体责任人。健全内部考核制度。加强人员能力培训和技术交流。建立管理台账，记录企业生产和治污设施运行的关键参数，在线监控参数要确保能够实时调取，相关台账记录至少保存三年。</w:t>
            </w:r>
          </w:p>
        </w:tc>
        <w:tc>
          <w:tcPr>
            <w:tcW w:w="336" w:type="pct"/>
            <w:tcBorders>
              <w:tl2br w:val="nil"/>
              <w:tr2bl w:val="nil"/>
            </w:tcBorders>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符合</w:t>
            </w:r>
          </w:p>
        </w:tc>
      </w:tr>
    </w:tbl>
    <w:p>
      <w:pPr>
        <w:pStyle w:val="9"/>
        <w:keepNext w:val="0"/>
        <w:keepLines w:val="0"/>
        <w:pageBreakBefore w:val="0"/>
        <w:kinsoku/>
        <w:wordWrap/>
        <w:overflowPunct/>
        <w:topLinePunct w:val="0"/>
        <w:bidi w:val="0"/>
        <w:adjustRightInd/>
        <w:snapToGrid/>
        <w:ind w:firstLine="482"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 xml:space="preserve">1.2.3.5与《关于发布湖南省省级及以上产业园区边界面积及四至范围目录的通知》（湘发改园区[2022]601 号）的符合性 </w:t>
      </w:r>
    </w:p>
    <w:p>
      <w:pPr>
        <w:keepNext w:val="0"/>
        <w:keepLines w:val="0"/>
        <w:pageBreakBefore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根据湘发改园区[2022]601 号，株洲高新技术产业园共包含十八个区块，本项目位于区块十“</w:t>
      </w:r>
      <w:r>
        <w:rPr>
          <w:rFonts w:hint="eastAsia" w:ascii="宋体" w:hAnsi="宋体" w:eastAsia="宋体" w:cs="宋体"/>
          <w:color w:val="000000" w:themeColor="text1"/>
          <w:szCs w:val="21"/>
          <w14:textFill>
            <w14:solidFill>
              <w14:schemeClr w14:val="tx1"/>
            </w14:solidFill>
          </w14:textFill>
        </w:rPr>
        <w:t>东至京港澳高速，南至万溪路，西至新马东路，北至新东路</w:t>
      </w:r>
      <w:r>
        <w:rPr>
          <w:rFonts w:hint="eastAsia" w:ascii="宋体" w:hAnsi="宋体" w:eastAsia="宋体" w:cs="宋体"/>
          <w:color w:val="000000" w:themeColor="text1"/>
          <w:sz w:val="24"/>
          <w:szCs w:val="24"/>
          <w:highlight w:val="none"/>
          <w:lang w:val="en-US" w:eastAsia="zh-CN"/>
          <w14:textFill>
            <w14:solidFill>
              <w14:schemeClr w14:val="tx1"/>
            </w14:solidFill>
          </w14:textFill>
        </w:rPr>
        <w:t>”，属于 601 号文中区块范围内，与《关于发布湖南省省级及以上产业园区边界面积及四至范围目录的通知》（湘发改园区[2022]601 号）相符。</w:t>
      </w:r>
    </w:p>
    <w:p>
      <w:pPr>
        <w:pStyle w:val="9"/>
        <w:keepNext w:val="0"/>
        <w:keepLines w:val="0"/>
        <w:pageBreakBefore w:val="0"/>
        <w:kinsoku/>
        <w:wordWrap/>
        <w:overflowPunct/>
        <w:topLinePunct w:val="0"/>
        <w:bidi w:val="0"/>
        <w:adjustRightInd/>
        <w:snapToGrid/>
        <w:ind w:firstLine="482" w:firstLineChars="20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1.2</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3</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6</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三线一单</w:t>
      </w:r>
      <w:r>
        <w:rPr>
          <w:rFonts w:hint="eastAsia" w:ascii="宋体" w:hAnsi="宋体" w:eastAsia="宋体" w:cs="宋体"/>
          <w:color w:val="000000" w:themeColor="text1"/>
          <w:sz w:val="24"/>
          <w:szCs w:val="24"/>
          <w:highlight w:val="none"/>
          <w:lang w:eastAsia="zh-CN"/>
          <w14:textFill>
            <w14:solidFill>
              <w14:schemeClr w14:val="tx1"/>
            </w14:solidFill>
          </w14:textFill>
        </w:rPr>
        <w:t>”相符性分析</w:t>
      </w:r>
    </w:p>
    <w:p>
      <w:pPr>
        <w:keepNext w:val="0"/>
        <w:keepLines w:val="0"/>
        <w:pageBreakBefore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（1）生态保护红线</w:t>
      </w:r>
    </w:p>
    <w:p>
      <w:pPr>
        <w:keepNext w:val="0"/>
        <w:keepLines w:val="0"/>
        <w:pageBreakBefore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建设项目选址于株洲市天元区新马创新工业片区，不属于生态红线范围内。</w:t>
      </w:r>
    </w:p>
    <w:p>
      <w:pPr>
        <w:keepNext w:val="0"/>
        <w:keepLines w:val="0"/>
        <w:pageBreakBefore w:val="0"/>
        <w:numPr>
          <w:ilvl w:val="0"/>
          <w:numId w:val="1"/>
        </w:numPr>
        <w:kinsoku/>
        <w:wordWrap/>
        <w:overflowPunct/>
        <w:topLinePunct w:val="0"/>
        <w:bidi w:val="0"/>
        <w:adjustRightInd/>
        <w:snapToGrid/>
        <w:spacing w:line="360" w:lineRule="auto"/>
        <w:ind w:left="-2" w:leftChars="0" w:firstLine="482" w:firstLineChars="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环境质量底线</w:t>
      </w:r>
    </w:p>
    <w:p>
      <w:pPr>
        <w:keepNext w:val="0"/>
        <w:keepLines w:val="0"/>
        <w:pageBreakBefore w:val="0"/>
        <w:numPr>
          <w:ilvl w:val="0"/>
          <w:numId w:val="0"/>
        </w:numPr>
        <w:kinsoku/>
        <w:wordWrap/>
        <w:overflowPunct/>
        <w:topLinePunct w:val="0"/>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2022年天元区环境空气质量中SO</w:t>
      </w:r>
      <w:r>
        <w:rPr>
          <w:rFonts w:hint="eastAsia" w:ascii="宋体" w:hAnsi="宋体" w:eastAsia="宋体" w:cs="宋体"/>
          <w:color w:val="000000" w:themeColor="text1"/>
          <w:sz w:val="24"/>
          <w:szCs w:val="24"/>
          <w:highlight w:val="none"/>
          <w:vertAlign w:val="subscript"/>
          <w:lang w:val="en-US" w:eastAsia="zh-CN"/>
          <w14:textFill>
            <w14:solidFill>
              <w14:schemeClr w14:val="tx1"/>
            </w14:solidFill>
          </w14:textFill>
        </w:rPr>
        <w:t>2</w:t>
      </w:r>
      <w:r>
        <w:rPr>
          <w:rFonts w:hint="eastAsia" w:ascii="宋体" w:hAnsi="宋体" w:eastAsia="宋体" w:cs="宋体"/>
          <w:color w:val="000000" w:themeColor="text1"/>
          <w:sz w:val="24"/>
          <w:szCs w:val="24"/>
          <w:highlight w:val="none"/>
          <w:lang w:val="en-US" w:eastAsia="zh-CN"/>
          <w14:textFill>
            <w14:solidFill>
              <w14:schemeClr w14:val="tx1"/>
            </w14:solidFill>
          </w14:textFill>
        </w:rPr>
        <w:t>、NO</w:t>
      </w:r>
      <w:r>
        <w:rPr>
          <w:rFonts w:hint="eastAsia" w:ascii="宋体" w:hAnsi="宋体" w:eastAsia="宋体" w:cs="宋体"/>
          <w:color w:val="000000" w:themeColor="text1"/>
          <w:sz w:val="24"/>
          <w:szCs w:val="24"/>
          <w:highlight w:val="none"/>
          <w:vertAlign w:val="subscript"/>
          <w:lang w:val="en-US" w:eastAsia="zh-CN"/>
          <w14:textFill>
            <w14:solidFill>
              <w14:schemeClr w14:val="tx1"/>
            </w14:solidFill>
          </w14:textFill>
        </w:rPr>
        <w:t>2</w:t>
      </w:r>
      <w:r>
        <w:rPr>
          <w:rFonts w:hint="eastAsia" w:ascii="宋体" w:hAnsi="宋体" w:eastAsia="宋体" w:cs="宋体"/>
          <w:color w:val="000000" w:themeColor="text1"/>
          <w:sz w:val="24"/>
          <w:szCs w:val="24"/>
          <w:highlight w:val="none"/>
          <w:lang w:val="en-US" w:eastAsia="zh-CN"/>
          <w14:textFill>
            <w14:solidFill>
              <w14:schemeClr w14:val="tx1"/>
            </w14:solidFill>
          </w14:textFill>
        </w:rPr>
        <w:t>、PM</w:t>
      </w:r>
      <w:r>
        <w:rPr>
          <w:rFonts w:hint="eastAsia" w:ascii="宋体" w:hAnsi="宋体" w:eastAsia="宋体" w:cs="宋体"/>
          <w:color w:val="000000" w:themeColor="text1"/>
          <w:sz w:val="24"/>
          <w:szCs w:val="24"/>
          <w:highlight w:val="none"/>
          <w:vertAlign w:val="subscript"/>
          <w:lang w:val="en-US" w:eastAsia="zh-CN"/>
          <w14:textFill>
            <w14:solidFill>
              <w14:schemeClr w14:val="tx1"/>
            </w14:solidFill>
          </w14:textFill>
        </w:rPr>
        <w:t>10</w:t>
      </w:r>
      <w:r>
        <w:rPr>
          <w:rFonts w:hint="eastAsia" w:ascii="宋体" w:hAnsi="宋体" w:eastAsia="宋体" w:cs="宋体"/>
          <w:color w:val="000000" w:themeColor="text1"/>
          <w:sz w:val="24"/>
          <w:szCs w:val="24"/>
          <w:highlight w:val="none"/>
          <w:lang w:val="en-US" w:eastAsia="zh-CN"/>
          <w14:textFill>
            <w14:solidFill>
              <w14:schemeClr w14:val="tx1"/>
            </w14:solidFill>
          </w14:textFill>
        </w:rPr>
        <w:t>、CO、O</w:t>
      </w:r>
      <w:r>
        <w:rPr>
          <w:rFonts w:hint="eastAsia" w:ascii="宋体" w:hAnsi="宋体" w:eastAsia="宋体" w:cs="宋体"/>
          <w:color w:val="000000" w:themeColor="text1"/>
          <w:sz w:val="24"/>
          <w:szCs w:val="24"/>
          <w:highlight w:val="none"/>
          <w:vertAlign w:val="subscript"/>
          <w:lang w:val="en-US" w:eastAsia="zh-CN"/>
          <w14:textFill>
            <w14:solidFill>
              <w14:schemeClr w14:val="tx1"/>
            </w14:solidFill>
          </w14:textFill>
        </w:rPr>
        <w:t>3</w:t>
      </w:r>
      <w:r>
        <w:rPr>
          <w:rFonts w:hint="eastAsia" w:ascii="宋体" w:hAnsi="宋体" w:eastAsia="宋体" w:cs="宋体"/>
          <w:color w:val="000000" w:themeColor="text1"/>
          <w:sz w:val="24"/>
          <w:szCs w:val="24"/>
          <w:highlight w:val="none"/>
          <w:lang w:val="en-US" w:eastAsia="zh-CN"/>
          <w14:textFill>
            <w14:solidFill>
              <w14:schemeClr w14:val="tx1"/>
            </w14:solidFill>
          </w14:textFill>
        </w:rPr>
        <w:t>均可满足《环境空气质量标准》（GB3095-2012）中二级标准，只有Pm</w:t>
      </w:r>
      <w:r>
        <w:rPr>
          <w:rFonts w:hint="eastAsia" w:ascii="宋体" w:hAnsi="宋体" w:eastAsia="宋体" w:cs="宋体"/>
          <w:color w:val="000000" w:themeColor="text1"/>
          <w:sz w:val="24"/>
          <w:szCs w:val="24"/>
          <w:highlight w:val="none"/>
          <w:vertAlign w:val="subscript"/>
          <w:lang w:val="en-US" w:eastAsia="zh-CN"/>
          <w14:textFill>
            <w14:solidFill>
              <w14:schemeClr w14:val="tx1"/>
            </w14:solidFill>
          </w14:textFill>
        </w:rPr>
        <w:t>2.5</w:t>
      </w:r>
      <w:r>
        <w:rPr>
          <w:rFonts w:hint="eastAsia" w:ascii="宋体" w:hAnsi="宋体" w:eastAsia="宋体" w:cs="宋体"/>
          <w:color w:val="000000" w:themeColor="text1"/>
          <w:sz w:val="24"/>
          <w:szCs w:val="24"/>
          <w:highlight w:val="none"/>
          <w:lang w:val="en-US" w:eastAsia="zh-CN"/>
          <w14:textFill>
            <w14:solidFill>
              <w14:schemeClr w14:val="tx1"/>
            </w14:solidFill>
          </w14:textFill>
        </w:rPr>
        <w:t>超出《环境空气质量标准》（GB3095-2012）中二级标准，故本项目所在区域属于不达标区。为持续削减大气污染源，株洲市生态环境局制并印发了《株洲市大气环境质量限期达标规划》，提出了优化产业结构与布局、严格环境准入，开展工业锅炉和炉窑的综合整治、优化能源结构调整等措施。落实上述措施后，株洲市天元区Pm2.5超标现象将会得到有效改善；区域地表水能达到Ⅲ类水质标准，满足水质功能区划要求；昼夜间厂界噪声均符合《声环境质量标准》（GB3096-2008）中3类标准；地下水各监测因子均能达到《地下水质量标准》（GB/T14848-2017）中的Ⅲ类标准要求，评价区域内地下水环境质量较好。本项目产生的污染物经厂内采取的各项措施处理后可达标排放或者合理处置，项目建成后不会使区域环境质量恶劣，能保障周边居民生存基本环境质量要求的安全线。根据项目所在地环境现状调查和污染物排放影响预测，项目运营后对区域环境影响不大，区域环境质量可以保持现有水平。</w:t>
      </w:r>
    </w:p>
    <w:p>
      <w:pPr>
        <w:keepNext w:val="0"/>
        <w:keepLines w:val="0"/>
        <w:pageBreakBefore w:val="0"/>
        <w:numPr>
          <w:ilvl w:val="0"/>
          <w:numId w:val="0"/>
        </w:numPr>
        <w:kinsoku/>
        <w:wordWrap/>
        <w:overflowPunct/>
        <w:topLinePunct w:val="0"/>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综上，本项目的实施不会突破环境质量底线。</w:t>
      </w:r>
    </w:p>
    <w:p>
      <w:pPr>
        <w:keepNext w:val="0"/>
        <w:keepLines w:val="0"/>
        <w:pageBreakBefore w:val="0"/>
        <w:numPr>
          <w:ilvl w:val="0"/>
          <w:numId w:val="0"/>
        </w:numPr>
        <w:kinsoku/>
        <w:wordWrap/>
        <w:overflowPunct/>
        <w:topLinePunct w:val="0"/>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（3）资源利用上线</w:t>
      </w:r>
    </w:p>
    <w:p>
      <w:pPr>
        <w:keepNext w:val="0"/>
        <w:keepLines w:val="0"/>
        <w:pageBreakBefore w:val="0"/>
        <w:numPr>
          <w:ilvl w:val="0"/>
          <w:numId w:val="0"/>
        </w:numPr>
        <w:kinsoku/>
        <w:wordWrap/>
        <w:overflowPunct/>
        <w:topLinePunct w:val="0"/>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项目所用资源包括能源（电能、水）和土地，所占土地资源较少，区域电能和水资源丰富，水资源尽可能循环使用，项目能够有效利用资源能源，不会突破区域资源利用上线。</w:t>
      </w:r>
    </w:p>
    <w:p>
      <w:pPr>
        <w:keepNext w:val="0"/>
        <w:keepLines w:val="0"/>
        <w:pageBreakBefore w:val="0"/>
        <w:numPr>
          <w:ilvl w:val="0"/>
          <w:numId w:val="0"/>
        </w:numPr>
        <w:kinsoku/>
        <w:wordWrap/>
        <w:overflowPunct/>
        <w:topLinePunct w:val="0"/>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（4）生态环境准入清单</w:t>
      </w:r>
    </w:p>
    <w:p>
      <w:pPr>
        <w:keepNext w:val="0"/>
        <w:keepLines w:val="0"/>
        <w:pageBreakBefore w:val="0"/>
        <w:numPr>
          <w:ilvl w:val="0"/>
          <w:numId w:val="0"/>
        </w:numPr>
        <w:kinsoku/>
        <w:wordWrap/>
        <w:overflowPunct/>
        <w:topLinePunct w:val="0"/>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本项目生产聚酰亚胺薄膜，柔性线路用PI薄膜主要用于FPC的制备，最终应用于消费电子、5G通信、汽车电子等领域。本项目不在《市场准入负面清单（2019年版）》内；根据《湖南省国家重点生态功能区产业准入负面清单（试行）》、《湖南省新增19个国家重点生态功能区产业准入负面清单（试行）》、《湖南省生态环境厅关于发布</w:t>
      </w:r>
      <w:r>
        <w:rPr>
          <w:rFonts w:hint="eastAsia" w:cs="宋体"/>
          <w:color w:val="000000" w:themeColor="text1"/>
          <w:sz w:val="24"/>
          <w:szCs w:val="24"/>
          <w:highlight w:val="none"/>
          <w:lang w:val="en-US"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湖南省“三线一单”生态环境总体管控要求暨省级以上产业园区生态环境准入清单&gt;的函》、《株洲市人民政府关于实施“三线一单”生态环境分区管控的意见》（株政发〔2020〕4号），本项目不与区域发展规划、产业政策相违背，不属于高污染、高能耗产业类型；为环境准入允许类别。</w:t>
      </w:r>
    </w:p>
    <w:p>
      <w:pPr>
        <w:keepNext w:val="0"/>
        <w:keepLines w:val="0"/>
        <w:pageBreakBefore w:val="0"/>
        <w:numPr>
          <w:ilvl w:val="0"/>
          <w:numId w:val="0"/>
        </w:numPr>
        <w:kinsoku/>
        <w:wordWrap/>
        <w:overflowPunct/>
        <w:topLinePunct w:val="0"/>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项目位于新马创新工业片区，根据《株洲市人民政府关于实施“三线一单”生态环境分区管控的意见》，项目所在区域属于重点管控单元。</w:t>
      </w:r>
    </w:p>
    <w:p>
      <w:pPr>
        <w:keepNext w:val="0"/>
        <w:keepLines w:val="0"/>
        <w:pageBreakBefore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000000" w:themeColor="text1"/>
          <w:highlight w:val="none"/>
          <w:lang w:val="en-US" w:eastAsia="zh-CN"/>
          <w14:textFill>
            <w14:solidFill>
              <w14:schemeClr w14:val="tx1"/>
            </w14:solidFill>
          </w14:textFill>
        </w:rPr>
        <w:sectPr>
          <w:footerReference r:id="rId6" w:type="default"/>
          <w:pgSz w:w="11906" w:h="16838"/>
          <w:pgMar w:top="1247" w:right="1134" w:bottom="1134" w:left="1247" w:header="680" w:footer="680" w:gutter="0"/>
          <w:pgBorders w:offsetFrom="page">
            <w:top w:val="none" w:sz="0" w:space="0"/>
            <w:left w:val="none" w:sz="0" w:space="0"/>
            <w:bottom w:val="none" w:sz="0" w:space="0"/>
            <w:right w:val="none" w:sz="0" w:space="0"/>
          </w:pgBorders>
          <w:pgNumType w:fmt="decimal" w:start="1"/>
          <w:cols w:space="720" w:num="1"/>
          <w:docGrid w:linePitch="312" w:charSpace="0"/>
        </w:sectPr>
      </w:pPr>
      <w:r>
        <w:rPr>
          <w:rFonts w:hint="eastAsia" w:ascii="宋体" w:hAnsi="宋体" w:eastAsia="宋体" w:cs="宋体"/>
          <w:color w:val="000000" w:themeColor="text1"/>
          <w:sz w:val="24"/>
          <w:szCs w:val="24"/>
          <w:highlight w:val="none"/>
          <w:lang w:val="en-US" w:eastAsia="zh-CN"/>
          <w14:textFill>
            <w14:solidFill>
              <w14:schemeClr w14:val="tx1"/>
            </w14:solidFill>
          </w14:textFill>
        </w:rPr>
        <w:t>项目“三线一单”相符性分析见下表。</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0" w:firstLineChars="0"/>
        <w:jc w:val="center"/>
        <w:textAlignment w:val="auto"/>
        <w:rPr>
          <w:rFonts w:hint="eastAsia" w:ascii="宋体" w:hAnsi="宋体" w:eastAsia="宋体" w:cs="宋体"/>
          <w:color w:val="000000" w:themeColor="text1"/>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表1.2.3-1项目与</w:t>
      </w:r>
      <w:r>
        <w:rPr>
          <w:rFonts w:hint="eastAsia" w:ascii="宋体" w:hAnsi="宋体" w:eastAsia="宋体" w:cs="宋体"/>
          <w:b/>
          <w:bCs/>
          <w:color w:val="000000" w:themeColor="text1"/>
          <w:sz w:val="24"/>
          <w:szCs w:val="24"/>
          <w:highlight w:val="none"/>
          <w14:textFill>
            <w14:solidFill>
              <w14:schemeClr w14:val="tx1"/>
            </w14:solidFill>
          </w14:textFill>
        </w:rPr>
        <w:t>《株洲市人民政府关于实施“三线一单”生态环境分区管控的意见》相符性分析</w:t>
      </w:r>
    </w:p>
    <w:tbl>
      <w:tblPr>
        <w:tblStyle w:val="31"/>
        <w:tblW w:w="499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5"/>
        <w:gridCol w:w="1255"/>
        <w:gridCol w:w="1077"/>
        <w:gridCol w:w="736"/>
        <w:gridCol w:w="941"/>
        <w:gridCol w:w="873"/>
        <w:gridCol w:w="682"/>
        <w:gridCol w:w="1009"/>
        <w:gridCol w:w="723"/>
        <w:gridCol w:w="2359"/>
        <w:gridCol w:w="1431"/>
        <w:gridCol w:w="1603"/>
        <w:gridCol w:w="1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5" w:type="pct"/>
            <w:vMerge w:val="restar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环境管控单位编码</w:t>
            </w:r>
          </w:p>
        </w:tc>
        <w:tc>
          <w:tcPr>
            <w:tcW w:w="428" w:type="pct"/>
            <w:vMerge w:val="restar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单元名称</w:t>
            </w:r>
          </w:p>
        </w:tc>
        <w:tc>
          <w:tcPr>
            <w:tcW w:w="939" w:type="pct"/>
            <w:gridSpan w:val="3"/>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行政区划</w:t>
            </w:r>
          </w:p>
        </w:tc>
        <w:tc>
          <w:tcPr>
            <w:tcW w:w="297" w:type="pct"/>
            <w:vMerge w:val="restar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单元分类</w:t>
            </w:r>
          </w:p>
        </w:tc>
        <w:tc>
          <w:tcPr>
            <w:tcW w:w="232" w:type="pct"/>
            <w:vMerge w:val="restar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单元面积（km²）</w:t>
            </w:r>
          </w:p>
        </w:tc>
        <w:tc>
          <w:tcPr>
            <w:tcW w:w="344" w:type="pct"/>
            <w:vMerge w:val="restar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涉及乡镇（街道）</w:t>
            </w:r>
          </w:p>
        </w:tc>
        <w:tc>
          <w:tcPr>
            <w:tcW w:w="246" w:type="pct"/>
            <w:vMerge w:val="restar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区域主体功能定位</w:t>
            </w:r>
          </w:p>
        </w:tc>
        <w:tc>
          <w:tcPr>
            <w:tcW w:w="804" w:type="pct"/>
            <w:vMerge w:val="restar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主导产业</w:t>
            </w:r>
          </w:p>
        </w:tc>
        <w:tc>
          <w:tcPr>
            <w:tcW w:w="488" w:type="pct"/>
            <w:vMerge w:val="restar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主要环境为题和保护目标</w:t>
            </w:r>
          </w:p>
        </w:tc>
        <w:tc>
          <w:tcPr>
            <w:tcW w:w="546" w:type="pct"/>
            <w:vMerge w:val="restar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本项目</w:t>
            </w:r>
          </w:p>
        </w:tc>
        <w:tc>
          <w:tcPr>
            <w:tcW w:w="365" w:type="pct"/>
            <w:vMerge w:val="restar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5"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428"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367"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省</w:t>
            </w:r>
          </w:p>
        </w:tc>
        <w:tc>
          <w:tcPr>
            <w:tcW w:w="251"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市</w:t>
            </w:r>
          </w:p>
        </w:tc>
        <w:tc>
          <w:tcPr>
            <w:tcW w:w="321"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县</w:t>
            </w:r>
          </w:p>
        </w:tc>
        <w:tc>
          <w:tcPr>
            <w:tcW w:w="297"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232"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344"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246"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804"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488"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546"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365"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5"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ZH43021120001</w:t>
            </w:r>
          </w:p>
        </w:tc>
        <w:tc>
          <w:tcPr>
            <w:tcW w:w="428"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栗雨街道/</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马家河街道</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/群丰镇/嵩</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山路街道/</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泰山路街道</w:t>
            </w:r>
          </w:p>
        </w:tc>
        <w:tc>
          <w:tcPr>
            <w:tcW w:w="367"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湖南</w:t>
            </w:r>
          </w:p>
        </w:tc>
        <w:tc>
          <w:tcPr>
            <w:tcW w:w="251"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株洲</w:t>
            </w:r>
          </w:p>
        </w:tc>
        <w:tc>
          <w:tcPr>
            <w:tcW w:w="321"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天元区</w:t>
            </w:r>
          </w:p>
        </w:tc>
        <w:tc>
          <w:tcPr>
            <w:tcW w:w="297"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重点管控单元</w:t>
            </w:r>
          </w:p>
        </w:tc>
        <w:tc>
          <w:tcPr>
            <w:tcW w:w="232"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93.27</w:t>
            </w:r>
          </w:p>
        </w:tc>
        <w:tc>
          <w:tcPr>
            <w:tcW w:w="34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栗雨街道/</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马家河街道</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/群丰镇/嵩</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山路街道/</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泰山路街道</w:t>
            </w:r>
          </w:p>
        </w:tc>
        <w:tc>
          <w:tcPr>
            <w:tcW w:w="24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国家层面重点开发区</w:t>
            </w:r>
          </w:p>
        </w:tc>
        <w:tc>
          <w:tcPr>
            <w:tcW w:w="80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汽车及零部件、电子</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信息、生物医药、新</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能源装备、新材料；</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新马创新工业片区：</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汽车及新能源汽车、</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先进装备制造、新材</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料；天易科技城自主</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创业园：电子信息产</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业制造、智能制造和</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先进装备制造、新能</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源新材料制造</w:t>
            </w:r>
          </w:p>
        </w:tc>
        <w:tc>
          <w:tcPr>
            <w:tcW w:w="488"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环境问题：</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1、群丰镇：工业企业土壤污染治理问题。</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2、隆兴排水渠等黑臭水体需整治。</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环保目标：株洲市湘江饮用水水源保护区</w:t>
            </w:r>
          </w:p>
        </w:tc>
        <w:tc>
          <w:tcPr>
            <w:tcW w:w="54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项目位于新马创新工业片区</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内，项目属于新材料制造</w:t>
            </w:r>
          </w:p>
        </w:tc>
        <w:tc>
          <w:tcPr>
            <w:tcW w:w="365"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5"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主要属性</w:t>
            </w:r>
          </w:p>
        </w:tc>
        <w:tc>
          <w:tcPr>
            <w:tcW w:w="3782" w:type="pct"/>
            <w:gridSpan w:val="1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生态空间：生态红线/一般空间（饮用水水源保护区/长株潭绿心水产种质资源保护区）；水：水环境城镇生活污染重点管控区/水环境优先保护区/水环境工业污染重点管控区/其他区域，城镇生活污水处理厂/国家级水产种质资源保护区/省级以上工业园/县级以上饮用水水源保护区（河西污水处理厂/湘江湘潭段野鲤国家级水产种质资源保护区/株洲高新技术产业开发区/株洲市湘江饮用水水源保护区）；大气：大气环境布局敏感重点管控区/大气环境受体敏感重点管控区/其他区域/大气环境高排放重点管控区（株洲高新技术产业开发区河西示范园/株洲国家高新技术产业开发区河西示范园/北金德株洲工业园）；土壤：农用地优先保护区/土壤污染风险一般管控区/其他土壤重点管控区（市县级采矿权）；污染企业</w:t>
            </w:r>
          </w:p>
        </w:tc>
        <w:tc>
          <w:tcPr>
            <w:tcW w:w="54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365"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05"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管控维度</w:t>
            </w:r>
          </w:p>
        </w:tc>
        <w:tc>
          <w:tcPr>
            <w:tcW w:w="3782" w:type="pct"/>
            <w:gridSpan w:val="1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管控要求</w:t>
            </w:r>
          </w:p>
        </w:tc>
        <w:tc>
          <w:tcPr>
            <w:tcW w:w="54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365"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5"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空间布局约束</w:t>
            </w:r>
          </w:p>
        </w:tc>
        <w:tc>
          <w:tcPr>
            <w:tcW w:w="3782" w:type="pct"/>
            <w:gridSpan w:val="1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（1.1）湘江饮用水水源保护区范围内土地的开发利用必须满足饮用水水源保护区相关要求。（1.2）天易科技城自主创业园、新马创新工业片区：限制新建高能耗项目，禁止新建外排重金属废水、持久性有机污染</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物和三类工业项目。（1.3）株洲市湘江饮用水水源保护区、城市建成区为畜禽养殖禁养区。禁养区内禁止从事畜禽养殖活动，存在该类养殖场所的，应当依法关停或者搬迁。（1.4）严把饮食业经营门店准入关，新建饮食服务业项目选址、油烟排放口放置和净化设施配备应符合《饮食业环境保护技术规范》(HJ554-2010)。禁止在居民住宅楼、未配备设立专用烟道的商住综合楼以及商住综合楼内与居住层相邻的商业楼层内新建、改建、扩建产生油烟、异味、废气的餐饮服务项目。</w:t>
            </w:r>
          </w:p>
        </w:tc>
        <w:tc>
          <w:tcPr>
            <w:tcW w:w="54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非高能耗，外排废水不含重金属、持久性有机污染物，不属于三类工业项目</w:t>
            </w:r>
          </w:p>
        </w:tc>
        <w:tc>
          <w:tcPr>
            <w:tcW w:w="365"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5"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污染物排放管控</w:t>
            </w:r>
          </w:p>
        </w:tc>
        <w:tc>
          <w:tcPr>
            <w:tcW w:w="3782" w:type="pct"/>
            <w:gridSpan w:val="1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（2.1）天易科技城自主创业园、新马创新工业片区：</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2.1.1）废水：天易科技城自主创业园：入园企业废水经预处理达标后排入群丰污水处理厂，尾水通过七零高排渠汇入湘江。新马创新工业片区：入园企业废水经预处理达标后，排入河西污水处理厂，尾水汇入湘江。</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（2.1.2）废气：严格控制工艺废气排放，入园企业必须完善配套工艺废气处理装置并正常使用，确保达标排放。</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（2.1.3）加强园区固废污染防治。推行清洁生产，减少固体废物的产生量，提高固体废物综合利用率；规范固体废物处理措施，特别是危险固废应按国家有关规定处置，严防二次污染。</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（2.2）建成区内所有饮食业单位必须安装（改装）与其规模相匹配的国家认证的油烟净化设施，确保达标排放，同时要保证油烟净化设施正常运行。禁止向城市雨水和污水管道排放油烟。</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（2.3）天元区群丰镇生活污水处理设施：加快污水处理设施管网建设，实现污水稳定达标排放。</w:t>
            </w:r>
          </w:p>
        </w:tc>
        <w:tc>
          <w:tcPr>
            <w:tcW w:w="54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项目地面保洁废水和循环冷却水外排。进入河西污水处理厂深度处理后排至湘江；项目各类废气污染物经处理后能满足达标排放要求；固体废物均能得到妥善处置</w:t>
            </w:r>
          </w:p>
        </w:tc>
        <w:tc>
          <w:tcPr>
            <w:tcW w:w="365"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5"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环境风险防控</w:t>
            </w:r>
          </w:p>
        </w:tc>
        <w:tc>
          <w:tcPr>
            <w:tcW w:w="3782" w:type="pct"/>
            <w:gridSpan w:val="1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3.1）天易科技城自主创业园、新马创新工业片区：制定园区突发环境事件应急预案，落实环境风险防范措施。</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（3.2）开展污染地块土壤环境状况调查评估，符合相应规划用地质量要求的地块，进入用地程序，不符合利用要求的，</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进行管控</w:t>
            </w:r>
          </w:p>
        </w:tc>
        <w:tc>
          <w:tcPr>
            <w:tcW w:w="54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企业需编制环境事件应急预</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案，做好环境风险防控措施，</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配合园区环境</w:t>
            </w:r>
          </w:p>
        </w:tc>
        <w:tc>
          <w:tcPr>
            <w:tcW w:w="365"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5"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资源开发效率要求</w:t>
            </w:r>
          </w:p>
        </w:tc>
        <w:tc>
          <w:tcPr>
            <w:tcW w:w="3782" w:type="pct"/>
            <w:gridSpan w:val="1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4.1）能源:除群丰镇外该单元全部区域属于《株洲市人民政府办公室关于划定市区禁止使用高污染燃料范围的通知》中</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的高污染燃料禁燃区，禁止使用高污染燃料。</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（4.2）水资源：天元区2020年万元国内生产总值用水量比2015年下降30%、目标值29立方米/万元；农田灌溉水有效</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利用系数：0.549；万元工业增加值用水量比2015年下降20%。</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4.3）土地资源：栗雨街道：2020年，耕地保有量达到10.00公顷，基本农田保护面积稳定在1.2公顷；建设用地总规模控制在2609.12公顷以内，城乡建设用地控制在2422.72公顷以内，城镇工矿用地规模控制在96.37公顷以内。</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马家河街道：2020年，耕地保有量达到120.00公顷，基本农田护面积稳在29.15公顷；建设用地总规模控制在1931.13公顷以内，城乡建设用地控制在1783.48公顷以内，城镇工矿用地规模控制在1669.78公顷以内。</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群丰镇：2020年，耕地保有量达到1170.00公顷，基本农田保护面积稳定在209.13公顷；建设用地总规模控制在1213.37公顷以内，城乡建设用地控制在1018.09公顷以内，城镇工矿用地规模控制在796.34公顷以内。</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嵩山路街道：2020年，建设用地总规模控制在1311.04公顷以内，城乡建设用地控制在1240.64公顷以内，城镇工矿用地规模控制在1240.41公顷以内。泰山路街道：2020年，建设用地总规模控制在1132.61公顷以内，城乡建设用地控制在1240.64公顷以内，城镇工矿用地规模控制在1240.41公顷以内。</w:t>
            </w:r>
          </w:p>
        </w:tc>
        <w:tc>
          <w:tcPr>
            <w:tcW w:w="54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本项目使用电能，不使用高污</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染燃料；项目间接冷却水均循环使用不外</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排，能够有效利用资源能源。</w:t>
            </w:r>
          </w:p>
        </w:tc>
        <w:tc>
          <w:tcPr>
            <w:tcW w:w="365"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r>
    </w:tbl>
    <w:p>
      <w:pPr>
        <w:rPr>
          <w:rFonts w:hint="eastAsia" w:ascii="宋体" w:hAnsi="宋体" w:eastAsia="宋体" w:cs="宋体"/>
          <w:color w:val="000000" w:themeColor="text1"/>
          <w:lang w:val="en-US" w:eastAsia="zh-CN"/>
          <w14:textFill>
            <w14:solidFill>
              <w14:schemeClr w14:val="tx1"/>
            </w14:solidFill>
          </w14:textFill>
        </w:rPr>
        <w:sectPr>
          <w:pgSz w:w="16838" w:h="11906" w:orient="landscape"/>
          <w:pgMar w:top="1247" w:right="1247" w:bottom="1134" w:left="1134" w:header="680" w:footer="680" w:gutter="0"/>
          <w:pgBorders w:offsetFrom="page">
            <w:top w:val="none" w:sz="0" w:space="0"/>
            <w:left w:val="none" w:sz="0" w:space="0"/>
            <w:bottom w:val="none" w:sz="0" w:space="0"/>
            <w:right w:val="none" w:sz="0" w:space="0"/>
          </w:pgBorders>
          <w:pgNumType w:fmt="decimal"/>
          <w:cols w:space="720" w:num="1"/>
          <w:docGrid w:linePitch="312" w:charSpace="0"/>
        </w:sectPr>
      </w:pPr>
    </w:p>
    <w:p>
      <w:pPr>
        <w:pStyle w:val="9"/>
        <w:keepNext w:val="0"/>
        <w:keepLines w:val="0"/>
        <w:pageBreakBefore w:val="0"/>
        <w:kinsoku/>
        <w:wordWrap/>
        <w:overflowPunct/>
        <w:topLinePunct w:val="0"/>
        <w:bidi w:val="0"/>
        <w:adjustRightInd/>
        <w:snapToGrid/>
        <w:ind w:firstLine="482" w:firstLineChars="20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1.2</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3</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7</w:t>
      </w:r>
      <w:r>
        <w:rPr>
          <w:rFonts w:hint="eastAsia" w:ascii="宋体" w:hAnsi="宋体" w:eastAsia="宋体" w:cs="宋体"/>
          <w:color w:val="000000" w:themeColor="text1"/>
          <w:sz w:val="24"/>
          <w:szCs w:val="24"/>
          <w:highlight w:val="none"/>
          <w:lang w:eastAsia="zh-CN"/>
          <w14:textFill>
            <w14:solidFill>
              <w14:schemeClr w14:val="tx1"/>
            </w14:solidFill>
          </w14:textFill>
        </w:rPr>
        <w:t>与新马创新工业片区产业准入条件的相符性分析</w:t>
      </w:r>
    </w:p>
    <w:p>
      <w:pPr>
        <w:keepNext w:val="0"/>
        <w:keepLines w:val="0"/>
        <w:pageBreakBefore w:val="0"/>
        <w:kinsoku/>
        <w:wordWrap/>
        <w:overflowPunct/>
        <w:topLinePunct w:val="0"/>
        <w:bidi w:val="0"/>
        <w:adjustRightInd/>
        <w:snapToGrid/>
        <w:spacing w:line="360" w:lineRule="auto"/>
        <w:ind w:firstLine="480" w:firstLineChars="200"/>
        <w:textAlignment w:val="auto"/>
        <w:rPr>
          <w:rFonts w:hint="eastAsia" w:ascii="宋体" w:hAnsi="宋体" w:eastAsia="宋体" w:cs="宋体"/>
          <w:b w:val="0"/>
          <w:bCs w:val="0"/>
          <w:i w:val="0"/>
          <w:iCs w:val="0"/>
          <w:color w:val="000000" w:themeColor="text1"/>
          <w:sz w:val="24"/>
          <w:szCs w:val="24"/>
          <w14:textFill>
            <w14:solidFill>
              <w14:schemeClr w14:val="tx1"/>
            </w14:solidFill>
          </w14:textFill>
        </w:rPr>
      </w:pPr>
      <w:r>
        <w:rPr>
          <w:rFonts w:hint="eastAsia" w:ascii="宋体" w:hAnsi="宋体" w:eastAsia="宋体" w:cs="宋体"/>
          <w:b w:val="0"/>
          <w:bCs w:val="0"/>
          <w:i w:val="0"/>
          <w:iCs w:val="0"/>
          <w:color w:val="000000" w:themeColor="text1"/>
          <w:sz w:val="24"/>
          <w:szCs w:val="24"/>
          <w14:textFill>
            <w14:solidFill>
              <w14:schemeClr w14:val="tx1"/>
            </w14:solidFill>
          </w14:textFill>
        </w:rPr>
        <w:t>根据《新马创新工业片区环境影响报告书》，新马创新工业片区主导产业发展定位为：以汽车及新能源汽车、先进装备制造、新材料为主导产业，辅助发展物流及仓储配套、生产型服务业。</w:t>
      </w:r>
    </w:p>
    <w:p>
      <w:pPr>
        <w:keepNext w:val="0"/>
        <w:keepLines w:val="0"/>
        <w:pageBreakBefore w:val="0"/>
        <w:kinsoku/>
        <w:wordWrap/>
        <w:overflowPunct/>
        <w:topLinePunct w:val="0"/>
        <w:bidi w:val="0"/>
        <w:adjustRightInd/>
        <w:snapToGrid/>
        <w:spacing w:line="360" w:lineRule="auto"/>
        <w:ind w:firstLine="480" w:firstLineChars="200"/>
        <w:textAlignment w:val="auto"/>
        <w:rPr>
          <w:rFonts w:hint="eastAsia" w:ascii="宋体" w:hAnsi="宋体" w:eastAsia="宋体" w:cs="宋体"/>
          <w:b w:val="0"/>
          <w:bCs w:val="0"/>
          <w:i w:val="0"/>
          <w:iCs w:val="0"/>
          <w:color w:val="000000" w:themeColor="text1"/>
          <w:sz w:val="24"/>
          <w:szCs w:val="24"/>
          <w14:textFill>
            <w14:solidFill>
              <w14:schemeClr w14:val="tx1"/>
            </w14:solidFill>
          </w14:textFill>
        </w:rPr>
      </w:pPr>
      <w:r>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t>根据《新马创新工业片区环境影响报告书》，新马创新工业片区产业准入条件见下表。</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0" w:firstLineChars="0"/>
        <w:jc w:val="center"/>
        <w:textAlignment w:val="auto"/>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表1.2.3-2新马创新工业片区产业准入条件一览表</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3"/>
        <w:gridCol w:w="6584"/>
        <w:gridCol w:w="2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6" w:type="pct"/>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类型</w:t>
            </w:r>
          </w:p>
        </w:tc>
        <w:tc>
          <w:tcPr>
            <w:tcW w:w="3379" w:type="pct"/>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行业类别</w:t>
            </w:r>
          </w:p>
        </w:tc>
        <w:tc>
          <w:tcPr>
            <w:tcW w:w="1064" w:type="pct"/>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6" w:type="pct"/>
            <w:vMerge w:val="restart"/>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鼓励类</w:t>
            </w:r>
          </w:p>
        </w:tc>
        <w:tc>
          <w:tcPr>
            <w:tcW w:w="3379" w:type="pct"/>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汽车整车产品开发、试验、检测设备及设施建设控制涂装规模</w:t>
            </w:r>
          </w:p>
        </w:tc>
        <w:tc>
          <w:tcPr>
            <w:tcW w:w="1064" w:type="pct"/>
            <w:vMerge w:val="restart"/>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控制涂装规模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6" w:type="pct"/>
            <w:vMerge w:val="continue"/>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3379" w:type="pct"/>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新能源汽车整车开发、试验、检测设备及设施建设</w:t>
            </w:r>
          </w:p>
        </w:tc>
        <w:tc>
          <w:tcPr>
            <w:tcW w:w="1064" w:type="pct"/>
            <w:vMerge w:val="continue"/>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6" w:type="pct"/>
            <w:vMerge w:val="continue"/>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3379" w:type="pct"/>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汽车关键零部制造，如双离合器变速器、电控机械变速器、高效发动机、新能源汽车关键零部件、车载充电机、非车载充电设备、汽车电子控制系统等</w:t>
            </w:r>
          </w:p>
        </w:tc>
        <w:tc>
          <w:tcPr>
            <w:tcW w:w="1064" w:type="pct"/>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禁止线路板等水污染型电子行业进入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6" w:type="pct"/>
            <w:vMerge w:val="continue"/>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3379" w:type="pct"/>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大功率动车组牵引电机与电器、铁路工程机械装备、矿山机械等整机制造业、整机电气系统集成、减震器、活塞销、矿用钻机及其钻头、锻压机床等矿用机械零部件等</w:t>
            </w:r>
          </w:p>
        </w:tc>
        <w:tc>
          <w:tcPr>
            <w:tcW w:w="1064" w:type="pct"/>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6" w:type="pct"/>
            <w:vMerge w:val="continue"/>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3379" w:type="pct"/>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新型城市轨道交通轴承；城市轨道交通装备</w:t>
            </w:r>
          </w:p>
        </w:tc>
        <w:tc>
          <w:tcPr>
            <w:tcW w:w="1064" w:type="pct"/>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6" w:type="pct"/>
            <w:vMerge w:val="continue"/>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3379" w:type="pct"/>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先进粉末冶金技术与颗粒材料、低成本高性能复合材料及成型技术、高温用金属间化合物、硬质合金高端产品等，超细和纳米晶高精度硬质合金技术</w:t>
            </w:r>
          </w:p>
        </w:tc>
        <w:tc>
          <w:tcPr>
            <w:tcW w:w="1064" w:type="pct"/>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6" w:type="pct"/>
            <w:vMerge w:val="continue"/>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3379" w:type="pct"/>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超粗晶耐磨寿命硬质合金材料技术</w:t>
            </w:r>
          </w:p>
        </w:tc>
        <w:tc>
          <w:tcPr>
            <w:tcW w:w="1064" w:type="pct"/>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6" w:type="pct"/>
            <w:vMerge w:val="continue"/>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3379" w:type="pct"/>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耐磨耐蚀碳化钨基、硬质合金耐磨零件制备技术</w:t>
            </w:r>
          </w:p>
        </w:tc>
        <w:tc>
          <w:tcPr>
            <w:tcW w:w="1064" w:type="pct"/>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6" w:type="pct"/>
            <w:vMerge w:val="continue"/>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3379" w:type="pct"/>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超细硬质合金微铣、人造金刚石工具制备技术</w:t>
            </w:r>
          </w:p>
        </w:tc>
        <w:tc>
          <w:tcPr>
            <w:tcW w:w="1064" w:type="pct"/>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6" w:type="pct"/>
            <w:vMerge w:val="continue"/>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3379" w:type="pct"/>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高性能纳米硬质合金刀具和大晶粒硬质合金盾构刀具及深加工产品</w:t>
            </w:r>
          </w:p>
        </w:tc>
        <w:tc>
          <w:tcPr>
            <w:tcW w:w="1064" w:type="pct"/>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物流产业区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6" w:type="pct"/>
            <w:vMerge w:val="continue"/>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3379" w:type="pct"/>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基础设施项目：交通运输、邮电通讯、供水、供热、供气、污水处理等对于污染程度不高于二类工业，且与汽车及新能源汽车、先进装备制造新材料具有环境相容性的其他工业项目也可以适当引进</w:t>
            </w:r>
          </w:p>
        </w:tc>
        <w:tc>
          <w:tcPr>
            <w:tcW w:w="1064" w:type="pct"/>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6" w:type="pct"/>
            <w:vMerge w:val="restart"/>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禁止类</w:t>
            </w:r>
          </w:p>
        </w:tc>
        <w:tc>
          <w:tcPr>
            <w:tcW w:w="3379" w:type="pct"/>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低速汽车（三轮汽车、低速货车）</w:t>
            </w:r>
          </w:p>
        </w:tc>
        <w:tc>
          <w:tcPr>
            <w:tcW w:w="1064" w:type="pct"/>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6" w:type="pct"/>
            <w:vMerge w:val="continue"/>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3379" w:type="pct"/>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配套单缸柴油机的皮带传动小四轮拖拉机，配套单缸柴油机的手扶拖拉机，滑动齿轮换档、排放达不到要求的50马力以下轮式拖拉机</w:t>
            </w:r>
          </w:p>
        </w:tc>
        <w:tc>
          <w:tcPr>
            <w:tcW w:w="1064" w:type="pct"/>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6" w:type="pct"/>
            <w:vMerge w:val="continue"/>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3379" w:type="pct"/>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限制大规模涂装</w:t>
            </w:r>
          </w:p>
        </w:tc>
        <w:tc>
          <w:tcPr>
            <w:tcW w:w="1064" w:type="pct"/>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6" w:type="pct"/>
            <w:vMerge w:val="continue"/>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3379" w:type="pct"/>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矿用搅拌、浓缩、过滤设备（加压式除外）制造项目</w:t>
            </w:r>
          </w:p>
        </w:tc>
        <w:tc>
          <w:tcPr>
            <w:tcW w:w="1064" w:type="pct"/>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6" w:type="pct"/>
            <w:vMerge w:val="continue"/>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3379" w:type="pct"/>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单缸柴油机制造项目</w:t>
            </w:r>
          </w:p>
        </w:tc>
        <w:tc>
          <w:tcPr>
            <w:tcW w:w="1064" w:type="pct"/>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6" w:type="pct"/>
            <w:vMerge w:val="continue"/>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3379" w:type="pct"/>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非数控剪板机、折弯机、弯管机制造项目</w:t>
            </w:r>
          </w:p>
        </w:tc>
        <w:tc>
          <w:tcPr>
            <w:tcW w:w="1064" w:type="pct"/>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6" w:type="pct"/>
            <w:vMerge w:val="continue"/>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3379" w:type="pct"/>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非数控金属切削机床制造项目等新批建设太阳能光伏发电（固定建筑物屋顶光伏发电除外）和风力发电项目</w:t>
            </w:r>
          </w:p>
        </w:tc>
        <w:tc>
          <w:tcPr>
            <w:tcW w:w="1064" w:type="pct"/>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6" w:type="pct"/>
            <w:vMerge w:val="continue"/>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3379" w:type="pct"/>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能耗较高的项目</w:t>
            </w:r>
          </w:p>
        </w:tc>
        <w:tc>
          <w:tcPr>
            <w:tcW w:w="1064" w:type="pct"/>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6" w:type="pct"/>
            <w:vMerge w:val="continue"/>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3379" w:type="pct"/>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三类工业，或与汽车及新能源汽车、先进装备制造、新材料产业环境不相容的其他工业项目</w:t>
            </w:r>
          </w:p>
        </w:tc>
        <w:tc>
          <w:tcPr>
            <w:tcW w:w="1064" w:type="pct"/>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6" w:type="pct"/>
            <w:vMerge w:val="continue"/>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3379" w:type="pct"/>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含有重污染的化工、冶炼工序的新材料项目</w:t>
            </w:r>
          </w:p>
        </w:tc>
        <w:tc>
          <w:tcPr>
            <w:tcW w:w="1064" w:type="pct"/>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6" w:type="pct"/>
            <w:vMerge w:val="continue"/>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3379" w:type="pct"/>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使用含汞、砷、镉、铬、铅、氰化物等有毒有害物质为原料的项目</w:t>
            </w:r>
          </w:p>
        </w:tc>
        <w:tc>
          <w:tcPr>
            <w:tcW w:w="1064" w:type="pct"/>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6" w:type="pct"/>
            <w:vMerge w:val="continue"/>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3379" w:type="pct"/>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致癌、致畸、致突变产品生产项目</w:t>
            </w:r>
          </w:p>
        </w:tc>
        <w:tc>
          <w:tcPr>
            <w:tcW w:w="1064" w:type="pct"/>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6" w:type="pct"/>
            <w:vMerge w:val="continue"/>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3379" w:type="pct"/>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来料加工的海外废金属、塑料、纸张工业</w:t>
            </w:r>
          </w:p>
        </w:tc>
        <w:tc>
          <w:tcPr>
            <w:tcW w:w="1064" w:type="pct"/>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6" w:type="pct"/>
            <w:vMerge w:val="continue"/>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3379" w:type="pct"/>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火雷管、导火索、铵梯炸药、纸壳雷管等民爆产品仓储、物流</w:t>
            </w:r>
          </w:p>
        </w:tc>
        <w:tc>
          <w:tcPr>
            <w:tcW w:w="1064" w:type="pct"/>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6" w:type="pct"/>
            <w:vMerge w:val="continue"/>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3379" w:type="pct"/>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国家产业政策明令禁止的项目，或含有国家产业政策限期淘汰类设备的生产项目</w:t>
            </w:r>
          </w:p>
        </w:tc>
        <w:tc>
          <w:tcPr>
            <w:tcW w:w="1064" w:type="pct"/>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6" w:type="pct"/>
            <w:vMerge w:val="continue"/>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3379" w:type="pct"/>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大量増加SO2和TSP排放的工业项目</w:t>
            </w:r>
          </w:p>
        </w:tc>
        <w:tc>
          <w:tcPr>
            <w:tcW w:w="1064" w:type="pct"/>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6" w:type="pct"/>
            <w:vMerge w:val="continue"/>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3379" w:type="pct"/>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独立的大规模涂装项目</w:t>
            </w:r>
          </w:p>
        </w:tc>
        <w:tc>
          <w:tcPr>
            <w:tcW w:w="1064" w:type="pct"/>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14:textFill>
                  <w14:solidFill>
                    <w14:schemeClr w14:val="tx1"/>
                  </w14:solidFill>
                </w14:textFill>
              </w:rPr>
            </w:pPr>
          </w:p>
        </w:tc>
      </w:tr>
    </w:tbl>
    <w:p>
      <w:pPr>
        <w:keepNext w:val="0"/>
        <w:keepLines w:val="0"/>
        <w:pageBreakBefore w:val="0"/>
        <w:kinsoku/>
        <w:wordWrap/>
        <w:overflowPunct/>
        <w:topLinePunct w:val="0"/>
        <w:bidi w:val="0"/>
        <w:adjustRightInd/>
        <w:snapToGrid/>
        <w:spacing w:line="360" w:lineRule="auto"/>
        <w:ind w:firstLine="480" w:firstLineChars="200"/>
        <w:textAlignment w:val="auto"/>
        <w:rPr>
          <w:rFonts w:hint="eastAsia" w:ascii="宋体" w:hAnsi="宋体" w:eastAsia="宋体" w:cs="宋体"/>
          <w:b w:val="0"/>
          <w:bCs w:val="0"/>
          <w:i w:val="0"/>
          <w:iCs w:val="0"/>
          <w:color w:val="000000" w:themeColor="text1"/>
          <w:sz w:val="24"/>
          <w:szCs w:val="24"/>
          <w:lang w:eastAsia="zh-CN"/>
          <w14:textFill>
            <w14:solidFill>
              <w14:schemeClr w14:val="tx1"/>
            </w14:solidFill>
          </w14:textFill>
        </w:rPr>
      </w:pPr>
      <w:r>
        <w:rPr>
          <w:rFonts w:hint="eastAsia" w:ascii="宋体" w:hAnsi="宋体" w:eastAsia="宋体" w:cs="宋体"/>
          <w:b w:val="0"/>
          <w:bCs w:val="0"/>
          <w:i w:val="0"/>
          <w:iCs w:val="0"/>
          <w:color w:val="000000" w:themeColor="text1"/>
          <w:sz w:val="24"/>
          <w:szCs w:val="24"/>
          <w:u w:val="single"/>
          <w14:textFill>
            <w14:solidFill>
              <w14:schemeClr w14:val="tx1"/>
            </w14:solidFill>
          </w14:textFill>
        </w:rPr>
        <w:t>本项目生产的高性能聚酰亚胺薄膜作为聚酰亚胺薄膜产品中的高端品种，其用户主要集中在高端电子产品、高密度挠性线路板等领域，产品应用覆盖从航空航天到消费电子，从高端装备电气绝缘到特种应用</w:t>
      </w:r>
      <w:r>
        <w:rPr>
          <w:rFonts w:hint="eastAsia" w:ascii="宋体" w:hAnsi="宋体" w:eastAsia="宋体" w:cs="宋体"/>
          <w:b w:val="0"/>
          <w:bCs w:val="0"/>
          <w:i w:val="0"/>
          <w:iCs w:val="0"/>
          <w:color w:val="000000" w:themeColor="text1"/>
          <w:sz w:val="24"/>
          <w:szCs w:val="24"/>
          <w:u w:val="single"/>
          <w:lang w:eastAsia="zh-CN"/>
          <w14:textFill>
            <w14:solidFill>
              <w14:schemeClr w14:val="tx1"/>
            </w14:solidFill>
          </w14:textFill>
        </w:rPr>
        <w:t>，</w:t>
      </w:r>
      <w:r>
        <w:rPr>
          <w:rFonts w:hint="eastAsia" w:ascii="宋体" w:hAnsi="宋体" w:eastAsia="宋体" w:cs="宋体"/>
          <w:b w:val="0"/>
          <w:bCs w:val="0"/>
          <w:i w:val="0"/>
          <w:iCs w:val="0"/>
          <w:color w:val="000000" w:themeColor="text1"/>
          <w:sz w:val="24"/>
          <w:szCs w:val="24"/>
          <w:u w:val="single"/>
          <w:lang w:val="en-US" w:eastAsia="zh-CN"/>
          <w14:textFill>
            <w14:solidFill>
              <w14:schemeClr w14:val="tx1"/>
            </w14:solidFill>
          </w14:textFill>
        </w:rPr>
        <w:t>本项目虽缩聚反应，生产工序密闭，主要污染物为非甲烷总烃，每条生产线配套可行的环保措施，外排污染物能达标排放，容积可回收利用，且产品聚酰亚胺薄膜严格把控，不具备“三致”作用</w:t>
      </w:r>
      <w:r>
        <w:rPr>
          <w:rFonts w:hint="eastAsia" w:ascii="宋体" w:hAnsi="宋体" w:eastAsia="宋体" w:cs="宋体"/>
          <w:b w:val="0"/>
          <w:bCs w:val="0"/>
          <w:i w:val="0"/>
          <w:iCs w:val="0"/>
          <w:color w:val="000000" w:themeColor="text1"/>
          <w:sz w:val="24"/>
          <w:szCs w:val="24"/>
          <w:u w:val="single"/>
          <w14:textFill>
            <w14:solidFill>
              <w14:schemeClr w14:val="tx1"/>
            </w14:solidFill>
          </w14:textFill>
        </w:rPr>
        <w:t>。</w:t>
      </w:r>
      <w:r>
        <w:rPr>
          <w:rFonts w:hint="eastAsia" w:ascii="宋体" w:hAnsi="宋体" w:eastAsia="宋体" w:cs="宋体"/>
          <w:b w:val="0"/>
          <w:bCs w:val="0"/>
          <w:i w:val="0"/>
          <w:iCs w:val="0"/>
          <w:color w:val="000000" w:themeColor="text1"/>
          <w:sz w:val="24"/>
          <w:szCs w:val="24"/>
          <w:u w:val="single"/>
          <w:lang w:val="en-US" w:eastAsia="zh-CN"/>
          <w14:textFill>
            <w14:solidFill>
              <w14:schemeClr w14:val="tx1"/>
            </w14:solidFill>
          </w14:textFill>
        </w:rPr>
        <w:t>因此不属于新马工业园禁止引进项目。</w:t>
      </w:r>
      <w:r>
        <w:rPr>
          <w:rFonts w:hint="eastAsia" w:ascii="宋体" w:hAnsi="宋体" w:eastAsia="宋体" w:cs="宋体"/>
          <w:b w:val="0"/>
          <w:bCs w:val="0"/>
          <w:i w:val="0"/>
          <w:iCs w:val="0"/>
          <w:color w:val="000000" w:themeColor="text1"/>
          <w:sz w:val="24"/>
          <w:szCs w:val="24"/>
          <w:u w:val="single"/>
          <w14:textFill>
            <w14:solidFill>
              <w14:schemeClr w14:val="tx1"/>
            </w14:solidFill>
          </w14:textFill>
        </w:rPr>
        <w:t>根据《新马工业园控制性详细规划》，项目用地为</w:t>
      </w:r>
      <w:r>
        <w:rPr>
          <w:rFonts w:hint="eastAsia" w:ascii="宋体" w:hAnsi="宋体" w:eastAsia="宋体" w:cs="宋体"/>
          <w:b w:val="0"/>
          <w:bCs w:val="0"/>
          <w:i w:val="0"/>
          <w:iCs w:val="0"/>
          <w:color w:val="000000" w:themeColor="text1"/>
          <w:sz w:val="24"/>
          <w:szCs w:val="24"/>
          <w:u w:val="single"/>
          <w:lang w:val="en-US" w:eastAsia="zh-CN"/>
          <w14:textFill>
            <w14:solidFill>
              <w14:schemeClr w14:val="tx1"/>
            </w14:solidFill>
          </w14:textFill>
        </w:rPr>
        <w:t>一</w:t>
      </w:r>
      <w:r>
        <w:rPr>
          <w:rFonts w:hint="eastAsia" w:ascii="宋体" w:hAnsi="宋体" w:eastAsia="宋体" w:cs="宋体"/>
          <w:b w:val="0"/>
          <w:bCs w:val="0"/>
          <w:i w:val="0"/>
          <w:iCs w:val="0"/>
          <w:color w:val="000000" w:themeColor="text1"/>
          <w:sz w:val="24"/>
          <w:szCs w:val="24"/>
          <w:u w:val="single"/>
          <w14:textFill>
            <w14:solidFill>
              <w14:schemeClr w14:val="tx1"/>
            </w14:solidFill>
          </w14:textFill>
        </w:rPr>
        <w:t>类工业用地</w:t>
      </w:r>
      <w:r>
        <w:rPr>
          <w:rFonts w:hint="eastAsia" w:ascii="宋体" w:hAnsi="宋体" w:eastAsia="宋体" w:cs="宋体"/>
          <w:b w:val="0"/>
          <w:bCs w:val="0"/>
          <w:i w:val="0"/>
          <w:iCs w:val="0"/>
          <w:color w:val="000000" w:themeColor="text1"/>
          <w:sz w:val="24"/>
          <w:szCs w:val="24"/>
          <w:u w:val="single"/>
          <w:lang w:eastAsia="zh-CN"/>
          <w14:textFill>
            <w14:solidFill>
              <w14:schemeClr w14:val="tx1"/>
            </w14:solidFill>
          </w14:textFill>
        </w:rPr>
        <w:t>，</w:t>
      </w:r>
      <w:r>
        <w:rPr>
          <w:rFonts w:hint="eastAsia" w:ascii="宋体" w:hAnsi="宋体" w:eastAsia="宋体" w:cs="宋体"/>
          <w:b w:val="0"/>
          <w:bCs w:val="0"/>
          <w:i w:val="0"/>
          <w:iCs w:val="0"/>
          <w:color w:val="000000" w:themeColor="text1"/>
          <w:sz w:val="24"/>
          <w:szCs w:val="24"/>
          <w:u w:val="single"/>
          <w:lang w:val="en-US" w:eastAsia="zh-CN"/>
          <w14:textFill>
            <w14:solidFill>
              <w14:schemeClr w14:val="tx1"/>
            </w14:solidFill>
          </w14:textFill>
        </w:rPr>
        <w:t>规划部门拟同意本</w:t>
      </w:r>
      <w:r>
        <w:rPr>
          <w:rFonts w:hint="eastAsia" w:ascii="宋体" w:hAnsi="宋体" w:eastAsia="宋体" w:cs="宋体"/>
          <w:b w:val="0"/>
          <w:bCs w:val="0"/>
          <w:i w:val="0"/>
          <w:iCs w:val="0"/>
          <w:color w:val="000000" w:themeColor="text1"/>
          <w:sz w:val="24"/>
          <w:szCs w:val="24"/>
          <w:u w:val="single"/>
          <w:lang w:eastAsia="zh-CN"/>
          <w14:textFill>
            <w14:solidFill>
              <w14:schemeClr w14:val="tx1"/>
            </w14:solidFill>
          </w14:textFill>
        </w:rPr>
        <w:t>电子信息产业配套</w:t>
      </w:r>
      <w:r>
        <w:rPr>
          <w:rFonts w:hint="eastAsia" w:ascii="宋体" w:hAnsi="宋体" w:eastAsia="宋体" w:cs="宋体"/>
          <w:b w:val="0"/>
          <w:bCs w:val="0"/>
          <w:i w:val="0"/>
          <w:iCs w:val="0"/>
          <w:color w:val="000000" w:themeColor="text1"/>
          <w:sz w:val="24"/>
          <w:szCs w:val="24"/>
          <w:u w:val="single"/>
          <w14:textFill>
            <w14:solidFill>
              <w14:schemeClr w14:val="tx1"/>
            </w14:solidFill>
          </w14:textFill>
        </w:rPr>
        <w:t>项目</w:t>
      </w:r>
      <w:r>
        <w:rPr>
          <w:rFonts w:hint="eastAsia" w:ascii="宋体" w:hAnsi="宋体" w:eastAsia="宋体" w:cs="宋体"/>
          <w:b w:val="0"/>
          <w:bCs w:val="0"/>
          <w:i w:val="0"/>
          <w:iCs w:val="0"/>
          <w:color w:val="000000" w:themeColor="text1"/>
          <w:sz w:val="24"/>
          <w:szCs w:val="24"/>
          <w:u w:val="single"/>
          <w:lang w:val="en-US" w:eastAsia="zh-CN"/>
          <w14:textFill>
            <w14:solidFill>
              <w14:schemeClr w14:val="tx1"/>
            </w14:solidFill>
          </w14:textFill>
        </w:rPr>
        <w:t>入园，</w:t>
      </w:r>
      <w:r>
        <w:rPr>
          <w:rFonts w:hint="eastAsia" w:ascii="宋体" w:hAnsi="宋体" w:eastAsia="宋体" w:cs="宋体"/>
          <w:b w:val="0"/>
          <w:bCs w:val="0"/>
          <w:i w:val="0"/>
          <w:iCs w:val="0"/>
          <w:color w:val="000000" w:themeColor="text1"/>
          <w:sz w:val="24"/>
          <w:szCs w:val="24"/>
          <w:u w:val="single"/>
          <w14:textFill>
            <w14:solidFill>
              <w14:schemeClr w14:val="tx1"/>
            </w14:solidFill>
          </w14:textFill>
        </w:rPr>
        <w:t>项目用地符合规划用地要求，因此，项目与园区产业定位及规划相符</w:t>
      </w:r>
      <w:r>
        <w:rPr>
          <w:rFonts w:hint="eastAsia" w:ascii="宋体" w:hAnsi="宋体" w:eastAsia="宋体" w:cs="宋体"/>
          <w:b w:val="0"/>
          <w:bCs w:val="0"/>
          <w:i w:val="0"/>
          <w:iCs w:val="0"/>
          <w:color w:val="000000" w:themeColor="text1"/>
          <w:sz w:val="24"/>
          <w:szCs w:val="24"/>
          <w:lang w:eastAsia="zh-CN"/>
          <w14:textFill>
            <w14:solidFill>
              <w14:schemeClr w14:val="tx1"/>
            </w14:solidFill>
          </w14:textFill>
        </w:rPr>
        <w:t>。</w:t>
      </w:r>
    </w:p>
    <w:p>
      <w:pPr>
        <w:pStyle w:val="9"/>
        <w:keepNext w:val="0"/>
        <w:keepLines w:val="0"/>
        <w:pageBreakBefore w:val="0"/>
        <w:kinsoku/>
        <w:wordWrap/>
        <w:overflowPunct/>
        <w:topLinePunct w:val="0"/>
        <w:bidi w:val="0"/>
        <w:adjustRightInd/>
        <w:snapToGrid/>
        <w:ind w:firstLine="482" w:firstLineChars="200"/>
        <w:textAlignment w:val="auto"/>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pP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1.2.3.8与规划环评审查意见符合性分析</w:t>
      </w:r>
    </w:p>
    <w:p>
      <w:pPr>
        <w:keepNext w:val="0"/>
        <w:keepLines w:val="0"/>
        <w:pageBreakBefore w:val="0"/>
        <w:widowControl/>
        <w:kinsoku/>
        <w:wordWrap/>
        <w:overflowPunct/>
        <w:topLinePunct w:val="0"/>
        <w:bidi w:val="0"/>
        <w:adjustRightInd/>
        <w:snapToGrid/>
        <w:spacing w:line="360" w:lineRule="auto"/>
        <w:ind w:left="0" w:firstLine="480" w:firstLineChars="200"/>
        <w:jc w:val="both"/>
        <w:textAlignment w:val="auto"/>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pP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本项目与《株洲市环境保护局高新技术开发区分局关于新马创新工业片区环境影响报告书审查意见的函》（株高环函〔2018〕1 号）相符性分析见下表。</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0" w:firstLineChars="0"/>
        <w:jc w:val="center"/>
        <w:textAlignment w:val="auto"/>
        <w:rPr>
          <w:rFonts w:hint="eastAsia" w:ascii="宋体" w:hAnsi="宋体" w:eastAsia="宋体" w:cs="宋体"/>
          <w:b/>
          <w:bCs/>
          <w:color w:val="000000" w:themeColor="text1"/>
          <w:sz w:val="24"/>
          <w:szCs w:val="24"/>
          <w:highlight w:val="none"/>
          <w:u w:val="singl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u w:val="single"/>
          <w:lang w:val="en-US" w:eastAsia="zh-CN"/>
          <w14:textFill>
            <w14:solidFill>
              <w14:schemeClr w14:val="tx1"/>
            </w14:solidFill>
          </w14:textFill>
        </w:rPr>
        <w:t>表1.2.3-3 与审查意见相符性分析一览表</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05"/>
        <w:gridCol w:w="2817"/>
        <w:gridCol w:w="10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5" w:type="dxa"/>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审查意见要求</w:t>
            </w:r>
          </w:p>
        </w:tc>
        <w:tc>
          <w:tcPr>
            <w:tcW w:w="2817" w:type="dxa"/>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本项情况</w:t>
            </w:r>
          </w:p>
        </w:tc>
        <w:tc>
          <w:tcPr>
            <w:tcW w:w="1019" w:type="dxa"/>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5" w:type="dxa"/>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（三）严格执行建设项目准入制度，入驻企业必须符合片区总体 发展规划、主导产业定位要求，不得引进国家明令禁止发展和淘 汰的能耗物耗高、环境污染严重、不符合产业政策、不符合准入 条件的建设项目；禁止引入有重金属废水排放的项目、持久性有 机污染物和三类工业项目。必须按照环评报告书提出的准入条件 做好项目的招商把关，在项目前期和建设期，应严格执行环境影 响评价和三同时管理制度、推行清洁生产，确保污染物排放浓度、 排放速率、排放总量满足达标排放和总量控制要求</w:t>
            </w:r>
          </w:p>
        </w:tc>
        <w:tc>
          <w:tcPr>
            <w:tcW w:w="2817" w:type="dxa"/>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本项目符合片区总体发展 规划、主导产业定位要求， 项目用地为一类工业用地， 项目外排废水不涉及重金 属、持久性有机污染物，不 属于园区禁止引进的项目。</w:t>
            </w:r>
          </w:p>
        </w:tc>
        <w:tc>
          <w:tcPr>
            <w:tcW w:w="1019" w:type="dxa"/>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5" w:type="dxa"/>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（四）加强废水污染防治。排水实行雨污分流，截污、排污管网 须与道路建设及区域开发同步建设。在河西污水处理厂二期工程 建成前，限制新批涉水型污染项目，已投产企业生产废水严格执 行《污水综合排放标准》（GB8978-1996）一级标准；在河西污 水处理厂二期工程建成后，各企业外排废水预处理水质达到其行 业标准的间接排放标准、《污水综合排放标准》（GB8978-1996） 三级标准、《污水排入城镇下水道水质标准》（CJ343-2010）后 排入河西污水处理厂统一处理达《城镇污水处理厂污染物排放标 准》（GB18918-2002）一级 A 标准后排入湘江。进入河西污水 处理厂的工业废水均应达到其进水水质要求。</w:t>
            </w:r>
          </w:p>
        </w:tc>
        <w:tc>
          <w:tcPr>
            <w:tcW w:w="2817" w:type="dxa"/>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本项目实施雨污分流排水 体制，生产废水经化粪池处理达标准后排至河西污水处理厂深度处理。</w:t>
            </w:r>
          </w:p>
        </w:tc>
        <w:tc>
          <w:tcPr>
            <w:tcW w:w="1019" w:type="dxa"/>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5" w:type="dxa"/>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（五）加强大气污染防治。按报告书要求落实好大气污染控制措 施，合理优化工业布局。在满足片区功能分区的前提下，尽量将 气型污染企业布置在片区主导风向的下风向，并在工业企业之间设置合理的间隔距离，避免不利影响。积极推行清洁生产，加强生产工艺研究与技术改进，采取有效措施，减少片区企业工艺废气的无组织排放；使用清洁能源、全面禁止使用煤炭等高污染燃料；所有企业工艺废气须配套废气收集及净化设施并确保正常运行；禁止引进产生恶臭污染物的项目。</w:t>
            </w:r>
          </w:p>
        </w:tc>
        <w:tc>
          <w:tcPr>
            <w:tcW w:w="2817" w:type="dxa"/>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项目设置有废气收集和处理装置，经预测，项目废气排放均能做到达标排放；，项目使用电能，不使用高污染燃料，不属于产生恶臭污染物的项目。</w:t>
            </w:r>
          </w:p>
        </w:tc>
        <w:tc>
          <w:tcPr>
            <w:tcW w:w="1019" w:type="dxa"/>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5" w:type="dxa"/>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（六）加强噪声污染防治。合理布局，选用低噪声设备，采取减震、隔声、消声措施，加强绿化，确保噪声达标排放不扰民。</w:t>
            </w:r>
          </w:p>
        </w:tc>
        <w:tc>
          <w:tcPr>
            <w:tcW w:w="2817" w:type="dxa"/>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本项目将落实噪声污染防治措施，选用低噪声设备，采取减震、隔声、消声措施，确保噪声达标排放不扰民。</w:t>
            </w:r>
          </w:p>
        </w:tc>
        <w:tc>
          <w:tcPr>
            <w:tcW w:w="1019" w:type="dxa"/>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5" w:type="dxa"/>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七）加强固体废物管理。做好工业固体废物和生活垃圾的分类收集、转运、综合利用和无害化处理。产生工业固体废物的企业须按相关规定要求，分类规范建设一般固体废物堆场和危险废物暂存场，定期进行综合利用或无害化处置，其中危险废物须送有资质单位处置，危险废物转移严格执行转移联单制度。</w:t>
            </w:r>
          </w:p>
        </w:tc>
        <w:tc>
          <w:tcPr>
            <w:tcW w:w="2817" w:type="dxa"/>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本项目规范建设一般固废暂存间和危险废物暂存间，危险废物拟送有资质单位处置，危险废物转移严格执行转移联单制度。</w:t>
            </w:r>
          </w:p>
        </w:tc>
        <w:tc>
          <w:tcPr>
            <w:tcW w:w="1019" w:type="dxa"/>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符合</w:t>
            </w:r>
          </w:p>
        </w:tc>
      </w:tr>
    </w:tbl>
    <w:p>
      <w:pPr>
        <w:keepNext w:val="0"/>
        <w:keepLines w:val="0"/>
        <w:pageBreakBefore w:val="0"/>
        <w:widowControl/>
        <w:kinsoku/>
        <w:wordWrap/>
        <w:overflowPunct/>
        <w:topLinePunct w:val="0"/>
        <w:bidi w:val="0"/>
        <w:adjustRightInd/>
        <w:snapToGrid/>
        <w:spacing w:line="360" w:lineRule="auto"/>
        <w:ind w:left="0" w:firstLine="480" w:firstLineChars="200"/>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综上，本项目符合园区环评及其批复要求。</w:t>
      </w:r>
    </w:p>
    <w:p>
      <w:pPr>
        <w:pStyle w:val="7"/>
        <w:keepNext w:val="0"/>
        <w:keepLines w:val="0"/>
        <w:pageBreakBefore w:val="0"/>
        <w:widowControl/>
        <w:kinsoku/>
        <w:wordWrap/>
        <w:overflowPunct/>
        <w:topLinePunct w:val="0"/>
        <w:bidi w:val="0"/>
        <w:adjustRightInd/>
        <w:snapToGrid/>
        <w:ind w:left="0" w:firstLine="482"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bookmarkStart w:id="57" w:name="_Toc9912"/>
      <w:bookmarkStart w:id="58" w:name="_Toc31749"/>
      <w:r>
        <w:rPr>
          <w:rFonts w:hint="eastAsia" w:ascii="宋体" w:hAnsi="宋体" w:eastAsia="宋体" w:cs="宋体"/>
          <w:color w:val="000000" w:themeColor="text1"/>
          <w:sz w:val="24"/>
          <w:szCs w:val="24"/>
          <w:highlight w:val="none"/>
          <w:lang w:val="en-US" w:eastAsia="zh-CN"/>
          <w14:textFill>
            <w14:solidFill>
              <w14:schemeClr w14:val="tx1"/>
            </w14:solidFill>
          </w14:textFill>
        </w:rPr>
        <w:t>1.3项目特点</w:t>
      </w:r>
      <w:bookmarkEnd w:id="57"/>
      <w:r>
        <w:rPr>
          <w:rFonts w:hint="eastAsia" w:ascii="宋体" w:hAnsi="宋体" w:eastAsia="宋体" w:cs="宋体"/>
          <w:color w:val="000000" w:themeColor="text1"/>
          <w:sz w:val="24"/>
          <w:szCs w:val="24"/>
          <w:highlight w:val="none"/>
          <w:lang w:val="en-US" w:eastAsia="zh-CN"/>
          <w14:textFill>
            <w14:solidFill>
              <w14:schemeClr w14:val="tx1"/>
            </w14:solidFill>
          </w14:textFill>
        </w:rPr>
        <w:t xml:space="preserve"> </w:t>
      </w:r>
    </w:p>
    <w:p>
      <w:pPr>
        <w:keepNext w:val="0"/>
        <w:keepLines w:val="0"/>
        <w:pageBreakBefore w:val="0"/>
        <w:widowControl/>
        <w:kinsoku/>
        <w:wordWrap/>
        <w:overflowPunct/>
        <w:topLinePunct w:val="0"/>
        <w:bidi w:val="0"/>
        <w:adjustRightInd/>
        <w:snapToGrid/>
        <w:spacing w:line="360" w:lineRule="auto"/>
        <w:ind w:left="0" w:firstLine="480" w:firstLineChars="200"/>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 xml:space="preserve">（1）本项目在已建标准厂房进行建设，施工期主要以设备安装和厂房装修为主，施工期环境影响较小。 </w:t>
      </w:r>
    </w:p>
    <w:p>
      <w:pPr>
        <w:keepNext w:val="0"/>
        <w:keepLines w:val="0"/>
        <w:pageBreakBefore w:val="0"/>
        <w:widowControl/>
        <w:kinsoku/>
        <w:wordWrap/>
        <w:overflowPunct/>
        <w:topLinePunct w:val="0"/>
        <w:bidi w:val="0"/>
        <w:adjustRightInd/>
        <w:snapToGrid/>
        <w:spacing w:line="360" w:lineRule="auto"/>
        <w:ind w:left="0" w:firstLine="480" w:firstLineChars="200"/>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（2）本项目属于C3985电子专用材料制造，涉及树脂合成工段。</w:t>
      </w:r>
    </w:p>
    <w:p>
      <w:pPr>
        <w:keepNext w:val="0"/>
        <w:keepLines w:val="0"/>
        <w:pageBreakBefore w:val="0"/>
        <w:widowControl/>
        <w:kinsoku/>
        <w:wordWrap/>
        <w:overflowPunct/>
        <w:topLinePunct w:val="0"/>
        <w:bidi w:val="0"/>
        <w:adjustRightInd/>
        <w:snapToGrid/>
        <w:spacing w:line="360" w:lineRule="auto"/>
        <w:ind w:left="0" w:firstLine="480" w:firstLineChars="200"/>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 xml:space="preserve">（3）本项目废水经园区污水管网接入河西污水处理厂，尾水最终排入湘江。 </w:t>
      </w:r>
    </w:p>
    <w:p>
      <w:pPr>
        <w:keepNext w:val="0"/>
        <w:keepLines w:val="0"/>
        <w:pageBreakBefore w:val="0"/>
        <w:widowControl/>
        <w:kinsoku/>
        <w:wordWrap/>
        <w:overflowPunct/>
        <w:topLinePunct w:val="0"/>
        <w:bidi w:val="0"/>
        <w:adjustRightInd/>
        <w:snapToGrid/>
        <w:spacing w:line="360" w:lineRule="auto"/>
        <w:ind w:left="0" w:firstLine="480" w:firstLineChars="200"/>
        <w:jc w:val="both"/>
        <w:textAlignment w:val="auto"/>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4）聚酰亚胺塑料薄膜生产线流延和亚胺化工序采取生产线全封闭+负压抽风减少无组织废气的排放，项目两条生产线流延工序均含有四级冷凝回收系统以及亚胺化工序均含有一级冷凝回收系统。两条生产线流延工序共用一套“三级喷淋+湿电系统”，经DA001排气筒高空排放；两条生产线的亚胺化工序，共用一套“二级喷淋+湿电系统”，经DA002排气筒高空排放。</w:t>
      </w:r>
    </w:p>
    <w:p>
      <w:pPr>
        <w:pStyle w:val="7"/>
        <w:keepNext w:val="0"/>
        <w:keepLines w:val="0"/>
        <w:pageBreakBefore w:val="0"/>
        <w:widowControl/>
        <w:kinsoku/>
        <w:wordWrap/>
        <w:overflowPunct/>
        <w:topLinePunct w:val="0"/>
        <w:bidi w:val="0"/>
        <w:adjustRightInd/>
        <w:snapToGrid/>
        <w:ind w:left="0" w:firstLine="482" w:firstLineChars="20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bookmarkStart w:id="59" w:name="_Toc21192"/>
      <w:r>
        <w:rPr>
          <w:rFonts w:hint="eastAsia" w:ascii="宋体" w:hAnsi="宋体" w:eastAsia="宋体" w:cs="宋体"/>
          <w:color w:val="000000" w:themeColor="text1"/>
          <w:sz w:val="24"/>
          <w:szCs w:val="24"/>
          <w:highlight w:val="none"/>
          <w:lang w:val="en-US" w:eastAsia="zh-CN"/>
          <w14:textFill>
            <w14:solidFill>
              <w14:schemeClr w14:val="tx1"/>
            </w14:solidFill>
          </w14:textFill>
        </w:rPr>
        <w:t>1.4</w:t>
      </w:r>
      <w:r>
        <w:rPr>
          <w:rFonts w:hint="eastAsia" w:ascii="宋体" w:hAnsi="宋体" w:eastAsia="宋体" w:cs="宋体"/>
          <w:color w:val="000000" w:themeColor="text1"/>
          <w:sz w:val="24"/>
          <w:szCs w:val="24"/>
          <w:highlight w:val="none"/>
          <w:lang w:eastAsia="zh-CN"/>
          <w14:textFill>
            <w14:solidFill>
              <w14:schemeClr w14:val="tx1"/>
            </w14:solidFill>
          </w14:textFill>
        </w:rPr>
        <w:t>环境影响评价关注的主要问题</w:t>
      </w:r>
      <w:bookmarkEnd w:id="58"/>
      <w:bookmarkEnd w:id="59"/>
    </w:p>
    <w:p>
      <w:pPr>
        <w:keepNext w:val="0"/>
        <w:keepLines w:val="0"/>
        <w:pageBreakBefore w:val="0"/>
        <w:widowControl/>
        <w:kinsoku/>
        <w:wordWrap/>
        <w:overflowPunct/>
        <w:topLinePunct w:val="0"/>
        <w:bidi w:val="0"/>
        <w:adjustRightInd/>
        <w:snapToGrid/>
        <w:spacing w:line="360" w:lineRule="auto"/>
        <w:ind w:left="0" w:firstLine="480" w:firstLineChars="200"/>
        <w:jc w:val="both"/>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根据项目特点，本环评关注的主要环境问题为：本项目废水和废气的产生及达标排放情况，固体废物的处理处置措施及可行性，项目建设对环境影响及可接受水平，并分析项目建设带来的环境风险问题，项目采取的污染防治措施的可行性。本次环评过程中关注的主要问题如下：</w:t>
      </w:r>
    </w:p>
    <w:p>
      <w:pPr>
        <w:keepNext w:val="0"/>
        <w:keepLines w:val="0"/>
        <w:pageBreakBefore w:val="0"/>
        <w:widowControl/>
        <w:numPr>
          <w:ilvl w:val="0"/>
          <w:numId w:val="2"/>
        </w:numPr>
        <w:kinsoku/>
        <w:wordWrap/>
        <w:overflowPunct/>
        <w:topLinePunct w:val="0"/>
        <w:bidi w:val="0"/>
        <w:adjustRightInd/>
        <w:snapToGrid/>
        <w:spacing w:line="360" w:lineRule="auto"/>
        <w:ind w:left="0" w:firstLine="480" w:firstLineChars="200"/>
        <w:jc w:val="both"/>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项目的选址论证</w:t>
      </w:r>
      <w:r>
        <w:rPr>
          <w:rFonts w:hint="eastAsia" w:ascii="宋体" w:hAnsi="宋体" w:eastAsia="宋体" w:cs="宋体"/>
          <w:color w:val="000000" w:themeColor="text1"/>
          <w:sz w:val="24"/>
          <w:szCs w:val="24"/>
          <w:highlight w:val="none"/>
          <w14:textFill>
            <w14:solidFill>
              <w14:schemeClr w14:val="tx1"/>
            </w14:solidFill>
          </w14:textFill>
        </w:rPr>
        <w:t>；</w:t>
      </w:r>
    </w:p>
    <w:p>
      <w:pPr>
        <w:keepNext w:val="0"/>
        <w:keepLines w:val="0"/>
        <w:pageBreakBefore w:val="0"/>
        <w:widowControl/>
        <w:numPr>
          <w:ilvl w:val="0"/>
          <w:numId w:val="2"/>
        </w:numPr>
        <w:kinsoku/>
        <w:wordWrap/>
        <w:overflowPunct/>
        <w:topLinePunct w:val="0"/>
        <w:bidi w:val="0"/>
        <w:adjustRightInd/>
        <w:snapToGrid/>
        <w:spacing w:line="360" w:lineRule="auto"/>
        <w:ind w:left="0" w:firstLine="480" w:firstLineChars="200"/>
        <w:jc w:val="both"/>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工程分析</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生产工艺产污节点及物料衡算；</w:t>
      </w:r>
    </w:p>
    <w:p>
      <w:pPr>
        <w:keepNext w:val="0"/>
        <w:keepLines w:val="0"/>
        <w:pageBreakBefore w:val="0"/>
        <w:widowControl/>
        <w:numPr>
          <w:ilvl w:val="0"/>
          <w:numId w:val="2"/>
        </w:numPr>
        <w:kinsoku/>
        <w:wordWrap/>
        <w:overflowPunct/>
        <w:topLinePunct w:val="0"/>
        <w:bidi w:val="0"/>
        <w:adjustRightInd/>
        <w:snapToGrid/>
        <w:spacing w:line="360" w:lineRule="auto"/>
        <w:ind w:left="0" w:firstLine="480" w:firstLineChars="200"/>
        <w:jc w:val="both"/>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对项目实施后的污染源排放源强进行核算；</w:t>
      </w:r>
    </w:p>
    <w:p>
      <w:pPr>
        <w:keepNext w:val="0"/>
        <w:keepLines w:val="0"/>
        <w:pageBreakBefore w:val="0"/>
        <w:widowControl/>
        <w:numPr>
          <w:ilvl w:val="0"/>
          <w:numId w:val="2"/>
        </w:numPr>
        <w:kinsoku/>
        <w:wordWrap/>
        <w:overflowPunct/>
        <w:topLinePunct w:val="0"/>
        <w:bidi w:val="0"/>
        <w:adjustRightInd/>
        <w:snapToGrid/>
        <w:spacing w:line="360" w:lineRule="auto"/>
        <w:ind w:left="0" w:firstLine="480" w:firstLineChars="200"/>
        <w:jc w:val="both"/>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工程采取的污染防治对策及污染物排放达标可靠性分析；</w:t>
      </w:r>
    </w:p>
    <w:p>
      <w:pPr>
        <w:keepNext w:val="0"/>
        <w:keepLines w:val="0"/>
        <w:pageBreakBefore w:val="0"/>
        <w:widowControl/>
        <w:numPr>
          <w:ilvl w:val="0"/>
          <w:numId w:val="2"/>
        </w:numPr>
        <w:kinsoku/>
        <w:wordWrap/>
        <w:overflowPunct/>
        <w:topLinePunct w:val="0"/>
        <w:bidi w:val="0"/>
        <w:adjustRightInd/>
        <w:snapToGrid/>
        <w:spacing w:line="360" w:lineRule="auto"/>
        <w:ind w:left="0" w:firstLine="480" w:firstLineChars="200"/>
        <w:jc w:val="both"/>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对项目实施后污染物产生环境的影响进行分析、预测和评价。</w:t>
      </w:r>
    </w:p>
    <w:p>
      <w:pPr>
        <w:pStyle w:val="7"/>
        <w:keepNext w:val="0"/>
        <w:keepLines w:val="0"/>
        <w:pageBreakBefore w:val="0"/>
        <w:widowControl/>
        <w:kinsoku/>
        <w:wordWrap/>
        <w:overflowPunct/>
        <w:topLinePunct w:val="0"/>
        <w:bidi w:val="0"/>
        <w:adjustRightInd/>
        <w:snapToGrid/>
        <w:ind w:left="0" w:firstLine="482" w:firstLineChars="200"/>
        <w:textAlignment w:val="auto"/>
        <w:rPr>
          <w:rFonts w:hint="eastAsia" w:ascii="宋体" w:hAnsi="宋体" w:eastAsia="宋体" w:cs="宋体"/>
          <w:bCs/>
          <w:color w:val="000000" w:themeColor="text1"/>
          <w:sz w:val="24"/>
          <w:szCs w:val="24"/>
          <w:highlight w:val="none"/>
          <w:lang w:eastAsia="zh-CN"/>
          <w14:textFill>
            <w14:solidFill>
              <w14:schemeClr w14:val="tx1"/>
            </w14:solidFill>
          </w14:textFill>
        </w:rPr>
      </w:pPr>
      <w:bookmarkStart w:id="60" w:name="_Toc4564"/>
      <w:bookmarkStart w:id="61" w:name="_Toc11860"/>
      <w:bookmarkStart w:id="62" w:name="_Toc29911"/>
      <w:bookmarkStart w:id="63" w:name="_Toc4660"/>
      <w:bookmarkStart w:id="64" w:name="_Toc7983"/>
      <w:bookmarkStart w:id="65" w:name="_Toc2619"/>
      <w:bookmarkStart w:id="66" w:name="_Toc19842"/>
      <w:bookmarkStart w:id="67" w:name="_Toc13498"/>
      <w:r>
        <w:rPr>
          <w:rFonts w:hint="eastAsia" w:ascii="宋体" w:hAnsi="宋体" w:eastAsia="宋体" w:cs="宋体"/>
          <w:bCs/>
          <w:color w:val="000000" w:themeColor="text1"/>
          <w:sz w:val="24"/>
          <w:szCs w:val="24"/>
          <w:highlight w:val="none"/>
          <w:lang w:val="en-US" w:eastAsia="zh-CN"/>
          <w14:textFill>
            <w14:solidFill>
              <w14:schemeClr w14:val="tx1"/>
            </w14:solidFill>
          </w14:textFill>
        </w:rPr>
        <w:t>1.5</w:t>
      </w:r>
      <w:r>
        <w:rPr>
          <w:rFonts w:hint="eastAsia" w:ascii="宋体" w:hAnsi="宋体" w:eastAsia="宋体" w:cs="宋体"/>
          <w:bCs/>
          <w:color w:val="000000" w:themeColor="text1"/>
          <w:sz w:val="24"/>
          <w:szCs w:val="24"/>
          <w:highlight w:val="none"/>
          <w:lang w:eastAsia="zh-CN"/>
          <w14:textFill>
            <w14:solidFill>
              <w14:schemeClr w14:val="tx1"/>
            </w14:solidFill>
          </w14:textFill>
        </w:rPr>
        <w:t>环境影响报告书主要结论</w:t>
      </w:r>
      <w:bookmarkEnd w:id="60"/>
      <w:bookmarkEnd w:id="61"/>
      <w:bookmarkEnd w:id="62"/>
      <w:bookmarkEnd w:id="63"/>
      <w:bookmarkEnd w:id="64"/>
      <w:bookmarkEnd w:id="65"/>
      <w:bookmarkEnd w:id="66"/>
      <w:bookmarkEnd w:id="67"/>
    </w:p>
    <w:p>
      <w:pPr>
        <w:keepNext w:val="0"/>
        <w:keepLines w:val="0"/>
        <w:pageBreakBefore w:val="0"/>
        <w:widowControl/>
        <w:kinsoku/>
        <w:wordWrap/>
        <w:overflowPunct/>
        <w:topLinePunct w:val="0"/>
        <w:bidi w:val="0"/>
        <w:adjustRightInd/>
        <w:snapToGrid/>
        <w:spacing w:line="360" w:lineRule="auto"/>
        <w:ind w:left="0" w:firstLine="480" w:firstLineChars="200"/>
        <w:jc w:val="both"/>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株洲市绝缘材料有限责任公司</w:t>
      </w:r>
      <w:r>
        <w:rPr>
          <w:rFonts w:hint="eastAsia" w:ascii="宋体" w:hAnsi="宋体" w:eastAsia="宋体" w:cs="宋体"/>
          <w:color w:val="000000" w:themeColor="text1"/>
          <w:kern w:val="0"/>
          <w:sz w:val="24"/>
          <w:szCs w:val="24"/>
          <w:lang w:val="en-US" w:eastAsia="zh-CN" w:bidi="ar"/>
          <w14:textFill>
            <w14:solidFill>
              <w14:schemeClr w14:val="tx1"/>
            </w14:solidFill>
          </w14:textFill>
        </w:rPr>
        <w:t>高性能电子级聚酰亚胺薄膜项目</w:t>
      </w:r>
      <w:r>
        <w:rPr>
          <w:rFonts w:hint="eastAsia" w:ascii="宋体" w:hAnsi="宋体" w:eastAsia="宋体" w:cs="宋体"/>
          <w:color w:val="000000" w:themeColor="text1"/>
          <w:sz w:val="24"/>
          <w:szCs w:val="24"/>
          <w:highlight w:val="none"/>
          <w14:textFill>
            <w14:solidFill>
              <w14:schemeClr w14:val="tx1"/>
            </w14:solidFill>
          </w14:textFill>
        </w:rPr>
        <w:t>，符合国家和地方产业政策，符合总体规划，在落实本报告所述的各项环保措施并严格执行</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三同时</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制度，各类污染物可稳定达标排放，满足总量控制指标；危废处理处置符合国家相关法律法规的要求；本项目实施后不会降低区域各环境要素环境功能级别。公司严格执行本报告提出的环境风险防范措施，配套相应的环境风险防范设施，环境风险可控制在接受水平。</w:t>
      </w:r>
    </w:p>
    <w:p>
      <w:pPr>
        <w:keepNext w:val="0"/>
        <w:keepLines w:val="0"/>
        <w:pageBreakBefore w:val="0"/>
        <w:widowControl/>
        <w:kinsoku/>
        <w:wordWrap/>
        <w:overflowPunct/>
        <w:topLinePunct w:val="0"/>
        <w:bidi w:val="0"/>
        <w:adjustRightInd/>
        <w:snapToGrid/>
        <w:spacing w:line="360" w:lineRule="auto"/>
        <w:ind w:left="0" w:firstLine="480" w:firstLineChars="200"/>
        <w:jc w:val="both"/>
        <w:textAlignment w:val="auto"/>
        <w:rPr>
          <w:rFonts w:hint="eastAsia" w:ascii="宋体" w:hAnsi="宋体" w:eastAsia="宋体" w:cs="宋体"/>
          <w:color w:val="000000" w:themeColor="text1"/>
          <w:sz w:val="24"/>
          <w:szCs w:val="24"/>
          <w:highlight w:val="none"/>
          <w14:textFill>
            <w14:solidFill>
              <w14:schemeClr w14:val="tx1"/>
            </w14:solidFill>
          </w14:textFill>
        </w:rPr>
        <w:sectPr>
          <w:footerReference r:id="rId7" w:type="default"/>
          <w:pgSz w:w="11906" w:h="16838"/>
          <w:pgMar w:top="1247" w:right="1134" w:bottom="1134" w:left="1247" w:header="680" w:footer="680" w:gutter="0"/>
          <w:pgBorders w:offsetFrom="page">
            <w:top w:val="none" w:sz="0" w:space="0"/>
            <w:left w:val="none" w:sz="0" w:space="0"/>
            <w:bottom w:val="none" w:sz="0" w:space="0"/>
            <w:right w:val="none" w:sz="0" w:space="0"/>
          </w:pgBorders>
          <w:pgNumType w:fmt="decimal"/>
          <w:cols w:space="720" w:num="1"/>
          <w:docGrid w:linePitch="571" w:charSpace="0"/>
        </w:sectPr>
      </w:pPr>
      <w:r>
        <w:rPr>
          <w:rFonts w:hint="eastAsia" w:ascii="宋体" w:hAnsi="宋体" w:eastAsia="宋体" w:cs="宋体"/>
          <w:color w:val="000000" w:themeColor="text1"/>
          <w:sz w:val="24"/>
          <w:szCs w:val="24"/>
          <w:highlight w:val="none"/>
          <w14:textFill>
            <w14:solidFill>
              <w14:schemeClr w14:val="tx1"/>
            </w14:solidFill>
          </w14:textFill>
        </w:rPr>
        <w:t>综上所述，从环境影响角度分析，本报告认为本项目建设可行。</w:t>
      </w:r>
    </w:p>
    <w:p>
      <w:pPr>
        <w:pStyle w:val="6"/>
        <w:numPr>
          <w:ilvl w:val="0"/>
          <w:numId w:val="3"/>
        </w:numPr>
        <w:bidi w:val="0"/>
        <w:ind w:left="240" w:leftChars="0" w:firstLineChars="0"/>
        <w:rPr>
          <w:rFonts w:hint="eastAsia" w:ascii="宋体" w:hAnsi="宋体" w:eastAsia="宋体" w:cs="宋体"/>
          <w:color w:val="000000" w:themeColor="text1"/>
          <w:lang w:eastAsia="zh-CN"/>
          <w14:textFill>
            <w14:solidFill>
              <w14:schemeClr w14:val="tx1"/>
            </w14:solidFill>
          </w14:textFill>
        </w:rPr>
      </w:pPr>
      <w:bookmarkStart w:id="68" w:name="_Toc23620"/>
      <w:r>
        <w:rPr>
          <w:rFonts w:hint="eastAsia" w:ascii="宋体" w:hAnsi="宋体" w:eastAsia="宋体" w:cs="宋体"/>
          <w:color w:val="000000" w:themeColor="text1"/>
          <w:lang w:eastAsia="zh-CN"/>
          <w14:textFill>
            <w14:solidFill>
              <w14:schemeClr w14:val="tx1"/>
            </w14:solidFill>
          </w14:textFill>
        </w:rPr>
        <w:t>总则</w:t>
      </w:r>
      <w:bookmarkEnd w:id="68"/>
    </w:p>
    <w:p>
      <w:pPr>
        <w:pStyle w:val="7"/>
        <w:keepNext w:val="0"/>
        <w:keepLines w:val="0"/>
        <w:pageBreakBefore w:val="0"/>
        <w:kinsoku/>
        <w:wordWrap/>
        <w:overflowPunct/>
        <w:topLinePunct w:val="0"/>
        <w:autoSpaceDE/>
        <w:autoSpaceDN/>
        <w:bidi w:val="0"/>
        <w:snapToGrid/>
        <w:spacing w:line="360" w:lineRule="auto"/>
        <w:ind w:firstLine="482" w:firstLineChars="200"/>
        <w:textAlignment w:val="auto"/>
        <w:rPr>
          <w:rFonts w:hint="eastAsia" w:ascii="宋体" w:hAnsi="宋体" w:eastAsia="宋体" w:cs="宋体"/>
          <w:bCs/>
          <w:color w:val="000000" w:themeColor="text1"/>
          <w:sz w:val="24"/>
          <w:szCs w:val="24"/>
          <w:highlight w:val="none"/>
          <w:lang w:eastAsia="zh-CN"/>
          <w14:textFill>
            <w14:solidFill>
              <w14:schemeClr w14:val="tx1"/>
            </w14:solidFill>
          </w14:textFill>
        </w:rPr>
      </w:pPr>
      <w:bookmarkStart w:id="69" w:name="_Toc35"/>
      <w:bookmarkStart w:id="70" w:name="_Toc18534_WPSOffice_Level2"/>
      <w:bookmarkStart w:id="71" w:name="_Toc1419"/>
      <w:bookmarkStart w:id="72" w:name="_Toc32717"/>
      <w:bookmarkStart w:id="73" w:name="_Toc51"/>
      <w:bookmarkStart w:id="74" w:name="_Toc12752"/>
      <w:bookmarkStart w:id="75" w:name="_Toc2413"/>
      <w:bookmarkStart w:id="76" w:name="_Toc15677"/>
      <w:bookmarkStart w:id="77" w:name="_Toc1693"/>
      <w:bookmarkStart w:id="78" w:name="_Toc14951"/>
      <w:bookmarkStart w:id="79" w:name="_Toc30633_WPSOffice_Level2"/>
      <w:bookmarkStart w:id="80" w:name="_Toc2040_WPSOffice_Level2"/>
      <w:r>
        <w:rPr>
          <w:rFonts w:hint="eastAsia" w:ascii="宋体" w:hAnsi="宋体" w:eastAsia="宋体" w:cs="宋体"/>
          <w:bCs/>
          <w:color w:val="000000" w:themeColor="text1"/>
          <w:sz w:val="24"/>
          <w:szCs w:val="24"/>
          <w:highlight w:val="none"/>
          <w:lang w:val="en-US" w:eastAsia="zh-CN"/>
          <w14:textFill>
            <w14:solidFill>
              <w14:schemeClr w14:val="tx1"/>
            </w14:solidFill>
          </w14:textFill>
        </w:rPr>
        <w:t>2.1</w:t>
      </w:r>
      <w:r>
        <w:rPr>
          <w:rFonts w:hint="eastAsia" w:ascii="宋体" w:hAnsi="宋体" w:eastAsia="宋体" w:cs="宋体"/>
          <w:bCs/>
          <w:color w:val="000000" w:themeColor="text1"/>
          <w:sz w:val="24"/>
          <w:szCs w:val="24"/>
          <w:highlight w:val="none"/>
          <w:lang w:eastAsia="zh-CN"/>
          <w14:textFill>
            <w14:solidFill>
              <w14:schemeClr w14:val="tx1"/>
            </w14:solidFill>
          </w14:textFill>
        </w:rPr>
        <w:t>编制依据</w:t>
      </w:r>
      <w:bookmarkEnd w:id="69"/>
      <w:bookmarkEnd w:id="70"/>
      <w:bookmarkEnd w:id="71"/>
      <w:bookmarkEnd w:id="72"/>
      <w:bookmarkEnd w:id="73"/>
      <w:bookmarkEnd w:id="74"/>
      <w:bookmarkEnd w:id="75"/>
      <w:bookmarkEnd w:id="76"/>
      <w:bookmarkEnd w:id="77"/>
      <w:bookmarkEnd w:id="78"/>
      <w:bookmarkEnd w:id="79"/>
      <w:bookmarkEnd w:id="80"/>
    </w:p>
    <w:p>
      <w:pPr>
        <w:pStyle w:val="8"/>
        <w:keepNext w:val="0"/>
        <w:keepLines w:val="0"/>
        <w:pageBreakBefore w:val="0"/>
        <w:kinsoku/>
        <w:wordWrap/>
        <w:overflowPunct/>
        <w:topLinePunct w:val="0"/>
        <w:bidi w:val="0"/>
        <w:snapToGrid/>
        <w:spacing w:line="360" w:lineRule="auto"/>
        <w:ind w:firstLine="482" w:firstLineChars="20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bookmarkStart w:id="81" w:name="_Toc4399"/>
      <w:bookmarkStart w:id="82" w:name="_Toc31932"/>
      <w:bookmarkStart w:id="83" w:name="_Toc22430"/>
      <w:bookmarkStart w:id="84" w:name="_Toc14678"/>
      <w:bookmarkStart w:id="85" w:name="_Toc32071"/>
      <w:bookmarkStart w:id="86" w:name="_Toc24705"/>
      <w:bookmarkStart w:id="87" w:name="_Toc4640"/>
      <w:r>
        <w:rPr>
          <w:rFonts w:hint="eastAsia" w:ascii="宋体" w:hAnsi="宋体" w:eastAsia="宋体" w:cs="宋体"/>
          <w:color w:val="000000" w:themeColor="text1"/>
          <w:sz w:val="24"/>
          <w:szCs w:val="24"/>
          <w:highlight w:val="none"/>
          <w:lang w:val="en-US" w:eastAsia="zh-CN"/>
          <w14:textFill>
            <w14:solidFill>
              <w14:schemeClr w14:val="tx1"/>
            </w14:solidFill>
          </w14:textFill>
        </w:rPr>
        <w:t>2.</w:t>
      </w:r>
      <w:r>
        <w:rPr>
          <w:rFonts w:hint="eastAsia" w:ascii="宋体" w:hAnsi="宋体" w:eastAsia="宋体" w:cs="宋体"/>
          <w:color w:val="000000" w:themeColor="text1"/>
          <w:sz w:val="24"/>
          <w:szCs w:val="24"/>
          <w:highlight w:val="none"/>
          <w:lang w:eastAsia="zh-CN"/>
          <w14:textFill>
            <w14:solidFill>
              <w14:schemeClr w14:val="tx1"/>
            </w14:solidFill>
          </w14:textFill>
        </w:rPr>
        <w:t>1.1法律法规及部门规章</w:t>
      </w:r>
      <w:bookmarkEnd w:id="81"/>
      <w:bookmarkEnd w:id="82"/>
      <w:bookmarkEnd w:id="83"/>
      <w:bookmarkEnd w:id="84"/>
      <w:bookmarkEnd w:id="85"/>
      <w:bookmarkEnd w:id="86"/>
      <w:bookmarkEnd w:id="87"/>
    </w:p>
    <w:p>
      <w:pPr>
        <w:pStyle w:val="9"/>
        <w:keepNext w:val="0"/>
        <w:keepLines w:val="0"/>
        <w:pageBreakBefore w:val="0"/>
        <w:kinsoku/>
        <w:wordWrap/>
        <w:overflowPunct/>
        <w:topLinePunct w:val="0"/>
        <w:bidi w:val="0"/>
        <w:snapToGrid/>
        <w:spacing w:line="360" w:lineRule="auto"/>
        <w:ind w:firstLine="482" w:firstLineChars="20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w:t>
      </w:r>
      <w:r>
        <w:rPr>
          <w:rFonts w:hint="eastAsia" w:ascii="宋体" w:hAnsi="宋体" w:eastAsia="宋体" w:cs="宋体"/>
          <w:color w:val="000000" w:themeColor="text1"/>
          <w:sz w:val="24"/>
          <w:szCs w:val="24"/>
          <w:highlight w:val="none"/>
          <w:lang w:eastAsia="zh-CN"/>
          <w14:textFill>
            <w14:solidFill>
              <w14:schemeClr w14:val="tx1"/>
            </w14:solidFill>
          </w14:textFill>
        </w:rPr>
        <w:t>1.1.1国家法律法规</w:t>
      </w:r>
    </w:p>
    <w:p>
      <w:pPr>
        <w:keepNext w:val="0"/>
        <w:keepLines w:val="0"/>
        <w:pageBreakBefore w:val="0"/>
        <w:kinsoku/>
        <w:wordWrap/>
        <w:overflowPunct/>
        <w:topLinePunct w:val="0"/>
        <w:bidi w:val="0"/>
        <w:snapToGrid/>
        <w:spacing w:line="360" w:lineRule="auto"/>
        <w:ind w:firstLine="480" w:firstLineChars="200"/>
        <w:jc w:val="both"/>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（1）《中华人民共和国环境保护法》（中华人民共和国主席令第9号），2015年1月1日施行；</w:t>
      </w:r>
    </w:p>
    <w:p>
      <w:pPr>
        <w:keepNext w:val="0"/>
        <w:keepLines w:val="0"/>
        <w:pageBreakBefore w:val="0"/>
        <w:kinsoku/>
        <w:wordWrap/>
        <w:overflowPunct/>
        <w:topLinePunct w:val="0"/>
        <w:bidi w:val="0"/>
        <w:snapToGrid/>
        <w:spacing w:line="360" w:lineRule="auto"/>
        <w:ind w:firstLine="480" w:firstLineChars="200"/>
        <w:jc w:val="both"/>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（2）《中华人民共和国环境影响评价法》（中华人民共和国主席令第24号），2018年12月29日起施行；</w:t>
      </w:r>
    </w:p>
    <w:p>
      <w:pPr>
        <w:keepNext w:val="0"/>
        <w:keepLines w:val="0"/>
        <w:pageBreakBefore w:val="0"/>
        <w:kinsoku/>
        <w:wordWrap/>
        <w:overflowPunct/>
        <w:topLinePunct w:val="0"/>
        <w:bidi w:val="0"/>
        <w:snapToGrid/>
        <w:spacing w:line="360" w:lineRule="auto"/>
        <w:ind w:firstLine="480" w:firstLineChars="200"/>
        <w:jc w:val="both"/>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（3）《中华人民共和国大气污染防治法》（中华人民共和国主席令第31号），2016年1月1日施行，2018年10月26日修改；</w:t>
      </w:r>
    </w:p>
    <w:p>
      <w:pPr>
        <w:keepNext w:val="0"/>
        <w:keepLines w:val="0"/>
        <w:pageBreakBefore w:val="0"/>
        <w:kinsoku/>
        <w:wordWrap/>
        <w:overflowPunct/>
        <w:topLinePunct w:val="0"/>
        <w:bidi w:val="0"/>
        <w:snapToGrid/>
        <w:spacing w:line="360" w:lineRule="auto"/>
        <w:ind w:firstLine="480" w:firstLineChars="200"/>
        <w:jc w:val="both"/>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（4）《中华人民共和国水污染防治法》（中华人民共和国主席令第87号），自2008年6月1日起施行2017年6月27日第二次修正；</w:t>
      </w:r>
    </w:p>
    <w:p>
      <w:pPr>
        <w:keepNext w:val="0"/>
        <w:keepLines w:val="0"/>
        <w:pageBreakBefore w:val="0"/>
        <w:kinsoku/>
        <w:wordWrap/>
        <w:overflowPunct/>
        <w:topLinePunct w:val="0"/>
        <w:bidi w:val="0"/>
        <w:snapToGrid/>
        <w:spacing w:line="360" w:lineRule="auto"/>
        <w:ind w:firstLine="480" w:firstLineChars="200"/>
        <w:jc w:val="both"/>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（5）《中华人民共和国噪声污染防治法》（</w:t>
      </w:r>
      <w:r>
        <w:rPr>
          <w:rFonts w:hint="eastAsia" w:ascii="宋体" w:hAnsi="宋体" w:eastAsia="宋体" w:cs="宋体"/>
          <w:color w:val="000000" w:themeColor="text1"/>
          <w:sz w:val="24"/>
          <w:szCs w:val="24"/>
          <w:highlight w:val="none"/>
          <w:lang w:val="en-US" w:eastAsia="zh-CN"/>
          <w14:textFill>
            <w14:solidFill>
              <w14:schemeClr w14:val="tx1"/>
            </w14:solidFill>
          </w14:textFill>
        </w:rPr>
        <w:t>（中华人民共和国第十三届全国人民代表大会常务委员会第三十二次会议于2021年12月24日修订通过，自2022年6月5日起施行</w:t>
      </w:r>
      <w:r>
        <w:rPr>
          <w:rFonts w:hint="eastAsia" w:ascii="宋体" w:hAnsi="宋体" w:eastAsia="宋体" w:cs="宋体"/>
          <w:color w:val="000000" w:themeColor="text1"/>
          <w:sz w:val="24"/>
          <w:szCs w:val="24"/>
          <w:highlight w:val="none"/>
          <w14:textFill>
            <w14:solidFill>
              <w14:schemeClr w14:val="tx1"/>
            </w14:solidFill>
          </w14:textFill>
        </w:rPr>
        <w:t>）；</w:t>
      </w:r>
    </w:p>
    <w:p>
      <w:pPr>
        <w:keepNext w:val="0"/>
        <w:keepLines w:val="0"/>
        <w:pageBreakBefore w:val="0"/>
        <w:kinsoku/>
        <w:wordWrap/>
        <w:overflowPunct/>
        <w:topLinePunct w:val="0"/>
        <w:bidi w:val="0"/>
        <w:snapToGrid/>
        <w:spacing w:line="360" w:lineRule="auto"/>
        <w:ind w:firstLine="480" w:firstLineChars="200"/>
        <w:jc w:val="both"/>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（6）《中华人民共和国固体废物污染环境防治法》，（中华人民共和国主席令第23号，后2020年4月29日修订），2020年9月1日起施行；</w:t>
      </w:r>
    </w:p>
    <w:p>
      <w:pPr>
        <w:keepNext w:val="0"/>
        <w:keepLines w:val="0"/>
        <w:pageBreakBefore w:val="0"/>
        <w:kinsoku/>
        <w:wordWrap/>
        <w:overflowPunct/>
        <w:topLinePunct w:val="0"/>
        <w:bidi w:val="0"/>
        <w:snapToGrid/>
        <w:spacing w:line="360" w:lineRule="auto"/>
        <w:ind w:firstLine="480" w:firstLineChars="200"/>
        <w:jc w:val="both"/>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（7）《中华人民共和国节约能源法》（中华人民共和国主席令第48号），2018年10月26日第二次修正；</w:t>
      </w:r>
    </w:p>
    <w:p>
      <w:pPr>
        <w:keepNext w:val="0"/>
        <w:keepLines w:val="0"/>
        <w:pageBreakBefore w:val="0"/>
        <w:kinsoku/>
        <w:wordWrap/>
        <w:overflowPunct/>
        <w:topLinePunct w:val="0"/>
        <w:bidi w:val="0"/>
        <w:snapToGrid/>
        <w:spacing w:line="360" w:lineRule="auto"/>
        <w:ind w:firstLine="480" w:firstLineChars="200"/>
        <w:jc w:val="both"/>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（8）《中华人民共和国清洁生产促进法》（中华人民共和国主席令第54号），2012年7月1日施行；</w:t>
      </w:r>
    </w:p>
    <w:p>
      <w:pPr>
        <w:keepNext w:val="0"/>
        <w:keepLines w:val="0"/>
        <w:pageBreakBefore w:val="0"/>
        <w:kinsoku/>
        <w:wordWrap/>
        <w:overflowPunct/>
        <w:topLinePunct w:val="0"/>
        <w:bidi w:val="0"/>
        <w:snapToGrid/>
        <w:spacing w:line="360" w:lineRule="auto"/>
        <w:ind w:firstLine="480" w:firstLineChars="200"/>
        <w:jc w:val="both"/>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（9）《中华人民共和国循环经济促进法》（中华人民共和国主席令第4号），2009年1月1日施行；2018年10月26日第一次修正；</w:t>
      </w:r>
    </w:p>
    <w:p>
      <w:pPr>
        <w:keepNext w:val="0"/>
        <w:keepLines w:val="0"/>
        <w:pageBreakBefore w:val="0"/>
        <w:kinsoku/>
        <w:wordWrap/>
        <w:overflowPunct/>
        <w:topLinePunct w:val="0"/>
        <w:bidi w:val="0"/>
        <w:snapToGrid/>
        <w:spacing w:line="360" w:lineRule="auto"/>
        <w:ind w:firstLine="480" w:firstLineChars="200"/>
        <w:jc w:val="both"/>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（10）《国务院关于修改〈建设项目环境保护管理条例〉的决定》（中华人民共和国国务院</w:t>
      </w:r>
      <w:bookmarkStart w:id="981" w:name="_GoBack"/>
      <w:bookmarkEnd w:id="981"/>
      <w:r>
        <w:rPr>
          <w:rFonts w:hint="eastAsia" w:ascii="宋体" w:hAnsi="宋体" w:eastAsia="宋体" w:cs="宋体"/>
          <w:color w:val="000000" w:themeColor="text1"/>
          <w:sz w:val="24"/>
          <w:szCs w:val="24"/>
          <w:highlight w:val="none"/>
          <w14:textFill>
            <w14:solidFill>
              <w14:schemeClr w14:val="tx1"/>
            </w14:solidFill>
          </w14:textFill>
        </w:rPr>
        <w:t>令682号），2017年10月1日起施行；</w:t>
      </w:r>
    </w:p>
    <w:p>
      <w:pPr>
        <w:keepNext w:val="0"/>
        <w:keepLines w:val="0"/>
        <w:pageBreakBefore w:val="0"/>
        <w:kinsoku/>
        <w:wordWrap/>
        <w:overflowPunct/>
        <w:topLinePunct w:val="0"/>
        <w:bidi w:val="0"/>
        <w:snapToGrid/>
        <w:spacing w:line="360" w:lineRule="auto"/>
        <w:ind w:firstLine="480" w:firstLineChars="200"/>
        <w:jc w:val="both"/>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（11）《国务院关于落实科学发展观加强环境保护的决定》（国发[2005]39号），2005年12月3日国务院发布；</w:t>
      </w:r>
    </w:p>
    <w:p>
      <w:pPr>
        <w:keepNext w:val="0"/>
        <w:keepLines w:val="0"/>
        <w:pageBreakBefore w:val="0"/>
        <w:kinsoku/>
        <w:wordWrap/>
        <w:overflowPunct/>
        <w:topLinePunct w:val="0"/>
        <w:bidi w:val="0"/>
        <w:snapToGrid/>
        <w:spacing w:line="360" w:lineRule="auto"/>
        <w:ind w:firstLine="480" w:firstLineChars="200"/>
        <w:jc w:val="both"/>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（12）《国务院关于加强环境保护重点工作的意见》（国发[2011]35号），2011年10月17日施行；</w:t>
      </w:r>
    </w:p>
    <w:p>
      <w:pPr>
        <w:keepNext w:val="0"/>
        <w:keepLines w:val="0"/>
        <w:pageBreakBefore w:val="0"/>
        <w:kinsoku/>
        <w:wordWrap/>
        <w:overflowPunct/>
        <w:topLinePunct w:val="0"/>
        <w:bidi w:val="0"/>
        <w:snapToGrid/>
        <w:spacing w:line="360" w:lineRule="auto"/>
        <w:ind w:firstLine="480" w:firstLineChars="200"/>
        <w:jc w:val="both"/>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（13）《国务院关于印发大气污染防治行动计划的通知》（国发[2013]37号），2013年9月10日施行；</w:t>
      </w:r>
    </w:p>
    <w:p>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（14）《国务院关于印发水污染防治行动计划的通知》（国发[2015]17号），2015年4月2日施行；</w:t>
      </w:r>
    </w:p>
    <w:p>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（15）《国务院关于印发土壤污染防治行动计划的通知》（国发[2016]36号），2016年5月28日施行；</w:t>
      </w:r>
    </w:p>
    <w:p>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（16）环境保护部公告公告2017年第43号《关于发布</w:t>
      </w:r>
      <w:r>
        <w:rPr>
          <w:rFonts w:hint="eastAsia"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建设项目危险废物环境影响评价指南&gt;的公告》，2017年10月1日发布186号“关于印发《排污许可证管理暂行规定》的通知”2016年12月23日发布；</w:t>
      </w:r>
    </w:p>
    <w:p>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w:t>
      </w:r>
      <w:r>
        <w:rPr>
          <w:rFonts w:hint="eastAsia" w:ascii="宋体" w:hAnsi="宋体" w:eastAsia="宋体" w:cs="宋体"/>
          <w:color w:val="000000" w:themeColor="text1"/>
          <w:sz w:val="24"/>
          <w:szCs w:val="24"/>
          <w:highlight w:val="none"/>
          <w:lang w:val="en-US" w:eastAsia="zh-CN"/>
          <w14:textFill>
            <w14:solidFill>
              <w14:schemeClr w14:val="tx1"/>
            </w14:solidFill>
          </w14:textFill>
        </w:rPr>
        <w:t>7</w:t>
      </w:r>
      <w:r>
        <w:rPr>
          <w:rFonts w:hint="eastAsia" w:ascii="宋体" w:hAnsi="宋体" w:eastAsia="宋体" w:cs="宋体"/>
          <w:color w:val="000000" w:themeColor="text1"/>
          <w:sz w:val="24"/>
          <w:szCs w:val="24"/>
          <w:highlight w:val="none"/>
          <w14:textFill>
            <w14:solidFill>
              <w14:schemeClr w14:val="tx1"/>
            </w14:solidFill>
          </w14:textFill>
        </w:rPr>
        <w:t>）《打赢蓝天保卫战三年行动计划》，（国发[2018]22号），2018年7月3日发布。</w:t>
      </w:r>
    </w:p>
    <w:p>
      <w:pPr>
        <w:pStyle w:val="3"/>
        <w:keepNext w:val="0"/>
        <w:keepLines w:val="0"/>
        <w:pageBreakBefore w:val="0"/>
        <w:kinsoku/>
        <w:wordWrap/>
        <w:overflowPunct/>
        <w:topLinePunct w:val="0"/>
        <w:autoSpaceDE/>
        <w:autoSpaceDN/>
        <w:bidi w:val="0"/>
        <w:adjustRightInd/>
        <w:snapToGrid/>
        <w:spacing w:after="0" w:line="360" w:lineRule="auto"/>
        <w:ind w:firstLine="480" w:firstLineChars="200"/>
        <w:jc w:val="both"/>
        <w:textAlignment w:val="auto"/>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t>（18）国家发展改革委关于印发《完善能源消费强度和总量双控制度方案》的通知</w:t>
      </w: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t>发改环资〔2021〕1310号。</w:t>
      </w:r>
    </w:p>
    <w:p>
      <w:pPr>
        <w:pStyle w:val="9"/>
        <w:keepNext w:val="0"/>
        <w:keepLines w:val="0"/>
        <w:pageBreakBefore w:val="0"/>
        <w:kinsoku/>
        <w:wordWrap/>
        <w:overflowPunct/>
        <w:topLinePunct w:val="0"/>
        <w:bidi w:val="0"/>
        <w:snapToGrid/>
        <w:spacing w:line="360" w:lineRule="auto"/>
        <w:ind w:firstLine="482" w:firstLineChars="20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w:t>
      </w:r>
      <w:r>
        <w:rPr>
          <w:rFonts w:hint="eastAsia" w:ascii="宋体" w:hAnsi="宋体" w:eastAsia="宋体" w:cs="宋体"/>
          <w:color w:val="000000" w:themeColor="text1"/>
          <w:sz w:val="24"/>
          <w:szCs w:val="24"/>
          <w:highlight w:val="none"/>
          <w:lang w:eastAsia="zh-CN"/>
          <w14:textFill>
            <w14:solidFill>
              <w14:schemeClr w14:val="tx1"/>
            </w14:solidFill>
          </w14:textFill>
        </w:rPr>
        <w:t>1.1.2部门规章、规范性文件</w:t>
      </w:r>
    </w:p>
    <w:p>
      <w:pPr>
        <w:keepNext w:val="0"/>
        <w:keepLines w:val="0"/>
        <w:pageBreakBefore w:val="0"/>
        <w:kinsoku/>
        <w:wordWrap/>
        <w:overflowPunct/>
        <w:topLinePunct w:val="0"/>
        <w:bidi w:val="0"/>
        <w:snapToGrid/>
        <w:spacing w:line="360" w:lineRule="auto"/>
        <w:ind w:firstLine="480" w:firstLineChars="200"/>
        <w:jc w:val="both"/>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（1）《建设项目环境影响评价分类管理名录》（中华人民共和国</w:t>
      </w:r>
      <w:r>
        <w:rPr>
          <w:rFonts w:hint="eastAsia" w:ascii="宋体" w:hAnsi="宋体" w:eastAsia="宋体" w:cs="宋体"/>
          <w:color w:val="000000" w:themeColor="text1"/>
          <w:sz w:val="24"/>
          <w:szCs w:val="24"/>
          <w:highlight w:val="none"/>
          <w:lang w:eastAsia="zh-CN"/>
          <w14:textFill>
            <w14:solidFill>
              <w14:schemeClr w14:val="tx1"/>
            </w14:solidFill>
          </w14:textFill>
        </w:rPr>
        <w:t>生态环境部</w:t>
      </w:r>
      <w:r>
        <w:rPr>
          <w:rFonts w:hint="eastAsia" w:ascii="宋体" w:hAnsi="宋体" w:eastAsia="宋体" w:cs="宋体"/>
          <w:color w:val="000000" w:themeColor="text1"/>
          <w:sz w:val="24"/>
          <w:szCs w:val="24"/>
          <w:highlight w:val="none"/>
          <w14:textFill>
            <w14:solidFill>
              <w14:schemeClr w14:val="tx1"/>
            </w14:solidFill>
          </w14:textFill>
        </w:rPr>
        <w:t>令第16号），2021年1月1日；</w:t>
      </w:r>
    </w:p>
    <w:p>
      <w:pPr>
        <w:keepNext w:val="0"/>
        <w:keepLines w:val="0"/>
        <w:pageBreakBefore w:val="0"/>
        <w:kinsoku/>
        <w:wordWrap/>
        <w:overflowPunct/>
        <w:topLinePunct w:val="0"/>
        <w:bidi w:val="0"/>
        <w:snapToGrid/>
        <w:spacing w:line="360" w:lineRule="auto"/>
        <w:ind w:firstLine="480" w:firstLineChars="200"/>
        <w:jc w:val="both"/>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（2）《关于进一步加强环境影响评价管理防范环境风险的通知》（环发[2012]77号），2012年7月3日；</w:t>
      </w:r>
    </w:p>
    <w:p>
      <w:pPr>
        <w:keepNext w:val="0"/>
        <w:keepLines w:val="0"/>
        <w:pageBreakBefore w:val="0"/>
        <w:kinsoku/>
        <w:wordWrap/>
        <w:overflowPunct/>
        <w:topLinePunct w:val="0"/>
        <w:bidi w:val="0"/>
        <w:snapToGrid/>
        <w:spacing w:line="360" w:lineRule="auto"/>
        <w:ind w:firstLine="480" w:firstLineChars="200"/>
        <w:jc w:val="both"/>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（3）《环境影响评价公众参与办法》（2019年1月1日实施）；</w:t>
      </w:r>
    </w:p>
    <w:p>
      <w:pPr>
        <w:keepNext w:val="0"/>
        <w:keepLines w:val="0"/>
        <w:pageBreakBefore w:val="0"/>
        <w:kinsoku/>
        <w:wordWrap/>
        <w:overflowPunct/>
        <w:topLinePunct w:val="0"/>
        <w:bidi w:val="0"/>
        <w:snapToGrid/>
        <w:spacing w:line="360" w:lineRule="auto"/>
        <w:ind w:firstLine="480" w:firstLineChars="200"/>
        <w:jc w:val="both"/>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（4）《产业结构调整指导目录（2019年本）》</w:t>
      </w:r>
      <w:r>
        <w:rPr>
          <w:rFonts w:hint="eastAsia" w:ascii="宋体" w:hAnsi="宋体" w:eastAsia="宋体" w:cs="宋体"/>
          <w:color w:val="000000" w:themeColor="text1"/>
          <w:sz w:val="24"/>
          <w:szCs w:val="24"/>
          <w:highlight w:val="none"/>
          <w:lang w:val="en-US" w:eastAsia="zh-CN"/>
          <w14:textFill>
            <w14:solidFill>
              <w14:schemeClr w14:val="tx1"/>
            </w14:solidFill>
          </w14:textFill>
        </w:rPr>
        <w:t>，2019年10月30日发布，2020年1月1日起实施，中华人民共和国国家发展和改革委员会令第49号修订，2021年12月30日；</w:t>
      </w:r>
    </w:p>
    <w:p>
      <w:pPr>
        <w:keepNext w:val="0"/>
        <w:keepLines w:val="0"/>
        <w:pageBreakBefore w:val="0"/>
        <w:kinsoku/>
        <w:wordWrap/>
        <w:overflowPunct/>
        <w:topLinePunct w:val="0"/>
        <w:bidi w:val="0"/>
        <w:snapToGrid/>
        <w:spacing w:line="360" w:lineRule="auto"/>
        <w:ind w:firstLine="480" w:firstLineChars="200"/>
        <w:jc w:val="both"/>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（5）《关于以改善环境质量为核心加强环境影响评价管理的通知》（环环评[2016]150号），2016年10月27日；</w:t>
      </w:r>
    </w:p>
    <w:p>
      <w:pPr>
        <w:keepNext w:val="0"/>
        <w:keepLines w:val="0"/>
        <w:pageBreakBefore w:val="0"/>
        <w:kinsoku/>
        <w:wordWrap/>
        <w:overflowPunct/>
        <w:topLinePunct w:val="0"/>
        <w:bidi w:val="0"/>
        <w:snapToGrid/>
        <w:spacing w:line="360" w:lineRule="auto"/>
        <w:ind w:firstLine="480" w:firstLineChars="200"/>
        <w:jc w:val="both"/>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6</w:t>
      </w:r>
      <w:r>
        <w:rPr>
          <w:rFonts w:hint="eastAsia" w:ascii="宋体" w:hAnsi="宋体" w:eastAsia="宋体" w:cs="宋体"/>
          <w:color w:val="000000" w:themeColor="text1"/>
          <w:sz w:val="24"/>
          <w:szCs w:val="24"/>
          <w:highlight w:val="none"/>
          <w14:textFill>
            <w14:solidFill>
              <w14:schemeClr w14:val="tx1"/>
            </w14:solidFill>
          </w14:textFill>
        </w:rPr>
        <w:t>）《建设项目环境保护事中事后监督管理办法（试行）》（国家环保部，环保部环发[2015]163号，2015年12月10日）；</w:t>
      </w:r>
    </w:p>
    <w:p>
      <w:pPr>
        <w:keepNext w:val="0"/>
        <w:keepLines w:val="0"/>
        <w:pageBreakBefore w:val="0"/>
        <w:kinsoku/>
        <w:wordWrap/>
        <w:overflowPunct/>
        <w:topLinePunct w:val="0"/>
        <w:bidi w:val="0"/>
        <w:snapToGrid/>
        <w:spacing w:line="360" w:lineRule="auto"/>
        <w:ind w:firstLine="480" w:firstLineChars="200"/>
        <w:jc w:val="both"/>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7</w:t>
      </w:r>
      <w:r>
        <w:rPr>
          <w:rFonts w:hint="eastAsia" w:ascii="宋体" w:hAnsi="宋体" w:eastAsia="宋体" w:cs="宋体"/>
          <w:color w:val="000000" w:themeColor="text1"/>
          <w:sz w:val="24"/>
          <w:szCs w:val="24"/>
          <w:highlight w:val="none"/>
          <w14:textFill>
            <w14:solidFill>
              <w14:schemeClr w14:val="tx1"/>
            </w14:solidFill>
          </w14:textFill>
        </w:rPr>
        <w:t>）《国家危险废物名录》，</w:t>
      </w:r>
      <w:r>
        <w:rPr>
          <w:rFonts w:hint="eastAsia" w:ascii="宋体" w:hAnsi="宋体" w:eastAsia="宋体" w:cs="宋体"/>
          <w:color w:val="000000" w:themeColor="text1"/>
          <w:sz w:val="24"/>
          <w:szCs w:val="24"/>
          <w:highlight w:val="none"/>
          <w:lang w:val="en-US" w:eastAsia="zh-CN"/>
          <w14:textFill>
            <w14:solidFill>
              <w14:schemeClr w14:val="tx1"/>
            </w14:solidFill>
          </w14:textFill>
        </w:rPr>
        <w:t>生态环境部</w:t>
      </w:r>
      <w:r>
        <w:rPr>
          <w:rFonts w:hint="eastAsia" w:ascii="宋体" w:hAnsi="宋体" w:eastAsia="宋体" w:cs="宋体"/>
          <w:color w:val="000000" w:themeColor="text1"/>
          <w:sz w:val="24"/>
          <w:szCs w:val="24"/>
          <w:highlight w:val="none"/>
          <w14:textFill>
            <w14:solidFill>
              <w14:schemeClr w14:val="tx1"/>
            </w14:solidFill>
          </w14:textFill>
        </w:rPr>
        <w:t>部令第15号，2021年1月1日施行</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pPr>
        <w:keepNext w:val="0"/>
        <w:keepLines w:val="0"/>
        <w:pageBreakBefore w:val="0"/>
        <w:kinsoku/>
        <w:wordWrap/>
        <w:overflowPunct/>
        <w:topLinePunct w:val="0"/>
        <w:bidi w:val="0"/>
        <w:adjustRightInd/>
        <w:snapToGrid/>
        <w:spacing w:line="360" w:lineRule="auto"/>
        <w:ind w:firstLine="480" w:firstLineChars="200"/>
        <w:jc w:val="both"/>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8</w:t>
      </w:r>
      <w:r>
        <w:rPr>
          <w:rFonts w:hint="eastAsia" w:ascii="宋体" w:hAnsi="宋体" w:eastAsia="宋体" w:cs="宋体"/>
          <w:color w:val="000000" w:themeColor="text1"/>
          <w:sz w:val="24"/>
          <w:szCs w:val="24"/>
          <w:highlight w:val="none"/>
          <w14:textFill>
            <w14:solidFill>
              <w14:schemeClr w14:val="tx1"/>
            </w14:solidFill>
          </w14:textFill>
        </w:rPr>
        <w:t>）《工矿用地土壤环境管理办法（试行）》，生态环境部部令第3号，2018年8月1日施行</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pPr>
        <w:keepNext w:val="0"/>
        <w:keepLines w:val="0"/>
        <w:pageBreakBefore w:val="0"/>
        <w:kinsoku/>
        <w:wordWrap/>
        <w:overflowPunct/>
        <w:topLinePunct w:val="0"/>
        <w:bidi w:val="0"/>
        <w:adjustRightInd/>
        <w:snapToGrid/>
        <w:spacing w:line="360" w:lineRule="auto"/>
        <w:ind w:firstLine="480" w:firstLineChars="20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9</w:t>
      </w:r>
      <w:r>
        <w:rPr>
          <w:rFonts w:hint="eastAsia" w:ascii="宋体" w:hAnsi="宋体" w:eastAsia="宋体" w:cs="宋体"/>
          <w:color w:val="000000" w:themeColor="text1"/>
          <w:sz w:val="24"/>
          <w:szCs w:val="24"/>
          <w14:textFill>
            <w14:solidFill>
              <w14:schemeClr w14:val="tx1"/>
            </w14:solidFill>
          </w14:textFill>
        </w:rPr>
        <w:t>）生态环境部环大气[2019]53号文《关于重点行业挥发性有机物综合治理方案的通知》，2019年6月26日；</w:t>
      </w:r>
    </w:p>
    <w:p>
      <w:pPr>
        <w:keepNext w:val="0"/>
        <w:keepLines w:val="0"/>
        <w:pageBreakBefore w:val="0"/>
        <w:kinsoku/>
        <w:wordWrap/>
        <w:overflowPunct/>
        <w:topLinePunct w:val="0"/>
        <w:bidi w:val="0"/>
        <w:adjustRightInd/>
        <w:snapToGrid/>
        <w:spacing w:line="360" w:lineRule="auto"/>
        <w:ind w:firstLine="480" w:firstLineChars="200"/>
        <w:jc w:val="both"/>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（10）《</w:t>
      </w:r>
      <w:r>
        <w:rPr>
          <w:rFonts w:hint="eastAsia" w:ascii="宋体" w:hAnsi="宋体" w:eastAsia="宋体" w:cs="宋体"/>
          <w:color w:val="000000" w:themeColor="text1"/>
          <w:sz w:val="24"/>
          <w:szCs w:val="24"/>
          <w14:textFill>
            <w14:solidFill>
              <w14:schemeClr w14:val="tx1"/>
            </w14:solidFill>
          </w14:textFill>
        </w:rPr>
        <w:t>中共中央国务院关于全面加强生态环境保护坚决打好污染防治攻坚战的意见》，2018年6月16日起施行；</w:t>
      </w:r>
    </w:p>
    <w:p>
      <w:pPr>
        <w:keepNext w:val="0"/>
        <w:keepLines w:val="0"/>
        <w:pageBreakBefore w:val="0"/>
        <w:kinsoku/>
        <w:wordWrap/>
        <w:overflowPunct/>
        <w:topLinePunct w:val="0"/>
        <w:bidi w:val="0"/>
        <w:adjustRightInd/>
        <w:snapToGrid/>
        <w:spacing w:line="360" w:lineRule="auto"/>
        <w:ind w:firstLine="480" w:firstLineChars="200"/>
        <w:jc w:val="both"/>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（11）</w:t>
      </w:r>
      <w:r>
        <w:rPr>
          <w:rFonts w:hint="eastAsia" w:ascii="宋体" w:hAnsi="宋体" w:eastAsia="宋体" w:cs="宋体"/>
          <w:color w:val="000000" w:themeColor="text1"/>
          <w:sz w:val="24"/>
          <w:szCs w:val="24"/>
          <w14:textFill>
            <w14:solidFill>
              <w14:schemeClr w14:val="tx1"/>
            </w14:solidFill>
          </w14:textFill>
        </w:rPr>
        <w:t>《关于印发重点行业挥发性有机物综合治理方案的通知》（环大气[2019]53号）；</w:t>
      </w:r>
    </w:p>
    <w:p>
      <w:pPr>
        <w:keepNext w:val="0"/>
        <w:keepLines w:val="0"/>
        <w:pageBreakBefore w:val="0"/>
        <w:kinsoku/>
        <w:wordWrap/>
        <w:overflowPunct/>
        <w:topLinePunct w:val="0"/>
        <w:bidi w:val="0"/>
        <w:adjustRightInd/>
        <w:snapToGrid/>
        <w:spacing w:line="360" w:lineRule="auto"/>
        <w:ind w:firstLine="480" w:firstLineChars="200"/>
        <w:jc w:val="both"/>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（12）《生态环境部关于加强高耗能、高排放建设项目生态环境源头防控的指导意见》</w:t>
      </w:r>
      <w:r>
        <w:rPr>
          <w:rFonts w:hint="eastAsia" w:ascii="宋体" w:hAnsi="宋体" w:eastAsia="宋体" w:cs="宋体"/>
          <w:b w:val="0"/>
          <w:bCs w:val="0"/>
          <w:color w:val="000000" w:themeColor="text1"/>
          <w:kern w:val="0"/>
          <w:sz w:val="24"/>
          <w:szCs w:val="24"/>
          <w:lang w:val="en-US" w:eastAsia="zh-CN" w:bidi="ar-SA"/>
          <w14:textFill>
            <w14:solidFill>
              <w14:schemeClr w14:val="tx1"/>
            </w14:solidFill>
          </w14:textFill>
        </w:rPr>
        <w:t>（环</w:t>
      </w:r>
      <w:r>
        <w:rPr>
          <w:rFonts w:hint="eastAsia" w:ascii="宋体" w:hAnsi="宋体" w:eastAsia="宋体" w:cs="宋体"/>
          <w:color w:val="000000" w:themeColor="text1"/>
          <w:sz w:val="24"/>
          <w:szCs w:val="24"/>
          <w:lang w:val="en-US" w:eastAsia="zh-CN"/>
          <w14:textFill>
            <w14:solidFill>
              <w14:schemeClr w14:val="tx1"/>
            </w14:solidFill>
          </w14:textFill>
        </w:rPr>
        <w:t>环评[2021]45号）；</w:t>
      </w:r>
    </w:p>
    <w:p>
      <w:pPr>
        <w:keepNext w:val="0"/>
        <w:keepLines w:val="0"/>
        <w:pageBreakBefore w:val="0"/>
        <w:kinsoku/>
        <w:wordWrap/>
        <w:overflowPunct/>
        <w:topLinePunct w:val="0"/>
        <w:bidi w:val="0"/>
        <w:snapToGrid/>
        <w:spacing w:line="360" w:lineRule="auto"/>
        <w:ind w:firstLine="480" w:firstLineChars="200"/>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（13）《长江经济带生态环境保护规划》（环规财[2017]88号，2017年7月17</w:t>
      </w:r>
    </w:p>
    <w:p>
      <w:pPr>
        <w:keepNext w:val="0"/>
        <w:keepLines w:val="0"/>
        <w:pageBreakBefore w:val="0"/>
        <w:kinsoku/>
        <w:wordWrap/>
        <w:overflowPunct/>
        <w:topLinePunct w:val="0"/>
        <w:bidi w:val="0"/>
        <w:snapToGrid/>
        <w:spacing w:line="360" w:lineRule="auto"/>
        <w:ind w:firstLine="480" w:firstLineChars="200"/>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日）</w:t>
      </w:r>
    </w:p>
    <w:p>
      <w:pPr>
        <w:keepNext w:val="0"/>
        <w:keepLines w:val="0"/>
        <w:pageBreakBefore w:val="0"/>
        <w:kinsoku/>
        <w:wordWrap/>
        <w:overflowPunct/>
        <w:topLinePunct w:val="0"/>
        <w:bidi w:val="0"/>
        <w:snapToGrid/>
        <w:spacing w:line="360" w:lineRule="auto"/>
        <w:ind w:firstLine="480" w:firstLineChars="200"/>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（14）《突发环境事件应急管理办法》（环境保护部第34号，2015年6月5日）；</w:t>
      </w:r>
    </w:p>
    <w:p>
      <w:pPr>
        <w:keepNext w:val="0"/>
        <w:keepLines w:val="0"/>
        <w:pageBreakBefore w:val="0"/>
        <w:kinsoku/>
        <w:wordWrap/>
        <w:overflowPunct/>
        <w:topLinePunct w:val="0"/>
        <w:bidi w:val="0"/>
        <w:snapToGrid/>
        <w:spacing w:line="360" w:lineRule="auto"/>
        <w:ind w:firstLine="480" w:firstLineChars="200"/>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（15）《关于落实大气污染防治行动计划严格环境影响评价准入的通知》（环办[2014]30号，2014年3月25日）；</w:t>
      </w:r>
    </w:p>
    <w:p>
      <w:pPr>
        <w:keepNext w:val="0"/>
        <w:keepLines w:val="0"/>
        <w:pageBreakBefore w:val="0"/>
        <w:kinsoku/>
        <w:wordWrap/>
        <w:overflowPunct/>
        <w:topLinePunct w:val="0"/>
        <w:bidi w:val="0"/>
        <w:snapToGrid/>
        <w:spacing w:line="360" w:lineRule="auto"/>
        <w:ind w:firstLine="480" w:firstLineChars="200"/>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（16）《关于印发</w:t>
      </w:r>
      <w:r>
        <w:rPr>
          <w:rFonts w:hint="eastAsia" w:cs="宋体"/>
          <w:color w:val="000000" w:themeColor="text1"/>
          <w:sz w:val="24"/>
          <w:szCs w:val="24"/>
          <w:highlight w:val="none"/>
          <w:lang w:val="en-US"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建设项目主要污染物排放总量指标审核及管理暂行办法&gt;的通知》（环发[2014]197号，环境保护部，2014年12月30日）；</w:t>
      </w:r>
    </w:p>
    <w:p>
      <w:pPr>
        <w:keepNext w:val="0"/>
        <w:keepLines w:val="0"/>
        <w:pageBreakBefore w:val="0"/>
        <w:kinsoku/>
        <w:wordWrap/>
        <w:overflowPunct/>
        <w:topLinePunct w:val="0"/>
        <w:bidi w:val="0"/>
        <w:snapToGrid/>
        <w:spacing w:line="360" w:lineRule="auto"/>
        <w:ind w:firstLine="480" w:firstLineChars="200"/>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（17）《关于加强长江黄金水道环境污染防控治理的指导意见的通知》(发改环资[2016]370号，2016年2月23日)；</w:t>
      </w:r>
    </w:p>
    <w:p>
      <w:pPr>
        <w:keepNext w:val="0"/>
        <w:keepLines w:val="0"/>
        <w:pageBreakBefore w:val="0"/>
        <w:kinsoku/>
        <w:wordWrap/>
        <w:overflowPunct/>
        <w:topLinePunct w:val="0"/>
        <w:bidi w:val="0"/>
        <w:snapToGrid/>
        <w:spacing w:line="360" w:lineRule="auto"/>
        <w:ind w:firstLine="480" w:firstLineChars="200"/>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（18）《关于加强长江经济带工业绿色发展的指导意见》（工业和信息化部、发展改革委、科技部、财政部和环境保护部，工信部联节[2017]178号，2017年6月30日</w:t>
      </w:r>
    </w:p>
    <w:p>
      <w:pPr>
        <w:keepNext w:val="0"/>
        <w:keepLines w:val="0"/>
        <w:pageBreakBefore w:val="0"/>
        <w:kinsoku/>
        <w:wordWrap/>
        <w:overflowPunct/>
        <w:topLinePunct w:val="0"/>
        <w:bidi w:val="0"/>
        <w:snapToGrid/>
        <w:spacing w:line="360" w:lineRule="auto"/>
        <w:ind w:firstLine="480" w:firstLineChars="200"/>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（19）《关于做好环境影响评价制度与排污许可制衔接相关工作的通知》（环办环评[2017]84号2017年11月14日，）；</w:t>
      </w:r>
    </w:p>
    <w:p>
      <w:pPr>
        <w:keepNext w:val="0"/>
        <w:keepLines w:val="0"/>
        <w:pageBreakBefore w:val="0"/>
        <w:kinsoku/>
        <w:wordWrap/>
        <w:overflowPunct/>
        <w:topLinePunct w:val="0"/>
        <w:bidi w:val="0"/>
        <w:snapToGrid/>
        <w:spacing w:line="360" w:lineRule="auto"/>
        <w:ind w:firstLine="480" w:firstLineChars="200"/>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（20）《关于发布</w:t>
      </w:r>
      <w:r>
        <w:rPr>
          <w:rFonts w:hint="eastAsia" w:cs="宋体"/>
          <w:color w:val="000000" w:themeColor="text1"/>
          <w:sz w:val="24"/>
          <w:szCs w:val="24"/>
          <w:highlight w:val="none"/>
          <w:lang w:val="en-US"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污染源源强核算技术指南准则&gt;等五项国家环境保护标准的公告》（生态环境部公告2018年第2号，2018年3月27日）；</w:t>
      </w:r>
    </w:p>
    <w:p>
      <w:pPr>
        <w:keepNext w:val="0"/>
        <w:keepLines w:val="0"/>
        <w:pageBreakBefore w:val="0"/>
        <w:kinsoku/>
        <w:wordWrap/>
        <w:overflowPunct/>
        <w:topLinePunct w:val="0"/>
        <w:bidi w:val="0"/>
        <w:snapToGrid/>
        <w:spacing w:line="360" w:lineRule="auto"/>
        <w:ind w:firstLine="480" w:firstLineChars="200"/>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（21）《企业突发环境事件风险评估指南（试行）》（环办[2014]34号，2014年4月17日）；</w:t>
      </w:r>
    </w:p>
    <w:p>
      <w:pPr>
        <w:keepNext w:val="0"/>
        <w:keepLines w:val="0"/>
        <w:pageBreakBefore w:val="0"/>
        <w:kinsoku/>
        <w:wordWrap/>
        <w:overflowPunct/>
        <w:topLinePunct w:val="0"/>
        <w:bidi w:val="0"/>
        <w:snapToGrid/>
        <w:spacing w:line="360" w:lineRule="auto"/>
        <w:ind w:firstLine="480" w:firstLineChars="200"/>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（22）《关于印发</w:t>
      </w:r>
      <w:r>
        <w:rPr>
          <w:rFonts w:hint="eastAsia" w:cs="宋体"/>
          <w:color w:val="000000" w:themeColor="text1"/>
          <w:sz w:val="24"/>
          <w:szCs w:val="24"/>
          <w:highlight w:val="none"/>
          <w:lang w:val="en-US"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重点行业挥发性有机物综合治理方案&gt;的通知》（环大气[2019]53号，2019年6月26日）；</w:t>
      </w:r>
    </w:p>
    <w:p>
      <w:pPr>
        <w:keepNext w:val="0"/>
        <w:keepLines w:val="0"/>
        <w:pageBreakBefore w:val="0"/>
        <w:kinsoku/>
        <w:wordWrap/>
        <w:overflowPunct/>
        <w:topLinePunct w:val="0"/>
        <w:bidi w:val="0"/>
        <w:snapToGrid/>
        <w:spacing w:line="360" w:lineRule="auto"/>
        <w:ind w:firstLine="480" w:firstLineChars="200"/>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（23）《关于强化建设项目环境影响评价事中事后监管的实施意见》（环环评[2018]11号，2018年1月25日）；</w:t>
      </w:r>
    </w:p>
    <w:p>
      <w:pPr>
        <w:keepNext w:val="0"/>
        <w:keepLines w:val="0"/>
        <w:pageBreakBefore w:val="0"/>
        <w:kinsoku/>
        <w:wordWrap/>
        <w:overflowPunct/>
        <w:topLinePunct w:val="0"/>
        <w:bidi w:val="0"/>
        <w:snapToGrid/>
        <w:spacing w:line="360" w:lineRule="auto"/>
        <w:ind w:firstLine="480" w:firstLineChars="200"/>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（24）《关于印发</w:t>
      </w:r>
      <w:r>
        <w:rPr>
          <w:rFonts w:hint="eastAsia" w:cs="宋体"/>
          <w:color w:val="000000" w:themeColor="text1"/>
          <w:sz w:val="24"/>
          <w:szCs w:val="24"/>
          <w:highlight w:val="none"/>
          <w:lang w:val="en-US"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“十三五”挥发性有机物污染防治工作方案&gt;的通知》（环大气〔2017〕121号，2017年9月3日）；</w:t>
      </w:r>
    </w:p>
    <w:p>
      <w:pPr>
        <w:keepNext w:val="0"/>
        <w:keepLines w:val="0"/>
        <w:pageBreakBefore w:val="0"/>
        <w:kinsoku/>
        <w:wordWrap/>
        <w:overflowPunct/>
        <w:topLinePunct w:val="0"/>
        <w:bidi w:val="0"/>
        <w:snapToGrid/>
        <w:spacing w:line="360" w:lineRule="auto"/>
        <w:ind w:firstLine="480" w:firstLineChars="200"/>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（25）《关于落实大气污染防治行动计划严格环境影响评价准入的通知》（环办〔2014〕30号，2014年3月25日）；</w:t>
      </w:r>
    </w:p>
    <w:p>
      <w:pPr>
        <w:keepNext w:val="0"/>
        <w:keepLines w:val="0"/>
        <w:pageBreakBefore w:val="0"/>
        <w:kinsoku/>
        <w:wordWrap/>
        <w:overflowPunct/>
        <w:topLinePunct w:val="0"/>
        <w:bidi w:val="0"/>
        <w:snapToGrid/>
        <w:spacing w:line="360" w:lineRule="auto"/>
        <w:ind w:firstLine="480" w:firstLineChars="200"/>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（26）《关于以改善环境质量为核心加强环境影响评价管理的通知》（环环评〔2016〕150号，2016年10月27日）；</w:t>
      </w:r>
    </w:p>
    <w:p>
      <w:pPr>
        <w:keepNext w:val="0"/>
        <w:keepLines w:val="0"/>
        <w:pageBreakBefore w:val="0"/>
        <w:kinsoku/>
        <w:wordWrap/>
        <w:overflowPunct/>
        <w:topLinePunct w:val="0"/>
        <w:bidi w:val="0"/>
        <w:snapToGrid/>
        <w:spacing w:line="360" w:lineRule="auto"/>
        <w:ind w:firstLine="480" w:firstLineChars="200"/>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（27）《关于提升危险废物环境监管能力、利用处置能力和环境风险防范能力的指导意见》（环固体〔2019〕92号，2019年10月16日）；</w:t>
      </w:r>
    </w:p>
    <w:p>
      <w:pPr>
        <w:keepNext w:val="0"/>
        <w:keepLines w:val="0"/>
        <w:pageBreakBefore w:val="0"/>
        <w:kinsoku/>
        <w:wordWrap/>
        <w:overflowPunct/>
        <w:topLinePunct w:val="0"/>
        <w:bidi w:val="0"/>
        <w:snapToGrid/>
        <w:spacing w:line="360" w:lineRule="auto"/>
        <w:ind w:firstLine="480" w:firstLineChars="200"/>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（28）《关于印发</w:t>
      </w:r>
      <w:r>
        <w:rPr>
          <w:rFonts w:hint="eastAsia" w:cs="宋体"/>
          <w:color w:val="000000" w:themeColor="text1"/>
          <w:sz w:val="24"/>
          <w:szCs w:val="24"/>
          <w:highlight w:val="none"/>
          <w:lang w:val="en-US"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长三角地区2020-2021年秋冬季大气污染综合治理攻坚行动方案&gt;的通知》（环大气〔2020〕62号，2020年10月30日）；</w:t>
      </w:r>
    </w:p>
    <w:p>
      <w:pPr>
        <w:keepNext w:val="0"/>
        <w:keepLines w:val="0"/>
        <w:pageBreakBefore w:val="0"/>
        <w:kinsoku/>
        <w:wordWrap/>
        <w:overflowPunct/>
        <w:topLinePunct w:val="0"/>
        <w:bidi w:val="0"/>
        <w:snapToGrid/>
        <w:spacing w:line="360" w:lineRule="auto"/>
        <w:ind w:firstLine="480" w:firstLineChars="200"/>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（29）《企业事业单位环境信息公开办法》（环保部令第31号，2015年1月1日）。</w:t>
      </w:r>
    </w:p>
    <w:p>
      <w:pPr>
        <w:keepNext w:val="0"/>
        <w:keepLines w:val="0"/>
        <w:pageBreakBefore w:val="0"/>
        <w:kinsoku/>
        <w:wordWrap/>
        <w:overflowPunct/>
        <w:topLinePunct w:val="0"/>
        <w:bidi w:val="0"/>
        <w:snapToGrid/>
        <w:spacing w:line="360" w:lineRule="auto"/>
        <w:ind w:firstLine="480" w:firstLineChars="200"/>
        <w:jc w:val="both"/>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（30）《排污许可管理条例》（国务院令第736号，2021年1月24日）。</w:t>
      </w:r>
    </w:p>
    <w:p>
      <w:pPr>
        <w:pStyle w:val="9"/>
        <w:keepNext w:val="0"/>
        <w:keepLines w:val="0"/>
        <w:pageBreakBefore w:val="0"/>
        <w:kinsoku/>
        <w:wordWrap/>
        <w:overflowPunct/>
        <w:topLinePunct w:val="0"/>
        <w:bidi w:val="0"/>
        <w:snapToGrid/>
        <w:spacing w:line="360" w:lineRule="auto"/>
        <w:ind w:firstLine="482" w:firstLineChars="20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w:t>
      </w:r>
      <w:r>
        <w:rPr>
          <w:rFonts w:hint="eastAsia" w:ascii="宋体" w:hAnsi="宋体" w:eastAsia="宋体" w:cs="宋体"/>
          <w:color w:val="000000" w:themeColor="text1"/>
          <w:sz w:val="24"/>
          <w:szCs w:val="24"/>
          <w:highlight w:val="none"/>
          <w:lang w:eastAsia="zh-CN"/>
          <w14:textFill>
            <w14:solidFill>
              <w14:schemeClr w14:val="tx1"/>
            </w14:solidFill>
          </w14:textFill>
        </w:rPr>
        <w:t>1.1.3地方法律、规章</w:t>
      </w:r>
    </w:p>
    <w:p>
      <w:pPr>
        <w:keepNext w:val="0"/>
        <w:keepLines w:val="0"/>
        <w:pageBreakBefore w:val="0"/>
        <w:kinsoku/>
        <w:wordWrap/>
        <w:overflowPunct/>
        <w:topLinePunct w:val="0"/>
        <w:bidi w:val="0"/>
        <w:snapToGrid/>
        <w:spacing w:line="360" w:lineRule="auto"/>
        <w:ind w:firstLine="480" w:firstLineChars="200"/>
        <w:jc w:val="both"/>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bookmarkStart w:id="88" w:name="_Toc144088954"/>
      <w:bookmarkStart w:id="89" w:name="_Toc329596318"/>
      <w:bookmarkStart w:id="90" w:name="_Toc162930560"/>
      <w:bookmarkStart w:id="91" w:name="_Toc165024051"/>
      <w:bookmarkStart w:id="92" w:name="_Toc326604727"/>
      <w:bookmarkStart w:id="93" w:name="_Toc155244096"/>
      <w:bookmarkStart w:id="94" w:name="_Toc327774579"/>
      <w:bookmarkStart w:id="95" w:name="_Toc227225124"/>
      <w:bookmarkStart w:id="96" w:name="_Toc144264248"/>
      <w:bookmarkStart w:id="97" w:name="_Toc326841833"/>
      <w:bookmarkStart w:id="98" w:name="_Toc326605930"/>
      <w:bookmarkStart w:id="99" w:name="_Toc326604192"/>
      <w:bookmarkStart w:id="100" w:name="_Toc144088128"/>
      <w:bookmarkStart w:id="101" w:name="_Toc153531961"/>
      <w:bookmarkStart w:id="102" w:name="_Toc156034807"/>
      <w:bookmarkStart w:id="103" w:name="_Toc139449102"/>
      <w:bookmarkStart w:id="104" w:name="_Toc25193"/>
      <w:bookmarkStart w:id="105" w:name="_Toc17121"/>
      <w:bookmarkStart w:id="106" w:name="_Toc7346"/>
      <w:bookmarkStart w:id="107" w:name="_Toc21053"/>
      <w:bookmarkStart w:id="108" w:name="_Toc20104"/>
      <w:bookmarkStart w:id="109" w:name="_Toc10853"/>
      <w:r>
        <w:rPr>
          <w:rFonts w:hint="eastAsia" w:ascii="宋体" w:hAnsi="宋体" w:eastAsia="宋体" w:cs="宋体"/>
          <w:color w:val="000000" w:themeColor="text1"/>
          <w:sz w:val="24"/>
          <w:szCs w:val="24"/>
          <w:highlight w:val="none"/>
          <w:lang w:val="en-US" w:eastAsia="zh-CN"/>
          <w14:textFill>
            <w14:solidFill>
              <w14:schemeClr w14:val="tx1"/>
            </w14:solidFill>
          </w14:textFill>
        </w:rPr>
        <w:t>（1）《湖南省环境保护条例》，2020年1月1日施行；</w:t>
      </w:r>
    </w:p>
    <w:p>
      <w:pPr>
        <w:keepNext w:val="0"/>
        <w:keepLines w:val="0"/>
        <w:pageBreakBefore w:val="0"/>
        <w:kinsoku/>
        <w:wordWrap/>
        <w:overflowPunct/>
        <w:topLinePunct w:val="0"/>
        <w:bidi w:val="0"/>
        <w:snapToGrid/>
        <w:spacing w:line="360" w:lineRule="auto"/>
        <w:ind w:firstLine="480" w:firstLineChars="200"/>
        <w:jc w:val="both"/>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（2）《湖南省湘江保护条例》，湖南省生态环境厅，2018年11月30日修正；</w:t>
      </w:r>
    </w:p>
    <w:p>
      <w:pPr>
        <w:keepNext w:val="0"/>
        <w:keepLines w:val="0"/>
        <w:pageBreakBefore w:val="0"/>
        <w:kinsoku/>
        <w:wordWrap/>
        <w:overflowPunct/>
        <w:topLinePunct w:val="0"/>
        <w:bidi w:val="0"/>
        <w:snapToGrid/>
        <w:spacing w:line="360" w:lineRule="auto"/>
        <w:ind w:firstLine="480" w:firstLineChars="200"/>
        <w:jc w:val="both"/>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（3）湖南省贯彻国务院关于印发《水污染防治行动计划》的通知（国发[2015]17号）；</w:t>
      </w:r>
    </w:p>
    <w:p>
      <w:pPr>
        <w:keepNext w:val="0"/>
        <w:keepLines w:val="0"/>
        <w:pageBreakBefore w:val="0"/>
        <w:kinsoku/>
        <w:wordWrap/>
        <w:overflowPunct/>
        <w:topLinePunct w:val="0"/>
        <w:bidi w:val="0"/>
        <w:snapToGrid/>
        <w:spacing w:line="360" w:lineRule="auto"/>
        <w:ind w:firstLine="480" w:firstLineChars="200"/>
        <w:jc w:val="both"/>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（4）湖南省人民政府办公厅关于印发《贯彻落实〈大气污染防治行动计划〉实施细则》的通知（湘政办发[2013]77号）；</w:t>
      </w:r>
    </w:p>
    <w:p>
      <w:pPr>
        <w:keepNext w:val="0"/>
        <w:keepLines w:val="0"/>
        <w:pageBreakBefore w:val="0"/>
        <w:kinsoku/>
        <w:wordWrap/>
        <w:overflowPunct/>
        <w:topLinePunct w:val="0"/>
        <w:bidi w:val="0"/>
        <w:snapToGrid/>
        <w:spacing w:line="360" w:lineRule="auto"/>
        <w:ind w:firstLine="480" w:firstLineChars="200"/>
        <w:jc w:val="both"/>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（5）《湖南省大气污染防治条例》，2017年6月1日起施行；</w:t>
      </w:r>
    </w:p>
    <w:p>
      <w:pPr>
        <w:keepNext w:val="0"/>
        <w:keepLines w:val="0"/>
        <w:pageBreakBefore w:val="0"/>
        <w:kinsoku/>
        <w:wordWrap/>
        <w:overflowPunct/>
        <w:topLinePunct w:val="0"/>
        <w:bidi w:val="0"/>
        <w:snapToGrid/>
        <w:spacing w:line="360" w:lineRule="auto"/>
        <w:ind w:firstLine="480" w:firstLineChars="200"/>
        <w:jc w:val="both"/>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（6）《湖南省土壤污染防治工作方案》，湘政发[2017]4号；</w:t>
      </w:r>
    </w:p>
    <w:p>
      <w:pPr>
        <w:keepNext w:val="0"/>
        <w:keepLines w:val="0"/>
        <w:pageBreakBefore w:val="0"/>
        <w:kinsoku/>
        <w:wordWrap/>
        <w:overflowPunct/>
        <w:topLinePunct w:val="0"/>
        <w:bidi w:val="0"/>
        <w:snapToGrid/>
        <w:spacing w:line="360" w:lineRule="auto"/>
        <w:ind w:firstLine="480" w:firstLineChars="200"/>
        <w:jc w:val="both"/>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（7）《湖南省主要水系地表水环境功能区划》，DB43/023-2005；</w:t>
      </w:r>
    </w:p>
    <w:p>
      <w:pPr>
        <w:keepNext w:val="0"/>
        <w:keepLines w:val="0"/>
        <w:pageBreakBefore w:val="0"/>
        <w:kinsoku/>
        <w:wordWrap/>
        <w:overflowPunct/>
        <w:topLinePunct w:val="0"/>
        <w:bidi w:val="0"/>
        <w:snapToGrid/>
        <w:spacing w:line="360" w:lineRule="auto"/>
        <w:ind w:firstLine="480" w:firstLineChars="200"/>
        <w:jc w:val="both"/>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（8）《关于进一步规范我省固体（危险）废物转移管理的通知》，湘环发[2014]22号；</w:t>
      </w:r>
    </w:p>
    <w:p>
      <w:pPr>
        <w:keepNext w:val="0"/>
        <w:keepLines w:val="0"/>
        <w:pageBreakBefore w:val="0"/>
        <w:kinsoku/>
        <w:wordWrap/>
        <w:overflowPunct/>
        <w:topLinePunct w:val="0"/>
        <w:bidi w:val="0"/>
        <w:snapToGrid/>
        <w:spacing w:line="360" w:lineRule="auto"/>
        <w:ind w:firstLine="480" w:firstLineChars="200"/>
        <w:jc w:val="both"/>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（9）《湖南省饮用水水源保护条例》，2018年1月1日施行；</w:t>
      </w:r>
    </w:p>
    <w:p>
      <w:pPr>
        <w:keepNext w:val="0"/>
        <w:keepLines w:val="0"/>
        <w:pageBreakBefore w:val="0"/>
        <w:kinsoku/>
        <w:wordWrap/>
        <w:overflowPunct/>
        <w:topLinePunct w:val="0"/>
        <w:bidi w:val="0"/>
        <w:snapToGrid/>
        <w:spacing w:line="360" w:lineRule="auto"/>
        <w:ind w:firstLine="480" w:firstLineChars="200"/>
        <w:jc w:val="both"/>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（10）《湖南省人民政府关于印发</w:t>
      </w:r>
      <w:r>
        <w:rPr>
          <w:rFonts w:hint="eastAsia" w:cs="宋体"/>
          <w:color w:val="000000" w:themeColor="text1"/>
          <w:sz w:val="24"/>
          <w:szCs w:val="24"/>
          <w:highlight w:val="none"/>
          <w:lang w:val="en-US"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湖南省生态保护红线&gt;的通知》，湘政办发[2018]20号；</w:t>
      </w:r>
    </w:p>
    <w:p>
      <w:pPr>
        <w:keepNext w:val="0"/>
        <w:keepLines w:val="0"/>
        <w:pageBreakBefore w:val="0"/>
        <w:kinsoku/>
        <w:wordWrap/>
        <w:overflowPunct/>
        <w:topLinePunct w:val="0"/>
        <w:bidi w:val="0"/>
        <w:snapToGrid/>
        <w:spacing w:line="360" w:lineRule="auto"/>
        <w:ind w:firstLine="480" w:firstLineChars="200"/>
        <w:jc w:val="both"/>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（11）《湖南省县级以上地表水集中式饮用水水源保护区划定方案》，湘政函[2016]176号；</w:t>
      </w:r>
    </w:p>
    <w:p>
      <w:pPr>
        <w:keepNext w:val="0"/>
        <w:keepLines w:val="0"/>
        <w:pageBreakBefore w:val="0"/>
        <w:kinsoku/>
        <w:wordWrap/>
        <w:overflowPunct/>
        <w:topLinePunct w:val="0"/>
        <w:bidi w:val="0"/>
        <w:snapToGrid/>
        <w:spacing w:line="360" w:lineRule="auto"/>
        <w:ind w:firstLine="480" w:firstLineChars="200"/>
        <w:jc w:val="both"/>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（12）《湖南省生态环境厅关于划定长沙等14个市州第二批乡镇级“千吨万人”集中式饮用水水源保护区的函》，湘环函[2019]231号；</w:t>
      </w:r>
    </w:p>
    <w:p>
      <w:pPr>
        <w:keepNext w:val="0"/>
        <w:keepLines w:val="0"/>
        <w:pageBreakBefore w:val="0"/>
        <w:kinsoku/>
        <w:wordWrap/>
        <w:overflowPunct/>
        <w:topLinePunct w:val="0"/>
        <w:bidi w:val="0"/>
        <w:snapToGrid/>
        <w:spacing w:line="360" w:lineRule="auto"/>
        <w:ind w:firstLine="480" w:firstLineChars="200"/>
        <w:jc w:val="both"/>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（13）《湖南省主体功能区划》，湘政发[2012]39号；</w:t>
      </w:r>
    </w:p>
    <w:p>
      <w:pPr>
        <w:keepNext w:val="0"/>
        <w:keepLines w:val="0"/>
        <w:pageBreakBefore w:val="0"/>
        <w:kinsoku/>
        <w:wordWrap/>
        <w:overflowPunct/>
        <w:topLinePunct w:val="0"/>
        <w:bidi w:val="0"/>
        <w:snapToGrid/>
        <w:spacing w:line="360" w:lineRule="auto"/>
        <w:ind w:firstLine="480" w:firstLineChars="200"/>
        <w:jc w:val="both"/>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（14）《湖南省“三线一单”生态环境总体管控要求暨省级以上产业园区生态环境准入清单》；</w:t>
      </w:r>
    </w:p>
    <w:p>
      <w:pPr>
        <w:keepNext w:val="0"/>
        <w:keepLines w:val="0"/>
        <w:pageBreakBefore w:val="0"/>
        <w:kinsoku/>
        <w:wordWrap/>
        <w:overflowPunct/>
        <w:topLinePunct w:val="0"/>
        <w:bidi w:val="0"/>
        <w:snapToGrid/>
        <w:spacing w:line="360" w:lineRule="auto"/>
        <w:ind w:firstLine="480" w:firstLineChars="200"/>
        <w:jc w:val="both"/>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（15）《湖南省“十四五”生态环境保护规划》，湘政办发[2021]61号，2021年9月30日实施；</w:t>
      </w:r>
    </w:p>
    <w:p>
      <w:pPr>
        <w:keepNext w:val="0"/>
        <w:keepLines w:val="0"/>
        <w:pageBreakBefore w:val="0"/>
        <w:kinsoku/>
        <w:wordWrap/>
        <w:overflowPunct/>
        <w:topLinePunct w:val="0"/>
        <w:bidi w:val="0"/>
        <w:snapToGrid/>
        <w:spacing w:line="360" w:lineRule="auto"/>
        <w:ind w:firstLine="480" w:firstLineChars="200"/>
        <w:jc w:val="both"/>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（16）《湖南省“两高”项目管理名录》，湘发改环资[2021]968号，2021年12月16日印发；</w:t>
      </w:r>
    </w:p>
    <w:p>
      <w:pPr>
        <w:keepNext w:val="0"/>
        <w:keepLines w:val="0"/>
        <w:pageBreakBefore w:val="0"/>
        <w:kinsoku/>
        <w:wordWrap/>
        <w:overflowPunct/>
        <w:topLinePunct w:val="0"/>
        <w:bidi w:val="0"/>
        <w:snapToGrid/>
        <w:spacing w:line="360" w:lineRule="auto"/>
        <w:ind w:firstLine="480" w:firstLineChars="200"/>
        <w:jc w:val="both"/>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（17）《关于执行污染物特别排放限值（第一批）的公告》，湖南省生态环境厅，2018年10月29日；</w:t>
      </w:r>
    </w:p>
    <w:p>
      <w:pPr>
        <w:keepNext w:val="0"/>
        <w:keepLines w:val="0"/>
        <w:pageBreakBefore w:val="0"/>
        <w:kinsoku/>
        <w:wordWrap/>
        <w:overflowPunct/>
        <w:topLinePunct w:val="0"/>
        <w:bidi w:val="0"/>
        <w:snapToGrid/>
        <w:spacing w:line="360" w:lineRule="auto"/>
        <w:ind w:firstLine="480" w:firstLineChars="200"/>
        <w:jc w:val="both"/>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（18）《关于加强高耗能、高排放建设项目生态环境源头防控的指导意见》，环环评[2021]45号；</w:t>
      </w:r>
    </w:p>
    <w:p>
      <w:pPr>
        <w:keepNext w:val="0"/>
        <w:keepLines w:val="0"/>
        <w:pageBreakBefore w:val="0"/>
        <w:kinsoku/>
        <w:wordWrap/>
        <w:overflowPunct/>
        <w:topLinePunct w:val="0"/>
        <w:bidi w:val="0"/>
        <w:snapToGrid/>
        <w:spacing w:line="360" w:lineRule="auto"/>
        <w:ind w:firstLine="480" w:firstLineChars="200"/>
        <w:jc w:val="both"/>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（19）《湖南省长江经济带发展负面清单实施细则（试行）》（2022年版）；</w:t>
      </w:r>
    </w:p>
    <w:p>
      <w:pPr>
        <w:keepNext w:val="0"/>
        <w:keepLines w:val="0"/>
        <w:pageBreakBefore w:val="0"/>
        <w:kinsoku/>
        <w:wordWrap/>
        <w:overflowPunct/>
        <w:topLinePunct w:val="0"/>
        <w:bidi w:val="0"/>
        <w:snapToGrid/>
        <w:spacing w:line="360" w:lineRule="auto"/>
        <w:ind w:firstLine="480" w:firstLineChars="200"/>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（20）《湖南省“三线一单”生态环境总体管控要求暨省级以上产业园区生态环境准入清单》；</w:t>
      </w:r>
    </w:p>
    <w:p>
      <w:pPr>
        <w:keepNext w:val="0"/>
        <w:keepLines w:val="0"/>
        <w:pageBreakBefore w:val="0"/>
        <w:kinsoku/>
        <w:wordWrap/>
        <w:overflowPunct/>
        <w:topLinePunct w:val="0"/>
        <w:bidi w:val="0"/>
        <w:snapToGrid/>
        <w:spacing w:line="360" w:lineRule="auto"/>
        <w:ind w:firstLine="480" w:firstLineChars="200"/>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（21）株洲市《关于实施"三线一单"生态环境分区管控意见》，2020年12月18日。</w:t>
      </w:r>
    </w:p>
    <w:p>
      <w:pPr>
        <w:pStyle w:val="8"/>
        <w:keepNext w:val="0"/>
        <w:keepLines w:val="0"/>
        <w:pageBreakBefore w:val="0"/>
        <w:kinsoku/>
        <w:wordWrap/>
        <w:overflowPunct/>
        <w:topLinePunct w:val="0"/>
        <w:bidi w:val="0"/>
        <w:snapToGrid/>
        <w:spacing w:line="360" w:lineRule="auto"/>
        <w:ind w:firstLine="482" w:firstLineChars="20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bookmarkStart w:id="110" w:name="_Toc2"/>
      <w:r>
        <w:rPr>
          <w:rFonts w:hint="eastAsia" w:ascii="宋体" w:hAnsi="宋体" w:eastAsia="宋体" w:cs="宋体"/>
          <w:color w:val="000000" w:themeColor="text1"/>
          <w:sz w:val="24"/>
          <w:szCs w:val="24"/>
          <w:highlight w:val="none"/>
          <w:lang w:val="en-US" w:eastAsia="zh-CN"/>
          <w14:textFill>
            <w14:solidFill>
              <w14:schemeClr w14:val="tx1"/>
            </w14:solidFill>
          </w14:textFill>
        </w:rPr>
        <w:t>2.</w:t>
      </w:r>
      <w:r>
        <w:rPr>
          <w:rFonts w:hint="eastAsia" w:ascii="宋体" w:hAnsi="宋体" w:eastAsia="宋体" w:cs="宋体"/>
          <w:color w:val="000000" w:themeColor="text1"/>
          <w:sz w:val="24"/>
          <w:szCs w:val="24"/>
          <w:highlight w:val="none"/>
          <w:lang w:eastAsia="zh-CN"/>
          <w14:textFill>
            <w14:solidFill>
              <w14:schemeClr w14:val="tx1"/>
            </w14:solidFill>
          </w14:textFill>
        </w:rPr>
        <w:t>1.2导则</w:t>
      </w:r>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r>
        <w:rPr>
          <w:rFonts w:hint="eastAsia" w:ascii="宋体" w:hAnsi="宋体" w:eastAsia="宋体" w:cs="宋体"/>
          <w:color w:val="000000" w:themeColor="text1"/>
          <w:sz w:val="24"/>
          <w:szCs w:val="24"/>
          <w:highlight w:val="none"/>
          <w:lang w:eastAsia="zh-CN"/>
          <w14:textFill>
            <w14:solidFill>
              <w14:schemeClr w14:val="tx1"/>
            </w14:solidFill>
          </w14:textFill>
        </w:rPr>
        <w:t>规范</w:t>
      </w:r>
      <w:bookmarkEnd w:id="104"/>
      <w:bookmarkEnd w:id="105"/>
      <w:bookmarkEnd w:id="106"/>
      <w:bookmarkEnd w:id="107"/>
      <w:bookmarkEnd w:id="108"/>
      <w:bookmarkEnd w:id="109"/>
      <w:bookmarkEnd w:id="110"/>
    </w:p>
    <w:p>
      <w:pPr>
        <w:keepNext w:val="0"/>
        <w:keepLines w:val="0"/>
        <w:pageBreakBefore w:val="0"/>
        <w:kinsoku/>
        <w:wordWrap/>
        <w:overflowPunct/>
        <w:topLinePunct w:val="0"/>
        <w:bidi w:val="0"/>
        <w:snapToGrid/>
        <w:spacing w:line="360" w:lineRule="auto"/>
        <w:ind w:firstLine="480" w:firstLineChars="200"/>
        <w:jc w:val="both"/>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（1）《建设项目环境影响评价技术导则总纲》（HJ2.1-2016）；</w:t>
      </w:r>
    </w:p>
    <w:p>
      <w:pPr>
        <w:keepNext w:val="0"/>
        <w:keepLines w:val="0"/>
        <w:pageBreakBefore w:val="0"/>
        <w:kinsoku/>
        <w:wordWrap/>
        <w:overflowPunct/>
        <w:topLinePunct w:val="0"/>
        <w:bidi w:val="0"/>
        <w:snapToGrid/>
        <w:spacing w:line="360" w:lineRule="auto"/>
        <w:ind w:firstLine="480" w:firstLineChars="200"/>
        <w:jc w:val="both"/>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（2）《环境影响评价技术导则大气环境》（HJ2.2-2018）；</w:t>
      </w:r>
    </w:p>
    <w:p>
      <w:pPr>
        <w:keepNext w:val="0"/>
        <w:keepLines w:val="0"/>
        <w:pageBreakBefore w:val="0"/>
        <w:kinsoku/>
        <w:wordWrap/>
        <w:overflowPunct/>
        <w:topLinePunct w:val="0"/>
        <w:bidi w:val="0"/>
        <w:snapToGrid/>
        <w:spacing w:line="360" w:lineRule="auto"/>
        <w:ind w:firstLine="480" w:firstLineChars="200"/>
        <w:jc w:val="both"/>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（3）《环境影响评价技术导则地表水环境》（HJ2.3-2018）；</w:t>
      </w:r>
    </w:p>
    <w:p>
      <w:pPr>
        <w:keepNext w:val="0"/>
        <w:keepLines w:val="0"/>
        <w:pageBreakBefore w:val="0"/>
        <w:kinsoku/>
        <w:wordWrap/>
        <w:overflowPunct/>
        <w:topLinePunct w:val="0"/>
        <w:bidi w:val="0"/>
        <w:snapToGrid/>
        <w:spacing w:line="360" w:lineRule="auto"/>
        <w:ind w:firstLine="480" w:firstLineChars="200"/>
        <w:jc w:val="both"/>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（4）《环境影响评价技术导则声环境》（HJ2.4-20</w:t>
      </w:r>
      <w:r>
        <w:rPr>
          <w:rFonts w:hint="eastAsia" w:ascii="宋体" w:hAnsi="宋体" w:eastAsia="宋体" w:cs="宋体"/>
          <w:color w:val="000000" w:themeColor="text1"/>
          <w:sz w:val="24"/>
          <w:szCs w:val="24"/>
          <w:highlight w:val="none"/>
          <w:lang w:val="en-US" w:eastAsia="zh-CN"/>
          <w14:textFill>
            <w14:solidFill>
              <w14:schemeClr w14:val="tx1"/>
            </w14:solidFill>
          </w14:textFill>
        </w:rPr>
        <w:t>21</w:t>
      </w:r>
      <w:r>
        <w:rPr>
          <w:rFonts w:hint="eastAsia" w:ascii="宋体" w:hAnsi="宋体" w:eastAsia="宋体" w:cs="宋体"/>
          <w:color w:val="000000" w:themeColor="text1"/>
          <w:sz w:val="24"/>
          <w:szCs w:val="24"/>
          <w:highlight w:val="none"/>
          <w14:textFill>
            <w14:solidFill>
              <w14:schemeClr w14:val="tx1"/>
            </w14:solidFill>
          </w14:textFill>
        </w:rPr>
        <w:t>）；</w:t>
      </w:r>
    </w:p>
    <w:p>
      <w:pPr>
        <w:keepNext w:val="0"/>
        <w:keepLines w:val="0"/>
        <w:pageBreakBefore w:val="0"/>
        <w:kinsoku/>
        <w:wordWrap/>
        <w:overflowPunct/>
        <w:topLinePunct w:val="0"/>
        <w:bidi w:val="0"/>
        <w:snapToGrid/>
        <w:spacing w:line="360" w:lineRule="auto"/>
        <w:ind w:firstLine="480" w:firstLineChars="200"/>
        <w:jc w:val="both"/>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（5）《环境影响评价技术导则地下水环境》（HJ610-2016）；</w:t>
      </w:r>
    </w:p>
    <w:p>
      <w:pPr>
        <w:keepNext w:val="0"/>
        <w:keepLines w:val="0"/>
        <w:pageBreakBefore w:val="0"/>
        <w:kinsoku/>
        <w:wordWrap/>
        <w:overflowPunct/>
        <w:topLinePunct w:val="0"/>
        <w:bidi w:val="0"/>
        <w:snapToGrid/>
        <w:spacing w:line="360" w:lineRule="auto"/>
        <w:ind w:firstLine="480" w:firstLineChars="200"/>
        <w:jc w:val="both"/>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（6）《环境影响评价技术导则土壤环境》（HJ964-2018）；</w:t>
      </w:r>
    </w:p>
    <w:p>
      <w:pPr>
        <w:keepNext w:val="0"/>
        <w:keepLines w:val="0"/>
        <w:pageBreakBefore w:val="0"/>
        <w:kinsoku/>
        <w:wordWrap/>
        <w:overflowPunct/>
        <w:topLinePunct w:val="0"/>
        <w:bidi w:val="0"/>
        <w:snapToGrid/>
        <w:spacing w:line="360" w:lineRule="auto"/>
        <w:ind w:firstLine="480" w:firstLineChars="200"/>
        <w:jc w:val="both"/>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（7）《环境影响评价技术导则生态影响》（HJ19-20</w:t>
      </w:r>
      <w:r>
        <w:rPr>
          <w:rFonts w:hint="eastAsia" w:ascii="宋体" w:hAnsi="宋体" w:eastAsia="宋体" w:cs="宋体"/>
          <w:color w:val="000000" w:themeColor="text1"/>
          <w:sz w:val="24"/>
          <w:szCs w:val="24"/>
          <w:highlight w:val="none"/>
          <w:lang w:val="en-US" w:eastAsia="zh-CN"/>
          <w14:textFill>
            <w14:solidFill>
              <w14:schemeClr w14:val="tx1"/>
            </w14:solidFill>
          </w14:textFill>
        </w:rPr>
        <w:t>22</w:t>
      </w:r>
      <w:r>
        <w:rPr>
          <w:rFonts w:hint="eastAsia" w:ascii="宋体" w:hAnsi="宋体" w:eastAsia="宋体" w:cs="宋体"/>
          <w:color w:val="000000" w:themeColor="text1"/>
          <w:sz w:val="24"/>
          <w:szCs w:val="24"/>
          <w:highlight w:val="none"/>
          <w14:textFill>
            <w14:solidFill>
              <w14:schemeClr w14:val="tx1"/>
            </w14:solidFill>
          </w14:textFill>
        </w:rPr>
        <w:t>）；</w:t>
      </w:r>
    </w:p>
    <w:p>
      <w:pPr>
        <w:keepNext w:val="0"/>
        <w:keepLines w:val="0"/>
        <w:pageBreakBefore w:val="0"/>
        <w:kinsoku/>
        <w:wordWrap/>
        <w:overflowPunct/>
        <w:topLinePunct w:val="0"/>
        <w:bidi w:val="0"/>
        <w:snapToGrid/>
        <w:spacing w:line="360" w:lineRule="auto"/>
        <w:ind w:firstLine="480" w:firstLineChars="200"/>
        <w:jc w:val="both"/>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（8）《建设项目环境风险评价技术导则》（HJ169-2018）；</w:t>
      </w:r>
    </w:p>
    <w:p>
      <w:pPr>
        <w:keepNext w:val="0"/>
        <w:keepLines w:val="0"/>
        <w:pageBreakBefore w:val="0"/>
        <w:kinsoku/>
        <w:wordWrap/>
        <w:overflowPunct/>
        <w:topLinePunct w:val="0"/>
        <w:bidi w:val="0"/>
        <w:snapToGrid/>
        <w:spacing w:line="360" w:lineRule="auto"/>
        <w:ind w:firstLine="480" w:firstLineChars="200"/>
        <w:jc w:val="both"/>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（9）《石油化工工程防渗技术规范》（GB/T50934-2013）；</w:t>
      </w:r>
    </w:p>
    <w:p>
      <w:pPr>
        <w:keepNext w:val="0"/>
        <w:keepLines w:val="0"/>
        <w:pageBreakBefore w:val="0"/>
        <w:kinsoku/>
        <w:wordWrap/>
        <w:overflowPunct/>
        <w:topLinePunct w:val="0"/>
        <w:bidi w:val="0"/>
        <w:snapToGrid/>
        <w:spacing w:line="360" w:lineRule="auto"/>
        <w:ind w:firstLine="480" w:firstLineChars="200"/>
        <w:jc w:val="both"/>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（10）</w:t>
      </w:r>
      <w:r>
        <w:rPr>
          <w:rFonts w:hint="eastAsia" w:ascii="宋体" w:hAnsi="宋体" w:eastAsia="宋体" w:cs="宋体"/>
          <w:color w:val="000000" w:themeColor="text1"/>
          <w:sz w:val="24"/>
          <w:szCs w:val="24"/>
          <w:lang w:val="en-US" w:eastAsia="zh-CN"/>
          <w14:textFill>
            <w14:solidFill>
              <w14:schemeClr w14:val="tx1"/>
            </w14:solidFill>
          </w14:textFill>
        </w:rPr>
        <w:t>《排污许可证申请与核发技术规范石化工业》（HJ853-2017）</w:t>
      </w:r>
      <w:r>
        <w:rPr>
          <w:rFonts w:hint="eastAsia" w:ascii="宋体" w:hAnsi="宋体" w:eastAsia="宋体" w:cs="宋体"/>
          <w:color w:val="000000" w:themeColor="text1"/>
          <w:sz w:val="24"/>
          <w:szCs w:val="24"/>
          <w:highlight w:val="none"/>
          <w14:textFill>
            <w14:solidFill>
              <w14:schemeClr w14:val="tx1"/>
            </w14:solidFill>
          </w14:textFill>
        </w:rPr>
        <w:t>；</w:t>
      </w:r>
    </w:p>
    <w:p>
      <w:pPr>
        <w:keepNext w:val="0"/>
        <w:keepLines w:val="0"/>
        <w:pageBreakBefore w:val="0"/>
        <w:kinsoku/>
        <w:wordWrap/>
        <w:overflowPunct/>
        <w:topLinePunct w:val="0"/>
        <w:bidi w:val="0"/>
        <w:adjustRightInd w:val="0"/>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（11）《</w:t>
      </w:r>
      <w:r>
        <w:rPr>
          <w:rFonts w:hint="eastAsia" w:ascii="宋体" w:hAnsi="宋体" w:eastAsia="宋体" w:cs="宋体"/>
          <w:color w:val="000000" w:themeColor="text1"/>
          <w:sz w:val="24"/>
          <w:szCs w:val="24"/>
          <w:lang w:val="en-US" w:eastAsia="zh-CN"/>
          <w14:textFill>
            <w14:solidFill>
              <w14:schemeClr w14:val="tx1"/>
            </w14:solidFill>
          </w14:textFill>
        </w:rPr>
        <w:fldChar w:fldCharType="begin"/>
      </w:r>
      <w:r>
        <w:rPr>
          <w:rFonts w:hint="eastAsia" w:ascii="宋体" w:hAnsi="宋体" w:eastAsia="宋体" w:cs="宋体"/>
          <w:color w:val="000000" w:themeColor="text1"/>
          <w:sz w:val="24"/>
          <w:szCs w:val="24"/>
          <w:lang w:val="en-US" w:eastAsia="zh-CN"/>
          <w14:textFill>
            <w14:solidFill>
              <w14:schemeClr w14:val="tx1"/>
            </w14:solidFill>
          </w14:textFill>
        </w:rPr>
        <w:instrText xml:space="preserve"> HYPERLINK "http://www.mee.gov.cn/ywgz/fgbz/bz/bzwb/pwxk/201907/W020190726463360946225.pdf" </w:instrText>
      </w:r>
      <w:r>
        <w:rPr>
          <w:rFonts w:hint="eastAsia" w:ascii="宋体" w:hAnsi="宋体" w:eastAsia="宋体" w:cs="宋体"/>
          <w:color w:val="000000" w:themeColor="text1"/>
          <w:sz w:val="24"/>
          <w:szCs w:val="24"/>
          <w:lang w:val="en-US" w:eastAsia="zh-CN"/>
          <w14:textFill>
            <w14:solidFill>
              <w14:schemeClr w14:val="tx1"/>
            </w14:solidFill>
          </w14:textFill>
        </w:rPr>
        <w:fldChar w:fldCharType="separate"/>
      </w:r>
      <w:r>
        <w:rPr>
          <w:rFonts w:hint="eastAsia" w:ascii="宋体" w:hAnsi="宋体" w:eastAsia="宋体" w:cs="宋体"/>
          <w:color w:val="000000" w:themeColor="text1"/>
          <w:sz w:val="24"/>
          <w:szCs w:val="24"/>
          <w:lang w:val="en-US" w:eastAsia="zh-CN"/>
          <w14:textFill>
            <w14:solidFill>
              <w14:schemeClr w14:val="tx1"/>
            </w14:solidFill>
          </w14:textFill>
        </w:rPr>
        <w:t>排污许可证申请与核发技术规范电子工业》（HJ1031—2019）</w:t>
      </w:r>
      <w:r>
        <w:rPr>
          <w:rFonts w:hint="eastAsia" w:ascii="宋体" w:hAnsi="宋体" w:eastAsia="宋体" w:cs="宋体"/>
          <w:color w:val="000000" w:themeColor="text1"/>
          <w:sz w:val="24"/>
          <w:szCs w:val="24"/>
          <w:lang w:val="en-US" w:eastAsia="zh-CN"/>
          <w14:textFill>
            <w14:solidFill>
              <w14:schemeClr w14:val="tx1"/>
            </w14:solidFill>
          </w14:textFill>
        </w:rPr>
        <w:fldChar w:fldCharType="end"/>
      </w:r>
    </w:p>
    <w:p>
      <w:pPr>
        <w:keepNext w:val="0"/>
        <w:keepLines w:val="0"/>
        <w:pageBreakBefore w:val="0"/>
        <w:kinsoku/>
        <w:wordWrap/>
        <w:overflowPunct/>
        <w:topLinePunct w:val="0"/>
        <w:bidi w:val="0"/>
        <w:adjustRightInd w:val="0"/>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w:t>
      </w:r>
      <w:r>
        <w:rPr>
          <w:rFonts w:hint="eastAsia" w:ascii="宋体" w:hAnsi="宋体" w:eastAsia="宋体" w:cs="宋体"/>
          <w:color w:val="000000" w:themeColor="text1"/>
          <w:sz w:val="24"/>
          <w:szCs w:val="24"/>
          <w:highlight w:val="none"/>
          <w:lang w:val="en-US" w:eastAsia="zh-CN"/>
          <w14:textFill>
            <w14:solidFill>
              <w14:schemeClr w14:val="tx1"/>
            </w14:solidFill>
          </w14:textFill>
        </w:rPr>
        <w:t>2</w:t>
      </w:r>
      <w:r>
        <w:rPr>
          <w:rFonts w:hint="eastAsia" w:ascii="宋体" w:hAnsi="宋体" w:eastAsia="宋体" w:cs="宋体"/>
          <w:color w:val="000000" w:themeColor="text1"/>
          <w:sz w:val="24"/>
          <w:szCs w:val="24"/>
          <w:highlight w:val="none"/>
          <w14:textFill>
            <w14:solidFill>
              <w14:schemeClr w14:val="tx1"/>
            </w14:solidFill>
          </w14:textFill>
        </w:rPr>
        <w:t>）《固定污染源排污许可分类管理名录》（2019版）；</w:t>
      </w:r>
    </w:p>
    <w:p>
      <w:pPr>
        <w:keepNext w:val="0"/>
        <w:keepLines w:val="0"/>
        <w:pageBreakBefore w:val="0"/>
        <w:kinsoku/>
        <w:wordWrap/>
        <w:overflowPunct/>
        <w:topLinePunct w:val="0"/>
        <w:bidi w:val="0"/>
        <w:adjustRightInd w:val="0"/>
        <w:snapToGrid/>
        <w:spacing w:line="360" w:lineRule="auto"/>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13</w:t>
      </w:r>
      <w:r>
        <w:rPr>
          <w:rFonts w:hint="eastAsia" w:ascii="宋体" w:hAnsi="宋体" w:eastAsia="宋体" w:cs="宋体"/>
          <w:color w:val="000000" w:themeColor="text1"/>
          <w:sz w:val="24"/>
          <w:szCs w:val="24"/>
          <w14:textFill>
            <w14:solidFill>
              <w14:schemeClr w14:val="tx1"/>
            </w14:solidFill>
          </w14:textFill>
        </w:rPr>
        <w:t>）《污染源强核算技术指南准则》（HJ884-2018）</w:t>
      </w:r>
      <w:r>
        <w:rPr>
          <w:rFonts w:hint="eastAsia" w:ascii="宋体" w:hAnsi="宋体" w:eastAsia="宋体" w:cs="宋体"/>
          <w:color w:val="000000" w:themeColor="text1"/>
          <w:sz w:val="24"/>
          <w:szCs w:val="24"/>
          <w:highlight w:val="none"/>
          <w14:textFill>
            <w14:solidFill>
              <w14:schemeClr w14:val="tx1"/>
            </w14:solidFill>
          </w14:textFill>
        </w:rPr>
        <w:t>；</w:t>
      </w:r>
    </w:p>
    <w:p>
      <w:pPr>
        <w:pStyle w:val="3"/>
        <w:keepNext w:val="0"/>
        <w:keepLines w:val="0"/>
        <w:pageBreakBefore w:val="0"/>
        <w:kinsoku/>
        <w:wordWrap/>
        <w:overflowPunct/>
        <w:topLinePunct w:val="0"/>
        <w:bidi w:val="0"/>
        <w:snapToGrid/>
        <w:spacing w:after="0" w:line="360" w:lineRule="auto"/>
        <w:ind w:firstLine="480" w:firstLineChars="20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w:t>
      </w:r>
      <w:r>
        <w:rPr>
          <w:rFonts w:hint="eastAsia" w:ascii="宋体" w:hAnsi="宋体" w:eastAsia="宋体" w:cs="宋体"/>
          <w:color w:val="000000" w:themeColor="text1"/>
          <w:sz w:val="24"/>
          <w:szCs w:val="24"/>
          <w:lang w:val="en-US" w:eastAsia="zh-CN"/>
          <w14:textFill>
            <w14:solidFill>
              <w14:schemeClr w14:val="tx1"/>
            </w14:solidFill>
          </w14:textFill>
        </w:rPr>
        <w:t>4</w:t>
      </w:r>
      <w:r>
        <w:rPr>
          <w:rFonts w:hint="eastAsia" w:ascii="宋体" w:hAnsi="宋体" w:eastAsia="宋体" w:cs="宋体"/>
          <w:color w:val="000000" w:themeColor="text1"/>
          <w:sz w:val="24"/>
          <w:szCs w:val="24"/>
          <w14:textFill>
            <w14:solidFill>
              <w14:schemeClr w14:val="tx1"/>
            </w14:solidFill>
          </w14:textFill>
        </w:rPr>
        <w:t>）《建设项目危险废物环境影响评价指南》（环境保护部公告2017年第43号）（2017年10月1日实施）</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pPr>
        <w:pStyle w:val="8"/>
        <w:keepNext w:val="0"/>
        <w:keepLines w:val="0"/>
        <w:pageBreakBefore w:val="0"/>
        <w:kinsoku/>
        <w:wordWrap/>
        <w:overflowPunct/>
        <w:topLinePunct w:val="0"/>
        <w:bidi w:val="0"/>
        <w:snapToGrid/>
        <w:spacing w:line="360" w:lineRule="auto"/>
        <w:ind w:firstLine="482" w:firstLineChars="200"/>
        <w:textAlignment w:val="auto"/>
        <w:rPr>
          <w:rFonts w:hint="eastAsia" w:ascii="宋体" w:hAnsi="宋体" w:eastAsia="宋体" w:cs="宋体"/>
          <w:bCs/>
          <w:color w:val="000000" w:themeColor="text1"/>
          <w:sz w:val="24"/>
          <w:szCs w:val="24"/>
          <w:highlight w:val="none"/>
          <w:lang w:eastAsia="zh-CN"/>
          <w14:textFill>
            <w14:solidFill>
              <w14:schemeClr w14:val="tx1"/>
            </w14:solidFill>
          </w14:textFill>
        </w:rPr>
      </w:pPr>
      <w:bookmarkStart w:id="111" w:name="_Toc11271"/>
      <w:bookmarkStart w:id="112" w:name="_Toc9260"/>
      <w:bookmarkStart w:id="113" w:name="_Toc32562"/>
      <w:bookmarkStart w:id="114" w:name="_Toc20564"/>
      <w:bookmarkStart w:id="115" w:name="_Toc4742"/>
      <w:bookmarkStart w:id="116" w:name="_Toc4111"/>
      <w:bookmarkStart w:id="117" w:name="_Toc939"/>
      <w:bookmarkStart w:id="118" w:name="_Toc22776"/>
      <w:r>
        <w:rPr>
          <w:rFonts w:hint="eastAsia" w:ascii="宋体" w:hAnsi="宋体" w:eastAsia="宋体" w:cs="宋体"/>
          <w:bCs/>
          <w:color w:val="000000" w:themeColor="text1"/>
          <w:sz w:val="24"/>
          <w:szCs w:val="24"/>
          <w:highlight w:val="none"/>
          <w:lang w:val="en-US" w:eastAsia="zh-CN"/>
          <w14:textFill>
            <w14:solidFill>
              <w14:schemeClr w14:val="tx1"/>
            </w14:solidFill>
          </w14:textFill>
        </w:rPr>
        <w:t>2.</w:t>
      </w:r>
      <w:r>
        <w:rPr>
          <w:rFonts w:hint="eastAsia" w:ascii="宋体" w:hAnsi="宋体" w:eastAsia="宋体" w:cs="宋体"/>
          <w:bCs/>
          <w:color w:val="000000" w:themeColor="text1"/>
          <w:sz w:val="24"/>
          <w:szCs w:val="24"/>
          <w:highlight w:val="none"/>
          <w:lang w:eastAsia="zh-CN"/>
          <w14:textFill>
            <w14:solidFill>
              <w14:schemeClr w14:val="tx1"/>
            </w14:solidFill>
          </w14:textFill>
        </w:rPr>
        <w:t>1.</w:t>
      </w:r>
      <w:r>
        <w:rPr>
          <w:rFonts w:hint="eastAsia" w:ascii="宋体" w:hAnsi="宋体" w:eastAsia="宋体" w:cs="宋体"/>
          <w:bCs/>
          <w:color w:val="000000" w:themeColor="text1"/>
          <w:sz w:val="24"/>
          <w:szCs w:val="24"/>
          <w:highlight w:val="none"/>
          <w:lang w:val="en-US" w:eastAsia="zh-CN"/>
          <w14:textFill>
            <w14:solidFill>
              <w14:schemeClr w14:val="tx1"/>
            </w14:solidFill>
          </w14:textFill>
        </w:rPr>
        <w:t>3</w:t>
      </w:r>
      <w:r>
        <w:rPr>
          <w:rFonts w:hint="eastAsia" w:ascii="宋体" w:hAnsi="宋体" w:eastAsia="宋体" w:cs="宋体"/>
          <w:bCs/>
          <w:color w:val="000000" w:themeColor="text1"/>
          <w:sz w:val="24"/>
          <w:szCs w:val="24"/>
          <w:highlight w:val="none"/>
          <w:lang w:eastAsia="zh-CN"/>
          <w14:textFill>
            <w14:solidFill>
              <w14:schemeClr w14:val="tx1"/>
            </w14:solidFill>
          </w14:textFill>
        </w:rPr>
        <w:t>相关文件</w:t>
      </w:r>
      <w:bookmarkEnd w:id="111"/>
      <w:bookmarkEnd w:id="112"/>
      <w:bookmarkEnd w:id="113"/>
      <w:bookmarkEnd w:id="114"/>
      <w:bookmarkEnd w:id="115"/>
      <w:bookmarkEnd w:id="116"/>
      <w:bookmarkEnd w:id="117"/>
      <w:bookmarkEnd w:id="118"/>
    </w:p>
    <w:p>
      <w:pPr>
        <w:keepNext w:val="0"/>
        <w:keepLines w:val="0"/>
        <w:pageBreakBefore w:val="0"/>
        <w:kinsoku/>
        <w:wordWrap/>
        <w:overflowPunct/>
        <w:topLinePunct w:val="0"/>
        <w:bidi w:val="0"/>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w:t>
      </w:r>
      <w:r>
        <w:rPr>
          <w:rFonts w:hint="eastAsia" w:ascii="宋体" w:hAnsi="宋体" w:eastAsia="宋体" w:cs="宋体"/>
          <w:color w:val="000000" w:themeColor="text1"/>
          <w:sz w:val="24"/>
          <w:szCs w:val="24"/>
          <w:highlight w:val="none"/>
          <w:lang w:eastAsia="zh-CN"/>
          <w14:textFill>
            <w14:solidFill>
              <w14:schemeClr w14:val="tx1"/>
            </w14:solidFill>
          </w14:textFill>
        </w:rPr>
        <w:t>株洲市绝缘材料有限责任公司</w:t>
      </w:r>
      <w:r>
        <w:rPr>
          <w:rFonts w:hint="eastAsia" w:ascii="宋体" w:hAnsi="宋体" w:eastAsia="宋体" w:cs="宋体"/>
          <w:color w:val="000000" w:themeColor="text1"/>
          <w:kern w:val="0"/>
          <w:sz w:val="24"/>
          <w:szCs w:val="24"/>
          <w:lang w:val="en-US" w:eastAsia="zh-CN" w:bidi="ar"/>
          <w14:textFill>
            <w14:solidFill>
              <w14:schemeClr w14:val="tx1"/>
            </w14:solidFill>
          </w14:textFill>
        </w:rPr>
        <w:t>高性能电子级聚酰亚胺薄膜项目</w:t>
      </w:r>
      <w:r>
        <w:rPr>
          <w:rFonts w:hint="eastAsia" w:ascii="宋体" w:hAnsi="宋体" w:eastAsia="宋体" w:cs="宋体"/>
          <w:color w:val="000000" w:themeColor="text1"/>
          <w:sz w:val="24"/>
          <w:szCs w:val="24"/>
          <w:highlight w:val="none"/>
          <w14:textFill>
            <w14:solidFill>
              <w14:schemeClr w14:val="tx1"/>
            </w14:solidFill>
          </w14:textFill>
        </w:rPr>
        <w:t>环境影响评价委托书，</w:t>
      </w:r>
      <w:r>
        <w:rPr>
          <w:rFonts w:hint="eastAsia" w:ascii="宋体" w:hAnsi="宋体" w:eastAsia="宋体" w:cs="宋体"/>
          <w:bCs/>
          <w:color w:val="000000" w:themeColor="text1"/>
          <w:sz w:val="24"/>
          <w:szCs w:val="24"/>
          <w:highlight w:val="none"/>
          <w14:textFill>
            <w14:solidFill>
              <w14:schemeClr w14:val="tx1"/>
            </w14:solidFill>
          </w14:textFill>
        </w:rPr>
        <w:t>202</w:t>
      </w:r>
      <w:r>
        <w:rPr>
          <w:rFonts w:hint="eastAsia" w:ascii="宋体" w:hAnsi="宋体" w:eastAsia="宋体" w:cs="宋体"/>
          <w:bCs/>
          <w:color w:val="000000" w:themeColor="text1"/>
          <w:sz w:val="24"/>
          <w:szCs w:val="24"/>
          <w:highlight w:val="none"/>
          <w:lang w:val="en-US" w:eastAsia="zh-CN"/>
          <w14:textFill>
            <w14:solidFill>
              <w14:schemeClr w14:val="tx1"/>
            </w14:solidFill>
          </w14:textFill>
        </w:rPr>
        <w:t>3</w:t>
      </w:r>
      <w:r>
        <w:rPr>
          <w:rFonts w:hint="eastAsia" w:ascii="宋体" w:hAnsi="宋体" w:eastAsia="宋体" w:cs="宋体"/>
          <w:bCs/>
          <w:color w:val="000000" w:themeColor="text1"/>
          <w:sz w:val="24"/>
          <w:szCs w:val="24"/>
          <w:highlight w:val="none"/>
          <w14:textFill>
            <w14:solidFill>
              <w14:schemeClr w14:val="tx1"/>
            </w14:solidFill>
          </w14:textFill>
        </w:rPr>
        <w:t>年</w:t>
      </w:r>
      <w:r>
        <w:rPr>
          <w:rFonts w:hint="eastAsia" w:ascii="宋体" w:hAnsi="宋体" w:eastAsia="宋体" w:cs="宋体"/>
          <w:bCs/>
          <w:color w:val="000000" w:themeColor="text1"/>
          <w:sz w:val="24"/>
          <w:szCs w:val="24"/>
          <w:highlight w:val="none"/>
          <w:lang w:val="en-US" w:eastAsia="zh-CN"/>
          <w14:textFill>
            <w14:solidFill>
              <w14:schemeClr w14:val="tx1"/>
            </w14:solidFill>
          </w14:textFill>
        </w:rPr>
        <w:t>4</w:t>
      </w:r>
      <w:r>
        <w:rPr>
          <w:rFonts w:hint="eastAsia" w:ascii="宋体" w:hAnsi="宋体" w:eastAsia="宋体" w:cs="宋体"/>
          <w:bCs/>
          <w:color w:val="000000" w:themeColor="text1"/>
          <w:sz w:val="24"/>
          <w:szCs w:val="24"/>
          <w:highlight w:val="none"/>
          <w14:textFill>
            <w14:solidFill>
              <w14:schemeClr w14:val="tx1"/>
            </w14:solidFill>
          </w14:textFill>
        </w:rPr>
        <w:t>月；</w:t>
      </w:r>
    </w:p>
    <w:p>
      <w:pPr>
        <w:keepNext w:val="0"/>
        <w:keepLines w:val="0"/>
        <w:pageBreakBefore w:val="0"/>
        <w:kinsoku/>
        <w:wordWrap/>
        <w:overflowPunct/>
        <w:topLinePunct w:val="0"/>
        <w:bidi w:val="0"/>
        <w:snapToGrid/>
        <w:spacing w:line="360" w:lineRule="auto"/>
        <w:ind w:firstLine="480" w:firstLineChars="200"/>
        <w:jc w:val="both"/>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w:t>
      </w:r>
      <w:r>
        <w:rPr>
          <w:rFonts w:hint="eastAsia" w:ascii="宋体" w:hAnsi="宋体" w:eastAsia="宋体" w:cs="宋体"/>
          <w:color w:val="000000" w:themeColor="text1"/>
          <w:sz w:val="24"/>
          <w:szCs w:val="24"/>
          <w:highlight w:val="none"/>
          <w:lang w:val="en-US" w:eastAsia="zh-CN"/>
          <w14:textFill>
            <w14:solidFill>
              <w14:schemeClr w14:val="tx1"/>
            </w14:solidFill>
          </w14:textFill>
        </w:rPr>
        <w:t>株洲市天元区</w:t>
      </w:r>
      <w:r>
        <w:rPr>
          <w:rFonts w:hint="eastAsia" w:ascii="宋体" w:hAnsi="宋体" w:eastAsia="宋体" w:cs="宋体"/>
          <w:color w:val="000000" w:themeColor="text1"/>
          <w:sz w:val="24"/>
          <w:szCs w:val="24"/>
          <w:highlight w:val="none"/>
          <w14:textFill>
            <w14:solidFill>
              <w14:schemeClr w14:val="tx1"/>
            </w14:solidFill>
          </w14:textFill>
        </w:rPr>
        <w:t>发展和改革委员会《</w:t>
      </w:r>
      <w:r>
        <w:rPr>
          <w:rFonts w:hint="eastAsia" w:ascii="宋体" w:hAnsi="宋体" w:eastAsia="宋体" w:cs="宋体"/>
          <w:color w:val="000000" w:themeColor="text1"/>
          <w:sz w:val="24"/>
          <w:szCs w:val="24"/>
          <w:highlight w:val="none"/>
          <w:lang w:eastAsia="zh-CN"/>
          <w14:textFill>
            <w14:solidFill>
              <w14:schemeClr w14:val="tx1"/>
            </w14:solidFill>
          </w14:textFill>
        </w:rPr>
        <w:t>关于株洲市绝缘材料有限责任公司</w:t>
      </w:r>
      <w:r>
        <w:rPr>
          <w:rFonts w:hint="eastAsia" w:ascii="宋体" w:hAnsi="宋体" w:eastAsia="宋体" w:cs="宋体"/>
          <w:color w:val="000000" w:themeColor="text1"/>
          <w:kern w:val="0"/>
          <w:sz w:val="24"/>
          <w:szCs w:val="24"/>
          <w:lang w:val="en-US" w:eastAsia="zh-CN" w:bidi="ar"/>
          <w14:textFill>
            <w14:solidFill>
              <w14:schemeClr w14:val="tx1"/>
            </w14:solidFill>
          </w14:textFill>
        </w:rPr>
        <w:t>高性能电子级聚酰亚胺薄膜项目</w:t>
      </w:r>
      <w:r>
        <w:rPr>
          <w:rFonts w:hint="eastAsia" w:ascii="宋体" w:hAnsi="宋体" w:eastAsia="宋体" w:cs="宋体"/>
          <w:color w:val="000000" w:themeColor="text1"/>
          <w:sz w:val="24"/>
          <w:szCs w:val="24"/>
          <w:highlight w:val="none"/>
          <w14:textFill>
            <w14:solidFill>
              <w14:schemeClr w14:val="tx1"/>
            </w14:solidFill>
          </w14:textFill>
        </w:rPr>
        <w:t>预审赋码</w:t>
      </w:r>
      <w:r>
        <w:rPr>
          <w:rFonts w:hint="eastAsia" w:ascii="宋体" w:hAnsi="宋体" w:eastAsia="宋体" w:cs="宋体"/>
          <w:color w:val="000000" w:themeColor="text1"/>
          <w:sz w:val="24"/>
          <w:szCs w:val="24"/>
          <w:highlight w:val="none"/>
          <w:lang w:val="en-US" w:eastAsia="zh-CN"/>
          <w14:textFill>
            <w14:solidFill>
              <w14:schemeClr w14:val="tx1"/>
            </w14:solidFill>
          </w14:textFill>
        </w:rPr>
        <w:t>备案证明</w:t>
      </w: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eastAsia="zh-CN"/>
          <w14:textFill>
            <w14:solidFill>
              <w14:schemeClr w14:val="tx1"/>
            </w14:solidFill>
          </w14:textFill>
        </w:rPr>
        <w:t>赋码</w:t>
      </w: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2207-340100-04-02-382128</w:t>
      </w:r>
      <w:r>
        <w:rPr>
          <w:rFonts w:hint="eastAsia" w:ascii="宋体" w:hAnsi="宋体" w:eastAsia="宋体" w:cs="宋体"/>
          <w:color w:val="000000" w:themeColor="text1"/>
          <w:sz w:val="24"/>
          <w:szCs w:val="24"/>
          <w:highlight w:val="none"/>
          <w14:textFill>
            <w14:solidFill>
              <w14:schemeClr w14:val="tx1"/>
            </w14:solidFill>
          </w14:textFill>
        </w:rPr>
        <w:t>），202</w:t>
      </w:r>
      <w:r>
        <w:rPr>
          <w:rFonts w:hint="eastAsia" w:ascii="宋体" w:hAnsi="宋体" w:eastAsia="宋体" w:cs="宋体"/>
          <w:color w:val="000000" w:themeColor="text1"/>
          <w:sz w:val="24"/>
          <w:szCs w:val="24"/>
          <w:highlight w:val="none"/>
          <w:lang w:val="en-US" w:eastAsia="zh-CN"/>
          <w14:textFill>
            <w14:solidFill>
              <w14:schemeClr w14:val="tx1"/>
            </w14:solidFill>
          </w14:textFill>
        </w:rPr>
        <w:t>2</w:t>
      </w:r>
      <w:r>
        <w:rPr>
          <w:rFonts w:hint="eastAsia" w:ascii="宋体" w:hAnsi="宋体" w:eastAsia="宋体" w:cs="宋体"/>
          <w:color w:val="000000" w:themeColor="text1"/>
          <w:sz w:val="24"/>
          <w:szCs w:val="24"/>
          <w:highlight w:val="none"/>
          <w14:textFill>
            <w14:solidFill>
              <w14:schemeClr w14:val="tx1"/>
            </w14:solidFill>
          </w14:textFill>
        </w:rPr>
        <w:t>年</w:t>
      </w:r>
      <w:r>
        <w:rPr>
          <w:rFonts w:hint="eastAsia" w:ascii="宋体" w:hAnsi="宋体" w:eastAsia="宋体" w:cs="宋体"/>
          <w:color w:val="000000" w:themeColor="text1"/>
          <w:sz w:val="24"/>
          <w:szCs w:val="24"/>
          <w:highlight w:val="none"/>
          <w:lang w:val="en-US" w:eastAsia="zh-CN"/>
          <w14:textFill>
            <w14:solidFill>
              <w14:schemeClr w14:val="tx1"/>
            </w14:solidFill>
          </w14:textFill>
        </w:rPr>
        <w:t>1</w:t>
      </w:r>
      <w:r>
        <w:rPr>
          <w:rFonts w:hint="eastAsia" w:ascii="宋体" w:hAnsi="宋体" w:eastAsia="宋体" w:cs="宋体"/>
          <w:color w:val="000000" w:themeColor="text1"/>
          <w:sz w:val="24"/>
          <w:szCs w:val="24"/>
          <w:highlight w:val="none"/>
          <w14:textFill>
            <w14:solidFill>
              <w14:schemeClr w14:val="tx1"/>
            </w14:solidFill>
          </w14:textFill>
        </w:rPr>
        <w:t>月</w:t>
      </w:r>
      <w:r>
        <w:rPr>
          <w:rFonts w:hint="eastAsia" w:ascii="宋体" w:hAnsi="宋体" w:eastAsia="宋体" w:cs="宋体"/>
          <w:color w:val="000000" w:themeColor="text1"/>
          <w:sz w:val="24"/>
          <w:szCs w:val="24"/>
          <w:highlight w:val="none"/>
          <w:lang w:val="en-US" w:eastAsia="zh-CN"/>
          <w14:textFill>
            <w14:solidFill>
              <w14:schemeClr w14:val="tx1"/>
            </w14:solidFill>
          </w14:textFill>
        </w:rPr>
        <w:t>5</w:t>
      </w:r>
      <w:r>
        <w:rPr>
          <w:rFonts w:hint="eastAsia" w:ascii="宋体" w:hAnsi="宋体" w:eastAsia="宋体" w:cs="宋体"/>
          <w:color w:val="000000" w:themeColor="text1"/>
          <w:sz w:val="24"/>
          <w:szCs w:val="24"/>
          <w:highlight w:val="none"/>
          <w14:textFill>
            <w14:solidFill>
              <w14:schemeClr w14:val="tx1"/>
            </w14:solidFill>
          </w14:textFill>
        </w:rPr>
        <w:t>日；</w:t>
      </w:r>
    </w:p>
    <w:p>
      <w:pPr>
        <w:keepNext w:val="0"/>
        <w:keepLines w:val="0"/>
        <w:pageBreakBefore w:val="0"/>
        <w:kinsoku/>
        <w:wordWrap/>
        <w:overflowPunct/>
        <w:topLinePunct w:val="0"/>
        <w:bidi w:val="0"/>
        <w:snapToGrid/>
        <w:spacing w:line="360" w:lineRule="auto"/>
        <w:ind w:firstLine="480" w:firstLineChars="200"/>
        <w:jc w:val="both"/>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3</w:t>
      </w:r>
      <w:r>
        <w:rPr>
          <w:rFonts w:hint="eastAsia" w:ascii="宋体" w:hAnsi="宋体" w:eastAsia="宋体" w:cs="宋体"/>
          <w:color w:val="000000" w:themeColor="text1"/>
          <w:sz w:val="24"/>
          <w:szCs w:val="24"/>
          <w:highlight w:val="none"/>
          <w:lang w:eastAsia="zh-CN"/>
          <w14:textFill>
            <w14:solidFill>
              <w14:schemeClr w14:val="tx1"/>
            </w14:solidFill>
          </w14:textFill>
        </w:rPr>
        <w:t>）株洲市绝缘材料有限责任公司</w:t>
      </w:r>
      <w:r>
        <w:rPr>
          <w:rFonts w:hint="eastAsia" w:ascii="宋体" w:hAnsi="宋体" w:eastAsia="宋体" w:cs="宋体"/>
          <w:color w:val="000000" w:themeColor="text1"/>
          <w:sz w:val="24"/>
          <w:szCs w:val="24"/>
          <w:highlight w:val="none"/>
          <w14:textFill>
            <w14:solidFill>
              <w14:schemeClr w14:val="tx1"/>
            </w14:solidFill>
          </w14:textFill>
        </w:rPr>
        <w:t>提供的其他基础和设计技术资料。</w:t>
      </w:r>
    </w:p>
    <w:p>
      <w:pPr>
        <w:pStyle w:val="7"/>
        <w:keepNext w:val="0"/>
        <w:keepLines w:val="0"/>
        <w:pageBreakBefore w:val="0"/>
        <w:kinsoku/>
        <w:wordWrap/>
        <w:overflowPunct/>
        <w:topLinePunct w:val="0"/>
        <w:bidi w:val="0"/>
        <w:snapToGrid/>
        <w:spacing w:line="360" w:lineRule="auto"/>
        <w:ind w:firstLine="482" w:firstLineChars="200"/>
        <w:textAlignment w:val="auto"/>
        <w:rPr>
          <w:rFonts w:hint="eastAsia" w:ascii="宋体" w:hAnsi="宋体" w:eastAsia="宋体" w:cs="宋体"/>
          <w:bCs/>
          <w:color w:val="000000" w:themeColor="text1"/>
          <w:sz w:val="24"/>
          <w:szCs w:val="24"/>
          <w:highlight w:val="none"/>
          <w:lang w:eastAsia="zh-CN"/>
          <w14:textFill>
            <w14:solidFill>
              <w14:schemeClr w14:val="tx1"/>
            </w14:solidFill>
          </w14:textFill>
        </w:rPr>
      </w:pPr>
      <w:bookmarkStart w:id="119" w:name="_Toc326605932"/>
      <w:bookmarkStart w:id="120" w:name="_Toc12389_WPSOffice_Level2"/>
      <w:bookmarkStart w:id="121" w:name="_Toc326606432"/>
      <w:bookmarkStart w:id="122" w:name="_Toc8839"/>
      <w:bookmarkStart w:id="123" w:name="_Toc326604194"/>
      <w:bookmarkStart w:id="124" w:name="_Toc28477"/>
      <w:bookmarkStart w:id="125" w:name="_Toc25416"/>
      <w:bookmarkStart w:id="126" w:name="_Toc25036_WPSOffice_Level2"/>
      <w:bookmarkStart w:id="127" w:name="_Toc13918"/>
      <w:bookmarkStart w:id="128" w:name="_Toc10080_WPSOffice_Level2"/>
      <w:bookmarkStart w:id="129" w:name="_Toc10185"/>
      <w:bookmarkStart w:id="130" w:name="_Toc252347639"/>
      <w:bookmarkStart w:id="131" w:name="_Toc7514"/>
      <w:bookmarkStart w:id="132" w:name="_Toc15914"/>
      <w:bookmarkStart w:id="133" w:name="_Toc326604729"/>
      <w:bookmarkStart w:id="134" w:name="_Toc21166"/>
      <w:bookmarkStart w:id="135" w:name="_Toc14999"/>
      <w:r>
        <w:rPr>
          <w:rFonts w:hint="eastAsia" w:ascii="宋体" w:hAnsi="宋体" w:eastAsia="宋体" w:cs="宋体"/>
          <w:bCs/>
          <w:color w:val="000000" w:themeColor="text1"/>
          <w:sz w:val="24"/>
          <w:szCs w:val="24"/>
          <w:highlight w:val="none"/>
          <w:lang w:val="en-US" w:eastAsia="zh-CN"/>
          <w14:textFill>
            <w14:solidFill>
              <w14:schemeClr w14:val="tx1"/>
            </w14:solidFill>
          </w14:textFill>
        </w:rPr>
        <w:t>2.</w:t>
      </w:r>
      <w:r>
        <w:rPr>
          <w:rFonts w:hint="eastAsia" w:ascii="宋体" w:hAnsi="宋体" w:eastAsia="宋体" w:cs="宋体"/>
          <w:bCs/>
          <w:color w:val="000000" w:themeColor="text1"/>
          <w:sz w:val="24"/>
          <w:szCs w:val="24"/>
          <w:highlight w:val="none"/>
          <w:lang w:eastAsia="zh-CN"/>
          <w14:textFill>
            <w14:solidFill>
              <w14:schemeClr w14:val="tx1"/>
            </w14:solidFill>
          </w14:textFill>
        </w:rPr>
        <w:t>2评价因子与评价标准</w:t>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pPr>
        <w:pStyle w:val="8"/>
        <w:keepNext w:val="0"/>
        <w:keepLines w:val="0"/>
        <w:pageBreakBefore w:val="0"/>
        <w:kinsoku/>
        <w:wordWrap/>
        <w:overflowPunct/>
        <w:topLinePunct w:val="0"/>
        <w:bidi w:val="0"/>
        <w:snapToGrid/>
        <w:spacing w:line="360" w:lineRule="auto"/>
        <w:ind w:firstLine="482" w:firstLineChars="200"/>
        <w:textAlignment w:val="auto"/>
        <w:rPr>
          <w:rFonts w:hint="eastAsia" w:ascii="宋体" w:hAnsi="宋体" w:eastAsia="宋体" w:cs="宋体"/>
          <w:bCs/>
          <w:color w:val="000000" w:themeColor="text1"/>
          <w:sz w:val="24"/>
          <w:szCs w:val="24"/>
          <w:highlight w:val="none"/>
          <w:lang w:eastAsia="zh-CN"/>
          <w14:textFill>
            <w14:solidFill>
              <w14:schemeClr w14:val="tx1"/>
            </w14:solidFill>
          </w14:textFill>
        </w:rPr>
      </w:pPr>
      <w:bookmarkStart w:id="136" w:name="_Toc17349"/>
      <w:bookmarkStart w:id="137" w:name="_Toc12418"/>
      <w:bookmarkStart w:id="138" w:name="_Toc25246"/>
      <w:bookmarkStart w:id="139" w:name="_Toc12914"/>
      <w:bookmarkStart w:id="140" w:name="_Toc8580"/>
      <w:bookmarkStart w:id="141" w:name="_Toc8382"/>
      <w:bookmarkStart w:id="142" w:name="_Toc26875"/>
      <w:r>
        <w:rPr>
          <w:rFonts w:hint="eastAsia" w:ascii="宋体" w:hAnsi="宋体" w:eastAsia="宋体" w:cs="宋体"/>
          <w:bCs/>
          <w:color w:val="000000" w:themeColor="text1"/>
          <w:sz w:val="24"/>
          <w:szCs w:val="24"/>
          <w:highlight w:val="none"/>
          <w:lang w:val="en-US" w:eastAsia="zh-CN"/>
          <w14:textFill>
            <w14:solidFill>
              <w14:schemeClr w14:val="tx1"/>
            </w14:solidFill>
          </w14:textFill>
        </w:rPr>
        <w:t>2.</w:t>
      </w:r>
      <w:r>
        <w:rPr>
          <w:rFonts w:hint="eastAsia" w:ascii="宋体" w:hAnsi="宋体" w:eastAsia="宋体" w:cs="宋体"/>
          <w:bCs/>
          <w:color w:val="000000" w:themeColor="text1"/>
          <w:sz w:val="24"/>
          <w:szCs w:val="24"/>
          <w:highlight w:val="none"/>
          <w:lang w:eastAsia="zh-CN"/>
          <w14:textFill>
            <w14:solidFill>
              <w14:schemeClr w14:val="tx1"/>
            </w14:solidFill>
          </w14:textFill>
        </w:rPr>
        <w:t>2.1环境影响识别</w:t>
      </w:r>
      <w:bookmarkEnd w:id="136"/>
      <w:bookmarkEnd w:id="137"/>
      <w:bookmarkEnd w:id="138"/>
      <w:bookmarkEnd w:id="139"/>
      <w:bookmarkEnd w:id="140"/>
      <w:bookmarkEnd w:id="141"/>
      <w:bookmarkEnd w:id="142"/>
    </w:p>
    <w:p>
      <w:pPr>
        <w:keepNext w:val="0"/>
        <w:keepLines w:val="0"/>
        <w:pageBreakBefore w:val="0"/>
        <w:widowControl w:val="0"/>
        <w:kinsoku/>
        <w:wordWrap/>
        <w:overflowPunct/>
        <w:topLinePunct w:val="0"/>
        <w:bidi w:val="0"/>
        <w:snapToGrid/>
        <w:spacing w:line="360" w:lineRule="auto"/>
        <w:ind w:firstLine="480" w:firstLineChars="200"/>
        <w:jc w:val="both"/>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根据拟建项目的工程特点，通过初步分析识别环境因素，并依据污染物排放量的大小等，筛选本评价的各项评价因子汇总见下表。</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0" w:firstLineChars="0"/>
        <w:jc w:val="center"/>
        <w:textAlignment w:val="auto"/>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表2</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.1</w:t>
      </w:r>
      <w:r>
        <w:rPr>
          <w:rFonts w:hint="eastAsia" w:ascii="宋体" w:hAnsi="宋体" w:eastAsia="宋体" w:cs="宋体"/>
          <w:b/>
          <w:bCs/>
          <w:color w:val="000000" w:themeColor="text1"/>
          <w:sz w:val="24"/>
          <w:szCs w:val="24"/>
          <w:highlight w:val="none"/>
          <w14:textFill>
            <w14:solidFill>
              <w14:schemeClr w14:val="tx1"/>
            </w14:solidFill>
          </w14:textFill>
        </w:rPr>
        <w:t>-1项目环境影响识别汇总表</w:t>
      </w:r>
    </w:p>
    <w:tbl>
      <w:tblPr>
        <w:tblStyle w:val="30"/>
        <w:tblW w:w="5018"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0" w:type="dxa"/>
          <w:bottom w:w="0" w:type="dxa"/>
          <w:right w:w="0" w:type="dxa"/>
        </w:tblCellMar>
      </w:tblPr>
      <w:tblGrid>
        <w:gridCol w:w="448"/>
        <w:gridCol w:w="930"/>
        <w:gridCol w:w="569"/>
        <w:gridCol w:w="569"/>
        <w:gridCol w:w="569"/>
        <w:gridCol w:w="569"/>
        <w:gridCol w:w="487"/>
        <w:gridCol w:w="569"/>
        <w:gridCol w:w="569"/>
        <w:gridCol w:w="560"/>
        <w:gridCol w:w="897"/>
        <w:gridCol w:w="757"/>
        <w:gridCol w:w="473"/>
        <w:gridCol w:w="514"/>
        <w:gridCol w:w="571"/>
        <w:gridCol w:w="52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9" w:hRule="atLeast"/>
        </w:trPr>
        <w:tc>
          <w:tcPr>
            <w:tcW w:w="719" w:type="pct"/>
            <w:gridSpan w:val="2"/>
            <w:vMerge w:val="restar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影响受体</w:t>
            </w:r>
          </w:p>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影响因素</w:t>
            </w:r>
          </w:p>
        </w:tc>
        <w:tc>
          <w:tcPr>
            <w:tcW w:w="1442" w:type="pct"/>
            <w:gridSpan w:val="5"/>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自然环境</w:t>
            </w:r>
          </w:p>
        </w:tc>
        <w:tc>
          <w:tcPr>
            <w:tcW w:w="1354" w:type="pct"/>
            <w:gridSpan w:val="4"/>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生态环境</w:t>
            </w:r>
          </w:p>
        </w:tc>
        <w:tc>
          <w:tcPr>
            <w:tcW w:w="1483" w:type="pct"/>
            <w:gridSpan w:val="5"/>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社会环境</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79" w:hRule="atLeast"/>
        </w:trPr>
        <w:tc>
          <w:tcPr>
            <w:tcW w:w="719" w:type="pct"/>
            <w:gridSpan w:val="2"/>
            <w:vMerge w:val="continue"/>
            <w:tcBorders>
              <w:tl2br w:val="nil"/>
              <w:tr2bl w:val="nil"/>
            </w:tcBorders>
            <w:noWrap w:val="0"/>
            <w:vAlign w:val="center"/>
          </w:tcPr>
          <w:p>
            <w:pPr>
              <w:jc w:val="center"/>
              <w:rPr>
                <w:rFonts w:hint="eastAsia" w:ascii="宋体" w:hAnsi="宋体" w:eastAsia="宋体" w:cs="宋体"/>
                <w:color w:val="000000" w:themeColor="text1"/>
                <w:sz w:val="21"/>
                <w:szCs w:val="21"/>
                <w14:textFill>
                  <w14:solidFill>
                    <w14:schemeClr w14:val="tx1"/>
                  </w14:solidFill>
                </w14:textFill>
              </w:rPr>
            </w:pPr>
          </w:p>
        </w:tc>
        <w:tc>
          <w:tcPr>
            <w:tcW w:w="297"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环境空气</w:t>
            </w:r>
          </w:p>
        </w:tc>
        <w:tc>
          <w:tcPr>
            <w:tcW w:w="297"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地表水环</w:t>
            </w:r>
          </w:p>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境</w:t>
            </w:r>
          </w:p>
        </w:tc>
        <w:tc>
          <w:tcPr>
            <w:tcW w:w="297"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地下水环</w:t>
            </w:r>
          </w:p>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境</w:t>
            </w:r>
          </w:p>
        </w:tc>
        <w:tc>
          <w:tcPr>
            <w:tcW w:w="297"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土壤环境</w:t>
            </w:r>
          </w:p>
        </w:tc>
        <w:tc>
          <w:tcPr>
            <w:tcW w:w="254"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声环境</w:t>
            </w:r>
          </w:p>
        </w:tc>
        <w:tc>
          <w:tcPr>
            <w:tcW w:w="297"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陆域生物</w:t>
            </w:r>
          </w:p>
        </w:tc>
        <w:tc>
          <w:tcPr>
            <w:tcW w:w="297"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水生生物</w:t>
            </w:r>
          </w:p>
        </w:tc>
        <w:tc>
          <w:tcPr>
            <w:tcW w:w="292"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渔业资源</w:t>
            </w:r>
          </w:p>
        </w:tc>
        <w:tc>
          <w:tcPr>
            <w:tcW w:w="467"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主要生态保护区域</w:t>
            </w:r>
          </w:p>
        </w:tc>
        <w:tc>
          <w:tcPr>
            <w:tcW w:w="395"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农业与土地利</w:t>
            </w:r>
          </w:p>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用</w:t>
            </w:r>
          </w:p>
        </w:tc>
        <w:tc>
          <w:tcPr>
            <w:tcW w:w="247"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居民区</w:t>
            </w:r>
          </w:p>
        </w:tc>
        <w:tc>
          <w:tcPr>
            <w:tcW w:w="268"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特定保护</w:t>
            </w:r>
          </w:p>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区</w:t>
            </w:r>
          </w:p>
        </w:tc>
        <w:tc>
          <w:tcPr>
            <w:tcW w:w="298"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人群健康</w:t>
            </w:r>
          </w:p>
        </w:tc>
        <w:tc>
          <w:tcPr>
            <w:tcW w:w="274"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环境规划</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9" w:hRule="atLeast"/>
        </w:trPr>
        <w:tc>
          <w:tcPr>
            <w:tcW w:w="234" w:type="pct"/>
            <w:vMerge w:val="restar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施工期</w:t>
            </w:r>
          </w:p>
        </w:tc>
        <w:tc>
          <w:tcPr>
            <w:tcW w:w="485"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施工废</w:t>
            </w:r>
          </w:p>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（污）水</w:t>
            </w:r>
          </w:p>
        </w:tc>
        <w:tc>
          <w:tcPr>
            <w:tcW w:w="297"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0</w:t>
            </w:r>
          </w:p>
        </w:tc>
        <w:tc>
          <w:tcPr>
            <w:tcW w:w="297"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-1S</w:t>
            </w:r>
          </w:p>
        </w:tc>
        <w:tc>
          <w:tcPr>
            <w:tcW w:w="297"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-1S</w:t>
            </w:r>
          </w:p>
        </w:tc>
        <w:tc>
          <w:tcPr>
            <w:tcW w:w="297"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-1S</w:t>
            </w:r>
          </w:p>
        </w:tc>
        <w:tc>
          <w:tcPr>
            <w:tcW w:w="254"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0</w:t>
            </w:r>
          </w:p>
        </w:tc>
        <w:tc>
          <w:tcPr>
            <w:tcW w:w="297"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0</w:t>
            </w:r>
          </w:p>
        </w:tc>
        <w:tc>
          <w:tcPr>
            <w:tcW w:w="297"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0</w:t>
            </w:r>
          </w:p>
        </w:tc>
        <w:tc>
          <w:tcPr>
            <w:tcW w:w="292"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0</w:t>
            </w:r>
          </w:p>
        </w:tc>
        <w:tc>
          <w:tcPr>
            <w:tcW w:w="467"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0</w:t>
            </w:r>
          </w:p>
        </w:tc>
        <w:tc>
          <w:tcPr>
            <w:tcW w:w="395"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0</w:t>
            </w:r>
          </w:p>
        </w:tc>
        <w:tc>
          <w:tcPr>
            <w:tcW w:w="247"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0</w:t>
            </w:r>
          </w:p>
        </w:tc>
        <w:tc>
          <w:tcPr>
            <w:tcW w:w="268"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0</w:t>
            </w:r>
          </w:p>
        </w:tc>
        <w:tc>
          <w:tcPr>
            <w:tcW w:w="298"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0</w:t>
            </w:r>
          </w:p>
        </w:tc>
        <w:tc>
          <w:tcPr>
            <w:tcW w:w="274"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9" w:hRule="atLeast"/>
        </w:trPr>
        <w:tc>
          <w:tcPr>
            <w:tcW w:w="234" w:type="pct"/>
            <w:vMerge w:val="continue"/>
            <w:tcBorders>
              <w:tl2br w:val="nil"/>
              <w:tr2bl w:val="nil"/>
            </w:tcBorders>
            <w:noWrap w:val="0"/>
            <w:vAlign w:val="center"/>
          </w:tcPr>
          <w:p>
            <w:pPr>
              <w:jc w:val="center"/>
              <w:rPr>
                <w:rFonts w:hint="eastAsia" w:ascii="宋体" w:hAnsi="宋体" w:eastAsia="宋体" w:cs="宋体"/>
                <w:color w:val="000000" w:themeColor="text1"/>
                <w:sz w:val="21"/>
                <w:szCs w:val="21"/>
                <w14:textFill>
                  <w14:solidFill>
                    <w14:schemeClr w14:val="tx1"/>
                  </w14:solidFill>
                </w14:textFill>
              </w:rPr>
            </w:pPr>
          </w:p>
        </w:tc>
        <w:tc>
          <w:tcPr>
            <w:tcW w:w="485"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施工扬尘</w:t>
            </w:r>
          </w:p>
        </w:tc>
        <w:tc>
          <w:tcPr>
            <w:tcW w:w="297"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-1S</w:t>
            </w:r>
          </w:p>
        </w:tc>
        <w:tc>
          <w:tcPr>
            <w:tcW w:w="297"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0</w:t>
            </w:r>
          </w:p>
        </w:tc>
        <w:tc>
          <w:tcPr>
            <w:tcW w:w="297"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0</w:t>
            </w:r>
          </w:p>
        </w:tc>
        <w:tc>
          <w:tcPr>
            <w:tcW w:w="297"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0</w:t>
            </w:r>
          </w:p>
        </w:tc>
        <w:tc>
          <w:tcPr>
            <w:tcW w:w="254"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0</w:t>
            </w:r>
          </w:p>
        </w:tc>
        <w:tc>
          <w:tcPr>
            <w:tcW w:w="297"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0</w:t>
            </w:r>
          </w:p>
        </w:tc>
        <w:tc>
          <w:tcPr>
            <w:tcW w:w="297"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0</w:t>
            </w:r>
          </w:p>
        </w:tc>
        <w:tc>
          <w:tcPr>
            <w:tcW w:w="292"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0</w:t>
            </w:r>
          </w:p>
        </w:tc>
        <w:tc>
          <w:tcPr>
            <w:tcW w:w="467"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0</w:t>
            </w:r>
          </w:p>
        </w:tc>
        <w:tc>
          <w:tcPr>
            <w:tcW w:w="395"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0</w:t>
            </w:r>
          </w:p>
        </w:tc>
        <w:tc>
          <w:tcPr>
            <w:tcW w:w="247"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-1S</w:t>
            </w:r>
          </w:p>
        </w:tc>
        <w:tc>
          <w:tcPr>
            <w:tcW w:w="268"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0</w:t>
            </w:r>
          </w:p>
        </w:tc>
        <w:tc>
          <w:tcPr>
            <w:tcW w:w="298"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0</w:t>
            </w:r>
          </w:p>
        </w:tc>
        <w:tc>
          <w:tcPr>
            <w:tcW w:w="274"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9" w:hRule="atLeast"/>
        </w:trPr>
        <w:tc>
          <w:tcPr>
            <w:tcW w:w="234" w:type="pct"/>
            <w:vMerge w:val="continue"/>
            <w:tcBorders>
              <w:tl2br w:val="nil"/>
              <w:tr2bl w:val="nil"/>
            </w:tcBorders>
            <w:noWrap w:val="0"/>
            <w:vAlign w:val="center"/>
          </w:tcPr>
          <w:p>
            <w:pPr>
              <w:jc w:val="center"/>
              <w:rPr>
                <w:rFonts w:hint="eastAsia" w:ascii="宋体" w:hAnsi="宋体" w:eastAsia="宋体" w:cs="宋体"/>
                <w:color w:val="000000" w:themeColor="text1"/>
                <w:sz w:val="21"/>
                <w:szCs w:val="21"/>
                <w14:textFill>
                  <w14:solidFill>
                    <w14:schemeClr w14:val="tx1"/>
                  </w14:solidFill>
                </w14:textFill>
              </w:rPr>
            </w:pPr>
          </w:p>
        </w:tc>
        <w:tc>
          <w:tcPr>
            <w:tcW w:w="485"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施工噪声</w:t>
            </w:r>
          </w:p>
        </w:tc>
        <w:tc>
          <w:tcPr>
            <w:tcW w:w="297"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0</w:t>
            </w:r>
          </w:p>
        </w:tc>
        <w:tc>
          <w:tcPr>
            <w:tcW w:w="297"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0</w:t>
            </w:r>
          </w:p>
        </w:tc>
        <w:tc>
          <w:tcPr>
            <w:tcW w:w="297"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0</w:t>
            </w:r>
          </w:p>
        </w:tc>
        <w:tc>
          <w:tcPr>
            <w:tcW w:w="297"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0</w:t>
            </w:r>
          </w:p>
        </w:tc>
        <w:tc>
          <w:tcPr>
            <w:tcW w:w="254"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-1S</w:t>
            </w:r>
          </w:p>
        </w:tc>
        <w:tc>
          <w:tcPr>
            <w:tcW w:w="297"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0</w:t>
            </w:r>
          </w:p>
        </w:tc>
        <w:tc>
          <w:tcPr>
            <w:tcW w:w="297"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0</w:t>
            </w:r>
          </w:p>
        </w:tc>
        <w:tc>
          <w:tcPr>
            <w:tcW w:w="292"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0</w:t>
            </w:r>
          </w:p>
        </w:tc>
        <w:tc>
          <w:tcPr>
            <w:tcW w:w="467"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0</w:t>
            </w:r>
          </w:p>
        </w:tc>
        <w:tc>
          <w:tcPr>
            <w:tcW w:w="395"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0</w:t>
            </w:r>
          </w:p>
        </w:tc>
        <w:tc>
          <w:tcPr>
            <w:tcW w:w="247"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-1S</w:t>
            </w:r>
          </w:p>
        </w:tc>
        <w:tc>
          <w:tcPr>
            <w:tcW w:w="268"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0</w:t>
            </w:r>
          </w:p>
        </w:tc>
        <w:tc>
          <w:tcPr>
            <w:tcW w:w="298"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0</w:t>
            </w:r>
          </w:p>
        </w:tc>
        <w:tc>
          <w:tcPr>
            <w:tcW w:w="274"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9" w:hRule="atLeast"/>
        </w:trPr>
        <w:tc>
          <w:tcPr>
            <w:tcW w:w="234" w:type="pct"/>
            <w:vMerge w:val="restar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运行期</w:t>
            </w:r>
          </w:p>
        </w:tc>
        <w:tc>
          <w:tcPr>
            <w:tcW w:w="485"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废水排放</w:t>
            </w:r>
          </w:p>
        </w:tc>
        <w:tc>
          <w:tcPr>
            <w:tcW w:w="297"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0</w:t>
            </w:r>
          </w:p>
        </w:tc>
        <w:tc>
          <w:tcPr>
            <w:tcW w:w="297"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-1L</w:t>
            </w:r>
          </w:p>
        </w:tc>
        <w:tc>
          <w:tcPr>
            <w:tcW w:w="297"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-1L</w:t>
            </w:r>
          </w:p>
        </w:tc>
        <w:tc>
          <w:tcPr>
            <w:tcW w:w="297"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0</w:t>
            </w:r>
          </w:p>
        </w:tc>
        <w:tc>
          <w:tcPr>
            <w:tcW w:w="254"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0</w:t>
            </w:r>
          </w:p>
        </w:tc>
        <w:tc>
          <w:tcPr>
            <w:tcW w:w="297"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-1L</w:t>
            </w:r>
          </w:p>
        </w:tc>
        <w:tc>
          <w:tcPr>
            <w:tcW w:w="297"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-1L</w:t>
            </w:r>
          </w:p>
        </w:tc>
        <w:tc>
          <w:tcPr>
            <w:tcW w:w="292"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0</w:t>
            </w:r>
          </w:p>
        </w:tc>
        <w:tc>
          <w:tcPr>
            <w:tcW w:w="467"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0</w:t>
            </w:r>
          </w:p>
        </w:tc>
        <w:tc>
          <w:tcPr>
            <w:tcW w:w="395"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-1L</w:t>
            </w:r>
          </w:p>
        </w:tc>
        <w:tc>
          <w:tcPr>
            <w:tcW w:w="247"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0</w:t>
            </w:r>
          </w:p>
        </w:tc>
        <w:tc>
          <w:tcPr>
            <w:tcW w:w="268"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0</w:t>
            </w:r>
          </w:p>
        </w:tc>
        <w:tc>
          <w:tcPr>
            <w:tcW w:w="298"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-1L</w:t>
            </w:r>
          </w:p>
        </w:tc>
        <w:tc>
          <w:tcPr>
            <w:tcW w:w="274"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9" w:hRule="atLeast"/>
        </w:trPr>
        <w:tc>
          <w:tcPr>
            <w:tcW w:w="234" w:type="pct"/>
            <w:vMerge w:val="continue"/>
            <w:tcBorders>
              <w:tl2br w:val="nil"/>
              <w:tr2bl w:val="nil"/>
            </w:tcBorders>
            <w:noWrap w:val="0"/>
            <w:vAlign w:val="center"/>
          </w:tcPr>
          <w:p>
            <w:pPr>
              <w:jc w:val="center"/>
              <w:rPr>
                <w:rFonts w:hint="eastAsia" w:ascii="宋体" w:hAnsi="宋体" w:eastAsia="宋体" w:cs="宋体"/>
                <w:color w:val="000000" w:themeColor="text1"/>
                <w:sz w:val="21"/>
                <w:szCs w:val="21"/>
                <w14:textFill>
                  <w14:solidFill>
                    <w14:schemeClr w14:val="tx1"/>
                  </w14:solidFill>
                </w14:textFill>
              </w:rPr>
            </w:pPr>
          </w:p>
        </w:tc>
        <w:tc>
          <w:tcPr>
            <w:tcW w:w="485"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废气排放</w:t>
            </w:r>
          </w:p>
        </w:tc>
        <w:tc>
          <w:tcPr>
            <w:tcW w:w="297"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-2L</w:t>
            </w:r>
          </w:p>
        </w:tc>
        <w:tc>
          <w:tcPr>
            <w:tcW w:w="297"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0</w:t>
            </w:r>
          </w:p>
        </w:tc>
        <w:tc>
          <w:tcPr>
            <w:tcW w:w="297"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0</w:t>
            </w:r>
          </w:p>
        </w:tc>
        <w:tc>
          <w:tcPr>
            <w:tcW w:w="297"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0</w:t>
            </w:r>
          </w:p>
        </w:tc>
        <w:tc>
          <w:tcPr>
            <w:tcW w:w="254"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0</w:t>
            </w:r>
          </w:p>
        </w:tc>
        <w:tc>
          <w:tcPr>
            <w:tcW w:w="297"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-1L</w:t>
            </w:r>
          </w:p>
        </w:tc>
        <w:tc>
          <w:tcPr>
            <w:tcW w:w="297"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0</w:t>
            </w:r>
          </w:p>
        </w:tc>
        <w:tc>
          <w:tcPr>
            <w:tcW w:w="292"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0</w:t>
            </w:r>
          </w:p>
        </w:tc>
        <w:tc>
          <w:tcPr>
            <w:tcW w:w="467"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0</w:t>
            </w:r>
          </w:p>
        </w:tc>
        <w:tc>
          <w:tcPr>
            <w:tcW w:w="395"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0</w:t>
            </w:r>
          </w:p>
        </w:tc>
        <w:tc>
          <w:tcPr>
            <w:tcW w:w="247"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-2L</w:t>
            </w:r>
          </w:p>
        </w:tc>
        <w:tc>
          <w:tcPr>
            <w:tcW w:w="268"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0</w:t>
            </w:r>
          </w:p>
        </w:tc>
        <w:tc>
          <w:tcPr>
            <w:tcW w:w="298"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-2L</w:t>
            </w:r>
          </w:p>
        </w:tc>
        <w:tc>
          <w:tcPr>
            <w:tcW w:w="274"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9" w:hRule="atLeast"/>
        </w:trPr>
        <w:tc>
          <w:tcPr>
            <w:tcW w:w="234" w:type="pct"/>
            <w:vMerge w:val="continue"/>
            <w:tcBorders>
              <w:tl2br w:val="nil"/>
              <w:tr2bl w:val="nil"/>
            </w:tcBorders>
            <w:noWrap w:val="0"/>
            <w:vAlign w:val="center"/>
          </w:tcPr>
          <w:p>
            <w:pPr>
              <w:jc w:val="center"/>
              <w:rPr>
                <w:rFonts w:hint="eastAsia" w:ascii="宋体" w:hAnsi="宋体" w:eastAsia="宋体" w:cs="宋体"/>
                <w:color w:val="000000" w:themeColor="text1"/>
                <w:sz w:val="21"/>
                <w:szCs w:val="21"/>
                <w14:textFill>
                  <w14:solidFill>
                    <w14:schemeClr w14:val="tx1"/>
                  </w14:solidFill>
                </w14:textFill>
              </w:rPr>
            </w:pPr>
          </w:p>
        </w:tc>
        <w:tc>
          <w:tcPr>
            <w:tcW w:w="485"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噪声排放</w:t>
            </w:r>
          </w:p>
        </w:tc>
        <w:tc>
          <w:tcPr>
            <w:tcW w:w="297"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0</w:t>
            </w:r>
          </w:p>
        </w:tc>
        <w:tc>
          <w:tcPr>
            <w:tcW w:w="297"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0</w:t>
            </w:r>
          </w:p>
        </w:tc>
        <w:tc>
          <w:tcPr>
            <w:tcW w:w="297"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0</w:t>
            </w:r>
          </w:p>
        </w:tc>
        <w:tc>
          <w:tcPr>
            <w:tcW w:w="297"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0</w:t>
            </w:r>
          </w:p>
        </w:tc>
        <w:tc>
          <w:tcPr>
            <w:tcW w:w="254"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-1L</w:t>
            </w:r>
          </w:p>
        </w:tc>
        <w:tc>
          <w:tcPr>
            <w:tcW w:w="297"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0</w:t>
            </w:r>
          </w:p>
        </w:tc>
        <w:tc>
          <w:tcPr>
            <w:tcW w:w="297"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0</w:t>
            </w:r>
          </w:p>
        </w:tc>
        <w:tc>
          <w:tcPr>
            <w:tcW w:w="292"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0</w:t>
            </w:r>
          </w:p>
        </w:tc>
        <w:tc>
          <w:tcPr>
            <w:tcW w:w="467"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0</w:t>
            </w:r>
          </w:p>
        </w:tc>
        <w:tc>
          <w:tcPr>
            <w:tcW w:w="395"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0</w:t>
            </w:r>
          </w:p>
        </w:tc>
        <w:tc>
          <w:tcPr>
            <w:tcW w:w="247"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-1L</w:t>
            </w:r>
          </w:p>
        </w:tc>
        <w:tc>
          <w:tcPr>
            <w:tcW w:w="268"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0</w:t>
            </w:r>
          </w:p>
        </w:tc>
        <w:tc>
          <w:tcPr>
            <w:tcW w:w="298"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0</w:t>
            </w:r>
          </w:p>
        </w:tc>
        <w:tc>
          <w:tcPr>
            <w:tcW w:w="274"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4" w:hRule="atLeast"/>
        </w:trPr>
        <w:tc>
          <w:tcPr>
            <w:tcW w:w="234" w:type="pct"/>
            <w:vMerge w:val="continue"/>
            <w:tcBorders>
              <w:tl2br w:val="nil"/>
              <w:tr2bl w:val="nil"/>
            </w:tcBorders>
            <w:noWrap w:val="0"/>
            <w:vAlign w:val="center"/>
          </w:tcPr>
          <w:p>
            <w:pPr>
              <w:jc w:val="center"/>
              <w:rPr>
                <w:rFonts w:hint="eastAsia" w:ascii="宋体" w:hAnsi="宋体" w:eastAsia="宋体" w:cs="宋体"/>
                <w:color w:val="000000" w:themeColor="text1"/>
                <w:sz w:val="21"/>
                <w:szCs w:val="21"/>
                <w14:textFill>
                  <w14:solidFill>
                    <w14:schemeClr w14:val="tx1"/>
                  </w14:solidFill>
                </w14:textFill>
              </w:rPr>
            </w:pPr>
          </w:p>
        </w:tc>
        <w:tc>
          <w:tcPr>
            <w:tcW w:w="485"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固体废物</w:t>
            </w:r>
          </w:p>
        </w:tc>
        <w:tc>
          <w:tcPr>
            <w:tcW w:w="297"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0</w:t>
            </w:r>
          </w:p>
        </w:tc>
        <w:tc>
          <w:tcPr>
            <w:tcW w:w="297"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0</w:t>
            </w:r>
          </w:p>
        </w:tc>
        <w:tc>
          <w:tcPr>
            <w:tcW w:w="297"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-1L</w:t>
            </w:r>
          </w:p>
        </w:tc>
        <w:tc>
          <w:tcPr>
            <w:tcW w:w="297"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-2L</w:t>
            </w:r>
          </w:p>
        </w:tc>
        <w:tc>
          <w:tcPr>
            <w:tcW w:w="254"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0</w:t>
            </w:r>
          </w:p>
        </w:tc>
        <w:tc>
          <w:tcPr>
            <w:tcW w:w="297"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-1S</w:t>
            </w:r>
          </w:p>
        </w:tc>
        <w:tc>
          <w:tcPr>
            <w:tcW w:w="297"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0</w:t>
            </w:r>
          </w:p>
        </w:tc>
        <w:tc>
          <w:tcPr>
            <w:tcW w:w="292"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0</w:t>
            </w:r>
          </w:p>
        </w:tc>
        <w:tc>
          <w:tcPr>
            <w:tcW w:w="467"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0</w:t>
            </w:r>
          </w:p>
        </w:tc>
        <w:tc>
          <w:tcPr>
            <w:tcW w:w="395"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0</w:t>
            </w:r>
          </w:p>
        </w:tc>
        <w:tc>
          <w:tcPr>
            <w:tcW w:w="247"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0</w:t>
            </w:r>
          </w:p>
        </w:tc>
        <w:tc>
          <w:tcPr>
            <w:tcW w:w="268"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0</w:t>
            </w:r>
          </w:p>
        </w:tc>
        <w:tc>
          <w:tcPr>
            <w:tcW w:w="298"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-1S</w:t>
            </w:r>
          </w:p>
        </w:tc>
        <w:tc>
          <w:tcPr>
            <w:tcW w:w="274"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9" w:hRule="atLeast"/>
        </w:trPr>
        <w:tc>
          <w:tcPr>
            <w:tcW w:w="234" w:type="pct"/>
            <w:vMerge w:val="continue"/>
            <w:tcBorders>
              <w:tl2br w:val="nil"/>
              <w:tr2bl w:val="nil"/>
            </w:tcBorders>
            <w:noWrap w:val="0"/>
            <w:vAlign w:val="center"/>
          </w:tcPr>
          <w:p>
            <w:pPr>
              <w:jc w:val="center"/>
              <w:rPr>
                <w:rFonts w:hint="eastAsia" w:ascii="宋体" w:hAnsi="宋体" w:eastAsia="宋体" w:cs="宋体"/>
                <w:color w:val="000000" w:themeColor="text1"/>
                <w:sz w:val="21"/>
                <w:szCs w:val="21"/>
                <w14:textFill>
                  <w14:solidFill>
                    <w14:schemeClr w14:val="tx1"/>
                  </w14:solidFill>
                </w14:textFill>
              </w:rPr>
            </w:pPr>
          </w:p>
        </w:tc>
        <w:tc>
          <w:tcPr>
            <w:tcW w:w="485"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事故风险</w:t>
            </w:r>
          </w:p>
        </w:tc>
        <w:tc>
          <w:tcPr>
            <w:tcW w:w="297"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-1S</w:t>
            </w:r>
          </w:p>
        </w:tc>
        <w:tc>
          <w:tcPr>
            <w:tcW w:w="297"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-1S</w:t>
            </w:r>
          </w:p>
        </w:tc>
        <w:tc>
          <w:tcPr>
            <w:tcW w:w="297"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-1S</w:t>
            </w:r>
          </w:p>
        </w:tc>
        <w:tc>
          <w:tcPr>
            <w:tcW w:w="297"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-1S</w:t>
            </w:r>
          </w:p>
        </w:tc>
        <w:tc>
          <w:tcPr>
            <w:tcW w:w="254"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0</w:t>
            </w:r>
          </w:p>
        </w:tc>
        <w:tc>
          <w:tcPr>
            <w:tcW w:w="297"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-1S</w:t>
            </w:r>
          </w:p>
        </w:tc>
        <w:tc>
          <w:tcPr>
            <w:tcW w:w="297"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-1S</w:t>
            </w:r>
          </w:p>
        </w:tc>
        <w:tc>
          <w:tcPr>
            <w:tcW w:w="292"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-1S</w:t>
            </w:r>
          </w:p>
        </w:tc>
        <w:tc>
          <w:tcPr>
            <w:tcW w:w="467"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0</w:t>
            </w:r>
          </w:p>
        </w:tc>
        <w:tc>
          <w:tcPr>
            <w:tcW w:w="395"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0</w:t>
            </w:r>
          </w:p>
        </w:tc>
        <w:tc>
          <w:tcPr>
            <w:tcW w:w="247"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-1S</w:t>
            </w:r>
          </w:p>
        </w:tc>
        <w:tc>
          <w:tcPr>
            <w:tcW w:w="268"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0</w:t>
            </w:r>
          </w:p>
        </w:tc>
        <w:tc>
          <w:tcPr>
            <w:tcW w:w="298"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-1S</w:t>
            </w:r>
          </w:p>
        </w:tc>
        <w:tc>
          <w:tcPr>
            <w:tcW w:w="274"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0</w:t>
            </w:r>
          </w:p>
        </w:tc>
      </w:tr>
    </w:tbl>
    <w:p>
      <w:pPr>
        <w:pStyle w:val="3"/>
        <w:keepNext w:val="0"/>
        <w:keepLines w:val="0"/>
        <w:pageBreakBefore w:val="0"/>
        <w:widowControl w:val="0"/>
        <w:kinsoku/>
        <w:wordWrap/>
        <w:overflowPunct/>
        <w:topLinePunct w:val="0"/>
        <w:autoSpaceDE/>
        <w:autoSpaceDN/>
        <w:bidi w:val="0"/>
        <w:adjustRightInd/>
        <w:snapToGrid/>
        <w:spacing w:after="0" w:line="360" w:lineRule="auto"/>
        <w:ind w:left="0" w:right="0" w:firstLine="460" w:firstLineChars="20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5"/>
          <w14:textFill>
            <w14:solidFill>
              <w14:schemeClr w14:val="tx1"/>
            </w14:solidFill>
          </w14:textFill>
        </w:rPr>
        <w:t>说明：</w:t>
      </w:r>
      <w:r>
        <w:rPr>
          <w:rFonts w:hint="eastAsia" w:ascii="宋体" w:hAnsi="宋体" w:eastAsia="宋体" w:cs="宋体"/>
          <w:color w:val="000000" w:themeColor="text1"/>
          <w:spacing w:val="-13"/>
          <w14:textFill>
            <w14:solidFill>
              <w14:schemeClr w14:val="tx1"/>
            </w14:solidFill>
          </w14:textFill>
        </w:rPr>
        <w:t>“+”</w:t>
      </w:r>
      <w:r>
        <w:rPr>
          <w:rFonts w:hint="eastAsia" w:ascii="宋体" w:hAnsi="宋体" w:eastAsia="宋体" w:cs="宋体"/>
          <w:color w:val="000000" w:themeColor="text1"/>
          <w:spacing w:val="-44"/>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w:t>
      </w:r>
      <w:r>
        <w:rPr>
          <w:rFonts w:hint="eastAsia" w:ascii="宋体" w:hAnsi="宋体" w:eastAsia="宋体" w:cs="宋体"/>
          <w:color w:val="000000" w:themeColor="text1"/>
          <w:spacing w:val="-8"/>
          <w14:textFill>
            <w14:solidFill>
              <w14:schemeClr w14:val="tx1"/>
            </w14:solidFill>
          </w14:textFill>
        </w:rPr>
        <w:t>分别表示有利、不利影响；</w:t>
      </w:r>
      <w:r>
        <w:rPr>
          <w:rFonts w:hint="eastAsia" w:ascii="宋体" w:hAnsi="宋体" w:eastAsia="宋体" w:cs="宋体"/>
          <w:color w:val="000000" w:themeColor="text1"/>
          <w:spacing w:val="-13"/>
          <w14:textFill>
            <w14:solidFill>
              <w14:schemeClr w14:val="tx1"/>
            </w14:solidFill>
          </w14:textFill>
        </w:rPr>
        <w:t>“L”</w:t>
      </w:r>
      <w:r>
        <w:rPr>
          <w:rFonts w:hint="eastAsia" w:ascii="宋体" w:hAnsi="宋体" w:eastAsia="宋体" w:cs="宋体"/>
          <w:color w:val="000000" w:themeColor="text1"/>
          <w:spacing w:val="-44"/>
          <w14:textFill>
            <w14:solidFill>
              <w14:schemeClr w14:val="tx1"/>
            </w14:solidFill>
          </w14:textFill>
        </w:rPr>
        <w:t>、</w:t>
      </w:r>
      <w:r>
        <w:rPr>
          <w:rFonts w:hint="eastAsia" w:ascii="宋体" w:hAnsi="宋体" w:eastAsia="宋体" w:cs="宋体"/>
          <w:color w:val="000000" w:themeColor="text1"/>
          <w:spacing w:val="-3"/>
          <w14:textFill>
            <w14:solidFill>
              <w14:schemeClr w14:val="tx1"/>
            </w14:solidFill>
          </w14:textFill>
        </w:rPr>
        <w:t>“S”</w:t>
      </w:r>
      <w:r>
        <w:rPr>
          <w:rFonts w:hint="eastAsia" w:ascii="宋体" w:hAnsi="宋体" w:eastAsia="宋体" w:cs="宋体"/>
          <w:color w:val="000000" w:themeColor="text1"/>
          <w:spacing w:val="-7"/>
          <w14:textFill>
            <w14:solidFill>
              <w14:schemeClr w14:val="tx1"/>
            </w14:solidFill>
          </w14:textFill>
        </w:rPr>
        <w:t>分别表示长期、短期影响；</w:t>
      </w:r>
      <w:r>
        <w:rPr>
          <w:rFonts w:hint="eastAsia" w:ascii="宋体" w:hAnsi="宋体" w:eastAsia="宋体" w:cs="宋体"/>
          <w:color w:val="000000" w:themeColor="text1"/>
          <w:spacing w:val="-13"/>
          <w14:textFill>
            <w14:solidFill>
              <w14:schemeClr w14:val="tx1"/>
            </w14:solidFill>
          </w14:textFill>
        </w:rPr>
        <w:t>“0”</w:t>
      </w:r>
      <w:r>
        <w:rPr>
          <w:rFonts w:hint="eastAsia" w:ascii="宋体" w:hAnsi="宋体" w:eastAsia="宋体" w:cs="宋体"/>
          <w:color w:val="000000" w:themeColor="text1"/>
          <w14:textFill>
            <w14:solidFill>
              <w14:schemeClr w14:val="tx1"/>
            </w14:solidFill>
          </w14:textFill>
        </w:rPr>
        <w:t>至</w:t>
      </w:r>
      <w:r>
        <w:rPr>
          <w:rFonts w:hint="eastAsia" w:ascii="宋体" w:hAnsi="宋体" w:eastAsia="宋体" w:cs="宋体"/>
          <w:color w:val="000000" w:themeColor="text1"/>
          <w:spacing w:val="-3"/>
          <w14:textFill>
            <w14:solidFill>
              <w14:schemeClr w14:val="tx1"/>
            </w14:solidFill>
          </w14:textFill>
        </w:rPr>
        <w:t>“3”</w:t>
      </w:r>
      <w:r>
        <w:rPr>
          <w:rFonts w:hint="eastAsia" w:ascii="宋体" w:hAnsi="宋体" w:eastAsia="宋体" w:cs="宋体"/>
          <w:color w:val="000000" w:themeColor="text1"/>
          <w14:textFill>
            <w14:solidFill>
              <w14:schemeClr w14:val="tx1"/>
            </w14:solidFill>
          </w14:textFill>
        </w:rPr>
        <w:t>数值分别表示无影响、轻微影响、中等影响、重大影响。</w:t>
      </w:r>
    </w:p>
    <w:p>
      <w:pPr>
        <w:pStyle w:val="8"/>
        <w:keepNext w:val="0"/>
        <w:keepLines w:val="0"/>
        <w:pageBreakBefore w:val="0"/>
        <w:kinsoku/>
        <w:wordWrap/>
        <w:overflowPunct/>
        <w:topLinePunct w:val="0"/>
        <w:bidi w:val="0"/>
        <w:adjustRightInd/>
        <w:snapToGrid/>
        <w:spacing w:line="360" w:lineRule="auto"/>
        <w:ind w:firstLine="482" w:firstLineChars="200"/>
        <w:textAlignment w:val="auto"/>
        <w:rPr>
          <w:rFonts w:hint="eastAsia" w:ascii="宋体" w:hAnsi="宋体" w:eastAsia="宋体" w:cs="宋体"/>
          <w:bCs/>
          <w:color w:val="000000" w:themeColor="text1"/>
          <w:highlight w:val="none"/>
          <w:lang w:eastAsia="zh-CN"/>
          <w14:textFill>
            <w14:solidFill>
              <w14:schemeClr w14:val="tx1"/>
            </w14:solidFill>
          </w14:textFill>
        </w:rPr>
      </w:pPr>
      <w:bookmarkStart w:id="143" w:name="_Toc9986"/>
      <w:r>
        <w:rPr>
          <w:rFonts w:hint="eastAsia" w:ascii="宋体" w:hAnsi="宋体" w:eastAsia="宋体" w:cs="宋体"/>
          <w:bCs/>
          <w:color w:val="000000" w:themeColor="text1"/>
          <w:highlight w:val="none"/>
          <w:lang w:val="en-US" w:eastAsia="zh-CN"/>
          <w14:textFill>
            <w14:solidFill>
              <w14:schemeClr w14:val="tx1"/>
            </w14:solidFill>
          </w14:textFill>
        </w:rPr>
        <w:t>2.</w:t>
      </w:r>
      <w:r>
        <w:rPr>
          <w:rFonts w:hint="eastAsia" w:ascii="宋体" w:hAnsi="宋体" w:eastAsia="宋体" w:cs="宋体"/>
          <w:bCs/>
          <w:color w:val="000000" w:themeColor="text1"/>
          <w:highlight w:val="none"/>
          <w:lang w:eastAsia="zh-CN"/>
          <w14:textFill>
            <w14:solidFill>
              <w14:schemeClr w14:val="tx1"/>
            </w14:solidFill>
          </w14:textFill>
        </w:rPr>
        <w:t>2.2评价因子筛选</w:t>
      </w:r>
      <w:bookmarkEnd w:id="143"/>
    </w:p>
    <w:p>
      <w:pPr>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hint="eastAsia" w:ascii="宋体" w:hAnsi="宋体" w:eastAsia="宋体" w:cs="宋体"/>
          <w:color w:val="000000" w:themeColor="text1"/>
          <w:highlight w:val="none"/>
          <w14:textFill>
            <w14:solidFill>
              <w14:schemeClr w14:val="tx1"/>
            </w14:solidFill>
          </w14:textFill>
        </w:rPr>
      </w:pPr>
      <w:bookmarkStart w:id="144" w:name="_Toc326606008"/>
      <w:bookmarkStart w:id="145" w:name="_Toc326604811"/>
      <w:bookmarkStart w:id="146" w:name="_Toc329596371"/>
      <w:bookmarkStart w:id="147" w:name="_Toc326841905"/>
      <w:bookmarkStart w:id="148" w:name="_Toc327774633"/>
      <w:bookmarkStart w:id="149" w:name="_Toc326604276"/>
      <w:r>
        <w:rPr>
          <w:rFonts w:hint="eastAsia" w:ascii="宋体" w:hAnsi="宋体" w:eastAsia="宋体" w:cs="宋体"/>
          <w:color w:val="000000" w:themeColor="text1"/>
          <w:highlight w:val="none"/>
          <w14:textFill>
            <w14:solidFill>
              <w14:schemeClr w14:val="tx1"/>
            </w14:solidFill>
          </w14:textFill>
        </w:rPr>
        <w:t>拟建项目评价因子筛选结果见表2</w:t>
      </w:r>
      <w:r>
        <w:rPr>
          <w:rFonts w:hint="eastAsia" w:ascii="宋体" w:hAnsi="宋体" w:eastAsia="宋体" w:cs="宋体"/>
          <w:color w:val="000000" w:themeColor="text1"/>
          <w:highlight w:val="none"/>
          <w:lang w:val="en-US" w:eastAsia="zh-CN"/>
          <w14:textFill>
            <w14:solidFill>
              <w14:schemeClr w14:val="tx1"/>
            </w14:solidFill>
          </w14:textFill>
        </w:rPr>
        <w:t>.2</w:t>
      </w:r>
      <w:r>
        <w:rPr>
          <w:rFonts w:hint="eastAsia" w:ascii="宋体" w:hAnsi="宋体" w:eastAsia="宋体" w:cs="宋体"/>
          <w:color w:val="000000" w:themeColor="text1"/>
          <w:highlight w:val="none"/>
          <w14:textFill>
            <w14:solidFill>
              <w14:schemeClr w14:val="tx1"/>
            </w14:solidFill>
          </w14:textFill>
        </w:rPr>
        <w:t>-2所示。</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0" w:firstLineChars="0"/>
        <w:jc w:val="center"/>
        <w:textAlignment w:val="auto"/>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表2</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.2</w:t>
      </w:r>
      <w:r>
        <w:rPr>
          <w:rFonts w:hint="eastAsia" w:ascii="宋体" w:hAnsi="宋体" w:eastAsia="宋体" w:cs="宋体"/>
          <w:b/>
          <w:bCs/>
          <w:color w:val="000000" w:themeColor="text1"/>
          <w:sz w:val="24"/>
          <w:szCs w:val="24"/>
          <w:highlight w:val="none"/>
          <w14:textFill>
            <w14:solidFill>
              <w14:schemeClr w14:val="tx1"/>
            </w14:solidFill>
          </w14:textFill>
        </w:rPr>
        <w:t>-</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1</w:t>
      </w:r>
      <w:r>
        <w:rPr>
          <w:rFonts w:hint="eastAsia" w:ascii="宋体" w:hAnsi="宋体" w:eastAsia="宋体" w:cs="宋体"/>
          <w:b/>
          <w:bCs/>
          <w:color w:val="000000" w:themeColor="text1"/>
          <w:sz w:val="24"/>
          <w:szCs w:val="24"/>
          <w:highlight w:val="none"/>
          <w14:textFill>
            <w14:solidFill>
              <w14:schemeClr w14:val="tx1"/>
            </w14:solidFill>
          </w14:textFill>
        </w:rPr>
        <w:t>项目评价因子筛选结果一览表</w:t>
      </w:r>
    </w:p>
    <w:tbl>
      <w:tblPr>
        <w:tblStyle w:val="31"/>
        <w:tblW w:w="0" w:type="auto"/>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955"/>
        <w:gridCol w:w="4160"/>
        <w:gridCol w:w="2606"/>
        <w:gridCol w:w="202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955" w:type="dxa"/>
            <w:tcBorders>
              <w:tl2br w:val="nil"/>
              <w:tr2bl w:val="nil"/>
            </w:tcBorders>
            <w:vAlign w:val="center"/>
          </w:tcPr>
          <w:p>
            <w:pPr>
              <w:widowControl w:val="0"/>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项目</w:t>
            </w:r>
          </w:p>
        </w:tc>
        <w:tc>
          <w:tcPr>
            <w:tcW w:w="4160" w:type="dxa"/>
            <w:tcBorders>
              <w:tl2br w:val="nil"/>
              <w:tr2bl w:val="nil"/>
            </w:tcBorders>
            <w:vAlign w:val="center"/>
          </w:tcPr>
          <w:p>
            <w:pPr>
              <w:widowControl w:val="0"/>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现状评价因子</w:t>
            </w:r>
          </w:p>
        </w:tc>
        <w:tc>
          <w:tcPr>
            <w:tcW w:w="2606" w:type="dxa"/>
            <w:tcBorders>
              <w:tl2br w:val="nil"/>
              <w:tr2bl w:val="nil"/>
            </w:tcBorders>
            <w:vAlign w:val="center"/>
          </w:tcPr>
          <w:p>
            <w:pPr>
              <w:widowControl w:val="0"/>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预测评价因子</w:t>
            </w:r>
          </w:p>
        </w:tc>
        <w:tc>
          <w:tcPr>
            <w:tcW w:w="2020" w:type="dxa"/>
            <w:tcBorders>
              <w:tl2br w:val="nil"/>
              <w:tr2bl w:val="nil"/>
            </w:tcBorders>
            <w:vAlign w:val="center"/>
          </w:tcPr>
          <w:p>
            <w:pPr>
              <w:widowControl w:val="0"/>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总量控制因子</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955" w:type="dxa"/>
            <w:tcBorders>
              <w:tl2br w:val="nil"/>
              <w:tr2bl w:val="nil"/>
            </w:tcBorders>
            <w:vAlign w:val="center"/>
          </w:tcPr>
          <w:p>
            <w:pPr>
              <w:widowControl w:val="0"/>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大气</w:t>
            </w:r>
          </w:p>
        </w:tc>
        <w:tc>
          <w:tcPr>
            <w:tcW w:w="4160" w:type="dxa"/>
            <w:tcBorders>
              <w:tl2br w:val="nil"/>
              <w:tr2bl w:val="nil"/>
            </w:tcBorders>
            <w:vAlign w:val="center"/>
          </w:tcPr>
          <w:p>
            <w:pPr>
              <w:widowControl w:val="0"/>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常规：SO</w:t>
            </w:r>
            <w:r>
              <w:rPr>
                <w:rFonts w:hint="eastAsia" w:ascii="宋体" w:hAnsi="宋体" w:eastAsia="宋体" w:cs="宋体"/>
                <w:color w:val="000000" w:themeColor="text1"/>
                <w:sz w:val="21"/>
                <w:szCs w:val="21"/>
                <w:vertAlign w:val="subscript"/>
                <w:lang w:val="en-US" w:eastAsia="zh-CN"/>
                <w14:textFill>
                  <w14:solidFill>
                    <w14:schemeClr w14:val="tx1"/>
                  </w14:solidFill>
                </w14:textFill>
              </w:rPr>
              <w:t>2</w:t>
            </w:r>
            <w:r>
              <w:rPr>
                <w:rFonts w:hint="eastAsia" w:ascii="宋体" w:hAnsi="宋体" w:eastAsia="宋体" w:cs="宋体"/>
                <w:color w:val="000000" w:themeColor="text1"/>
                <w:sz w:val="21"/>
                <w:szCs w:val="21"/>
                <w:lang w:val="en-US" w:eastAsia="zh-CN"/>
                <w14:textFill>
                  <w14:solidFill>
                    <w14:schemeClr w14:val="tx1"/>
                  </w14:solidFill>
                </w14:textFill>
              </w:rPr>
              <w:t>、NO</w:t>
            </w:r>
            <w:r>
              <w:rPr>
                <w:rFonts w:hint="eastAsia" w:ascii="宋体" w:hAnsi="宋体" w:eastAsia="宋体" w:cs="宋体"/>
                <w:color w:val="000000" w:themeColor="text1"/>
                <w:sz w:val="21"/>
                <w:szCs w:val="21"/>
                <w:vertAlign w:val="subscript"/>
                <w:lang w:val="en-US" w:eastAsia="zh-CN"/>
                <w14:textFill>
                  <w14:solidFill>
                    <w14:schemeClr w14:val="tx1"/>
                  </w14:solidFill>
                </w14:textFill>
              </w:rPr>
              <w:t>2</w:t>
            </w:r>
            <w:r>
              <w:rPr>
                <w:rFonts w:hint="eastAsia" w:ascii="宋体" w:hAnsi="宋体" w:eastAsia="宋体" w:cs="宋体"/>
                <w:color w:val="000000" w:themeColor="text1"/>
                <w:sz w:val="21"/>
                <w:szCs w:val="21"/>
                <w:lang w:val="en-US" w:eastAsia="zh-CN"/>
                <w14:textFill>
                  <w14:solidFill>
                    <w14:schemeClr w14:val="tx1"/>
                  </w14:solidFill>
                </w14:textFill>
              </w:rPr>
              <w:t>、CO、O</w:t>
            </w:r>
            <w:r>
              <w:rPr>
                <w:rFonts w:hint="eastAsia" w:ascii="宋体" w:hAnsi="宋体" w:eastAsia="宋体" w:cs="宋体"/>
                <w:color w:val="000000" w:themeColor="text1"/>
                <w:sz w:val="21"/>
                <w:szCs w:val="21"/>
                <w:vertAlign w:val="subscript"/>
                <w:lang w:val="en-US" w:eastAsia="zh-CN"/>
                <w14:textFill>
                  <w14:solidFill>
                    <w14:schemeClr w14:val="tx1"/>
                  </w14:solidFill>
                </w14:textFill>
              </w:rPr>
              <w:t>3</w:t>
            </w:r>
            <w:r>
              <w:rPr>
                <w:rFonts w:hint="eastAsia" w:ascii="宋体" w:hAnsi="宋体" w:eastAsia="宋体" w:cs="宋体"/>
                <w:color w:val="000000" w:themeColor="text1"/>
                <w:sz w:val="21"/>
                <w:szCs w:val="21"/>
                <w:lang w:val="en-US" w:eastAsia="zh-CN"/>
                <w14:textFill>
                  <w14:solidFill>
                    <w14:schemeClr w14:val="tx1"/>
                  </w14:solidFill>
                </w14:textFill>
              </w:rPr>
              <w:t>、PM</w:t>
            </w:r>
            <w:r>
              <w:rPr>
                <w:rFonts w:hint="eastAsia" w:ascii="宋体" w:hAnsi="宋体" w:eastAsia="宋体" w:cs="宋体"/>
                <w:color w:val="000000" w:themeColor="text1"/>
                <w:sz w:val="21"/>
                <w:szCs w:val="21"/>
                <w:vertAlign w:val="subscript"/>
                <w:lang w:val="en-US" w:eastAsia="zh-CN"/>
                <w14:textFill>
                  <w14:solidFill>
                    <w14:schemeClr w14:val="tx1"/>
                  </w14:solidFill>
                </w14:textFill>
              </w:rPr>
              <w:t>10</w:t>
            </w:r>
            <w:r>
              <w:rPr>
                <w:rFonts w:hint="eastAsia" w:ascii="宋体" w:hAnsi="宋体" w:eastAsia="宋体" w:cs="宋体"/>
                <w:color w:val="000000" w:themeColor="text1"/>
                <w:sz w:val="21"/>
                <w:szCs w:val="21"/>
                <w:lang w:val="en-US" w:eastAsia="zh-CN"/>
                <w14:textFill>
                  <w14:solidFill>
                    <w14:schemeClr w14:val="tx1"/>
                  </w14:solidFill>
                </w14:textFill>
              </w:rPr>
              <w:t>和Pm</w:t>
            </w:r>
            <w:r>
              <w:rPr>
                <w:rFonts w:hint="eastAsia" w:ascii="宋体" w:hAnsi="宋体" w:eastAsia="宋体" w:cs="宋体"/>
                <w:color w:val="000000" w:themeColor="text1"/>
                <w:sz w:val="21"/>
                <w:szCs w:val="21"/>
                <w:vertAlign w:val="subscript"/>
                <w:lang w:val="en-US" w:eastAsia="zh-CN"/>
                <w14:textFill>
                  <w14:solidFill>
                    <w14:schemeClr w14:val="tx1"/>
                  </w14:solidFill>
                </w14:textFill>
              </w:rPr>
              <w:t>².5</w:t>
            </w:r>
            <w:r>
              <w:rPr>
                <w:rFonts w:hint="eastAsia" w:ascii="宋体" w:hAnsi="宋体" w:eastAsia="宋体" w:cs="宋体"/>
                <w:color w:val="000000" w:themeColor="text1"/>
                <w:sz w:val="21"/>
                <w:szCs w:val="21"/>
                <w:lang w:val="en-US" w:eastAsia="zh-CN"/>
                <w14:textFill>
                  <w14:solidFill>
                    <w14:schemeClr w14:val="tx1"/>
                  </w14:solidFill>
                </w14:textFill>
              </w:rPr>
              <w:t>；</w:t>
            </w:r>
          </w:p>
          <w:p>
            <w:pPr>
              <w:widowControl w:val="0"/>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特征：非甲烷总烃</w:t>
            </w:r>
          </w:p>
        </w:tc>
        <w:tc>
          <w:tcPr>
            <w:tcW w:w="2606" w:type="dxa"/>
            <w:tcBorders>
              <w:tl2br w:val="nil"/>
              <w:tr2bl w:val="nil"/>
            </w:tcBorders>
            <w:vAlign w:val="center"/>
          </w:tcPr>
          <w:p>
            <w:pPr>
              <w:widowControl w:val="0"/>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非甲烷总烃、氨</w:t>
            </w:r>
          </w:p>
        </w:tc>
        <w:tc>
          <w:tcPr>
            <w:tcW w:w="2020" w:type="dxa"/>
            <w:tcBorders>
              <w:tl2br w:val="nil"/>
              <w:tr2bl w:val="nil"/>
            </w:tcBorders>
            <w:vAlign w:val="center"/>
          </w:tcPr>
          <w:p>
            <w:pPr>
              <w:widowControl w:val="0"/>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VOCs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955" w:type="dxa"/>
            <w:tcBorders>
              <w:tl2br w:val="nil"/>
              <w:tr2bl w:val="nil"/>
            </w:tcBorders>
            <w:vAlign w:val="center"/>
          </w:tcPr>
          <w:p>
            <w:pPr>
              <w:widowControl w:val="0"/>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地表水</w:t>
            </w:r>
          </w:p>
        </w:tc>
        <w:tc>
          <w:tcPr>
            <w:tcW w:w="4160" w:type="dxa"/>
            <w:tcBorders>
              <w:tl2br w:val="nil"/>
              <w:tr2bl w:val="nil"/>
            </w:tcBorders>
            <w:vAlign w:val="center"/>
          </w:tcPr>
          <w:p>
            <w:pPr>
              <w:widowControl w:val="0"/>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pH、溶解氧、化学需氧量量、五日生化需氧量、氨氮、悬浮物、总磷、石油类、硫化物、挥发酚、氟化物、TN。</w:t>
            </w:r>
          </w:p>
        </w:tc>
        <w:tc>
          <w:tcPr>
            <w:tcW w:w="2606" w:type="dxa"/>
            <w:tcBorders>
              <w:tl2br w:val="nil"/>
              <w:tr2bl w:val="nil"/>
            </w:tcBorders>
            <w:vAlign w:val="center"/>
          </w:tcPr>
          <w:p>
            <w:pPr>
              <w:widowControl w:val="0"/>
              <w:jc w:val="center"/>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pH、</w:t>
            </w:r>
            <w:r>
              <w:rPr>
                <w:rFonts w:hint="eastAsia" w:ascii="宋体" w:hAnsi="宋体" w:eastAsia="宋体" w:cs="宋体"/>
                <w:color w:val="000000" w:themeColor="text1"/>
                <w:sz w:val="21"/>
                <w:szCs w:val="21"/>
                <w:lang w:val="en-US" w:eastAsia="zh-CN"/>
                <w14:textFill>
                  <w14:solidFill>
                    <w14:schemeClr w14:val="tx1"/>
                  </w14:solidFill>
                </w14:textFill>
              </w:rPr>
              <w:t>COD、NH3-N、BOD、SS</w:t>
            </w:r>
          </w:p>
        </w:tc>
        <w:tc>
          <w:tcPr>
            <w:tcW w:w="2020" w:type="dxa"/>
            <w:tcBorders>
              <w:tl2br w:val="nil"/>
              <w:tr2bl w:val="nil"/>
            </w:tcBorders>
            <w:vAlign w:val="center"/>
          </w:tcPr>
          <w:p>
            <w:pPr>
              <w:widowControl w:val="0"/>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COD、NH3-N</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955" w:type="dxa"/>
            <w:tcBorders>
              <w:tl2br w:val="nil"/>
              <w:tr2bl w:val="nil"/>
            </w:tcBorders>
            <w:vAlign w:val="center"/>
          </w:tcPr>
          <w:p>
            <w:pPr>
              <w:widowControl w:val="0"/>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地下水</w:t>
            </w:r>
          </w:p>
        </w:tc>
        <w:tc>
          <w:tcPr>
            <w:tcW w:w="4160" w:type="dxa"/>
            <w:tcBorders>
              <w:tl2br w:val="nil"/>
              <w:tr2bl w:val="nil"/>
            </w:tcBorders>
            <w:vAlign w:val="center"/>
          </w:tcPr>
          <w:p>
            <w:pPr>
              <w:widowControl w:val="0"/>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pH值、总硬度、溶解性总固体、碳酸盐、氯化物、铁、挥发酚类、氨氮、硫酸盐、硝酸盐、氰化物、氟化物、六价铬、镍、铅、高锰酸盐指数、重碳酸盐、汞、砷、镉、铜、锰、钾、钠、钙、镁、铬</w:t>
            </w:r>
          </w:p>
        </w:tc>
        <w:tc>
          <w:tcPr>
            <w:tcW w:w="2606" w:type="dxa"/>
            <w:tcBorders>
              <w:tl2br w:val="nil"/>
              <w:tr2bl w:val="nil"/>
            </w:tcBorders>
            <w:vAlign w:val="center"/>
          </w:tcPr>
          <w:p>
            <w:pPr>
              <w:widowControl w:val="0"/>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w:t>
            </w:r>
          </w:p>
        </w:tc>
        <w:tc>
          <w:tcPr>
            <w:tcW w:w="2020" w:type="dxa"/>
            <w:tcBorders>
              <w:tl2br w:val="nil"/>
              <w:tr2bl w:val="nil"/>
            </w:tcBorders>
            <w:vAlign w:val="center"/>
          </w:tcPr>
          <w:p>
            <w:pPr>
              <w:widowControl w:val="0"/>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955" w:type="dxa"/>
            <w:tcBorders>
              <w:tl2br w:val="nil"/>
              <w:tr2bl w:val="nil"/>
            </w:tcBorders>
            <w:vAlign w:val="center"/>
          </w:tcPr>
          <w:p>
            <w:pPr>
              <w:widowControl w:val="0"/>
              <w:jc w:val="center"/>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噪声</w:t>
            </w:r>
          </w:p>
        </w:tc>
        <w:tc>
          <w:tcPr>
            <w:tcW w:w="4160" w:type="dxa"/>
            <w:tcBorders>
              <w:tl2br w:val="nil"/>
              <w:tr2bl w:val="nil"/>
            </w:tcBorders>
            <w:vAlign w:val="center"/>
          </w:tcPr>
          <w:p>
            <w:pPr>
              <w:widowControl w:val="0"/>
              <w:jc w:val="center"/>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等效连续A声级LAeq</w:t>
            </w:r>
          </w:p>
        </w:tc>
        <w:tc>
          <w:tcPr>
            <w:tcW w:w="2606" w:type="dxa"/>
            <w:tcBorders>
              <w:tl2br w:val="nil"/>
              <w:tr2bl w:val="nil"/>
            </w:tcBorders>
            <w:vAlign w:val="center"/>
          </w:tcPr>
          <w:p>
            <w:pPr>
              <w:widowControl w:val="0"/>
              <w:jc w:val="center"/>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等效连续A声级LAeq</w:t>
            </w:r>
          </w:p>
        </w:tc>
        <w:tc>
          <w:tcPr>
            <w:tcW w:w="2020" w:type="dxa"/>
            <w:tcBorders>
              <w:tl2br w:val="nil"/>
              <w:tr2bl w:val="nil"/>
            </w:tcBorders>
            <w:vAlign w:val="center"/>
          </w:tcPr>
          <w:p>
            <w:pPr>
              <w:widowControl w:val="0"/>
              <w:jc w:val="center"/>
              <w:rPr>
                <w:rFonts w:hint="eastAsia" w:ascii="宋体" w:hAnsi="宋体" w:eastAsia="宋体" w:cs="宋体"/>
                <w:color w:val="000000" w:themeColor="text1"/>
                <w:sz w:val="21"/>
                <w:szCs w:val="21"/>
                <w:lang w:val="en-US"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955" w:type="dxa"/>
            <w:tcBorders>
              <w:tl2br w:val="nil"/>
              <w:tr2bl w:val="nil"/>
            </w:tcBorders>
            <w:vAlign w:val="center"/>
          </w:tcPr>
          <w:p>
            <w:pPr>
              <w:widowControl w:val="0"/>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固体废物</w:t>
            </w:r>
          </w:p>
        </w:tc>
        <w:tc>
          <w:tcPr>
            <w:tcW w:w="4160" w:type="dxa"/>
            <w:tcBorders>
              <w:tl2br w:val="nil"/>
              <w:tr2bl w:val="nil"/>
            </w:tcBorders>
            <w:vAlign w:val="center"/>
          </w:tcPr>
          <w:p>
            <w:pPr>
              <w:widowControl w:val="0"/>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w:t>
            </w:r>
          </w:p>
        </w:tc>
        <w:tc>
          <w:tcPr>
            <w:tcW w:w="2606" w:type="dxa"/>
            <w:tcBorders>
              <w:tl2br w:val="nil"/>
              <w:tr2bl w:val="nil"/>
            </w:tcBorders>
            <w:vAlign w:val="center"/>
          </w:tcPr>
          <w:p>
            <w:pPr>
              <w:widowControl w:val="0"/>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工业固废的种类、产生量、综合利用及处置情况</w:t>
            </w:r>
          </w:p>
        </w:tc>
        <w:tc>
          <w:tcPr>
            <w:tcW w:w="2020" w:type="dxa"/>
            <w:tcBorders>
              <w:tl2br w:val="nil"/>
              <w:tr2bl w:val="nil"/>
            </w:tcBorders>
            <w:vAlign w:val="center"/>
          </w:tcPr>
          <w:p>
            <w:pPr>
              <w:widowControl w:val="0"/>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955" w:type="dxa"/>
            <w:tcBorders>
              <w:tl2br w:val="nil"/>
              <w:tr2bl w:val="nil"/>
            </w:tcBorders>
            <w:vAlign w:val="center"/>
          </w:tcPr>
          <w:p>
            <w:pPr>
              <w:widowControl w:val="0"/>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土壤</w:t>
            </w:r>
          </w:p>
        </w:tc>
        <w:tc>
          <w:tcPr>
            <w:tcW w:w="4160" w:type="dxa"/>
            <w:tcBorders>
              <w:tl2br w:val="nil"/>
              <w:tr2bl w:val="nil"/>
            </w:tcBorders>
            <w:vAlign w:val="center"/>
          </w:tcPr>
          <w:p>
            <w:pPr>
              <w:widowControl w:val="0"/>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45项基本因子+石油烃</w:t>
            </w:r>
          </w:p>
        </w:tc>
        <w:tc>
          <w:tcPr>
            <w:tcW w:w="2606" w:type="dxa"/>
            <w:tcBorders>
              <w:tl2br w:val="nil"/>
              <w:tr2bl w:val="nil"/>
            </w:tcBorders>
            <w:vAlign w:val="center"/>
          </w:tcPr>
          <w:p>
            <w:pPr>
              <w:widowControl w:val="0"/>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w:t>
            </w:r>
          </w:p>
        </w:tc>
        <w:tc>
          <w:tcPr>
            <w:tcW w:w="2020" w:type="dxa"/>
            <w:tcBorders>
              <w:tl2br w:val="nil"/>
              <w:tr2bl w:val="nil"/>
            </w:tcBorders>
            <w:vAlign w:val="center"/>
          </w:tcPr>
          <w:p>
            <w:pPr>
              <w:widowControl w:val="0"/>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w:t>
            </w:r>
          </w:p>
        </w:tc>
      </w:tr>
      <w:bookmarkEnd w:id="144"/>
      <w:bookmarkEnd w:id="145"/>
      <w:bookmarkEnd w:id="146"/>
      <w:bookmarkEnd w:id="147"/>
      <w:bookmarkEnd w:id="148"/>
      <w:bookmarkEnd w:id="149"/>
    </w:tbl>
    <w:p>
      <w:pPr>
        <w:pStyle w:val="8"/>
        <w:keepNext w:val="0"/>
        <w:keepLines w:val="0"/>
        <w:pageBreakBefore w:val="0"/>
        <w:kinsoku/>
        <w:wordWrap/>
        <w:overflowPunct/>
        <w:topLinePunct w:val="0"/>
        <w:bidi w:val="0"/>
        <w:adjustRightInd/>
        <w:snapToGrid/>
        <w:ind w:firstLine="482" w:firstLineChars="200"/>
        <w:textAlignment w:val="auto"/>
        <w:rPr>
          <w:rFonts w:hint="eastAsia" w:ascii="宋体" w:hAnsi="宋体" w:eastAsia="宋体" w:cs="宋体"/>
          <w:bCs/>
          <w:color w:val="000000" w:themeColor="text1"/>
          <w:sz w:val="24"/>
          <w:szCs w:val="24"/>
          <w:highlight w:val="none"/>
          <w:lang w:eastAsia="zh-CN"/>
          <w14:textFill>
            <w14:solidFill>
              <w14:schemeClr w14:val="tx1"/>
            </w14:solidFill>
          </w14:textFill>
        </w:rPr>
      </w:pPr>
      <w:bookmarkStart w:id="150" w:name="_Toc11299"/>
      <w:bookmarkStart w:id="151" w:name="_Toc8260"/>
      <w:bookmarkStart w:id="152" w:name="_Toc27159"/>
      <w:bookmarkStart w:id="153" w:name="_Toc12789"/>
      <w:bookmarkStart w:id="154" w:name="_Toc11008"/>
      <w:bookmarkStart w:id="155" w:name="_Toc22229"/>
      <w:bookmarkStart w:id="156" w:name="_Toc26849"/>
      <w:r>
        <w:rPr>
          <w:rFonts w:hint="eastAsia" w:ascii="宋体" w:hAnsi="宋体" w:eastAsia="宋体" w:cs="宋体"/>
          <w:bCs/>
          <w:color w:val="000000" w:themeColor="text1"/>
          <w:sz w:val="24"/>
          <w:szCs w:val="24"/>
          <w:highlight w:val="none"/>
          <w:lang w:val="en-US" w:eastAsia="zh-CN"/>
          <w14:textFill>
            <w14:solidFill>
              <w14:schemeClr w14:val="tx1"/>
            </w14:solidFill>
          </w14:textFill>
        </w:rPr>
        <w:t>2.</w:t>
      </w:r>
      <w:r>
        <w:rPr>
          <w:rFonts w:hint="eastAsia" w:ascii="宋体" w:hAnsi="宋体" w:eastAsia="宋体" w:cs="宋体"/>
          <w:bCs/>
          <w:color w:val="000000" w:themeColor="text1"/>
          <w:sz w:val="24"/>
          <w:szCs w:val="24"/>
          <w:highlight w:val="none"/>
          <w:lang w:eastAsia="zh-CN"/>
          <w14:textFill>
            <w14:solidFill>
              <w14:schemeClr w14:val="tx1"/>
            </w14:solidFill>
          </w14:textFill>
        </w:rPr>
        <w:t>2.</w:t>
      </w:r>
      <w:r>
        <w:rPr>
          <w:rFonts w:hint="eastAsia" w:ascii="宋体" w:hAnsi="宋体" w:eastAsia="宋体" w:cs="宋体"/>
          <w:bCs/>
          <w:color w:val="000000" w:themeColor="text1"/>
          <w:sz w:val="24"/>
          <w:szCs w:val="24"/>
          <w:highlight w:val="none"/>
          <w:lang w:val="en-US" w:eastAsia="zh-CN"/>
          <w14:textFill>
            <w14:solidFill>
              <w14:schemeClr w14:val="tx1"/>
            </w14:solidFill>
          </w14:textFill>
        </w:rPr>
        <w:t>3</w:t>
      </w:r>
      <w:r>
        <w:rPr>
          <w:rFonts w:hint="eastAsia" w:ascii="宋体" w:hAnsi="宋体" w:eastAsia="宋体" w:cs="宋体"/>
          <w:bCs/>
          <w:color w:val="000000" w:themeColor="text1"/>
          <w:sz w:val="24"/>
          <w:szCs w:val="24"/>
          <w:highlight w:val="none"/>
          <w:lang w:eastAsia="zh-CN"/>
          <w14:textFill>
            <w14:solidFill>
              <w14:schemeClr w14:val="tx1"/>
            </w14:solidFill>
          </w14:textFill>
        </w:rPr>
        <w:t>评价标准</w:t>
      </w:r>
      <w:bookmarkEnd w:id="150"/>
      <w:bookmarkEnd w:id="151"/>
      <w:bookmarkEnd w:id="152"/>
      <w:bookmarkEnd w:id="153"/>
      <w:bookmarkEnd w:id="154"/>
      <w:bookmarkEnd w:id="155"/>
      <w:bookmarkEnd w:id="156"/>
    </w:p>
    <w:p>
      <w:pPr>
        <w:pStyle w:val="9"/>
        <w:keepNext w:val="0"/>
        <w:keepLines w:val="0"/>
        <w:pageBreakBefore w:val="0"/>
        <w:kinsoku/>
        <w:wordWrap/>
        <w:overflowPunct/>
        <w:topLinePunct w:val="0"/>
        <w:bidi w:val="0"/>
        <w:adjustRightInd/>
        <w:snapToGrid/>
        <w:ind w:firstLine="482" w:firstLineChars="20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w:t>
      </w:r>
      <w:r>
        <w:rPr>
          <w:rFonts w:hint="eastAsia" w:ascii="宋体" w:hAnsi="宋体" w:eastAsia="宋体" w:cs="宋体"/>
          <w:color w:val="000000" w:themeColor="text1"/>
          <w:sz w:val="24"/>
          <w:szCs w:val="24"/>
          <w:highlight w:val="none"/>
          <w:lang w:eastAsia="zh-CN"/>
          <w14:textFill>
            <w14:solidFill>
              <w14:schemeClr w14:val="tx1"/>
            </w14:solidFill>
          </w14:textFill>
        </w:rPr>
        <w:t>2.3.1环境质量标准</w:t>
      </w:r>
    </w:p>
    <w:p>
      <w:pPr>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（1）地表水</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000000" w:themeColor="text1"/>
          <w:kern w:val="2"/>
          <w:sz w:val="24"/>
          <w:szCs w:val="24"/>
          <w:highlight w:val="none"/>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湘江（河西污水处理厂尾水入江口至马家河江段）执行《地表水环境质量标准》（GB3838-2002）中的III类标准</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具体标准值见下表。</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0" w:firstLineChars="0"/>
        <w:jc w:val="center"/>
        <w:textAlignment w:val="auto"/>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表2</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.2</w:t>
      </w:r>
      <w:r>
        <w:rPr>
          <w:rFonts w:hint="eastAsia" w:ascii="宋体" w:hAnsi="宋体" w:eastAsia="宋体" w:cs="宋体"/>
          <w:b/>
          <w:bCs/>
          <w:color w:val="000000" w:themeColor="text1"/>
          <w:sz w:val="24"/>
          <w:szCs w:val="24"/>
          <w:highlight w:val="none"/>
          <w14:textFill>
            <w14:solidFill>
              <w14:schemeClr w14:val="tx1"/>
            </w14:solidFill>
          </w14:textFill>
        </w:rPr>
        <w:t>-</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1</w:t>
      </w:r>
      <w:r>
        <w:rPr>
          <w:rFonts w:hint="eastAsia" w:ascii="宋体" w:hAnsi="宋体" w:eastAsia="宋体" w:cs="宋体"/>
          <w:b/>
          <w:bCs/>
          <w:color w:val="000000" w:themeColor="text1"/>
          <w:sz w:val="24"/>
          <w:szCs w:val="24"/>
          <w:highlight w:val="none"/>
          <w14:textFill>
            <w14:solidFill>
              <w14:schemeClr w14:val="tx1"/>
            </w14:solidFill>
          </w14:textFill>
        </w:rPr>
        <w:t>地表水环境质量标准值表（单位：mg/L，pH无量纲）</w:t>
      </w:r>
    </w:p>
    <w:tbl>
      <w:tblPr>
        <w:tblStyle w:val="30"/>
        <w:tblW w:w="4998"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0" w:type="dxa"/>
          <w:bottom w:w="0" w:type="dxa"/>
          <w:right w:w="0" w:type="dxa"/>
        </w:tblCellMar>
      </w:tblPr>
      <w:tblGrid>
        <w:gridCol w:w="2107"/>
        <w:gridCol w:w="2108"/>
        <w:gridCol w:w="2552"/>
        <w:gridCol w:w="277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12" w:hRule="atLeast"/>
          <w:tblHeader/>
          <w:jc w:val="center"/>
        </w:trPr>
        <w:tc>
          <w:tcPr>
            <w:tcW w:w="1104" w:type="pct"/>
            <w:tcBorders>
              <w:tl2br w:val="nil"/>
              <w:tr2bl w:val="nil"/>
            </w:tcBorders>
            <w:noWrap w:val="0"/>
            <w:vAlign w:val="center"/>
          </w:tcPr>
          <w:p>
            <w:pPr>
              <w:pStyle w:val="38"/>
              <w:spacing w:line="320" w:lineRule="exact"/>
              <w:jc w:val="center"/>
              <w:rPr>
                <w:rFonts w:hint="eastAsia" w:ascii="宋体" w:hAnsi="宋体" w:eastAsia="宋体" w:cs="宋体"/>
                <w:bCs/>
                <w:color w:val="000000" w:themeColor="text1"/>
                <w:sz w:val="21"/>
                <w:szCs w:val="21"/>
                <w:highlight w:val="none"/>
                <w:lang w:eastAsia="zh-CN"/>
                <w14:textFill>
                  <w14:solidFill>
                    <w14:schemeClr w14:val="tx1"/>
                  </w14:solidFill>
                </w14:textFill>
              </w:rPr>
            </w:pPr>
            <w:r>
              <w:rPr>
                <w:rFonts w:hint="eastAsia" w:ascii="宋体" w:hAnsi="宋体" w:eastAsia="宋体" w:cs="宋体"/>
                <w:bCs/>
                <w:color w:val="000000" w:themeColor="text1"/>
                <w:sz w:val="21"/>
                <w:szCs w:val="21"/>
                <w:highlight w:val="none"/>
                <w:lang w:eastAsia="zh-CN"/>
                <w14:textFill>
                  <w14:solidFill>
                    <w14:schemeClr w14:val="tx1"/>
                  </w14:solidFill>
                </w14:textFill>
              </w:rPr>
              <w:t>序号</w:t>
            </w:r>
          </w:p>
        </w:tc>
        <w:tc>
          <w:tcPr>
            <w:tcW w:w="1104" w:type="pct"/>
            <w:tcBorders>
              <w:tl2br w:val="nil"/>
              <w:tr2bl w:val="nil"/>
            </w:tcBorders>
            <w:noWrap w:val="0"/>
            <w:vAlign w:val="center"/>
          </w:tcPr>
          <w:p>
            <w:pPr>
              <w:pStyle w:val="38"/>
              <w:spacing w:line="320" w:lineRule="exact"/>
              <w:jc w:val="center"/>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污染物名称</w:t>
            </w:r>
          </w:p>
        </w:tc>
        <w:tc>
          <w:tcPr>
            <w:tcW w:w="1337" w:type="pct"/>
            <w:tcBorders>
              <w:tl2br w:val="nil"/>
              <w:tr2bl w:val="nil"/>
            </w:tcBorders>
            <w:noWrap w:val="0"/>
            <w:vAlign w:val="center"/>
          </w:tcPr>
          <w:p>
            <w:pPr>
              <w:pStyle w:val="38"/>
              <w:spacing w:line="320" w:lineRule="exact"/>
              <w:jc w:val="center"/>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III类</w:t>
            </w:r>
          </w:p>
        </w:tc>
        <w:tc>
          <w:tcPr>
            <w:tcW w:w="1453" w:type="pct"/>
            <w:tcBorders>
              <w:tl2br w:val="nil"/>
              <w:tr2bl w:val="nil"/>
            </w:tcBorders>
            <w:noWrap w:val="0"/>
            <w:vAlign w:val="center"/>
          </w:tcPr>
          <w:p>
            <w:pPr>
              <w:pStyle w:val="38"/>
              <w:spacing w:line="320" w:lineRule="exact"/>
              <w:jc w:val="center"/>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12" w:hRule="atLeast"/>
          <w:jc w:val="center"/>
        </w:trPr>
        <w:tc>
          <w:tcPr>
            <w:tcW w:w="1104" w:type="pct"/>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t>1</w:t>
            </w:r>
          </w:p>
        </w:tc>
        <w:tc>
          <w:tcPr>
            <w:tcW w:w="1104" w:type="pct"/>
            <w:tcBorders>
              <w:tl2br w:val="nil"/>
              <w:tr2bl w:val="nil"/>
            </w:tcBorders>
            <w:noWrap w:val="0"/>
            <w:vAlign w:val="center"/>
          </w:tcPr>
          <w:p>
            <w:pPr>
              <w:pStyle w:val="38"/>
              <w:spacing w:line="320" w:lineRule="exact"/>
              <w:jc w:val="center"/>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pH</w:t>
            </w:r>
          </w:p>
        </w:tc>
        <w:tc>
          <w:tcPr>
            <w:tcW w:w="1337" w:type="pct"/>
            <w:tcBorders>
              <w:tl2br w:val="nil"/>
              <w:tr2bl w:val="nil"/>
            </w:tcBorders>
            <w:noWrap w:val="0"/>
            <w:vAlign w:val="center"/>
          </w:tcPr>
          <w:p>
            <w:pPr>
              <w:pStyle w:val="38"/>
              <w:spacing w:line="320" w:lineRule="exact"/>
              <w:jc w:val="center"/>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6</w:t>
            </w:r>
            <w:r>
              <w:rPr>
                <w:rFonts w:hint="eastAsia" w:ascii="宋体" w:hAnsi="宋体" w:eastAsia="宋体" w:cs="宋体"/>
                <w:bCs/>
                <w:color w:val="000000" w:themeColor="text1"/>
                <w:sz w:val="21"/>
                <w:szCs w:val="21"/>
                <w:highlight w:val="none"/>
                <w:lang w:eastAsia="zh-CN"/>
                <w14:textFill>
                  <w14:solidFill>
                    <w14:schemeClr w14:val="tx1"/>
                  </w14:solidFill>
                </w14:textFill>
              </w:rPr>
              <w:t>～</w:t>
            </w:r>
            <w:r>
              <w:rPr>
                <w:rFonts w:hint="eastAsia" w:ascii="宋体" w:hAnsi="宋体" w:eastAsia="宋体" w:cs="宋体"/>
                <w:bCs/>
                <w:color w:val="000000" w:themeColor="text1"/>
                <w:sz w:val="21"/>
                <w:szCs w:val="21"/>
                <w:highlight w:val="none"/>
                <w14:textFill>
                  <w14:solidFill>
                    <w14:schemeClr w14:val="tx1"/>
                  </w14:solidFill>
                </w14:textFill>
              </w:rPr>
              <w:t>9</w:t>
            </w:r>
          </w:p>
        </w:tc>
        <w:tc>
          <w:tcPr>
            <w:tcW w:w="1453" w:type="pct"/>
            <w:vMerge w:val="restart"/>
            <w:tcBorders>
              <w:tl2br w:val="nil"/>
              <w:tr2bl w:val="nil"/>
            </w:tcBorders>
            <w:noWrap w:val="0"/>
            <w:vAlign w:val="center"/>
          </w:tcPr>
          <w:p>
            <w:pPr>
              <w:pStyle w:val="38"/>
              <w:spacing w:line="320" w:lineRule="exact"/>
              <w:jc w:val="center"/>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《地表水环境质量标准》（GB3838-2002）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50" w:hRule="atLeast"/>
          <w:jc w:val="center"/>
        </w:trPr>
        <w:tc>
          <w:tcPr>
            <w:tcW w:w="1104" w:type="pct"/>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t>2</w:t>
            </w:r>
          </w:p>
        </w:tc>
        <w:tc>
          <w:tcPr>
            <w:tcW w:w="1104" w:type="pct"/>
            <w:tcBorders>
              <w:tl2br w:val="nil"/>
              <w:tr2bl w:val="nil"/>
            </w:tcBorders>
            <w:noWrap w:val="0"/>
            <w:vAlign w:val="center"/>
          </w:tcPr>
          <w:p>
            <w:pPr>
              <w:widowControl w:val="0"/>
              <w:adjustRightInd w:val="0"/>
              <w:snapToGrid w:val="0"/>
              <w:jc w:val="center"/>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COD</w:t>
            </w:r>
            <w:r>
              <w:rPr>
                <w:rFonts w:hint="eastAsia" w:ascii="宋体" w:hAnsi="宋体" w:eastAsia="宋体" w:cs="宋体"/>
                <w:color w:val="000000" w:themeColor="text1"/>
                <w:kern w:val="2"/>
                <w:sz w:val="21"/>
                <w:szCs w:val="21"/>
                <w:highlight w:val="none"/>
                <w:vertAlign w:val="subscript"/>
                <w14:textFill>
                  <w14:solidFill>
                    <w14:schemeClr w14:val="tx1"/>
                  </w14:solidFill>
                </w14:textFill>
              </w:rPr>
              <w:t>Cr</w:t>
            </w:r>
          </w:p>
        </w:tc>
        <w:tc>
          <w:tcPr>
            <w:tcW w:w="1337" w:type="pct"/>
            <w:tcBorders>
              <w:tl2br w:val="nil"/>
              <w:tr2bl w:val="nil"/>
            </w:tcBorders>
            <w:noWrap w:val="0"/>
            <w:vAlign w:val="center"/>
          </w:tcPr>
          <w:p>
            <w:pPr>
              <w:widowControl w:val="0"/>
              <w:adjustRightInd w:val="0"/>
              <w:snapToGrid w:val="0"/>
              <w:jc w:val="center"/>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2</w:t>
            </w:r>
            <w:r>
              <w:rPr>
                <w:rFonts w:hint="eastAsia" w:ascii="宋体" w:hAnsi="宋体" w:eastAsia="宋体" w:cs="宋体"/>
                <w:color w:val="000000" w:themeColor="text1"/>
                <w:kern w:val="2"/>
                <w:sz w:val="21"/>
                <w:szCs w:val="21"/>
                <w:highlight w:val="none"/>
                <w14:textFill>
                  <w14:solidFill>
                    <w14:schemeClr w14:val="tx1"/>
                  </w14:solidFill>
                </w14:textFill>
              </w:rPr>
              <w:t>0</w:t>
            </w:r>
          </w:p>
        </w:tc>
        <w:tc>
          <w:tcPr>
            <w:tcW w:w="1453" w:type="pct"/>
            <w:vMerge w:val="continue"/>
            <w:tcBorders>
              <w:tl2br w:val="nil"/>
              <w:tr2bl w:val="nil"/>
            </w:tcBorders>
            <w:noWrap w:val="0"/>
            <w:vAlign w:val="center"/>
          </w:tcPr>
          <w:p>
            <w:pPr>
              <w:pStyle w:val="38"/>
              <w:spacing w:line="320" w:lineRule="exact"/>
              <w:jc w:val="center"/>
              <w:rPr>
                <w:rFonts w:hint="eastAsia" w:ascii="宋体" w:hAnsi="宋体" w:eastAsia="宋体" w:cs="宋体"/>
                <w:bCs/>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12" w:hRule="atLeast"/>
          <w:jc w:val="center"/>
        </w:trPr>
        <w:tc>
          <w:tcPr>
            <w:tcW w:w="1104" w:type="pct"/>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t>3</w:t>
            </w:r>
          </w:p>
        </w:tc>
        <w:tc>
          <w:tcPr>
            <w:tcW w:w="1104" w:type="pct"/>
            <w:tcBorders>
              <w:tl2br w:val="nil"/>
              <w:tr2bl w:val="nil"/>
            </w:tcBorders>
            <w:noWrap w:val="0"/>
            <w:vAlign w:val="center"/>
          </w:tcPr>
          <w:p>
            <w:pPr>
              <w:widowControl w:val="0"/>
              <w:adjustRightInd w:val="0"/>
              <w:snapToGrid w:val="0"/>
              <w:jc w:val="center"/>
              <w:rPr>
                <w:rFonts w:hint="eastAsia" w:ascii="宋体" w:hAnsi="宋体" w:eastAsia="宋体" w:cs="宋体"/>
                <w:bCs/>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BOD</w:t>
            </w:r>
            <w:r>
              <w:rPr>
                <w:rFonts w:hint="eastAsia" w:ascii="宋体" w:hAnsi="宋体" w:eastAsia="宋体" w:cs="宋体"/>
                <w:color w:val="000000" w:themeColor="text1"/>
                <w:kern w:val="2"/>
                <w:sz w:val="21"/>
                <w:szCs w:val="21"/>
                <w:highlight w:val="none"/>
                <w:vertAlign w:val="subscript"/>
                <w14:textFill>
                  <w14:solidFill>
                    <w14:schemeClr w14:val="tx1"/>
                  </w14:solidFill>
                </w14:textFill>
              </w:rPr>
              <w:t>5</w:t>
            </w:r>
          </w:p>
        </w:tc>
        <w:tc>
          <w:tcPr>
            <w:tcW w:w="1337" w:type="pct"/>
            <w:tcBorders>
              <w:tl2br w:val="nil"/>
              <w:tr2bl w:val="nil"/>
            </w:tcBorders>
            <w:noWrap w:val="0"/>
            <w:vAlign w:val="center"/>
          </w:tcPr>
          <w:p>
            <w:pPr>
              <w:widowControl w:val="0"/>
              <w:adjustRightInd w:val="0"/>
              <w:snapToGrid w:val="0"/>
              <w:jc w:val="center"/>
              <w:rPr>
                <w:rFonts w:hint="eastAsia" w:ascii="宋体" w:hAnsi="宋体" w:eastAsia="宋体" w:cs="宋体"/>
                <w:bCs/>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4</w:t>
            </w:r>
          </w:p>
        </w:tc>
        <w:tc>
          <w:tcPr>
            <w:tcW w:w="1453" w:type="pct"/>
            <w:vMerge w:val="continue"/>
            <w:tcBorders>
              <w:tl2br w:val="nil"/>
              <w:tr2bl w:val="nil"/>
            </w:tcBorders>
            <w:noWrap w:val="0"/>
            <w:vAlign w:val="center"/>
          </w:tcPr>
          <w:p>
            <w:pPr>
              <w:pStyle w:val="38"/>
              <w:spacing w:line="320" w:lineRule="exact"/>
              <w:jc w:val="center"/>
              <w:rPr>
                <w:rFonts w:hint="eastAsia" w:ascii="宋体" w:hAnsi="宋体" w:eastAsia="宋体" w:cs="宋体"/>
                <w:bCs/>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12" w:hRule="atLeast"/>
          <w:jc w:val="center"/>
        </w:trPr>
        <w:tc>
          <w:tcPr>
            <w:tcW w:w="1104" w:type="pct"/>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t>4</w:t>
            </w:r>
          </w:p>
        </w:tc>
        <w:tc>
          <w:tcPr>
            <w:tcW w:w="1104" w:type="pct"/>
            <w:tcBorders>
              <w:tl2br w:val="nil"/>
              <w:tr2bl w:val="nil"/>
            </w:tcBorders>
            <w:noWrap w:val="0"/>
            <w:vAlign w:val="center"/>
          </w:tcPr>
          <w:p>
            <w:pPr>
              <w:widowControl w:val="0"/>
              <w:adjustRightInd w:val="0"/>
              <w:snapToGrid w:val="0"/>
              <w:jc w:val="center"/>
              <w:rPr>
                <w:rFonts w:hint="eastAsia" w:ascii="宋体" w:hAnsi="宋体" w:eastAsia="宋体" w:cs="宋体"/>
                <w:bCs/>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氨氮</w:t>
            </w:r>
          </w:p>
        </w:tc>
        <w:tc>
          <w:tcPr>
            <w:tcW w:w="1337" w:type="pct"/>
            <w:tcBorders>
              <w:tl2br w:val="nil"/>
              <w:tr2bl w:val="nil"/>
            </w:tcBorders>
            <w:noWrap w:val="0"/>
            <w:vAlign w:val="center"/>
          </w:tcPr>
          <w:p>
            <w:pPr>
              <w:widowControl w:val="0"/>
              <w:adjustRightInd w:val="0"/>
              <w:snapToGrid w:val="0"/>
              <w:jc w:val="center"/>
              <w:rPr>
                <w:rFonts w:hint="eastAsia" w:ascii="宋体" w:hAnsi="宋体" w:eastAsia="宋体" w:cs="宋体"/>
                <w:bCs/>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1</w:t>
            </w:r>
            <w:r>
              <w:rPr>
                <w:rFonts w:hint="eastAsia" w:ascii="宋体" w:hAnsi="宋体" w:eastAsia="宋体" w:cs="宋体"/>
                <w:color w:val="000000" w:themeColor="text1"/>
                <w:kern w:val="2"/>
                <w:sz w:val="21"/>
                <w:szCs w:val="21"/>
                <w:highlight w:val="none"/>
                <w14:textFill>
                  <w14:solidFill>
                    <w14:schemeClr w14:val="tx1"/>
                  </w14:solidFill>
                </w14:textFill>
              </w:rPr>
              <w:t>.0</w:t>
            </w:r>
          </w:p>
        </w:tc>
        <w:tc>
          <w:tcPr>
            <w:tcW w:w="1453" w:type="pct"/>
            <w:vMerge w:val="continue"/>
            <w:tcBorders>
              <w:tl2br w:val="nil"/>
              <w:tr2bl w:val="nil"/>
            </w:tcBorders>
            <w:noWrap w:val="0"/>
            <w:vAlign w:val="center"/>
          </w:tcPr>
          <w:p>
            <w:pPr>
              <w:pStyle w:val="38"/>
              <w:spacing w:line="320" w:lineRule="exact"/>
              <w:jc w:val="center"/>
              <w:rPr>
                <w:rFonts w:hint="eastAsia" w:ascii="宋体" w:hAnsi="宋体" w:eastAsia="宋体" w:cs="宋体"/>
                <w:bCs/>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12" w:hRule="atLeast"/>
          <w:jc w:val="center"/>
        </w:trPr>
        <w:tc>
          <w:tcPr>
            <w:tcW w:w="1104" w:type="pct"/>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t>5</w:t>
            </w:r>
          </w:p>
        </w:tc>
        <w:tc>
          <w:tcPr>
            <w:tcW w:w="1104" w:type="pct"/>
            <w:tcBorders>
              <w:tl2br w:val="nil"/>
              <w:tr2bl w:val="nil"/>
            </w:tcBorders>
            <w:noWrap w:val="0"/>
            <w:vAlign w:val="center"/>
          </w:tcPr>
          <w:p>
            <w:pPr>
              <w:widowControl w:val="0"/>
              <w:adjustRightInd w:val="0"/>
              <w:snapToGrid w:val="0"/>
              <w:jc w:val="center"/>
              <w:rPr>
                <w:rFonts w:hint="eastAsia" w:ascii="宋体" w:hAnsi="宋体" w:eastAsia="宋体" w:cs="宋体"/>
                <w:bCs/>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总磷</w:t>
            </w:r>
          </w:p>
        </w:tc>
        <w:tc>
          <w:tcPr>
            <w:tcW w:w="1337" w:type="pct"/>
            <w:tcBorders>
              <w:tl2br w:val="nil"/>
              <w:tr2bl w:val="nil"/>
            </w:tcBorders>
            <w:noWrap w:val="0"/>
            <w:vAlign w:val="center"/>
          </w:tcPr>
          <w:p>
            <w:pPr>
              <w:widowControl w:val="0"/>
              <w:adjustRightInd w:val="0"/>
              <w:snapToGrid w:val="0"/>
              <w:jc w:val="center"/>
              <w:rPr>
                <w:rFonts w:hint="eastAsia" w:ascii="宋体" w:hAnsi="宋体" w:eastAsia="宋体" w:cs="宋体"/>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0.</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2</w:t>
            </w:r>
          </w:p>
        </w:tc>
        <w:tc>
          <w:tcPr>
            <w:tcW w:w="1453" w:type="pct"/>
            <w:vMerge w:val="continue"/>
            <w:tcBorders>
              <w:tl2br w:val="nil"/>
              <w:tr2bl w:val="nil"/>
            </w:tcBorders>
            <w:noWrap w:val="0"/>
            <w:vAlign w:val="center"/>
          </w:tcPr>
          <w:p>
            <w:pPr>
              <w:pStyle w:val="38"/>
              <w:spacing w:line="320" w:lineRule="exact"/>
              <w:jc w:val="center"/>
              <w:rPr>
                <w:rFonts w:hint="eastAsia" w:ascii="宋体" w:hAnsi="宋体" w:eastAsia="宋体" w:cs="宋体"/>
                <w:bCs/>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12" w:hRule="atLeast"/>
          <w:jc w:val="center"/>
        </w:trPr>
        <w:tc>
          <w:tcPr>
            <w:tcW w:w="1104" w:type="pct"/>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t>6</w:t>
            </w:r>
          </w:p>
        </w:tc>
        <w:tc>
          <w:tcPr>
            <w:tcW w:w="1104" w:type="pct"/>
            <w:tcBorders>
              <w:tl2br w:val="nil"/>
              <w:tr2bl w:val="nil"/>
            </w:tcBorders>
            <w:noWrap w:val="0"/>
            <w:vAlign w:val="center"/>
          </w:tcPr>
          <w:p>
            <w:pPr>
              <w:widowControl w:val="0"/>
              <w:adjustRightInd w:val="0"/>
              <w:snapToGrid w:val="0"/>
              <w:jc w:val="center"/>
              <w:rPr>
                <w:rFonts w:hint="eastAsia" w:ascii="宋体" w:hAnsi="宋体" w:eastAsia="宋体" w:cs="宋体"/>
                <w:bCs/>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挥发酚</w:t>
            </w:r>
          </w:p>
        </w:tc>
        <w:tc>
          <w:tcPr>
            <w:tcW w:w="1337" w:type="pct"/>
            <w:tcBorders>
              <w:tl2br w:val="nil"/>
              <w:tr2bl w:val="nil"/>
            </w:tcBorders>
            <w:noWrap w:val="0"/>
            <w:vAlign w:val="center"/>
          </w:tcPr>
          <w:p>
            <w:pPr>
              <w:widowControl w:val="0"/>
              <w:adjustRightInd w:val="0"/>
              <w:snapToGrid w:val="0"/>
              <w:jc w:val="center"/>
              <w:rPr>
                <w:rFonts w:hint="eastAsia" w:ascii="宋体" w:hAnsi="宋体" w:eastAsia="宋体" w:cs="宋体"/>
                <w:bCs/>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0.</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005</w:t>
            </w:r>
          </w:p>
        </w:tc>
        <w:tc>
          <w:tcPr>
            <w:tcW w:w="1453" w:type="pct"/>
            <w:vMerge w:val="continue"/>
            <w:tcBorders>
              <w:tl2br w:val="nil"/>
              <w:tr2bl w:val="nil"/>
            </w:tcBorders>
            <w:noWrap w:val="0"/>
            <w:vAlign w:val="center"/>
          </w:tcPr>
          <w:p>
            <w:pPr>
              <w:pStyle w:val="38"/>
              <w:spacing w:line="320" w:lineRule="exact"/>
              <w:jc w:val="center"/>
              <w:rPr>
                <w:rFonts w:hint="eastAsia" w:ascii="宋体" w:hAnsi="宋体" w:eastAsia="宋体" w:cs="宋体"/>
                <w:bCs/>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12" w:hRule="atLeast"/>
          <w:jc w:val="center"/>
        </w:trPr>
        <w:tc>
          <w:tcPr>
            <w:tcW w:w="1104" w:type="pct"/>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t>7</w:t>
            </w:r>
          </w:p>
        </w:tc>
        <w:tc>
          <w:tcPr>
            <w:tcW w:w="1104" w:type="pct"/>
            <w:tcBorders>
              <w:tl2br w:val="nil"/>
              <w:tr2bl w:val="nil"/>
            </w:tcBorders>
            <w:noWrap w:val="0"/>
            <w:vAlign w:val="center"/>
          </w:tcPr>
          <w:p>
            <w:pPr>
              <w:widowControl w:val="0"/>
              <w:adjustRightInd w:val="0"/>
              <w:snapToGrid w:val="0"/>
              <w:jc w:val="center"/>
              <w:rPr>
                <w:rFonts w:hint="eastAsia" w:ascii="宋体" w:hAnsi="宋体" w:eastAsia="宋体" w:cs="宋体"/>
                <w:bCs/>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氟化物</w:t>
            </w:r>
          </w:p>
        </w:tc>
        <w:tc>
          <w:tcPr>
            <w:tcW w:w="1337" w:type="pct"/>
            <w:tcBorders>
              <w:tl2br w:val="nil"/>
              <w:tr2bl w:val="nil"/>
            </w:tcBorders>
            <w:noWrap w:val="0"/>
            <w:vAlign w:val="center"/>
          </w:tcPr>
          <w:p>
            <w:pPr>
              <w:widowControl w:val="0"/>
              <w:adjustRightInd w:val="0"/>
              <w:snapToGrid w:val="0"/>
              <w:jc w:val="center"/>
              <w:rPr>
                <w:rFonts w:hint="eastAsia" w:ascii="宋体" w:hAnsi="宋体" w:eastAsia="宋体" w:cs="宋体"/>
                <w:bCs/>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1.5</w:t>
            </w:r>
          </w:p>
        </w:tc>
        <w:tc>
          <w:tcPr>
            <w:tcW w:w="1453" w:type="pct"/>
            <w:vMerge w:val="continue"/>
            <w:tcBorders>
              <w:tl2br w:val="nil"/>
              <w:tr2bl w:val="nil"/>
            </w:tcBorders>
            <w:noWrap w:val="0"/>
            <w:vAlign w:val="center"/>
          </w:tcPr>
          <w:p>
            <w:pPr>
              <w:pStyle w:val="38"/>
              <w:spacing w:line="320" w:lineRule="exact"/>
              <w:jc w:val="center"/>
              <w:rPr>
                <w:rFonts w:hint="eastAsia" w:ascii="宋体" w:hAnsi="宋体" w:eastAsia="宋体" w:cs="宋体"/>
                <w:bCs/>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12" w:hRule="atLeast"/>
          <w:jc w:val="center"/>
        </w:trPr>
        <w:tc>
          <w:tcPr>
            <w:tcW w:w="1104" w:type="pct"/>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t>8</w:t>
            </w:r>
          </w:p>
        </w:tc>
        <w:tc>
          <w:tcPr>
            <w:tcW w:w="1104" w:type="pct"/>
            <w:tcBorders>
              <w:tl2br w:val="nil"/>
              <w:tr2bl w:val="nil"/>
            </w:tcBorders>
            <w:noWrap w:val="0"/>
            <w:vAlign w:val="center"/>
          </w:tcPr>
          <w:p>
            <w:pPr>
              <w:widowControl w:val="0"/>
              <w:adjustRightInd w:val="0"/>
              <w:snapToGrid w:val="0"/>
              <w:jc w:val="center"/>
              <w:rPr>
                <w:rFonts w:hint="eastAsia" w:ascii="宋体" w:hAnsi="宋体" w:eastAsia="宋体" w:cs="宋体"/>
                <w:bCs/>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石油类</w:t>
            </w:r>
          </w:p>
        </w:tc>
        <w:tc>
          <w:tcPr>
            <w:tcW w:w="1337" w:type="pct"/>
            <w:tcBorders>
              <w:tl2br w:val="nil"/>
              <w:tr2bl w:val="nil"/>
            </w:tcBorders>
            <w:noWrap w:val="0"/>
            <w:vAlign w:val="center"/>
          </w:tcPr>
          <w:p>
            <w:pPr>
              <w:widowControl w:val="0"/>
              <w:adjustRightInd w:val="0"/>
              <w:snapToGrid w:val="0"/>
              <w:jc w:val="center"/>
              <w:rPr>
                <w:rFonts w:hint="eastAsia" w:ascii="宋体" w:hAnsi="宋体" w:eastAsia="宋体" w:cs="宋体"/>
                <w:bCs/>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0.05</w:t>
            </w:r>
          </w:p>
        </w:tc>
        <w:tc>
          <w:tcPr>
            <w:tcW w:w="1453" w:type="pct"/>
            <w:vMerge w:val="continue"/>
            <w:tcBorders>
              <w:tl2br w:val="nil"/>
              <w:tr2bl w:val="nil"/>
            </w:tcBorders>
            <w:noWrap w:val="0"/>
            <w:vAlign w:val="center"/>
          </w:tcPr>
          <w:p>
            <w:pPr>
              <w:pStyle w:val="38"/>
              <w:spacing w:line="320" w:lineRule="exact"/>
              <w:jc w:val="center"/>
              <w:rPr>
                <w:rFonts w:hint="eastAsia" w:ascii="宋体" w:hAnsi="宋体" w:eastAsia="宋体" w:cs="宋体"/>
                <w:bCs/>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12" w:hRule="atLeast"/>
          <w:jc w:val="center"/>
        </w:trPr>
        <w:tc>
          <w:tcPr>
            <w:tcW w:w="1104" w:type="pct"/>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t>9</w:t>
            </w:r>
          </w:p>
        </w:tc>
        <w:tc>
          <w:tcPr>
            <w:tcW w:w="1104" w:type="pct"/>
            <w:tcBorders>
              <w:tl2br w:val="nil"/>
              <w:tr2bl w:val="nil"/>
            </w:tcBorders>
            <w:noWrap w:val="0"/>
            <w:vAlign w:val="center"/>
          </w:tcPr>
          <w:p>
            <w:pPr>
              <w:widowControl w:val="0"/>
              <w:adjustRightInd w:val="0"/>
              <w:snapToGrid w:val="0"/>
              <w:jc w:val="center"/>
              <w:rPr>
                <w:rFonts w:hint="eastAsia" w:ascii="宋体" w:hAnsi="宋体" w:eastAsia="宋体" w:cs="宋体"/>
                <w:bCs/>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硫化物</w:t>
            </w:r>
          </w:p>
        </w:tc>
        <w:tc>
          <w:tcPr>
            <w:tcW w:w="1337" w:type="pct"/>
            <w:tcBorders>
              <w:tl2br w:val="nil"/>
              <w:tr2bl w:val="nil"/>
            </w:tcBorders>
            <w:noWrap w:val="0"/>
            <w:vAlign w:val="center"/>
          </w:tcPr>
          <w:p>
            <w:pPr>
              <w:widowControl w:val="0"/>
              <w:adjustRightInd w:val="0"/>
              <w:snapToGrid w:val="0"/>
              <w:jc w:val="center"/>
              <w:rPr>
                <w:rFonts w:hint="eastAsia" w:ascii="宋体" w:hAnsi="宋体" w:eastAsia="宋体" w:cs="宋体"/>
                <w:bCs/>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0.2</w:t>
            </w:r>
          </w:p>
        </w:tc>
        <w:tc>
          <w:tcPr>
            <w:tcW w:w="1453" w:type="pct"/>
            <w:vMerge w:val="continue"/>
            <w:tcBorders>
              <w:tl2br w:val="nil"/>
              <w:tr2bl w:val="nil"/>
            </w:tcBorders>
            <w:noWrap w:val="0"/>
            <w:vAlign w:val="center"/>
          </w:tcPr>
          <w:p>
            <w:pPr>
              <w:pStyle w:val="38"/>
              <w:spacing w:line="320" w:lineRule="exact"/>
              <w:jc w:val="center"/>
              <w:rPr>
                <w:rFonts w:hint="eastAsia" w:ascii="宋体" w:hAnsi="宋体" w:eastAsia="宋体" w:cs="宋体"/>
                <w:bCs/>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12" w:hRule="atLeast"/>
          <w:jc w:val="center"/>
        </w:trPr>
        <w:tc>
          <w:tcPr>
            <w:tcW w:w="1104" w:type="pct"/>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color w:val="000000" w:themeColor="text1"/>
                <w:kern w:val="2"/>
                <w:sz w:val="21"/>
                <w:szCs w:val="21"/>
                <w:highlight w:val="none"/>
                <w:lang w:val="en-US"/>
                <w14:textFill>
                  <w14:solidFill>
                    <w14:schemeClr w14:val="tx1"/>
                  </w14:solidFill>
                </w14:textFill>
              </w:rPr>
            </w:pPr>
            <w: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t>10</w:t>
            </w:r>
          </w:p>
        </w:tc>
        <w:tc>
          <w:tcPr>
            <w:tcW w:w="1104" w:type="pct"/>
            <w:tcBorders>
              <w:tl2br w:val="nil"/>
              <w:tr2bl w:val="nil"/>
            </w:tcBorders>
            <w:noWrap w:val="0"/>
            <w:vAlign w:val="center"/>
          </w:tcPr>
          <w:p>
            <w:pPr>
              <w:widowControl w:val="0"/>
              <w:adjustRightInd w:val="0"/>
              <w:snapToGrid w:val="0"/>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TN</w:t>
            </w:r>
          </w:p>
        </w:tc>
        <w:tc>
          <w:tcPr>
            <w:tcW w:w="1337" w:type="pct"/>
            <w:tcBorders>
              <w:tl2br w:val="nil"/>
              <w:tr2bl w:val="nil"/>
            </w:tcBorders>
            <w:noWrap w:val="0"/>
            <w:vAlign w:val="center"/>
          </w:tcPr>
          <w:p>
            <w:pPr>
              <w:widowControl w:val="0"/>
              <w:adjustRightInd w:val="0"/>
              <w:snapToGrid w:val="0"/>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1.0</w:t>
            </w:r>
          </w:p>
        </w:tc>
        <w:tc>
          <w:tcPr>
            <w:tcW w:w="1453" w:type="pct"/>
            <w:vMerge w:val="continue"/>
            <w:tcBorders>
              <w:tl2br w:val="nil"/>
              <w:tr2bl w:val="nil"/>
            </w:tcBorders>
            <w:noWrap w:val="0"/>
            <w:vAlign w:val="center"/>
          </w:tcPr>
          <w:p>
            <w:pPr>
              <w:pStyle w:val="38"/>
              <w:spacing w:line="320" w:lineRule="exact"/>
              <w:jc w:val="center"/>
              <w:rPr>
                <w:rFonts w:hint="eastAsia" w:ascii="宋体" w:hAnsi="宋体" w:eastAsia="宋体" w:cs="宋体"/>
                <w:bCs/>
                <w:color w:val="000000" w:themeColor="text1"/>
                <w:sz w:val="21"/>
                <w:szCs w:val="21"/>
                <w:highlight w:val="none"/>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Cs/>
          <w:color w:val="000000" w:themeColor="text1"/>
          <w:highlight w:val="none"/>
          <w14:textFill>
            <w14:solidFill>
              <w14:schemeClr w14:val="tx1"/>
            </w14:solidFill>
          </w14:textFill>
        </w:rPr>
        <w:t>（2）大气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val="0"/>
          <w:color w:val="000000" w:themeColor="text1"/>
          <w:highlight w:val="none"/>
          <w14:textFill>
            <w14:solidFill>
              <w14:schemeClr w14:val="tx1"/>
            </w14:solidFill>
          </w14:textFill>
        </w:rPr>
      </w:pPr>
      <w:r>
        <w:rPr>
          <w:rFonts w:hint="eastAsia" w:ascii="宋体" w:hAnsi="宋体" w:eastAsia="宋体" w:cs="宋体"/>
          <w:snapToGrid w:val="0"/>
          <w:color w:val="000000" w:themeColor="text1"/>
          <w:highlight w:val="none"/>
          <w14:textFill>
            <w14:solidFill>
              <w14:schemeClr w14:val="tx1"/>
            </w14:solidFill>
          </w14:textFill>
        </w:rPr>
        <w:t>拟建项目所在地属环境空气质量二类区域，SO</w:t>
      </w:r>
      <w:r>
        <w:rPr>
          <w:rFonts w:hint="eastAsia" w:ascii="宋体" w:hAnsi="宋体" w:eastAsia="宋体" w:cs="宋体"/>
          <w:snapToGrid w:val="0"/>
          <w:color w:val="000000" w:themeColor="text1"/>
          <w:highlight w:val="none"/>
          <w:vertAlign w:val="subscript"/>
          <w14:textFill>
            <w14:solidFill>
              <w14:schemeClr w14:val="tx1"/>
            </w14:solidFill>
          </w14:textFill>
        </w:rPr>
        <w:t>2</w:t>
      </w:r>
      <w:r>
        <w:rPr>
          <w:rFonts w:hint="eastAsia" w:ascii="宋体" w:hAnsi="宋体" w:eastAsia="宋体" w:cs="宋体"/>
          <w:snapToGrid w:val="0"/>
          <w:color w:val="000000" w:themeColor="text1"/>
          <w:highlight w:val="none"/>
          <w14:textFill>
            <w14:solidFill>
              <w14:schemeClr w14:val="tx1"/>
            </w14:solidFill>
          </w14:textFill>
        </w:rPr>
        <w:t>、NO</w:t>
      </w:r>
      <w:r>
        <w:rPr>
          <w:rFonts w:hint="eastAsia" w:ascii="宋体" w:hAnsi="宋体" w:eastAsia="宋体" w:cs="宋体"/>
          <w:snapToGrid w:val="0"/>
          <w:color w:val="000000" w:themeColor="text1"/>
          <w:highlight w:val="none"/>
          <w:vertAlign w:val="subscript"/>
          <w14:textFill>
            <w14:solidFill>
              <w14:schemeClr w14:val="tx1"/>
            </w14:solidFill>
          </w14:textFill>
        </w:rPr>
        <w:t>2</w:t>
      </w:r>
      <w:r>
        <w:rPr>
          <w:rFonts w:hint="eastAsia" w:ascii="宋体" w:hAnsi="宋体" w:eastAsia="宋体" w:cs="宋体"/>
          <w:snapToGrid w:val="0"/>
          <w:color w:val="000000" w:themeColor="text1"/>
          <w:highlight w:val="none"/>
          <w14:textFill>
            <w14:solidFill>
              <w14:schemeClr w14:val="tx1"/>
            </w14:solidFill>
          </w14:textFill>
        </w:rPr>
        <w:t>、TSP、PM</w:t>
      </w:r>
      <w:r>
        <w:rPr>
          <w:rFonts w:hint="eastAsia" w:ascii="宋体" w:hAnsi="宋体" w:eastAsia="宋体" w:cs="宋体"/>
          <w:snapToGrid w:val="0"/>
          <w:color w:val="000000" w:themeColor="text1"/>
          <w:highlight w:val="none"/>
          <w:vertAlign w:val="subscript"/>
          <w14:textFill>
            <w14:solidFill>
              <w14:schemeClr w14:val="tx1"/>
            </w14:solidFill>
          </w14:textFill>
        </w:rPr>
        <w:t>10</w:t>
      </w:r>
      <w:r>
        <w:rPr>
          <w:rFonts w:hint="eastAsia" w:ascii="宋体" w:hAnsi="宋体" w:eastAsia="宋体" w:cs="宋体"/>
          <w:snapToGrid w:val="0"/>
          <w:color w:val="000000" w:themeColor="text1"/>
          <w:highlight w:val="none"/>
          <w14:textFill>
            <w14:solidFill>
              <w14:schemeClr w14:val="tx1"/>
            </w14:solidFill>
          </w14:textFill>
        </w:rPr>
        <w:t>、P</w:t>
      </w:r>
      <w:r>
        <w:rPr>
          <w:rFonts w:hint="eastAsia" w:ascii="宋体" w:hAnsi="宋体" w:eastAsia="宋体" w:cs="宋体"/>
          <w:snapToGrid w:val="0"/>
          <w:color w:val="000000" w:themeColor="text1"/>
          <w:highlight w:val="none"/>
          <w:lang w:eastAsia="zh-CN"/>
          <w14:textFill>
            <w14:solidFill>
              <w14:schemeClr w14:val="tx1"/>
            </w14:solidFill>
          </w14:textFill>
        </w:rPr>
        <w:t>m</w:t>
      </w:r>
      <w:r>
        <w:rPr>
          <w:rFonts w:hint="eastAsia" w:ascii="宋体" w:hAnsi="宋体" w:eastAsia="宋体" w:cs="宋体"/>
          <w:snapToGrid w:val="0"/>
          <w:color w:val="000000" w:themeColor="text1"/>
          <w:highlight w:val="none"/>
          <w:vertAlign w:val="subscript"/>
          <w:lang w:val="en-US" w:eastAsia="zh-CN"/>
          <w14:textFill>
            <w14:solidFill>
              <w14:schemeClr w14:val="tx1"/>
            </w14:solidFill>
          </w14:textFill>
        </w:rPr>
        <w:t>2</w:t>
      </w:r>
      <w:r>
        <w:rPr>
          <w:rFonts w:hint="eastAsia" w:ascii="宋体" w:hAnsi="宋体" w:eastAsia="宋体" w:cs="宋体"/>
          <w:snapToGrid w:val="0"/>
          <w:color w:val="000000" w:themeColor="text1"/>
          <w:highlight w:val="none"/>
          <w:vertAlign w:val="subscript"/>
          <w14:textFill>
            <w14:solidFill>
              <w14:schemeClr w14:val="tx1"/>
            </w14:solidFill>
          </w14:textFill>
        </w:rPr>
        <w:t>.5</w:t>
      </w:r>
      <w:r>
        <w:rPr>
          <w:rFonts w:hint="eastAsia" w:ascii="宋体" w:hAnsi="宋体" w:eastAsia="宋体" w:cs="宋体"/>
          <w:snapToGrid w:val="0"/>
          <w:color w:val="000000" w:themeColor="text1"/>
          <w:highlight w:val="none"/>
          <w14:textFill>
            <w14:solidFill>
              <w14:schemeClr w14:val="tx1"/>
            </w14:solidFill>
          </w14:textFill>
        </w:rPr>
        <w:t>、CO和O</w:t>
      </w:r>
      <w:r>
        <w:rPr>
          <w:rFonts w:hint="eastAsia" w:ascii="宋体" w:hAnsi="宋体" w:eastAsia="宋体" w:cs="宋体"/>
          <w:snapToGrid w:val="0"/>
          <w:color w:val="000000" w:themeColor="text1"/>
          <w:highlight w:val="none"/>
          <w:vertAlign w:val="subscript"/>
          <w14:textFill>
            <w14:solidFill>
              <w14:schemeClr w14:val="tx1"/>
            </w14:solidFill>
          </w14:textFill>
        </w:rPr>
        <w:t>3</w:t>
      </w:r>
      <w:r>
        <w:rPr>
          <w:rFonts w:hint="eastAsia" w:ascii="宋体" w:hAnsi="宋体" w:eastAsia="宋体" w:cs="宋体"/>
          <w:snapToGrid w:val="0"/>
          <w:color w:val="000000" w:themeColor="text1"/>
          <w:highlight w:val="none"/>
          <w14:textFill>
            <w14:solidFill>
              <w14:schemeClr w14:val="tx1"/>
            </w14:solidFill>
          </w14:textFill>
        </w:rPr>
        <w:t>执行《环境空气质量标准》（GB3095-2012）中的二级标准及2018年修改单要求；TVOC参照《环境影响评价技术导则大气环境》（HJ2.2-2018）“附录D”-其他污染物空气质量参考限值。</w:t>
      </w:r>
      <w:r>
        <w:rPr>
          <w:rFonts w:hint="eastAsia" w:ascii="宋体" w:hAnsi="宋体" w:eastAsia="宋体" w:cs="宋体"/>
          <w:snapToGrid w:val="0"/>
          <w:color w:val="000000" w:themeColor="text1"/>
          <w:highlight w:val="none"/>
          <w:lang w:val="en-US" w:eastAsia="zh-CN"/>
          <w14:textFill>
            <w14:solidFill>
              <w14:schemeClr w14:val="tx1"/>
            </w14:solidFill>
          </w14:textFill>
        </w:rPr>
        <w:t>非甲烷总烃</w:t>
      </w:r>
      <w:r>
        <w:rPr>
          <w:rFonts w:hint="eastAsia" w:ascii="宋体" w:hAnsi="宋体" w:eastAsia="宋体" w:cs="宋体"/>
          <w:snapToGrid w:val="0"/>
          <w:color w:val="000000" w:themeColor="text1"/>
          <w:highlight w:val="none"/>
          <w14:textFill>
            <w14:solidFill>
              <w14:schemeClr w14:val="tx1"/>
            </w14:solidFill>
          </w14:textFill>
        </w:rPr>
        <w:t>参照执行大气污染物综合排放标准详解。详见下表。</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0" w:firstLineChars="0"/>
        <w:jc w:val="center"/>
        <w:textAlignment w:val="auto"/>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表2</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.2</w:t>
      </w:r>
      <w:r>
        <w:rPr>
          <w:rFonts w:hint="eastAsia" w:ascii="宋体" w:hAnsi="宋体" w:eastAsia="宋体" w:cs="宋体"/>
          <w:b/>
          <w:bCs/>
          <w:color w:val="000000" w:themeColor="text1"/>
          <w:sz w:val="24"/>
          <w:szCs w:val="24"/>
          <w:highlight w:val="none"/>
          <w14:textFill>
            <w14:solidFill>
              <w14:schemeClr w14:val="tx1"/>
            </w14:solidFill>
          </w14:textFill>
        </w:rPr>
        <w:t>-</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2</w:t>
      </w:r>
      <w:r>
        <w:rPr>
          <w:rFonts w:hint="eastAsia" w:ascii="宋体" w:hAnsi="宋体" w:eastAsia="宋体" w:cs="宋体"/>
          <w:b/>
          <w:bCs/>
          <w:color w:val="000000" w:themeColor="text1"/>
          <w:sz w:val="24"/>
          <w:szCs w:val="24"/>
          <w:highlight w:val="none"/>
          <w14:textFill>
            <w14:solidFill>
              <w14:schemeClr w14:val="tx1"/>
            </w14:solidFill>
          </w14:textFill>
        </w:rPr>
        <w:t>环境空气质量标准</w:t>
      </w: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384"/>
        <w:gridCol w:w="2658"/>
        <w:gridCol w:w="1112"/>
        <w:gridCol w:w="434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8" w:hRule="atLeast"/>
          <w:jc w:val="center"/>
        </w:trPr>
        <w:tc>
          <w:tcPr>
            <w:tcW w:w="1384" w:type="dxa"/>
            <w:tcBorders>
              <w:tl2br w:val="nil"/>
              <w:tr2bl w:val="nil"/>
            </w:tcBorders>
            <w:noWrap w:val="0"/>
            <w:vAlign w:val="center"/>
          </w:tcPr>
          <w:p>
            <w:pPr>
              <w:widowControl w:val="0"/>
              <w:spacing w:line="36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污染物</w:t>
            </w:r>
          </w:p>
        </w:tc>
        <w:tc>
          <w:tcPr>
            <w:tcW w:w="3770" w:type="dxa"/>
            <w:gridSpan w:val="2"/>
            <w:tcBorders>
              <w:tl2br w:val="nil"/>
              <w:tr2bl w:val="nil"/>
            </w:tcBorders>
            <w:noWrap w:val="0"/>
            <w:vAlign w:val="center"/>
          </w:tcPr>
          <w:p>
            <w:pPr>
              <w:widowControl w:val="0"/>
              <w:spacing w:line="36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标准限值（μg/</w:t>
            </w:r>
            <w:r>
              <w:rPr>
                <w:rFonts w:hint="eastAsia" w:ascii="宋体" w:hAnsi="宋体" w:eastAsia="宋体" w:cs="宋体"/>
                <w:color w:val="000000" w:themeColor="text1"/>
                <w:sz w:val="21"/>
                <w:szCs w:val="21"/>
                <w:highlight w:val="none"/>
                <w:lang w:eastAsia="zh-CN"/>
                <w14:textFill>
                  <w14:solidFill>
                    <w14:schemeClr w14:val="tx1"/>
                  </w14:solidFill>
                </w14:textFill>
              </w:rPr>
              <w:t>m³</w:t>
            </w:r>
            <w:r>
              <w:rPr>
                <w:rFonts w:hint="eastAsia" w:ascii="宋体" w:hAnsi="宋体" w:eastAsia="宋体" w:cs="宋体"/>
                <w:color w:val="000000" w:themeColor="text1"/>
                <w:sz w:val="21"/>
                <w:szCs w:val="21"/>
                <w:highlight w:val="none"/>
                <w14:textFill>
                  <w14:solidFill>
                    <w14:schemeClr w14:val="tx1"/>
                  </w14:solidFill>
                </w14:textFill>
              </w:rPr>
              <w:t>）</w:t>
            </w:r>
          </w:p>
        </w:tc>
        <w:tc>
          <w:tcPr>
            <w:tcW w:w="4349" w:type="dxa"/>
            <w:tcBorders>
              <w:tl2br w:val="nil"/>
              <w:tr2bl w:val="nil"/>
            </w:tcBorders>
            <w:noWrap w:val="0"/>
            <w:vAlign w:val="center"/>
          </w:tcPr>
          <w:p>
            <w:pPr>
              <w:widowControl w:val="0"/>
              <w:spacing w:line="36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标准来源</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6" w:hRule="atLeast"/>
          <w:jc w:val="center"/>
        </w:trPr>
        <w:tc>
          <w:tcPr>
            <w:tcW w:w="1384" w:type="dxa"/>
            <w:vMerge w:val="restart"/>
            <w:tcBorders>
              <w:tl2br w:val="nil"/>
              <w:tr2bl w:val="nil"/>
            </w:tcBorders>
            <w:noWrap w:val="0"/>
            <w:vAlign w:val="center"/>
          </w:tcPr>
          <w:p>
            <w:pPr>
              <w:widowControl w:val="0"/>
              <w:spacing w:line="36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SO</w:t>
            </w:r>
            <w:r>
              <w:rPr>
                <w:rFonts w:hint="eastAsia" w:ascii="宋体" w:hAnsi="宋体" w:eastAsia="宋体" w:cs="宋体"/>
                <w:color w:val="000000" w:themeColor="text1"/>
                <w:sz w:val="21"/>
                <w:szCs w:val="21"/>
                <w:highlight w:val="none"/>
                <w:vertAlign w:val="subscript"/>
                <w14:textFill>
                  <w14:solidFill>
                    <w14:schemeClr w14:val="tx1"/>
                  </w14:solidFill>
                </w14:textFill>
              </w:rPr>
              <w:t>2</w:t>
            </w:r>
          </w:p>
        </w:tc>
        <w:tc>
          <w:tcPr>
            <w:tcW w:w="2658" w:type="dxa"/>
            <w:tcBorders>
              <w:tl2br w:val="nil"/>
              <w:tr2bl w:val="nil"/>
            </w:tcBorders>
            <w:noWrap w:val="0"/>
            <w:vAlign w:val="center"/>
          </w:tcPr>
          <w:p>
            <w:pPr>
              <w:widowControl w:val="0"/>
              <w:spacing w:line="36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年平均</w:t>
            </w:r>
          </w:p>
        </w:tc>
        <w:tc>
          <w:tcPr>
            <w:tcW w:w="1112" w:type="dxa"/>
            <w:tcBorders>
              <w:tl2br w:val="nil"/>
              <w:tr2bl w:val="nil"/>
            </w:tcBorders>
            <w:noWrap w:val="0"/>
            <w:vAlign w:val="center"/>
          </w:tcPr>
          <w:p>
            <w:pPr>
              <w:widowControl w:val="0"/>
              <w:spacing w:line="36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60</w:t>
            </w:r>
          </w:p>
        </w:tc>
        <w:tc>
          <w:tcPr>
            <w:tcW w:w="4349" w:type="dxa"/>
            <w:vMerge w:val="restart"/>
            <w:tcBorders>
              <w:tl2br w:val="nil"/>
              <w:tr2bl w:val="nil"/>
            </w:tcBorders>
            <w:noWrap w:val="0"/>
            <w:vAlign w:val="center"/>
          </w:tcPr>
          <w:p>
            <w:pPr>
              <w:widowControl w:val="0"/>
              <w:spacing w:line="36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《环境空气质量标准》（GB3095-2012)中二级标准及2018年修改单要求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6" w:hRule="atLeast"/>
          <w:jc w:val="center"/>
        </w:trPr>
        <w:tc>
          <w:tcPr>
            <w:tcW w:w="1384" w:type="dxa"/>
            <w:vMerge w:val="continue"/>
            <w:tcBorders>
              <w:tl2br w:val="nil"/>
              <w:tr2bl w:val="nil"/>
            </w:tcBorders>
            <w:noWrap w:val="0"/>
            <w:vAlign w:val="center"/>
          </w:tcPr>
          <w:p>
            <w:pPr>
              <w:widowControl w:val="0"/>
              <w:spacing w:line="360" w:lineRule="exact"/>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2658" w:type="dxa"/>
            <w:tcBorders>
              <w:tl2br w:val="nil"/>
              <w:tr2bl w:val="nil"/>
            </w:tcBorders>
            <w:noWrap w:val="0"/>
            <w:vAlign w:val="center"/>
          </w:tcPr>
          <w:p>
            <w:pPr>
              <w:widowControl w:val="0"/>
              <w:spacing w:line="36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24小时平均</w:t>
            </w:r>
          </w:p>
        </w:tc>
        <w:tc>
          <w:tcPr>
            <w:tcW w:w="1112" w:type="dxa"/>
            <w:tcBorders>
              <w:tl2br w:val="nil"/>
              <w:tr2bl w:val="nil"/>
            </w:tcBorders>
            <w:noWrap w:val="0"/>
            <w:vAlign w:val="center"/>
          </w:tcPr>
          <w:p>
            <w:pPr>
              <w:widowControl w:val="0"/>
              <w:spacing w:line="36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150</w:t>
            </w:r>
          </w:p>
        </w:tc>
        <w:tc>
          <w:tcPr>
            <w:tcW w:w="4349" w:type="dxa"/>
            <w:vMerge w:val="continue"/>
            <w:tcBorders>
              <w:tl2br w:val="nil"/>
              <w:tr2bl w:val="nil"/>
            </w:tcBorders>
            <w:noWrap w:val="0"/>
            <w:vAlign w:val="center"/>
          </w:tcPr>
          <w:p>
            <w:pPr>
              <w:widowControl w:val="0"/>
              <w:spacing w:line="360" w:lineRule="exact"/>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6" w:hRule="atLeast"/>
          <w:jc w:val="center"/>
        </w:trPr>
        <w:tc>
          <w:tcPr>
            <w:tcW w:w="1384" w:type="dxa"/>
            <w:vMerge w:val="continue"/>
            <w:tcBorders>
              <w:tl2br w:val="nil"/>
              <w:tr2bl w:val="nil"/>
            </w:tcBorders>
            <w:noWrap w:val="0"/>
            <w:vAlign w:val="center"/>
          </w:tcPr>
          <w:p>
            <w:pPr>
              <w:widowControl w:val="0"/>
              <w:spacing w:line="360" w:lineRule="exact"/>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2658" w:type="dxa"/>
            <w:tcBorders>
              <w:tl2br w:val="nil"/>
              <w:tr2bl w:val="nil"/>
            </w:tcBorders>
            <w:noWrap w:val="0"/>
            <w:vAlign w:val="center"/>
          </w:tcPr>
          <w:p>
            <w:pPr>
              <w:widowControl w:val="0"/>
              <w:spacing w:line="36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1小时平均</w:t>
            </w:r>
          </w:p>
        </w:tc>
        <w:tc>
          <w:tcPr>
            <w:tcW w:w="1112" w:type="dxa"/>
            <w:tcBorders>
              <w:tl2br w:val="nil"/>
              <w:tr2bl w:val="nil"/>
            </w:tcBorders>
            <w:noWrap w:val="0"/>
            <w:vAlign w:val="center"/>
          </w:tcPr>
          <w:p>
            <w:pPr>
              <w:widowControl w:val="0"/>
              <w:spacing w:line="36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500</w:t>
            </w:r>
          </w:p>
        </w:tc>
        <w:tc>
          <w:tcPr>
            <w:tcW w:w="4349" w:type="dxa"/>
            <w:vMerge w:val="continue"/>
            <w:tcBorders>
              <w:tl2br w:val="nil"/>
              <w:tr2bl w:val="nil"/>
            </w:tcBorders>
            <w:noWrap w:val="0"/>
            <w:vAlign w:val="center"/>
          </w:tcPr>
          <w:p>
            <w:pPr>
              <w:widowControl w:val="0"/>
              <w:spacing w:line="360" w:lineRule="exact"/>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42" w:hRule="atLeast"/>
          <w:jc w:val="center"/>
        </w:trPr>
        <w:tc>
          <w:tcPr>
            <w:tcW w:w="1384" w:type="dxa"/>
            <w:vMerge w:val="restart"/>
            <w:tcBorders>
              <w:tl2br w:val="nil"/>
              <w:tr2bl w:val="nil"/>
            </w:tcBorders>
            <w:noWrap w:val="0"/>
            <w:vAlign w:val="center"/>
          </w:tcPr>
          <w:p>
            <w:pPr>
              <w:widowControl w:val="0"/>
              <w:spacing w:line="36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NO</w:t>
            </w:r>
            <w:r>
              <w:rPr>
                <w:rFonts w:hint="eastAsia" w:ascii="宋体" w:hAnsi="宋体" w:eastAsia="宋体" w:cs="宋体"/>
                <w:color w:val="000000" w:themeColor="text1"/>
                <w:sz w:val="21"/>
                <w:szCs w:val="21"/>
                <w:highlight w:val="none"/>
                <w:vertAlign w:val="subscript"/>
                <w14:textFill>
                  <w14:solidFill>
                    <w14:schemeClr w14:val="tx1"/>
                  </w14:solidFill>
                </w14:textFill>
              </w:rPr>
              <w:t>2</w:t>
            </w:r>
          </w:p>
        </w:tc>
        <w:tc>
          <w:tcPr>
            <w:tcW w:w="2658" w:type="dxa"/>
            <w:tcBorders>
              <w:tl2br w:val="nil"/>
              <w:tr2bl w:val="nil"/>
            </w:tcBorders>
            <w:noWrap w:val="0"/>
            <w:vAlign w:val="center"/>
          </w:tcPr>
          <w:p>
            <w:pPr>
              <w:widowControl w:val="0"/>
              <w:spacing w:line="36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年平均</w:t>
            </w:r>
          </w:p>
        </w:tc>
        <w:tc>
          <w:tcPr>
            <w:tcW w:w="1112" w:type="dxa"/>
            <w:tcBorders>
              <w:tl2br w:val="nil"/>
              <w:tr2bl w:val="nil"/>
            </w:tcBorders>
            <w:noWrap w:val="0"/>
            <w:vAlign w:val="center"/>
          </w:tcPr>
          <w:p>
            <w:pPr>
              <w:widowControl w:val="0"/>
              <w:spacing w:line="36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40</w:t>
            </w:r>
          </w:p>
        </w:tc>
        <w:tc>
          <w:tcPr>
            <w:tcW w:w="4349" w:type="dxa"/>
            <w:vMerge w:val="continue"/>
            <w:tcBorders>
              <w:tl2br w:val="nil"/>
              <w:tr2bl w:val="nil"/>
            </w:tcBorders>
            <w:noWrap w:val="0"/>
            <w:vAlign w:val="center"/>
          </w:tcPr>
          <w:p>
            <w:pPr>
              <w:widowControl w:val="0"/>
              <w:spacing w:line="360" w:lineRule="exact"/>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6" w:hRule="atLeast"/>
          <w:jc w:val="center"/>
        </w:trPr>
        <w:tc>
          <w:tcPr>
            <w:tcW w:w="1384" w:type="dxa"/>
            <w:vMerge w:val="continue"/>
            <w:tcBorders>
              <w:tl2br w:val="nil"/>
              <w:tr2bl w:val="nil"/>
            </w:tcBorders>
            <w:noWrap w:val="0"/>
            <w:vAlign w:val="center"/>
          </w:tcPr>
          <w:p>
            <w:pPr>
              <w:widowControl w:val="0"/>
              <w:spacing w:line="360" w:lineRule="exact"/>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2658" w:type="dxa"/>
            <w:tcBorders>
              <w:tl2br w:val="nil"/>
              <w:tr2bl w:val="nil"/>
            </w:tcBorders>
            <w:noWrap w:val="0"/>
            <w:vAlign w:val="center"/>
          </w:tcPr>
          <w:p>
            <w:pPr>
              <w:widowControl w:val="0"/>
              <w:spacing w:line="36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24小时平均</w:t>
            </w:r>
          </w:p>
        </w:tc>
        <w:tc>
          <w:tcPr>
            <w:tcW w:w="1112" w:type="dxa"/>
            <w:tcBorders>
              <w:tl2br w:val="nil"/>
              <w:tr2bl w:val="nil"/>
            </w:tcBorders>
            <w:noWrap w:val="0"/>
            <w:vAlign w:val="center"/>
          </w:tcPr>
          <w:p>
            <w:pPr>
              <w:widowControl w:val="0"/>
              <w:spacing w:line="36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80</w:t>
            </w:r>
          </w:p>
        </w:tc>
        <w:tc>
          <w:tcPr>
            <w:tcW w:w="4349" w:type="dxa"/>
            <w:vMerge w:val="continue"/>
            <w:tcBorders>
              <w:tl2br w:val="nil"/>
              <w:tr2bl w:val="nil"/>
            </w:tcBorders>
            <w:noWrap w:val="0"/>
            <w:vAlign w:val="center"/>
          </w:tcPr>
          <w:p>
            <w:pPr>
              <w:widowControl w:val="0"/>
              <w:spacing w:line="360" w:lineRule="exact"/>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6" w:hRule="atLeast"/>
          <w:jc w:val="center"/>
        </w:trPr>
        <w:tc>
          <w:tcPr>
            <w:tcW w:w="1384" w:type="dxa"/>
            <w:vMerge w:val="continue"/>
            <w:tcBorders>
              <w:tl2br w:val="nil"/>
              <w:tr2bl w:val="nil"/>
            </w:tcBorders>
            <w:noWrap w:val="0"/>
            <w:vAlign w:val="center"/>
          </w:tcPr>
          <w:p>
            <w:pPr>
              <w:widowControl w:val="0"/>
              <w:spacing w:line="360" w:lineRule="exact"/>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2658" w:type="dxa"/>
            <w:tcBorders>
              <w:tl2br w:val="nil"/>
              <w:tr2bl w:val="nil"/>
            </w:tcBorders>
            <w:noWrap w:val="0"/>
            <w:vAlign w:val="center"/>
          </w:tcPr>
          <w:p>
            <w:pPr>
              <w:widowControl w:val="0"/>
              <w:spacing w:line="36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1小时平均</w:t>
            </w:r>
          </w:p>
        </w:tc>
        <w:tc>
          <w:tcPr>
            <w:tcW w:w="1112" w:type="dxa"/>
            <w:tcBorders>
              <w:tl2br w:val="nil"/>
              <w:tr2bl w:val="nil"/>
            </w:tcBorders>
            <w:noWrap w:val="0"/>
            <w:vAlign w:val="center"/>
          </w:tcPr>
          <w:p>
            <w:pPr>
              <w:widowControl w:val="0"/>
              <w:spacing w:line="36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200</w:t>
            </w:r>
          </w:p>
        </w:tc>
        <w:tc>
          <w:tcPr>
            <w:tcW w:w="4349" w:type="dxa"/>
            <w:vMerge w:val="continue"/>
            <w:tcBorders>
              <w:tl2br w:val="nil"/>
              <w:tr2bl w:val="nil"/>
            </w:tcBorders>
            <w:noWrap w:val="0"/>
            <w:vAlign w:val="center"/>
          </w:tcPr>
          <w:p>
            <w:pPr>
              <w:widowControl w:val="0"/>
              <w:spacing w:line="360" w:lineRule="exact"/>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0" w:hRule="atLeast"/>
          <w:jc w:val="center"/>
        </w:trPr>
        <w:tc>
          <w:tcPr>
            <w:tcW w:w="1384" w:type="dxa"/>
            <w:vMerge w:val="restart"/>
            <w:tcBorders>
              <w:tl2br w:val="nil"/>
              <w:tr2bl w:val="nil"/>
            </w:tcBorders>
            <w:noWrap w:val="0"/>
            <w:vAlign w:val="center"/>
          </w:tcPr>
          <w:p>
            <w:pPr>
              <w:widowControl w:val="0"/>
              <w:spacing w:line="36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TSP</w:t>
            </w:r>
          </w:p>
        </w:tc>
        <w:tc>
          <w:tcPr>
            <w:tcW w:w="2658" w:type="dxa"/>
            <w:tcBorders>
              <w:tl2br w:val="nil"/>
              <w:tr2bl w:val="nil"/>
            </w:tcBorders>
            <w:noWrap w:val="0"/>
            <w:vAlign w:val="center"/>
          </w:tcPr>
          <w:p>
            <w:pPr>
              <w:widowControl w:val="0"/>
              <w:spacing w:line="36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年平均</w:t>
            </w:r>
          </w:p>
        </w:tc>
        <w:tc>
          <w:tcPr>
            <w:tcW w:w="1112" w:type="dxa"/>
            <w:tcBorders>
              <w:tl2br w:val="nil"/>
              <w:tr2bl w:val="nil"/>
            </w:tcBorders>
            <w:noWrap w:val="0"/>
            <w:vAlign w:val="center"/>
          </w:tcPr>
          <w:p>
            <w:pPr>
              <w:widowControl w:val="0"/>
              <w:spacing w:line="36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200</w:t>
            </w:r>
          </w:p>
        </w:tc>
        <w:tc>
          <w:tcPr>
            <w:tcW w:w="4349" w:type="dxa"/>
            <w:vMerge w:val="continue"/>
            <w:tcBorders>
              <w:tl2br w:val="nil"/>
              <w:tr2bl w:val="nil"/>
            </w:tcBorders>
            <w:noWrap w:val="0"/>
            <w:vAlign w:val="center"/>
          </w:tcPr>
          <w:p>
            <w:pPr>
              <w:widowControl w:val="0"/>
              <w:spacing w:line="360" w:lineRule="exact"/>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6" w:hRule="atLeast"/>
          <w:jc w:val="center"/>
        </w:trPr>
        <w:tc>
          <w:tcPr>
            <w:tcW w:w="1384" w:type="dxa"/>
            <w:vMerge w:val="continue"/>
            <w:tcBorders>
              <w:tl2br w:val="nil"/>
              <w:tr2bl w:val="nil"/>
            </w:tcBorders>
            <w:noWrap w:val="0"/>
            <w:vAlign w:val="center"/>
          </w:tcPr>
          <w:p>
            <w:pPr>
              <w:widowControl w:val="0"/>
              <w:spacing w:line="360" w:lineRule="exact"/>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2658" w:type="dxa"/>
            <w:tcBorders>
              <w:tl2br w:val="nil"/>
              <w:tr2bl w:val="nil"/>
            </w:tcBorders>
            <w:noWrap w:val="0"/>
            <w:vAlign w:val="center"/>
          </w:tcPr>
          <w:p>
            <w:pPr>
              <w:widowControl w:val="0"/>
              <w:spacing w:line="36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24小时平均</w:t>
            </w:r>
          </w:p>
        </w:tc>
        <w:tc>
          <w:tcPr>
            <w:tcW w:w="1112" w:type="dxa"/>
            <w:tcBorders>
              <w:tl2br w:val="nil"/>
              <w:tr2bl w:val="nil"/>
            </w:tcBorders>
            <w:noWrap w:val="0"/>
            <w:vAlign w:val="center"/>
          </w:tcPr>
          <w:p>
            <w:pPr>
              <w:widowControl w:val="0"/>
              <w:spacing w:line="36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300</w:t>
            </w:r>
          </w:p>
        </w:tc>
        <w:tc>
          <w:tcPr>
            <w:tcW w:w="4349" w:type="dxa"/>
            <w:vMerge w:val="continue"/>
            <w:tcBorders>
              <w:tl2br w:val="nil"/>
              <w:tr2bl w:val="nil"/>
            </w:tcBorders>
            <w:noWrap w:val="0"/>
            <w:vAlign w:val="center"/>
          </w:tcPr>
          <w:p>
            <w:pPr>
              <w:widowControl w:val="0"/>
              <w:spacing w:line="360" w:lineRule="exact"/>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4" w:hRule="atLeast"/>
          <w:jc w:val="center"/>
        </w:trPr>
        <w:tc>
          <w:tcPr>
            <w:tcW w:w="1384" w:type="dxa"/>
            <w:vMerge w:val="restart"/>
            <w:tcBorders>
              <w:tl2br w:val="nil"/>
              <w:tr2bl w:val="nil"/>
            </w:tcBorders>
            <w:noWrap w:val="0"/>
            <w:vAlign w:val="center"/>
          </w:tcPr>
          <w:p>
            <w:pPr>
              <w:widowControl w:val="0"/>
              <w:spacing w:line="36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PM</w:t>
            </w:r>
            <w:r>
              <w:rPr>
                <w:rFonts w:hint="eastAsia" w:ascii="宋体" w:hAnsi="宋体" w:eastAsia="宋体" w:cs="宋体"/>
                <w:color w:val="000000" w:themeColor="text1"/>
                <w:sz w:val="21"/>
                <w:szCs w:val="21"/>
                <w:highlight w:val="none"/>
                <w:vertAlign w:val="subscript"/>
                <w14:textFill>
                  <w14:solidFill>
                    <w14:schemeClr w14:val="tx1"/>
                  </w14:solidFill>
                </w14:textFill>
              </w:rPr>
              <w:t>10</w:t>
            </w:r>
          </w:p>
        </w:tc>
        <w:tc>
          <w:tcPr>
            <w:tcW w:w="2658" w:type="dxa"/>
            <w:tcBorders>
              <w:tl2br w:val="nil"/>
              <w:tr2bl w:val="nil"/>
            </w:tcBorders>
            <w:noWrap w:val="0"/>
            <w:vAlign w:val="center"/>
          </w:tcPr>
          <w:p>
            <w:pPr>
              <w:widowControl w:val="0"/>
              <w:spacing w:line="36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年平均</w:t>
            </w:r>
          </w:p>
        </w:tc>
        <w:tc>
          <w:tcPr>
            <w:tcW w:w="1112" w:type="dxa"/>
            <w:tcBorders>
              <w:tl2br w:val="nil"/>
              <w:tr2bl w:val="nil"/>
            </w:tcBorders>
            <w:noWrap w:val="0"/>
            <w:vAlign w:val="center"/>
          </w:tcPr>
          <w:p>
            <w:pPr>
              <w:widowControl w:val="0"/>
              <w:spacing w:line="36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70</w:t>
            </w:r>
          </w:p>
        </w:tc>
        <w:tc>
          <w:tcPr>
            <w:tcW w:w="4349" w:type="dxa"/>
            <w:vMerge w:val="continue"/>
            <w:tcBorders>
              <w:tl2br w:val="nil"/>
              <w:tr2bl w:val="nil"/>
            </w:tcBorders>
            <w:noWrap w:val="0"/>
            <w:vAlign w:val="center"/>
          </w:tcPr>
          <w:p>
            <w:pPr>
              <w:widowControl w:val="0"/>
              <w:spacing w:line="360" w:lineRule="exact"/>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6" w:hRule="atLeast"/>
          <w:jc w:val="center"/>
        </w:trPr>
        <w:tc>
          <w:tcPr>
            <w:tcW w:w="1384" w:type="dxa"/>
            <w:vMerge w:val="continue"/>
            <w:tcBorders>
              <w:tl2br w:val="nil"/>
              <w:tr2bl w:val="nil"/>
            </w:tcBorders>
            <w:noWrap w:val="0"/>
            <w:vAlign w:val="center"/>
          </w:tcPr>
          <w:p>
            <w:pPr>
              <w:widowControl w:val="0"/>
              <w:spacing w:line="360" w:lineRule="exact"/>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2658" w:type="dxa"/>
            <w:tcBorders>
              <w:tl2br w:val="nil"/>
              <w:tr2bl w:val="nil"/>
            </w:tcBorders>
            <w:noWrap w:val="0"/>
            <w:vAlign w:val="center"/>
          </w:tcPr>
          <w:p>
            <w:pPr>
              <w:widowControl w:val="0"/>
              <w:spacing w:line="36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24小时平均</w:t>
            </w:r>
          </w:p>
        </w:tc>
        <w:tc>
          <w:tcPr>
            <w:tcW w:w="1112" w:type="dxa"/>
            <w:tcBorders>
              <w:tl2br w:val="nil"/>
              <w:tr2bl w:val="nil"/>
            </w:tcBorders>
            <w:noWrap w:val="0"/>
            <w:vAlign w:val="center"/>
          </w:tcPr>
          <w:p>
            <w:pPr>
              <w:widowControl w:val="0"/>
              <w:spacing w:line="36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150</w:t>
            </w:r>
          </w:p>
        </w:tc>
        <w:tc>
          <w:tcPr>
            <w:tcW w:w="4349" w:type="dxa"/>
            <w:vMerge w:val="continue"/>
            <w:tcBorders>
              <w:tl2br w:val="nil"/>
              <w:tr2bl w:val="nil"/>
            </w:tcBorders>
            <w:noWrap w:val="0"/>
            <w:vAlign w:val="center"/>
          </w:tcPr>
          <w:p>
            <w:pPr>
              <w:widowControl w:val="0"/>
              <w:spacing w:line="360" w:lineRule="exact"/>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75" w:hRule="atLeast"/>
          <w:jc w:val="center"/>
        </w:trPr>
        <w:tc>
          <w:tcPr>
            <w:tcW w:w="1384" w:type="dxa"/>
            <w:vMerge w:val="restart"/>
            <w:tcBorders>
              <w:tl2br w:val="nil"/>
              <w:tr2bl w:val="nil"/>
            </w:tcBorders>
            <w:noWrap w:val="0"/>
            <w:vAlign w:val="center"/>
          </w:tcPr>
          <w:p>
            <w:pPr>
              <w:widowControl w:val="0"/>
              <w:spacing w:line="36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P</w:t>
            </w:r>
            <w:r>
              <w:rPr>
                <w:rFonts w:hint="eastAsia" w:ascii="宋体" w:hAnsi="宋体" w:eastAsia="宋体" w:cs="宋体"/>
                <w:color w:val="000000" w:themeColor="text1"/>
                <w:sz w:val="21"/>
                <w:szCs w:val="21"/>
                <w:highlight w:val="none"/>
                <w:lang w:eastAsia="zh-CN"/>
                <w14:textFill>
                  <w14:solidFill>
                    <w14:schemeClr w14:val="tx1"/>
                  </w14:solidFill>
                </w14:textFill>
              </w:rPr>
              <w:t>m</w:t>
            </w:r>
            <w:r>
              <w:rPr>
                <w:rFonts w:hint="eastAsia" w:ascii="宋体" w:hAnsi="宋体" w:eastAsia="宋体" w:cs="宋体"/>
                <w:color w:val="000000" w:themeColor="text1"/>
                <w:sz w:val="21"/>
                <w:szCs w:val="21"/>
                <w:highlight w:val="none"/>
                <w:vertAlign w:val="subscript"/>
                <w:lang w:val="en-US" w:eastAsia="zh-CN"/>
                <w14:textFill>
                  <w14:solidFill>
                    <w14:schemeClr w14:val="tx1"/>
                  </w14:solidFill>
                </w14:textFill>
              </w:rPr>
              <w:t>2</w:t>
            </w:r>
            <w:r>
              <w:rPr>
                <w:rFonts w:hint="eastAsia" w:ascii="宋体" w:hAnsi="宋体" w:eastAsia="宋体" w:cs="宋体"/>
                <w:color w:val="000000" w:themeColor="text1"/>
                <w:sz w:val="21"/>
                <w:szCs w:val="21"/>
                <w:highlight w:val="none"/>
                <w:vertAlign w:val="subscript"/>
                <w14:textFill>
                  <w14:solidFill>
                    <w14:schemeClr w14:val="tx1"/>
                  </w14:solidFill>
                </w14:textFill>
              </w:rPr>
              <w:t>.5</w:t>
            </w:r>
          </w:p>
        </w:tc>
        <w:tc>
          <w:tcPr>
            <w:tcW w:w="2658" w:type="dxa"/>
            <w:tcBorders>
              <w:tl2br w:val="nil"/>
              <w:tr2bl w:val="nil"/>
            </w:tcBorders>
            <w:noWrap w:val="0"/>
            <w:vAlign w:val="center"/>
          </w:tcPr>
          <w:p>
            <w:pPr>
              <w:pStyle w:val="39"/>
              <w:widowControl w:val="0"/>
              <w:spacing w:line="360" w:lineRule="exac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24小时平均</w:t>
            </w:r>
          </w:p>
        </w:tc>
        <w:tc>
          <w:tcPr>
            <w:tcW w:w="1112" w:type="dxa"/>
            <w:tcBorders>
              <w:tl2br w:val="nil"/>
              <w:tr2bl w:val="nil"/>
            </w:tcBorders>
            <w:noWrap w:val="0"/>
            <w:vAlign w:val="center"/>
          </w:tcPr>
          <w:p>
            <w:pPr>
              <w:pStyle w:val="39"/>
              <w:widowControl w:val="0"/>
              <w:spacing w:line="360" w:lineRule="exac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75</w:t>
            </w:r>
          </w:p>
        </w:tc>
        <w:tc>
          <w:tcPr>
            <w:tcW w:w="4349" w:type="dxa"/>
            <w:vMerge w:val="continue"/>
            <w:tcBorders>
              <w:tl2br w:val="nil"/>
              <w:tr2bl w:val="nil"/>
            </w:tcBorders>
            <w:noWrap w:val="0"/>
            <w:vAlign w:val="center"/>
          </w:tcPr>
          <w:p>
            <w:pPr>
              <w:widowControl w:val="0"/>
              <w:spacing w:line="360" w:lineRule="exact"/>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75" w:hRule="atLeast"/>
          <w:jc w:val="center"/>
        </w:trPr>
        <w:tc>
          <w:tcPr>
            <w:tcW w:w="1384" w:type="dxa"/>
            <w:vMerge w:val="continue"/>
            <w:tcBorders>
              <w:tl2br w:val="nil"/>
              <w:tr2bl w:val="nil"/>
            </w:tcBorders>
            <w:noWrap w:val="0"/>
            <w:vAlign w:val="center"/>
          </w:tcPr>
          <w:p>
            <w:pPr>
              <w:pStyle w:val="39"/>
              <w:widowControl w:val="0"/>
              <w:spacing w:line="360" w:lineRule="exact"/>
              <w:rPr>
                <w:rFonts w:hint="eastAsia" w:ascii="宋体" w:hAnsi="宋体" w:eastAsia="宋体" w:cs="宋体"/>
                <w:color w:val="000000" w:themeColor="text1"/>
                <w14:textFill>
                  <w14:solidFill>
                    <w14:schemeClr w14:val="tx1"/>
                  </w14:solidFill>
                </w14:textFill>
              </w:rPr>
            </w:pPr>
          </w:p>
        </w:tc>
        <w:tc>
          <w:tcPr>
            <w:tcW w:w="2658" w:type="dxa"/>
            <w:tcBorders>
              <w:tl2br w:val="nil"/>
              <w:tr2bl w:val="nil"/>
            </w:tcBorders>
            <w:noWrap w:val="0"/>
            <w:vAlign w:val="center"/>
          </w:tcPr>
          <w:p>
            <w:pPr>
              <w:widowControl w:val="0"/>
              <w:spacing w:line="360" w:lineRule="exact"/>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年平均</w:t>
            </w:r>
          </w:p>
        </w:tc>
        <w:tc>
          <w:tcPr>
            <w:tcW w:w="1112" w:type="dxa"/>
            <w:tcBorders>
              <w:tl2br w:val="nil"/>
              <w:tr2bl w:val="nil"/>
            </w:tcBorders>
            <w:noWrap w:val="0"/>
            <w:vAlign w:val="center"/>
          </w:tcPr>
          <w:p>
            <w:pPr>
              <w:widowControl w:val="0"/>
              <w:spacing w:line="360" w:lineRule="exact"/>
              <w:jc w:val="center"/>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35</w:t>
            </w:r>
          </w:p>
        </w:tc>
        <w:tc>
          <w:tcPr>
            <w:tcW w:w="4349" w:type="dxa"/>
            <w:vMerge w:val="continue"/>
            <w:tcBorders>
              <w:tl2br w:val="nil"/>
              <w:tr2bl w:val="nil"/>
            </w:tcBorders>
            <w:noWrap w:val="0"/>
            <w:vAlign w:val="center"/>
          </w:tcPr>
          <w:p>
            <w:pPr>
              <w:pStyle w:val="39"/>
              <w:widowControl w:val="0"/>
              <w:spacing w:line="360" w:lineRule="exact"/>
              <w:rPr>
                <w:rFonts w:hint="eastAsia" w:ascii="宋体" w:hAnsi="宋体" w:eastAsia="宋体" w:cs="宋体"/>
                <w:color w:val="000000" w:themeColor="text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6" w:hRule="atLeast"/>
          <w:jc w:val="center"/>
        </w:trPr>
        <w:tc>
          <w:tcPr>
            <w:tcW w:w="1384" w:type="dxa"/>
            <w:vMerge w:val="restart"/>
            <w:tcBorders>
              <w:tl2br w:val="nil"/>
              <w:tr2bl w:val="nil"/>
            </w:tcBorders>
            <w:noWrap w:val="0"/>
            <w:vAlign w:val="center"/>
          </w:tcPr>
          <w:p>
            <w:pPr>
              <w:widowControl w:val="0"/>
              <w:spacing w:line="36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CO</w:t>
            </w:r>
          </w:p>
        </w:tc>
        <w:tc>
          <w:tcPr>
            <w:tcW w:w="2658" w:type="dxa"/>
            <w:tcBorders>
              <w:tl2br w:val="nil"/>
              <w:tr2bl w:val="nil"/>
            </w:tcBorders>
            <w:noWrap w:val="0"/>
            <w:vAlign w:val="center"/>
          </w:tcPr>
          <w:p>
            <w:pPr>
              <w:widowControl w:val="0"/>
              <w:adjustRightInd w:val="0"/>
              <w:snapToGrid w:val="0"/>
              <w:spacing w:line="36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24小时平均</w:t>
            </w:r>
          </w:p>
        </w:tc>
        <w:tc>
          <w:tcPr>
            <w:tcW w:w="1112" w:type="dxa"/>
            <w:tcBorders>
              <w:tl2br w:val="nil"/>
              <w:tr2bl w:val="nil"/>
            </w:tcBorders>
            <w:noWrap w:val="0"/>
            <w:vAlign w:val="center"/>
          </w:tcPr>
          <w:p>
            <w:pPr>
              <w:widowControl w:val="0"/>
              <w:adjustRightInd w:val="0"/>
              <w:snapToGrid w:val="0"/>
              <w:spacing w:line="36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4000</w:t>
            </w:r>
          </w:p>
        </w:tc>
        <w:tc>
          <w:tcPr>
            <w:tcW w:w="4349" w:type="dxa"/>
            <w:vMerge w:val="continue"/>
            <w:tcBorders>
              <w:tl2br w:val="nil"/>
              <w:tr2bl w:val="nil"/>
            </w:tcBorders>
            <w:noWrap w:val="0"/>
            <w:vAlign w:val="center"/>
          </w:tcPr>
          <w:p>
            <w:pPr>
              <w:widowControl w:val="0"/>
              <w:spacing w:line="360" w:lineRule="exact"/>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6" w:hRule="atLeast"/>
          <w:jc w:val="center"/>
        </w:trPr>
        <w:tc>
          <w:tcPr>
            <w:tcW w:w="1384" w:type="dxa"/>
            <w:vMerge w:val="continue"/>
            <w:tcBorders>
              <w:tl2br w:val="nil"/>
              <w:tr2bl w:val="nil"/>
            </w:tcBorders>
            <w:noWrap w:val="0"/>
            <w:vAlign w:val="center"/>
          </w:tcPr>
          <w:p>
            <w:pPr>
              <w:widowControl w:val="0"/>
              <w:spacing w:line="360" w:lineRule="exact"/>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2658" w:type="dxa"/>
            <w:tcBorders>
              <w:tl2br w:val="nil"/>
              <w:tr2bl w:val="nil"/>
            </w:tcBorders>
            <w:noWrap w:val="0"/>
            <w:vAlign w:val="center"/>
          </w:tcPr>
          <w:p>
            <w:pPr>
              <w:widowControl w:val="0"/>
              <w:adjustRightInd w:val="0"/>
              <w:snapToGrid w:val="0"/>
              <w:spacing w:line="36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1小时平均</w:t>
            </w:r>
          </w:p>
        </w:tc>
        <w:tc>
          <w:tcPr>
            <w:tcW w:w="1112" w:type="dxa"/>
            <w:tcBorders>
              <w:tl2br w:val="nil"/>
              <w:tr2bl w:val="nil"/>
            </w:tcBorders>
            <w:noWrap w:val="0"/>
            <w:vAlign w:val="center"/>
          </w:tcPr>
          <w:p>
            <w:pPr>
              <w:widowControl w:val="0"/>
              <w:adjustRightInd w:val="0"/>
              <w:snapToGrid w:val="0"/>
              <w:spacing w:line="36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10000</w:t>
            </w:r>
          </w:p>
        </w:tc>
        <w:tc>
          <w:tcPr>
            <w:tcW w:w="4349" w:type="dxa"/>
            <w:vMerge w:val="continue"/>
            <w:tcBorders>
              <w:tl2br w:val="nil"/>
              <w:tr2bl w:val="nil"/>
            </w:tcBorders>
            <w:noWrap w:val="0"/>
            <w:vAlign w:val="center"/>
          </w:tcPr>
          <w:p>
            <w:pPr>
              <w:widowControl w:val="0"/>
              <w:spacing w:line="360" w:lineRule="exact"/>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6" w:hRule="atLeast"/>
          <w:jc w:val="center"/>
        </w:trPr>
        <w:tc>
          <w:tcPr>
            <w:tcW w:w="1384" w:type="dxa"/>
            <w:vMerge w:val="restart"/>
            <w:tcBorders>
              <w:tl2br w:val="nil"/>
              <w:tr2bl w:val="nil"/>
            </w:tcBorders>
            <w:noWrap w:val="0"/>
            <w:vAlign w:val="center"/>
          </w:tcPr>
          <w:p>
            <w:pPr>
              <w:widowControl w:val="0"/>
              <w:spacing w:line="36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O</w:t>
            </w:r>
            <w:r>
              <w:rPr>
                <w:rFonts w:hint="eastAsia" w:ascii="宋体" w:hAnsi="宋体" w:eastAsia="宋体" w:cs="宋体"/>
                <w:color w:val="000000" w:themeColor="text1"/>
                <w:sz w:val="21"/>
                <w:szCs w:val="21"/>
                <w:highlight w:val="none"/>
                <w:vertAlign w:val="subscript"/>
                <w14:textFill>
                  <w14:solidFill>
                    <w14:schemeClr w14:val="tx1"/>
                  </w14:solidFill>
                </w14:textFill>
              </w:rPr>
              <w:t>3</w:t>
            </w:r>
          </w:p>
        </w:tc>
        <w:tc>
          <w:tcPr>
            <w:tcW w:w="2658" w:type="dxa"/>
            <w:tcBorders>
              <w:tl2br w:val="nil"/>
              <w:tr2bl w:val="nil"/>
            </w:tcBorders>
            <w:noWrap w:val="0"/>
            <w:vAlign w:val="center"/>
          </w:tcPr>
          <w:p>
            <w:pPr>
              <w:widowControl w:val="0"/>
              <w:adjustRightInd w:val="0"/>
              <w:snapToGrid w:val="0"/>
              <w:spacing w:line="36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日最大8小时平均</w:t>
            </w:r>
          </w:p>
        </w:tc>
        <w:tc>
          <w:tcPr>
            <w:tcW w:w="1112" w:type="dxa"/>
            <w:tcBorders>
              <w:tl2br w:val="nil"/>
              <w:tr2bl w:val="nil"/>
            </w:tcBorders>
            <w:noWrap w:val="0"/>
            <w:vAlign w:val="center"/>
          </w:tcPr>
          <w:p>
            <w:pPr>
              <w:widowControl w:val="0"/>
              <w:adjustRightInd w:val="0"/>
              <w:snapToGrid w:val="0"/>
              <w:spacing w:line="36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160</w:t>
            </w:r>
          </w:p>
        </w:tc>
        <w:tc>
          <w:tcPr>
            <w:tcW w:w="4349" w:type="dxa"/>
            <w:vMerge w:val="continue"/>
            <w:tcBorders>
              <w:tl2br w:val="nil"/>
              <w:tr2bl w:val="nil"/>
            </w:tcBorders>
            <w:noWrap w:val="0"/>
            <w:vAlign w:val="center"/>
          </w:tcPr>
          <w:p>
            <w:pPr>
              <w:widowControl w:val="0"/>
              <w:spacing w:line="360" w:lineRule="exact"/>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50" w:hRule="atLeast"/>
          <w:jc w:val="center"/>
        </w:trPr>
        <w:tc>
          <w:tcPr>
            <w:tcW w:w="1384" w:type="dxa"/>
            <w:vMerge w:val="continue"/>
            <w:tcBorders>
              <w:tl2br w:val="nil"/>
              <w:tr2bl w:val="nil"/>
            </w:tcBorders>
            <w:noWrap w:val="0"/>
            <w:vAlign w:val="center"/>
          </w:tcPr>
          <w:p>
            <w:pPr>
              <w:widowControl w:val="0"/>
              <w:spacing w:line="360" w:lineRule="exact"/>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2658" w:type="dxa"/>
            <w:tcBorders>
              <w:tl2br w:val="nil"/>
              <w:tr2bl w:val="nil"/>
            </w:tcBorders>
            <w:noWrap w:val="0"/>
            <w:vAlign w:val="center"/>
          </w:tcPr>
          <w:p>
            <w:pPr>
              <w:widowControl w:val="0"/>
              <w:adjustRightInd w:val="0"/>
              <w:snapToGrid w:val="0"/>
              <w:spacing w:line="36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1小时平均</w:t>
            </w:r>
          </w:p>
        </w:tc>
        <w:tc>
          <w:tcPr>
            <w:tcW w:w="1112" w:type="dxa"/>
            <w:tcBorders>
              <w:tl2br w:val="nil"/>
              <w:tr2bl w:val="nil"/>
            </w:tcBorders>
            <w:noWrap w:val="0"/>
            <w:vAlign w:val="center"/>
          </w:tcPr>
          <w:p>
            <w:pPr>
              <w:widowControl w:val="0"/>
              <w:adjustRightInd w:val="0"/>
              <w:snapToGrid w:val="0"/>
              <w:spacing w:line="36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200</w:t>
            </w:r>
          </w:p>
        </w:tc>
        <w:tc>
          <w:tcPr>
            <w:tcW w:w="4349" w:type="dxa"/>
            <w:vMerge w:val="continue"/>
            <w:tcBorders>
              <w:tl2br w:val="nil"/>
              <w:tr2bl w:val="nil"/>
            </w:tcBorders>
            <w:noWrap w:val="0"/>
            <w:vAlign w:val="center"/>
          </w:tcPr>
          <w:p>
            <w:pPr>
              <w:widowControl w:val="0"/>
              <w:spacing w:line="360" w:lineRule="exact"/>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6" w:hRule="atLeast"/>
          <w:jc w:val="center"/>
        </w:trPr>
        <w:tc>
          <w:tcPr>
            <w:tcW w:w="1384" w:type="dxa"/>
            <w:tcBorders>
              <w:tl2br w:val="nil"/>
              <w:tr2bl w:val="nil"/>
            </w:tcBorders>
            <w:noWrap w:val="0"/>
            <w:vAlign w:val="center"/>
          </w:tcPr>
          <w:p>
            <w:pPr>
              <w:widowControl w:val="0"/>
              <w:spacing w:line="36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TVOC</w:t>
            </w:r>
          </w:p>
        </w:tc>
        <w:tc>
          <w:tcPr>
            <w:tcW w:w="2658" w:type="dxa"/>
            <w:tcBorders>
              <w:tl2br w:val="nil"/>
              <w:tr2bl w:val="nil"/>
            </w:tcBorders>
            <w:noWrap w:val="0"/>
            <w:vAlign w:val="center"/>
          </w:tcPr>
          <w:p>
            <w:pPr>
              <w:widowControl w:val="0"/>
              <w:spacing w:line="36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8小时平均</w:t>
            </w:r>
          </w:p>
        </w:tc>
        <w:tc>
          <w:tcPr>
            <w:tcW w:w="1112" w:type="dxa"/>
            <w:tcBorders>
              <w:tl2br w:val="nil"/>
              <w:tr2bl w:val="nil"/>
            </w:tcBorders>
            <w:noWrap w:val="0"/>
            <w:vAlign w:val="center"/>
          </w:tcPr>
          <w:p>
            <w:pPr>
              <w:widowControl w:val="0"/>
              <w:spacing w:line="36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600</w:t>
            </w:r>
          </w:p>
        </w:tc>
        <w:tc>
          <w:tcPr>
            <w:tcW w:w="4349" w:type="dxa"/>
            <w:tcBorders>
              <w:tl2br w:val="nil"/>
              <w:tr2bl w:val="nil"/>
            </w:tcBorders>
            <w:noWrap w:val="0"/>
            <w:vAlign w:val="center"/>
          </w:tcPr>
          <w:p>
            <w:pPr>
              <w:widowControl w:val="0"/>
              <w:spacing w:line="36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《环境影响评价技术导则大气环境》（HJ2.2-2018）“附录D”</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69" w:hRule="atLeast"/>
          <w:jc w:val="center"/>
        </w:trPr>
        <w:tc>
          <w:tcPr>
            <w:tcW w:w="1384" w:type="dxa"/>
            <w:tcBorders>
              <w:tl2br w:val="nil"/>
              <w:tr2bl w:val="nil"/>
            </w:tcBorders>
            <w:noWrap w:val="0"/>
            <w:vAlign w:val="center"/>
          </w:tcPr>
          <w:p>
            <w:pPr>
              <w:widowControl w:val="0"/>
              <w:spacing w:line="36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非甲烷总烃</w:t>
            </w:r>
          </w:p>
        </w:tc>
        <w:tc>
          <w:tcPr>
            <w:tcW w:w="2658" w:type="dxa"/>
            <w:tcBorders>
              <w:tl2br w:val="nil"/>
              <w:tr2bl w:val="nil"/>
            </w:tcBorders>
            <w:noWrap w:val="0"/>
            <w:vAlign w:val="center"/>
          </w:tcPr>
          <w:p>
            <w:pPr>
              <w:widowControl w:val="0"/>
              <w:spacing w:line="36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1小时平均</w:t>
            </w:r>
          </w:p>
        </w:tc>
        <w:tc>
          <w:tcPr>
            <w:tcW w:w="1112" w:type="dxa"/>
            <w:tcBorders>
              <w:tl2br w:val="nil"/>
              <w:tr2bl w:val="nil"/>
            </w:tcBorders>
            <w:noWrap w:val="0"/>
            <w:vAlign w:val="center"/>
          </w:tcPr>
          <w:p>
            <w:pPr>
              <w:widowControl w:val="0"/>
              <w:spacing w:line="36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2000</w:t>
            </w:r>
          </w:p>
        </w:tc>
        <w:tc>
          <w:tcPr>
            <w:tcW w:w="4349" w:type="dxa"/>
            <w:tcBorders>
              <w:tl2br w:val="nil"/>
              <w:tr2bl w:val="nil"/>
            </w:tcBorders>
            <w:noWrap w:val="0"/>
            <w:vAlign w:val="center"/>
          </w:tcPr>
          <w:p>
            <w:pPr>
              <w:widowControl w:val="0"/>
              <w:spacing w:line="36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参照执行大气污染物综合排放标准详解</w:t>
            </w:r>
          </w:p>
        </w:tc>
      </w:tr>
    </w:tbl>
    <w:p>
      <w:pPr>
        <w:widowControl w:val="0"/>
        <w:spacing w:line="360" w:lineRule="auto"/>
        <w:ind w:firstLine="480" w:firstLineChars="200"/>
        <w:jc w:val="both"/>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（3）声环境</w:t>
      </w:r>
    </w:p>
    <w:p>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项目所在区域声环境执行《声环境质量标准》（GB3096-2008）中3类标准。具体详见表2</w:t>
      </w:r>
      <w:r>
        <w:rPr>
          <w:rFonts w:hint="eastAsia" w:ascii="宋体" w:hAnsi="宋体" w:eastAsia="宋体" w:cs="宋体"/>
          <w:color w:val="000000" w:themeColor="text1"/>
          <w:highlight w:val="none"/>
          <w:lang w:val="en-US" w:eastAsia="zh-CN"/>
          <w14:textFill>
            <w14:solidFill>
              <w14:schemeClr w14:val="tx1"/>
            </w14:solidFill>
          </w14:textFill>
        </w:rPr>
        <w:t>.2</w:t>
      </w:r>
      <w:r>
        <w:rPr>
          <w:rFonts w:hint="eastAsia" w:ascii="宋体" w:hAnsi="宋体" w:eastAsia="宋体" w:cs="宋体"/>
          <w:color w:val="000000" w:themeColor="text1"/>
          <w:highlight w:val="none"/>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3</w:t>
      </w:r>
      <w:r>
        <w:rPr>
          <w:rFonts w:hint="eastAsia" w:ascii="宋体" w:hAnsi="宋体" w:eastAsia="宋体" w:cs="宋体"/>
          <w:color w:val="000000" w:themeColor="text1"/>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0" w:firstLineChars="0"/>
        <w:jc w:val="center"/>
        <w:textAlignment w:val="auto"/>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表2</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.2</w:t>
      </w:r>
      <w:r>
        <w:rPr>
          <w:rFonts w:hint="eastAsia" w:ascii="宋体" w:hAnsi="宋体" w:eastAsia="宋体" w:cs="宋体"/>
          <w:b/>
          <w:bCs/>
          <w:color w:val="000000" w:themeColor="text1"/>
          <w:sz w:val="24"/>
          <w:szCs w:val="24"/>
          <w:highlight w:val="none"/>
          <w14:textFill>
            <w14:solidFill>
              <w14:schemeClr w14:val="tx1"/>
            </w14:solidFill>
          </w14:textFill>
        </w:rPr>
        <w:t>-</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3</w:t>
      </w:r>
      <w:r>
        <w:rPr>
          <w:rFonts w:hint="eastAsia" w:ascii="宋体" w:hAnsi="宋体" w:eastAsia="宋体" w:cs="宋体"/>
          <w:b/>
          <w:bCs/>
          <w:color w:val="000000" w:themeColor="text1"/>
          <w:sz w:val="24"/>
          <w:szCs w:val="24"/>
          <w:highlight w:val="none"/>
          <w14:textFill>
            <w14:solidFill>
              <w14:schemeClr w14:val="tx1"/>
            </w14:solidFill>
          </w14:textFill>
        </w:rPr>
        <w:t>声环境质量标准</w:t>
      </w:r>
    </w:p>
    <w:tbl>
      <w:tblPr>
        <w:tblStyle w:val="30"/>
        <w:tblW w:w="9536"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2043"/>
        <w:gridCol w:w="2333"/>
        <w:gridCol w:w="2331"/>
        <w:gridCol w:w="282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69" w:hRule="atLeast"/>
          <w:tblHeader/>
        </w:trPr>
        <w:tc>
          <w:tcPr>
            <w:tcW w:w="4376" w:type="dxa"/>
            <w:gridSpan w:val="2"/>
            <w:tcBorders>
              <w:tl2br w:val="nil"/>
              <w:tr2bl w:val="nil"/>
            </w:tcBorders>
            <w:noWrap w:val="0"/>
            <w:vAlign w:val="center"/>
          </w:tcPr>
          <w:p>
            <w:pPr>
              <w:pStyle w:val="38"/>
              <w:spacing w:line="440" w:lineRule="exact"/>
              <w:jc w:val="center"/>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标准类别</w:t>
            </w:r>
          </w:p>
        </w:tc>
        <w:tc>
          <w:tcPr>
            <w:tcW w:w="2331" w:type="dxa"/>
            <w:tcBorders>
              <w:tl2br w:val="nil"/>
              <w:tr2bl w:val="nil"/>
            </w:tcBorders>
            <w:noWrap w:val="0"/>
            <w:vAlign w:val="center"/>
          </w:tcPr>
          <w:p>
            <w:pPr>
              <w:pStyle w:val="38"/>
              <w:spacing w:line="440" w:lineRule="exact"/>
              <w:jc w:val="center"/>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昼间dB（A）</w:t>
            </w:r>
          </w:p>
        </w:tc>
        <w:tc>
          <w:tcPr>
            <w:tcW w:w="2829" w:type="dxa"/>
            <w:tcBorders>
              <w:tl2br w:val="nil"/>
              <w:tr2bl w:val="nil"/>
            </w:tcBorders>
            <w:noWrap w:val="0"/>
            <w:vAlign w:val="center"/>
          </w:tcPr>
          <w:p>
            <w:pPr>
              <w:pStyle w:val="38"/>
              <w:spacing w:line="440" w:lineRule="exact"/>
              <w:jc w:val="center"/>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夜间dB（A）</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58" w:hRule="atLeast"/>
        </w:trPr>
        <w:tc>
          <w:tcPr>
            <w:tcW w:w="2043" w:type="dxa"/>
            <w:tcBorders>
              <w:tl2br w:val="nil"/>
              <w:tr2bl w:val="nil"/>
            </w:tcBorders>
            <w:noWrap w:val="0"/>
            <w:vAlign w:val="center"/>
          </w:tcPr>
          <w:p>
            <w:pPr>
              <w:pStyle w:val="38"/>
              <w:spacing w:line="440" w:lineRule="exact"/>
              <w:jc w:val="center"/>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声环境质量标准</w:t>
            </w:r>
          </w:p>
        </w:tc>
        <w:tc>
          <w:tcPr>
            <w:tcW w:w="2333" w:type="dxa"/>
            <w:tcBorders>
              <w:tl2br w:val="nil"/>
              <w:tr2bl w:val="nil"/>
            </w:tcBorders>
            <w:noWrap w:val="0"/>
            <w:vAlign w:val="center"/>
          </w:tcPr>
          <w:p>
            <w:pPr>
              <w:pStyle w:val="38"/>
              <w:spacing w:line="440" w:lineRule="exact"/>
              <w:jc w:val="center"/>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3类标准</w:t>
            </w:r>
          </w:p>
        </w:tc>
        <w:tc>
          <w:tcPr>
            <w:tcW w:w="2331" w:type="dxa"/>
            <w:tcBorders>
              <w:tl2br w:val="nil"/>
              <w:tr2bl w:val="nil"/>
            </w:tcBorders>
            <w:noWrap w:val="0"/>
            <w:vAlign w:val="center"/>
          </w:tcPr>
          <w:p>
            <w:pPr>
              <w:pStyle w:val="38"/>
              <w:spacing w:line="440" w:lineRule="exact"/>
              <w:jc w:val="center"/>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65</w:t>
            </w:r>
          </w:p>
        </w:tc>
        <w:tc>
          <w:tcPr>
            <w:tcW w:w="2829" w:type="dxa"/>
            <w:tcBorders>
              <w:tl2br w:val="nil"/>
              <w:tr2bl w:val="nil"/>
            </w:tcBorders>
            <w:noWrap w:val="0"/>
            <w:vAlign w:val="center"/>
          </w:tcPr>
          <w:p>
            <w:pPr>
              <w:pStyle w:val="38"/>
              <w:spacing w:line="440" w:lineRule="exact"/>
              <w:jc w:val="center"/>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55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85" w:hRule="atLeast"/>
        </w:trPr>
        <w:tc>
          <w:tcPr>
            <w:tcW w:w="2043" w:type="dxa"/>
            <w:tcBorders>
              <w:tl2br w:val="nil"/>
              <w:tr2bl w:val="nil"/>
            </w:tcBorders>
            <w:noWrap w:val="0"/>
            <w:vAlign w:val="center"/>
          </w:tcPr>
          <w:p>
            <w:pPr>
              <w:pStyle w:val="38"/>
              <w:spacing w:line="440" w:lineRule="exact"/>
              <w:jc w:val="center"/>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标准来源</w:t>
            </w:r>
          </w:p>
        </w:tc>
        <w:tc>
          <w:tcPr>
            <w:tcW w:w="7493" w:type="dxa"/>
            <w:gridSpan w:val="3"/>
            <w:tcBorders>
              <w:tl2br w:val="nil"/>
              <w:tr2bl w:val="nil"/>
            </w:tcBorders>
            <w:noWrap w:val="0"/>
            <w:vAlign w:val="center"/>
          </w:tcPr>
          <w:p>
            <w:pPr>
              <w:pStyle w:val="38"/>
              <w:spacing w:line="440" w:lineRule="exact"/>
              <w:jc w:val="center"/>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《声环境质量标准》（GB3096-2008）</w:t>
            </w:r>
          </w:p>
        </w:tc>
      </w:tr>
    </w:tbl>
    <w:p>
      <w:pPr>
        <w:widowControl w:val="0"/>
        <w:spacing w:line="360" w:lineRule="auto"/>
        <w:ind w:firstLine="480" w:firstLineChars="200"/>
        <w:jc w:val="both"/>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（4）地下水</w:t>
      </w:r>
    </w:p>
    <w:p>
      <w:pPr>
        <w:widowControl w:val="0"/>
        <w:spacing w:line="360" w:lineRule="auto"/>
        <w:ind w:firstLine="480" w:firstLineChars="200"/>
        <w:jc w:val="both"/>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区域地下水环境质量执行《地下水质量标准》（GB/T14848-2017）中的Ⅲ类标准，具体标准值见表2</w:t>
      </w:r>
      <w:r>
        <w:rPr>
          <w:rFonts w:hint="eastAsia" w:ascii="宋体" w:hAnsi="宋体" w:eastAsia="宋体" w:cs="宋体"/>
          <w:color w:val="000000" w:themeColor="text1"/>
          <w:highlight w:val="none"/>
          <w:lang w:val="en-US" w:eastAsia="zh-CN"/>
          <w14:textFill>
            <w14:solidFill>
              <w14:schemeClr w14:val="tx1"/>
            </w14:solidFill>
          </w14:textFill>
        </w:rPr>
        <w:t>.2</w:t>
      </w:r>
      <w:r>
        <w:rPr>
          <w:rFonts w:hint="eastAsia" w:ascii="宋体" w:hAnsi="宋体" w:eastAsia="宋体" w:cs="宋体"/>
          <w:color w:val="000000" w:themeColor="text1"/>
          <w:highlight w:val="none"/>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4</w:t>
      </w:r>
      <w:r>
        <w:rPr>
          <w:rFonts w:hint="eastAsia" w:ascii="宋体" w:hAnsi="宋体" w:eastAsia="宋体" w:cs="宋体"/>
          <w:color w:val="000000" w:themeColor="text1"/>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0" w:firstLineChars="0"/>
        <w:jc w:val="center"/>
        <w:textAlignment w:val="auto"/>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表2</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.2</w:t>
      </w:r>
      <w:r>
        <w:rPr>
          <w:rFonts w:hint="eastAsia" w:ascii="宋体" w:hAnsi="宋体" w:eastAsia="宋体" w:cs="宋体"/>
          <w:b/>
          <w:bCs/>
          <w:color w:val="000000" w:themeColor="text1"/>
          <w:sz w:val="24"/>
          <w:szCs w:val="24"/>
          <w:highlight w:val="none"/>
          <w14:textFill>
            <w14:solidFill>
              <w14:schemeClr w14:val="tx1"/>
            </w14:solidFill>
          </w14:textFill>
        </w:rPr>
        <w:t>-</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4</w:t>
      </w:r>
      <w:r>
        <w:rPr>
          <w:rFonts w:hint="eastAsia" w:ascii="宋体" w:hAnsi="宋体" w:eastAsia="宋体" w:cs="宋体"/>
          <w:b/>
          <w:bCs/>
          <w:color w:val="000000" w:themeColor="text1"/>
          <w:sz w:val="24"/>
          <w:szCs w:val="24"/>
          <w:highlight w:val="none"/>
          <w14:textFill>
            <w14:solidFill>
              <w14:schemeClr w14:val="tx1"/>
            </w14:solidFill>
          </w14:textFill>
        </w:rPr>
        <w:t>地下水环境质量标准汇总一览表单位：mg/L，pH无量纲</w:t>
      </w:r>
    </w:p>
    <w:tbl>
      <w:tblPr>
        <w:tblStyle w:val="30"/>
        <w:tblW w:w="4997"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699"/>
        <w:gridCol w:w="1672"/>
        <w:gridCol w:w="1127"/>
        <w:gridCol w:w="735"/>
        <w:gridCol w:w="2187"/>
        <w:gridCol w:w="1041"/>
        <w:gridCol w:w="227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序号</w:t>
            </w:r>
          </w:p>
        </w:tc>
        <w:tc>
          <w:tcPr>
            <w:tcW w:w="85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项目类别</w:t>
            </w:r>
          </w:p>
        </w:tc>
        <w:tc>
          <w:tcPr>
            <w:tcW w:w="57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标准值</w:t>
            </w:r>
          </w:p>
        </w:tc>
        <w:tc>
          <w:tcPr>
            <w:tcW w:w="3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序号</w:t>
            </w:r>
          </w:p>
        </w:tc>
        <w:tc>
          <w:tcPr>
            <w:tcW w:w="112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项目类别</w:t>
            </w:r>
          </w:p>
        </w:tc>
        <w:tc>
          <w:tcPr>
            <w:tcW w:w="5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标准值</w:t>
            </w:r>
          </w:p>
        </w:tc>
        <w:tc>
          <w:tcPr>
            <w:tcW w:w="116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标准来源</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1</w:t>
            </w:r>
          </w:p>
        </w:tc>
        <w:tc>
          <w:tcPr>
            <w:tcW w:w="85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pH值</w:t>
            </w:r>
          </w:p>
        </w:tc>
        <w:tc>
          <w:tcPr>
            <w:tcW w:w="57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6.5</w:t>
            </w:r>
            <w:r>
              <w:rPr>
                <w:rFonts w:hint="eastAsia" w:ascii="宋体" w:hAnsi="宋体" w:eastAsia="宋体" w:cs="宋体"/>
                <w:b w:val="0"/>
                <w:bCs/>
                <w:color w:val="000000" w:themeColor="text1"/>
                <w:kern w:val="2"/>
                <w:sz w:val="21"/>
                <w:szCs w:val="21"/>
                <w:lang w:eastAsia="zh-CN"/>
                <w14:textFill>
                  <w14:solidFill>
                    <w14:schemeClr w14:val="tx1"/>
                  </w14:solidFill>
                </w14:textFill>
              </w:rPr>
              <w:t>～</w:t>
            </w:r>
            <w:r>
              <w:rPr>
                <w:rFonts w:hint="eastAsia" w:ascii="宋体" w:hAnsi="宋体" w:eastAsia="宋体" w:cs="宋体"/>
                <w:b w:val="0"/>
                <w:bCs/>
                <w:color w:val="000000" w:themeColor="text1"/>
                <w:kern w:val="2"/>
                <w:sz w:val="21"/>
                <w:szCs w:val="21"/>
                <w14:textFill>
                  <w14:solidFill>
                    <w14:schemeClr w14:val="tx1"/>
                  </w14:solidFill>
                </w14:textFill>
              </w:rPr>
              <w:t>8.5</w:t>
            </w:r>
          </w:p>
        </w:tc>
        <w:tc>
          <w:tcPr>
            <w:tcW w:w="3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13</w:t>
            </w:r>
          </w:p>
        </w:tc>
        <w:tc>
          <w:tcPr>
            <w:tcW w:w="112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耗氧量</w:t>
            </w:r>
          </w:p>
        </w:tc>
        <w:tc>
          <w:tcPr>
            <w:tcW w:w="5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3.0</w:t>
            </w:r>
          </w:p>
        </w:tc>
        <w:tc>
          <w:tcPr>
            <w:tcW w:w="1167"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《地下水质量标准》（GB/T14848-2017）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2</w:t>
            </w:r>
          </w:p>
        </w:tc>
        <w:tc>
          <w:tcPr>
            <w:tcW w:w="85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0"/>
                <w:sz w:val="21"/>
                <w:szCs w:val="21"/>
                <w:lang w:bidi="ar"/>
                <w14:textFill>
                  <w14:solidFill>
                    <w14:schemeClr w14:val="tx1"/>
                  </w14:solidFill>
                </w14:textFill>
              </w:rPr>
              <w:t>铜</w:t>
            </w:r>
          </w:p>
        </w:tc>
        <w:tc>
          <w:tcPr>
            <w:tcW w:w="57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1.0</w:t>
            </w:r>
          </w:p>
        </w:tc>
        <w:tc>
          <w:tcPr>
            <w:tcW w:w="3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14</w:t>
            </w:r>
          </w:p>
        </w:tc>
        <w:tc>
          <w:tcPr>
            <w:tcW w:w="112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氨氮</w:t>
            </w:r>
          </w:p>
        </w:tc>
        <w:tc>
          <w:tcPr>
            <w:tcW w:w="5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0.2</w:t>
            </w:r>
          </w:p>
        </w:tc>
        <w:tc>
          <w:tcPr>
            <w:tcW w:w="116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3</w:t>
            </w:r>
          </w:p>
        </w:tc>
        <w:tc>
          <w:tcPr>
            <w:tcW w:w="85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0"/>
                <w:sz w:val="21"/>
                <w:szCs w:val="21"/>
                <w:lang w:bidi="ar"/>
                <w14:textFill>
                  <w14:solidFill>
                    <w14:schemeClr w14:val="tx1"/>
                  </w14:solidFill>
                </w14:textFill>
              </w:rPr>
              <w:t>锌</w:t>
            </w:r>
          </w:p>
        </w:tc>
        <w:tc>
          <w:tcPr>
            <w:tcW w:w="57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1.0</w:t>
            </w:r>
          </w:p>
        </w:tc>
        <w:tc>
          <w:tcPr>
            <w:tcW w:w="3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15</w:t>
            </w:r>
          </w:p>
        </w:tc>
        <w:tc>
          <w:tcPr>
            <w:tcW w:w="112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硫酸盐</w:t>
            </w:r>
          </w:p>
        </w:tc>
        <w:tc>
          <w:tcPr>
            <w:tcW w:w="5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250</w:t>
            </w:r>
          </w:p>
        </w:tc>
        <w:tc>
          <w:tcPr>
            <w:tcW w:w="116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4</w:t>
            </w:r>
          </w:p>
        </w:tc>
        <w:tc>
          <w:tcPr>
            <w:tcW w:w="85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铁</w:t>
            </w:r>
          </w:p>
        </w:tc>
        <w:tc>
          <w:tcPr>
            <w:tcW w:w="57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0.3</w:t>
            </w:r>
          </w:p>
        </w:tc>
        <w:tc>
          <w:tcPr>
            <w:tcW w:w="3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16</w:t>
            </w:r>
          </w:p>
        </w:tc>
        <w:tc>
          <w:tcPr>
            <w:tcW w:w="112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硝酸盐</w:t>
            </w:r>
          </w:p>
        </w:tc>
        <w:tc>
          <w:tcPr>
            <w:tcW w:w="5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20</w:t>
            </w:r>
          </w:p>
        </w:tc>
        <w:tc>
          <w:tcPr>
            <w:tcW w:w="116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5</w:t>
            </w:r>
          </w:p>
        </w:tc>
        <w:tc>
          <w:tcPr>
            <w:tcW w:w="85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锰</w:t>
            </w:r>
          </w:p>
        </w:tc>
        <w:tc>
          <w:tcPr>
            <w:tcW w:w="57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0.1</w:t>
            </w:r>
          </w:p>
        </w:tc>
        <w:tc>
          <w:tcPr>
            <w:tcW w:w="3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17</w:t>
            </w:r>
          </w:p>
        </w:tc>
        <w:tc>
          <w:tcPr>
            <w:tcW w:w="112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亚硝酸盐</w:t>
            </w:r>
          </w:p>
        </w:tc>
        <w:tc>
          <w:tcPr>
            <w:tcW w:w="5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1</w:t>
            </w:r>
          </w:p>
        </w:tc>
        <w:tc>
          <w:tcPr>
            <w:tcW w:w="116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6</w:t>
            </w:r>
          </w:p>
        </w:tc>
        <w:tc>
          <w:tcPr>
            <w:tcW w:w="85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镉</w:t>
            </w:r>
          </w:p>
        </w:tc>
        <w:tc>
          <w:tcPr>
            <w:tcW w:w="57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0.01</w:t>
            </w:r>
          </w:p>
        </w:tc>
        <w:tc>
          <w:tcPr>
            <w:tcW w:w="3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18</w:t>
            </w:r>
          </w:p>
        </w:tc>
        <w:tc>
          <w:tcPr>
            <w:tcW w:w="112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氰化物</w:t>
            </w:r>
          </w:p>
        </w:tc>
        <w:tc>
          <w:tcPr>
            <w:tcW w:w="5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0.05</w:t>
            </w:r>
          </w:p>
        </w:tc>
        <w:tc>
          <w:tcPr>
            <w:tcW w:w="116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7</w:t>
            </w:r>
          </w:p>
        </w:tc>
        <w:tc>
          <w:tcPr>
            <w:tcW w:w="85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铅</w:t>
            </w:r>
          </w:p>
        </w:tc>
        <w:tc>
          <w:tcPr>
            <w:tcW w:w="57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0.05</w:t>
            </w:r>
          </w:p>
        </w:tc>
        <w:tc>
          <w:tcPr>
            <w:tcW w:w="3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19</w:t>
            </w:r>
          </w:p>
        </w:tc>
        <w:tc>
          <w:tcPr>
            <w:tcW w:w="112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氯化物</w:t>
            </w:r>
          </w:p>
        </w:tc>
        <w:tc>
          <w:tcPr>
            <w:tcW w:w="5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250</w:t>
            </w:r>
          </w:p>
        </w:tc>
        <w:tc>
          <w:tcPr>
            <w:tcW w:w="116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8</w:t>
            </w:r>
          </w:p>
        </w:tc>
        <w:tc>
          <w:tcPr>
            <w:tcW w:w="85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砷</w:t>
            </w:r>
          </w:p>
        </w:tc>
        <w:tc>
          <w:tcPr>
            <w:tcW w:w="57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0.05</w:t>
            </w:r>
          </w:p>
        </w:tc>
        <w:tc>
          <w:tcPr>
            <w:tcW w:w="3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20</w:t>
            </w:r>
          </w:p>
        </w:tc>
        <w:tc>
          <w:tcPr>
            <w:tcW w:w="112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氟化物</w:t>
            </w:r>
          </w:p>
        </w:tc>
        <w:tc>
          <w:tcPr>
            <w:tcW w:w="5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1.0</w:t>
            </w:r>
          </w:p>
        </w:tc>
        <w:tc>
          <w:tcPr>
            <w:tcW w:w="116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9</w:t>
            </w:r>
          </w:p>
        </w:tc>
        <w:tc>
          <w:tcPr>
            <w:tcW w:w="85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六价铬</w:t>
            </w:r>
          </w:p>
        </w:tc>
        <w:tc>
          <w:tcPr>
            <w:tcW w:w="57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0.05</w:t>
            </w:r>
          </w:p>
        </w:tc>
        <w:tc>
          <w:tcPr>
            <w:tcW w:w="3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21</w:t>
            </w:r>
          </w:p>
        </w:tc>
        <w:tc>
          <w:tcPr>
            <w:tcW w:w="112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挥发酚</w:t>
            </w:r>
          </w:p>
        </w:tc>
        <w:tc>
          <w:tcPr>
            <w:tcW w:w="5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0.002</w:t>
            </w:r>
          </w:p>
        </w:tc>
        <w:tc>
          <w:tcPr>
            <w:tcW w:w="116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10</w:t>
            </w:r>
          </w:p>
        </w:tc>
        <w:tc>
          <w:tcPr>
            <w:tcW w:w="85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汞</w:t>
            </w:r>
          </w:p>
        </w:tc>
        <w:tc>
          <w:tcPr>
            <w:tcW w:w="57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0.001</w:t>
            </w:r>
          </w:p>
        </w:tc>
        <w:tc>
          <w:tcPr>
            <w:tcW w:w="3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22</w:t>
            </w:r>
          </w:p>
        </w:tc>
        <w:tc>
          <w:tcPr>
            <w:tcW w:w="112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总大肠菌群（个/L）</w:t>
            </w:r>
          </w:p>
        </w:tc>
        <w:tc>
          <w:tcPr>
            <w:tcW w:w="5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3.0</w:t>
            </w:r>
          </w:p>
        </w:tc>
        <w:tc>
          <w:tcPr>
            <w:tcW w:w="116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11</w:t>
            </w:r>
          </w:p>
        </w:tc>
        <w:tc>
          <w:tcPr>
            <w:tcW w:w="85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总硬度</w:t>
            </w:r>
          </w:p>
        </w:tc>
        <w:tc>
          <w:tcPr>
            <w:tcW w:w="57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450</w:t>
            </w:r>
          </w:p>
        </w:tc>
        <w:tc>
          <w:tcPr>
            <w:tcW w:w="3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23</w:t>
            </w:r>
          </w:p>
        </w:tc>
        <w:tc>
          <w:tcPr>
            <w:tcW w:w="112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细菌总数（个/L）</w:t>
            </w:r>
          </w:p>
        </w:tc>
        <w:tc>
          <w:tcPr>
            <w:tcW w:w="5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100</w:t>
            </w:r>
          </w:p>
        </w:tc>
        <w:tc>
          <w:tcPr>
            <w:tcW w:w="116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12</w:t>
            </w:r>
          </w:p>
        </w:tc>
        <w:tc>
          <w:tcPr>
            <w:tcW w:w="85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溶解性总固体</w:t>
            </w:r>
          </w:p>
        </w:tc>
        <w:tc>
          <w:tcPr>
            <w:tcW w:w="57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1000</w:t>
            </w:r>
          </w:p>
        </w:tc>
        <w:tc>
          <w:tcPr>
            <w:tcW w:w="3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24</w:t>
            </w:r>
          </w:p>
        </w:tc>
        <w:tc>
          <w:tcPr>
            <w:tcW w:w="112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镍</w:t>
            </w:r>
          </w:p>
        </w:tc>
        <w:tc>
          <w:tcPr>
            <w:tcW w:w="5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0.05</w:t>
            </w:r>
          </w:p>
        </w:tc>
        <w:tc>
          <w:tcPr>
            <w:tcW w:w="116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p>
        </w:tc>
      </w:tr>
    </w:tbl>
    <w:p>
      <w:pPr>
        <w:widowControl w:val="0"/>
        <w:adjustRightInd w:val="0"/>
        <w:snapToGrid w:val="0"/>
        <w:spacing w:line="360" w:lineRule="auto"/>
        <w:ind w:firstLine="720" w:firstLineChars="300"/>
        <w:jc w:val="both"/>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（5）土壤</w:t>
      </w:r>
    </w:p>
    <w:p>
      <w:pPr>
        <w:spacing w:line="360" w:lineRule="auto"/>
        <w:ind w:firstLine="720" w:firstLineChars="300"/>
        <w:jc w:val="both"/>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项目所在地土壤环境质量执行《土壤环境质量建设用地土壤污染风险管控标准（试行）》（GB36600-2018）中第二类用地筛选值标准，评价项目标准值见表2</w:t>
      </w:r>
      <w:r>
        <w:rPr>
          <w:rFonts w:hint="eastAsia" w:ascii="宋体" w:hAnsi="宋体" w:eastAsia="宋体" w:cs="宋体"/>
          <w:color w:val="000000" w:themeColor="text1"/>
          <w:highlight w:val="none"/>
          <w:lang w:val="en-US" w:eastAsia="zh-CN"/>
          <w14:textFill>
            <w14:solidFill>
              <w14:schemeClr w14:val="tx1"/>
            </w14:solidFill>
          </w14:textFill>
        </w:rPr>
        <w:t>.2</w:t>
      </w:r>
      <w:r>
        <w:rPr>
          <w:rFonts w:hint="eastAsia" w:ascii="宋体" w:hAnsi="宋体" w:eastAsia="宋体" w:cs="宋体"/>
          <w:color w:val="000000" w:themeColor="text1"/>
          <w:highlight w:val="none"/>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5</w:t>
      </w:r>
      <w:r>
        <w:rPr>
          <w:rFonts w:hint="eastAsia" w:ascii="宋体" w:hAnsi="宋体" w:eastAsia="宋体" w:cs="宋体"/>
          <w:color w:val="000000" w:themeColor="text1"/>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0" w:firstLineChars="0"/>
        <w:jc w:val="center"/>
        <w:textAlignment w:val="auto"/>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表2</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.2</w:t>
      </w:r>
      <w:r>
        <w:rPr>
          <w:rFonts w:hint="eastAsia" w:ascii="宋体" w:hAnsi="宋体" w:eastAsia="宋体" w:cs="宋体"/>
          <w:b/>
          <w:bCs/>
          <w:color w:val="000000" w:themeColor="text1"/>
          <w:sz w:val="24"/>
          <w:szCs w:val="24"/>
          <w:highlight w:val="none"/>
          <w14:textFill>
            <w14:solidFill>
              <w14:schemeClr w14:val="tx1"/>
            </w14:solidFill>
          </w14:textFill>
        </w:rPr>
        <w:t>-</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5</w:t>
      </w:r>
      <w:r>
        <w:rPr>
          <w:rFonts w:hint="eastAsia" w:ascii="宋体" w:hAnsi="宋体" w:eastAsia="宋体" w:cs="宋体"/>
          <w:b/>
          <w:bCs/>
          <w:color w:val="000000" w:themeColor="text1"/>
          <w:sz w:val="24"/>
          <w:szCs w:val="24"/>
          <w:highlight w:val="none"/>
          <w14:textFill>
            <w14:solidFill>
              <w14:schemeClr w14:val="tx1"/>
            </w14:solidFill>
          </w14:textFill>
        </w:rPr>
        <w:t>土壤质量评价标准单位：mg/kg</w:t>
      </w:r>
    </w:p>
    <w:tbl>
      <w:tblPr>
        <w:tblStyle w:val="30"/>
        <w:tblW w:w="4997"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0" w:type="dxa"/>
          <w:bottom w:w="0" w:type="dxa"/>
          <w:right w:w="0" w:type="dxa"/>
        </w:tblCellMar>
      </w:tblPr>
      <w:tblGrid>
        <w:gridCol w:w="599"/>
        <w:gridCol w:w="1618"/>
        <w:gridCol w:w="1361"/>
        <w:gridCol w:w="1231"/>
        <w:gridCol w:w="706"/>
        <w:gridCol w:w="1662"/>
        <w:gridCol w:w="1185"/>
        <w:gridCol w:w="1177"/>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3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序号</w:t>
            </w:r>
          </w:p>
        </w:tc>
        <w:tc>
          <w:tcPr>
            <w:tcW w:w="8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污染物项目</w:t>
            </w:r>
          </w:p>
        </w:tc>
        <w:tc>
          <w:tcPr>
            <w:tcW w:w="7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CAS编号</w:t>
            </w:r>
          </w:p>
        </w:tc>
        <w:tc>
          <w:tcPr>
            <w:tcW w:w="6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筛选值/第二类用地</w:t>
            </w:r>
          </w:p>
        </w:tc>
        <w:tc>
          <w:tcPr>
            <w:tcW w:w="3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序号</w:t>
            </w:r>
          </w:p>
        </w:tc>
        <w:tc>
          <w:tcPr>
            <w:tcW w:w="8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污染物项目</w:t>
            </w:r>
          </w:p>
        </w:tc>
        <w:tc>
          <w:tcPr>
            <w:tcW w:w="6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CAS编号</w:t>
            </w:r>
          </w:p>
        </w:tc>
        <w:tc>
          <w:tcPr>
            <w:tcW w:w="6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筛选值/第二类用地</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2520"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重金属和无机物</w:t>
            </w:r>
          </w:p>
        </w:tc>
        <w:tc>
          <w:tcPr>
            <w:tcW w:w="2479"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挥发性有机物</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3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1</w:t>
            </w:r>
          </w:p>
        </w:tc>
        <w:tc>
          <w:tcPr>
            <w:tcW w:w="8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砷</w:t>
            </w:r>
          </w:p>
        </w:tc>
        <w:tc>
          <w:tcPr>
            <w:tcW w:w="7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7440-38-2</w:t>
            </w:r>
          </w:p>
        </w:tc>
        <w:tc>
          <w:tcPr>
            <w:tcW w:w="6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60</w:t>
            </w:r>
          </w:p>
        </w:tc>
        <w:tc>
          <w:tcPr>
            <w:tcW w:w="3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24</w:t>
            </w:r>
          </w:p>
        </w:tc>
        <w:tc>
          <w:tcPr>
            <w:tcW w:w="8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1,2,3-三氯丙烷</w:t>
            </w:r>
          </w:p>
        </w:tc>
        <w:tc>
          <w:tcPr>
            <w:tcW w:w="6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96-18-4</w:t>
            </w:r>
          </w:p>
        </w:tc>
        <w:tc>
          <w:tcPr>
            <w:tcW w:w="6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0.5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3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2</w:t>
            </w:r>
          </w:p>
        </w:tc>
        <w:tc>
          <w:tcPr>
            <w:tcW w:w="8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镉</w:t>
            </w:r>
          </w:p>
        </w:tc>
        <w:tc>
          <w:tcPr>
            <w:tcW w:w="7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7440-43-9</w:t>
            </w:r>
          </w:p>
        </w:tc>
        <w:tc>
          <w:tcPr>
            <w:tcW w:w="6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65</w:t>
            </w:r>
          </w:p>
        </w:tc>
        <w:tc>
          <w:tcPr>
            <w:tcW w:w="3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25</w:t>
            </w:r>
          </w:p>
        </w:tc>
        <w:tc>
          <w:tcPr>
            <w:tcW w:w="8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氯乙烯</w:t>
            </w:r>
          </w:p>
        </w:tc>
        <w:tc>
          <w:tcPr>
            <w:tcW w:w="6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75-01-4</w:t>
            </w:r>
          </w:p>
        </w:tc>
        <w:tc>
          <w:tcPr>
            <w:tcW w:w="6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0.43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3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3</w:t>
            </w:r>
          </w:p>
        </w:tc>
        <w:tc>
          <w:tcPr>
            <w:tcW w:w="8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铬（六价）</w:t>
            </w:r>
          </w:p>
        </w:tc>
        <w:tc>
          <w:tcPr>
            <w:tcW w:w="7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18540-29-9</w:t>
            </w:r>
          </w:p>
        </w:tc>
        <w:tc>
          <w:tcPr>
            <w:tcW w:w="6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5.7</w:t>
            </w:r>
          </w:p>
        </w:tc>
        <w:tc>
          <w:tcPr>
            <w:tcW w:w="3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26</w:t>
            </w:r>
          </w:p>
        </w:tc>
        <w:tc>
          <w:tcPr>
            <w:tcW w:w="8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苯</w:t>
            </w:r>
          </w:p>
        </w:tc>
        <w:tc>
          <w:tcPr>
            <w:tcW w:w="6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71-43-2</w:t>
            </w:r>
          </w:p>
        </w:tc>
        <w:tc>
          <w:tcPr>
            <w:tcW w:w="6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3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4</w:t>
            </w:r>
          </w:p>
        </w:tc>
        <w:tc>
          <w:tcPr>
            <w:tcW w:w="8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铜</w:t>
            </w:r>
          </w:p>
        </w:tc>
        <w:tc>
          <w:tcPr>
            <w:tcW w:w="7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7440-50-8</w:t>
            </w:r>
          </w:p>
        </w:tc>
        <w:tc>
          <w:tcPr>
            <w:tcW w:w="6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18000</w:t>
            </w:r>
          </w:p>
        </w:tc>
        <w:tc>
          <w:tcPr>
            <w:tcW w:w="3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27</w:t>
            </w:r>
          </w:p>
        </w:tc>
        <w:tc>
          <w:tcPr>
            <w:tcW w:w="8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氯苯</w:t>
            </w:r>
          </w:p>
        </w:tc>
        <w:tc>
          <w:tcPr>
            <w:tcW w:w="6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108-90-7</w:t>
            </w:r>
          </w:p>
        </w:tc>
        <w:tc>
          <w:tcPr>
            <w:tcW w:w="6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270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3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5</w:t>
            </w:r>
          </w:p>
        </w:tc>
        <w:tc>
          <w:tcPr>
            <w:tcW w:w="8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铅</w:t>
            </w:r>
          </w:p>
        </w:tc>
        <w:tc>
          <w:tcPr>
            <w:tcW w:w="7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7439-92-1</w:t>
            </w:r>
          </w:p>
        </w:tc>
        <w:tc>
          <w:tcPr>
            <w:tcW w:w="6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800</w:t>
            </w:r>
          </w:p>
        </w:tc>
        <w:tc>
          <w:tcPr>
            <w:tcW w:w="3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28</w:t>
            </w:r>
          </w:p>
        </w:tc>
        <w:tc>
          <w:tcPr>
            <w:tcW w:w="8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1,2-二氯苯</w:t>
            </w:r>
          </w:p>
        </w:tc>
        <w:tc>
          <w:tcPr>
            <w:tcW w:w="6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95-50-1</w:t>
            </w:r>
          </w:p>
        </w:tc>
        <w:tc>
          <w:tcPr>
            <w:tcW w:w="6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560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3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6</w:t>
            </w:r>
          </w:p>
        </w:tc>
        <w:tc>
          <w:tcPr>
            <w:tcW w:w="8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汞</w:t>
            </w:r>
          </w:p>
        </w:tc>
        <w:tc>
          <w:tcPr>
            <w:tcW w:w="7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7439-97-6</w:t>
            </w:r>
          </w:p>
        </w:tc>
        <w:tc>
          <w:tcPr>
            <w:tcW w:w="6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38</w:t>
            </w:r>
          </w:p>
        </w:tc>
        <w:tc>
          <w:tcPr>
            <w:tcW w:w="3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29</w:t>
            </w:r>
          </w:p>
        </w:tc>
        <w:tc>
          <w:tcPr>
            <w:tcW w:w="8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1,4-二氯苯</w:t>
            </w:r>
          </w:p>
        </w:tc>
        <w:tc>
          <w:tcPr>
            <w:tcW w:w="6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106-46-7</w:t>
            </w:r>
          </w:p>
        </w:tc>
        <w:tc>
          <w:tcPr>
            <w:tcW w:w="6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20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3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7</w:t>
            </w:r>
          </w:p>
        </w:tc>
        <w:tc>
          <w:tcPr>
            <w:tcW w:w="8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镍</w:t>
            </w:r>
          </w:p>
        </w:tc>
        <w:tc>
          <w:tcPr>
            <w:tcW w:w="7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7440-02-0</w:t>
            </w:r>
          </w:p>
        </w:tc>
        <w:tc>
          <w:tcPr>
            <w:tcW w:w="6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900</w:t>
            </w:r>
          </w:p>
        </w:tc>
        <w:tc>
          <w:tcPr>
            <w:tcW w:w="3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30</w:t>
            </w:r>
          </w:p>
        </w:tc>
        <w:tc>
          <w:tcPr>
            <w:tcW w:w="8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乙苯</w:t>
            </w:r>
          </w:p>
        </w:tc>
        <w:tc>
          <w:tcPr>
            <w:tcW w:w="6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100-41-4</w:t>
            </w:r>
          </w:p>
        </w:tc>
        <w:tc>
          <w:tcPr>
            <w:tcW w:w="6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28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2520"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挥发性有机物</w:t>
            </w:r>
          </w:p>
        </w:tc>
        <w:tc>
          <w:tcPr>
            <w:tcW w:w="3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31</w:t>
            </w:r>
          </w:p>
        </w:tc>
        <w:tc>
          <w:tcPr>
            <w:tcW w:w="8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苯乙烯</w:t>
            </w:r>
          </w:p>
        </w:tc>
        <w:tc>
          <w:tcPr>
            <w:tcW w:w="6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100-42-5</w:t>
            </w:r>
          </w:p>
        </w:tc>
        <w:tc>
          <w:tcPr>
            <w:tcW w:w="6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1290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3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8</w:t>
            </w:r>
          </w:p>
        </w:tc>
        <w:tc>
          <w:tcPr>
            <w:tcW w:w="8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四氯化碳</w:t>
            </w:r>
          </w:p>
        </w:tc>
        <w:tc>
          <w:tcPr>
            <w:tcW w:w="7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56-23-5</w:t>
            </w:r>
          </w:p>
        </w:tc>
        <w:tc>
          <w:tcPr>
            <w:tcW w:w="6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2.8</w:t>
            </w:r>
          </w:p>
        </w:tc>
        <w:tc>
          <w:tcPr>
            <w:tcW w:w="3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32</w:t>
            </w:r>
          </w:p>
        </w:tc>
        <w:tc>
          <w:tcPr>
            <w:tcW w:w="8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甲苯</w:t>
            </w:r>
          </w:p>
        </w:tc>
        <w:tc>
          <w:tcPr>
            <w:tcW w:w="6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108-88-3</w:t>
            </w:r>
          </w:p>
        </w:tc>
        <w:tc>
          <w:tcPr>
            <w:tcW w:w="6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1200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3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9</w:t>
            </w:r>
          </w:p>
        </w:tc>
        <w:tc>
          <w:tcPr>
            <w:tcW w:w="8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氯仿</w:t>
            </w:r>
          </w:p>
        </w:tc>
        <w:tc>
          <w:tcPr>
            <w:tcW w:w="7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67-66-3</w:t>
            </w:r>
          </w:p>
        </w:tc>
        <w:tc>
          <w:tcPr>
            <w:tcW w:w="6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0.9</w:t>
            </w:r>
          </w:p>
        </w:tc>
        <w:tc>
          <w:tcPr>
            <w:tcW w:w="3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33</w:t>
            </w:r>
          </w:p>
        </w:tc>
        <w:tc>
          <w:tcPr>
            <w:tcW w:w="8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间二甲苯+对二甲苯</w:t>
            </w:r>
          </w:p>
        </w:tc>
        <w:tc>
          <w:tcPr>
            <w:tcW w:w="6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108-38-3,</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106-42-3</w:t>
            </w:r>
          </w:p>
        </w:tc>
        <w:tc>
          <w:tcPr>
            <w:tcW w:w="6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570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3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10</w:t>
            </w:r>
          </w:p>
        </w:tc>
        <w:tc>
          <w:tcPr>
            <w:tcW w:w="8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氯甲烷</w:t>
            </w:r>
          </w:p>
        </w:tc>
        <w:tc>
          <w:tcPr>
            <w:tcW w:w="7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74-87-3</w:t>
            </w:r>
          </w:p>
        </w:tc>
        <w:tc>
          <w:tcPr>
            <w:tcW w:w="6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37</w:t>
            </w:r>
          </w:p>
        </w:tc>
        <w:tc>
          <w:tcPr>
            <w:tcW w:w="3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34</w:t>
            </w:r>
          </w:p>
        </w:tc>
        <w:tc>
          <w:tcPr>
            <w:tcW w:w="8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邻二甲苯</w:t>
            </w:r>
          </w:p>
        </w:tc>
        <w:tc>
          <w:tcPr>
            <w:tcW w:w="6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95-47-6</w:t>
            </w:r>
          </w:p>
        </w:tc>
        <w:tc>
          <w:tcPr>
            <w:tcW w:w="6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640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3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11</w:t>
            </w:r>
          </w:p>
        </w:tc>
        <w:tc>
          <w:tcPr>
            <w:tcW w:w="8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1,1-二氯乙烷</w:t>
            </w:r>
          </w:p>
        </w:tc>
        <w:tc>
          <w:tcPr>
            <w:tcW w:w="7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75-34-3</w:t>
            </w:r>
          </w:p>
        </w:tc>
        <w:tc>
          <w:tcPr>
            <w:tcW w:w="6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9</w:t>
            </w:r>
          </w:p>
        </w:tc>
        <w:tc>
          <w:tcPr>
            <w:tcW w:w="2479"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半挥发性有机物</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3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12</w:t>
            </w:r>
          </w:p>
        </w:tc>
        <w:tc>
          <w:tcPr>
            <w:tcW w:w="8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1,2-二氯乙烷</w:t>
            </w:r>
          </w:p>
        </w:tc>
        <w:tc>
          <w:tcPr>
            <w:tcW w:w="7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107-06-2</w:t>
            </w:r>
          </w:p>
        </w:tc>
        <w:tc>
          <w:tcPr>
            <w:tcW w:w="6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5</w:t>
            </w:r>
          </w:p>
        </w:tc>
        <w:tc>
          <w:tcPr>
            <w:tcW w:w="3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35</w:t>
            </w:r>
          </w:p>
        </w:tc>
        <w:tc>
          <w:tcPr>
            <w:tcW w:w="8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硝基苯</w:t>
            </w:r>
          </w:p>
        </w:tc>
        <w:tc>
          <w:tcPr>
            <w:tcW w:w="6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98-95-3</w:t>
            </w:r>
          </w:p>
        </w:tc>
        <w:tc>
          <w:tcPr>
            <w:tcW w:w="6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76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3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13</w:t>
            </w:r>
          </w:p>
        </w:tc>
        <w:tc>
          <w:tcPr>
            <w:tcW w:w="8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1,1-二氯乙烯</w:t>
            </w:r>
          </w:p>
        </w:tc>
        <w:tc>
          <w:tcPr>
            <w:tcW w:w="7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75-35-4</w:t>
            </w:r>
          </w:p>
        </w:tc>
        <w:tc>
          <w:tcPr>
            <w:tcW w:w="6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66</w:t>
            </w:r>
          </w:p>
        </w:tc>
        <w:tc>
          <w:tcPr>
            <w:tcW w:w="3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36</w:t>
            </w:r>
          </w:p>
        </w:tc>
        <w:tc>
          <w:tcPr>
            <w:tcW w:w="8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苯胺</w:t>
            </w:r>
          </w:p>
        </w:tc>
        <w:tc>
          <w:tcPr>
            <w:tcW w:w="6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62-53-3</w:t>
            </w:r>
          </w:p>
        </w:tc>
        <w:tc>
          <w:tcPr>
            <w:tcW w:w="6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260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3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14</w:t>
            </w:r>
          </w:p>
        </w:tc>
        <w:tc>
          <w:tcPr>
            <w:tcW w:w="8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顺-1,2-二氯乙烯</w:t>
            </w:r>
          </w:p>
        </w:tc>
        <w:tc>
          <w:tcPr>
            <w:tcW w:w="7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156-59-2</w:t>
            </w:r>
          </w:p>
        </w:tc>
        <w:tc>
          <w:tcPr>
            <w:tcW w:w="6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596</w:t>
            </w:r>
          </w:p>
        </w:tc>
        <w:tc>
          <w:tcPr>
            <w:tcW w:w="3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37</w:t>
            </w:r>
          </w:p>
        </w:tc>
        <w:tc>
          <w:tcPr>
            <w:tcW w:w="8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2-氯酚</w:t>
            </w:r>
          </w:p>
        </w:tc>
        <w:tc>
          <w:tcPr>
            <w:tcW w:w="6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95-57-8</w:t>
            </w:r>
          </w:p>
        </w:tc>
        <w:tc>
          <w:tcPr>
            <w:tcW w:w="6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2256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3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15</w:t>
            </w:r>
          </w:p>
        </w:tc>
        <w:tc>
          <w:tcPr>
            <w:tcW w:w="8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反-1,2-二氯乙烯</w:t>
            </w:r>
          </w:p>
        </w:tc>
        <w:tc>
          <w:tcPr>
            <w:tcW w:w="7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156-60-5</w:t>
            </w:r>
          </w:p>
        </w:tc>
        <w:tc>
          <w:tcPr>
            <w:tcW w:w="6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54</w:t>
            </w:r>
          </w:p>
        </w:tc>
        <w:tc>
          <w:tcPr>
            <w:tcW w:w="3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38</w:t>
            </w:r>
          </w:p>
        </w:tc>
        <w:tc>
          <w:tcPr>
            <w:tcW w:w="8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苯并[a]蒽</w:t>
            </w:r>
          </w:p>
        </w:tc>
        <w:tc>
          <w:tcPr>
            <w:tcW w:w="6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56-55-3</w:t>
            </w:r>
          </w:p>
        </w:tc>
        <w:tc>
          <w:tcPr>
            <w:tcW w:w="6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15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3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16</w:t>
            </w:r>
          </w:p>
        </w:tc>
        <w:tc>
          <w:tcPr>
            <w:tcW w:w="8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二氯甲烷</w:t>
            </w:r>
          </w:p>
        </w:tc>
        <w:tc>
          <w:tcPr>
            <w:tcW w:w="7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75-09-2</w:t>
            </w:r>
          </w:p>
        </w:tc>
        <w:tc>
          <w:tcPr>
            <w:tcW w:w="6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616</w:t>
            </w:r>
          </w:p>
        </w:tc>
        <w:tc>
          <w:tcPr>
            <w:tcW w:w="3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39</w:t>
            </w:r>
          </w:p>
        </w:tc>
        <w:tc>
          <w:tcPr>
            <w:tcW w:w="8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苯并[a]芘</w:t>
            </w:r>
          </w:p>
        </w:tc>
        <w:tc>
          <w:tcPr>
            <w:tcW w:w="6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50-32-8</w:t>
            </w:r>
          </w:p>
        </w:tc>
        <w:tc>
          <w:tcPr>
            <w:tcW w:w="6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1.5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3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17</w:t>
            </w:r>
          </w:p>
        </w:tc>
        <w:tc>
          <w:tcPr>
            <w:tcW w:w="8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1,2-二氯丙烷</w:t>
            </w:r>
          </w:p>
        </w:tc>
        <w:tc>
          <w:tcPr>
            <w:tcW w:w="7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78-87-5</w:t>
            </w:r>
          </w:p>
        </w:tc>
        <w:tc>
          <w:tcPr>
            <w:tcW w:w="6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5</w:t>
            </w:r>
          </w:p>
        </w:tc>
        <w:tc>
          <w:tcPr>
            <w:tcW w:w="3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40</w:t>
            </w:r>
          </w:p>
        </w:tc>
        <w:tc>
          <w:tcPr>
            <w:tcW w:w="8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苯并[b]荧蒽</w:t>
            </w:r>
          </w:p>
        </w:tc>
        <w:tc>
          <w:tcPr>
            <w:tcW w:w="6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205-99-2</w:t>
            </w:r>
          </w:p>
        </w:tc>
        <w:tc>
          <w:tcPr>
            <w:tcW w:w="6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15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3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18</w:t>
            </w:r>
          </w:p>
        </w:tc>
        <w:tc>
          <w:tcPr>
            <w:tcW w:w="8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1,1,1,2-四氯乙烷</w:t>
            </w:r>
          </w:p>
        </w:tc>
        <w:tc>
          <w:tcPr>
            <w:tcW w:w="7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630-20-6</w:t>
            </w:r>
          </w:p>
        </w:tc>
        <w:tc>
          <w:tcPr>
            <w:tcW w:w="6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10</w:t>
            </w:r>
          </w:p>
        </w:tc>
        <w:tc>
          <w:tcPr>
            <w:tcW w:w="3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41</w:t>
            </w:r>
          </w:p>
        </w:tc>
        <w:tc>
          <w:tcPr>
            <w:tcW w:w="8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苯并[k]荧蒽</w:t>
            </w:r>
          </w:p>
        </w:tc>
        <w:tc>
          <w:tcPr>
            <w:tcW w:w="6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207-08-9</w:t>
            </w:r>
          </w:p>
        </w:tc>
        <w:tc>
          <w:tcPr>
            <w:tcW w:w="6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151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3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19</w:t>
            </w:r>
          </w:p>
        </w:tc>
        <w:tc>
          <w:tcPr>
            <w:tcW w:w="8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1,1,2,2-四氯乙烷</w:t>
            </w:r>
          </w:p>
        </w:tc>
        <w:tc>
          <w:tcPr>
            <w:tcW w:w="7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79-34-5</w:t>
            </w:r>
          </w:p>
        </w:tc>
        <w:tc>
          <w:tcPr>
            <w:tcW w:w="6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6.8</w:t>
            </w:r>
          </w:p>
        </w:tc>
        <w:tc>
          <w:tcPr>
            <w:tcW w:w="3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42</w:t>
            </w:r>
          </w:p>
        </w:tc>
        <w:tc>
          <w:tcPr>
            <w:tcW w:w="8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䓛</w:t>
            </w:r>
          </w:p>
        </w:tc>
        <w:tc>
          <w:tcPr>
            <w:tcW w:w="6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218-01-9</w:t>
            </w:r>
          </w:p>
        </w:tc>
        <w:tc>
          <w:tcPr>
            <w:tcW w:w="6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1293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3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20</w:t>
            </w:r>
          </w:p>
        </w:tc>
        <w:tc>
          <w:tcPr>
            <w:tcW w:w="8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四氯乙烯</w:t>
            </w:r>
          </w:p>
        </w:tc>
        <w:tc>
          <w:tcPr>
            <w:tcW w:w="7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127-18-4</w:t>
            </w:r>
          </w:p>
        </w:tc>
        <w:tc>
          <w:tcPr>
            <w:tcW w:w="6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53</w:t>
            </w:r>
          </w:p>
        </w:tc>
        <w:tc>
          <w:tcPr>
            <w:tcW w:w="3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43</w:t>
            </w:r>
          </w:p>
        </w:tc>
        <w:tc>
          <w:tcPr>
            <w:tcW w:w="8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二苯并[a,h]蒽</w:t>
            </w:r>
          </w:p>
        </w:tc>
        <w:tc>
          <w:tcPr>
            <w:tcW w:w="6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53-70-3</w:t>
            </w:r>
          </w:p>
        </w:tc>
        <w:tc>
          <w:tcPr>
            <w:tcW w:w="6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1.5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3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21</w:t>
            </w:r>
          </w:p>
        </w:tc>
        <w:tc>
          <w:tcPr>
            <w:tcW w:w="8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1,1,1-三氯乙烷</w:t>
            </w:r>
          </w:p>
        </w:tc>
        <w:tc>
          <w:tcPr>
            <w:tcW w:w="7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71-55-6</w:t>
            </w:r>
          </w:p>
        </w:tc>
        <w:tc>
          <w:tcPr>
            <w:tcW w:w="6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701</w:t>
            </w:r>
          </w:p>
        </w:tc>
        <w:tc>
          <w:tcPr>
            <w:tcW w:w="3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44</w:t>
            </w:r>
          </w:p>
        </w:tc>
        <w:tc>
          <w:tcPr>
            <w:tcW w:w="8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茚并[1,2,3-cd]芘</w:t>
            </w:r>
          </w:p>
        </w:tc>
        <w:tc>
          <w:tcPr>
            <w:tcW w:w="6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193-39-5</w:t>
            </w:r>
          </w:p>
        </w:tc>
        <w:tc>
          <w:tcPr>
            <w:tcW w:w="6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15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3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22</w:t>
            </w:r>
          </w:p>
        </w:tc>
        <w:tc>
          <w:tcPr>
            <w:tcW w:w="8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1,1,2-三氯乙烷</w:t>
            </w:r>
          </w:p>
        </w:tc>
        <w:tc>
          <w:tcPr>
            <w:tcW w:w="7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79-00-5</w:t>
            </w:r>
          </w:p>
        </w:tc>
        <w:tc>
          <w:tcPr>
            <w:tcW w:w="6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0.6</w:t>
            </w:r>
          </w:p>
        </w:tc>
        <w:tc>
          <w:tcPr>
            <w:tcW w:w="3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45</w:t>
            </w:r>
          </w:p>
        </w:tc>
        <w:tc>
          <w:tcPr>
            <w:tcW w:w="8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萘</w:t>
            </w:r>
          </w:p>
        </w:tc>
        <w:tc>
          <w:tcPr>
            <w:tcW w:w="6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91-20-3</w:t>
            </w:r>
          </w:p>
        </w:tc>
        <w:tc>
          <w:tcPr>
            <w:tcW w:w="6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70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3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23</w:t>
            </w:r>
          </w:p>
        </w:tc>
        <w:tc>
          <w:tcPr>
            <w:tcW w:w="8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三氯乙烯</w:t>
            </w:r>
          </w:p>
        </w:tc>
        <w:tc>
          <w:tcPr>
            <w:tcW w:w="7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79-01-6</w:t>
            </w:r>
          </w:p>
        </w:tc>
        <w:tc>
          <w:tcPr>
            <w:tcW w:w="6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0.7</w:t>
            </w:r>
          </w:p>
        </w:tc>
        <w:tc>
          <w:tcPr>
            <w:tcW w:w="3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lang w:val="en-US" w:eastAsia="zh-CN"/>
                <w14:textFill>
                  <w14:solidFill>
                    <w14:schemeClr w14:val="tx1"/>
                  </w14:solidFill>
                </w14:textFill>
              </w:rPr>
            </w:pPr>
            <w:r>
              <w:rPr>
                <w:rFonts w:hint="eastAsia" w:ascii="宋体" w:hAnsi="宋体" w:eastAsia="宋体" w:cs="宋体"/>
                <w:b w:val="0"/>
                <w:bCs/>
                <w:color w:val="000000" w:themeColor="text1"/>
                <w:kern w:val="2"/>
                <w:sz w:val="21"/>
                <w:szCs w:val="21"/>
                <w:lang w:val="en-US" w:eastAsia="zh-CN"/>
                <w14:textFill>
                  <w14:solidFill>
                    <w14:schemeClr w14:val="tx1"/>
                  </w14:solidFill>
                </w14:textFill>
              </w:rPr>
              <w:t>46</w:t>
            </w:r>
          </w:p>
        </w:tc>
        <w:tc>
          <w:tcPr>
            <w:tcW w:w="8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lang w:eastAsia="zh-CN"/>
                <w14:textFill>
                  <w14:solidFill>
                    <w14:schemeClr w14:val="tx1"/>
                  </w14:solidFill>
                </w14:textFill>
              </w:rPr>
            </w:pPr>
            <w:r>
              <w:rPr>
                <w:rFonts w:hint="eastAsia" w:ascii="宋体" w:hAnsi="宋体" w:eastAsia="宋体" w:cs="宋体"/>
                <w:b w:val="0"/>
                <w:bCs/>
                <w:color w:val="000000" w:themeColor="text1"/>
                <w:kern w:val="2"/>
                <w:sz w:val="21"/>
                <w:szCs w:val="21"/>
                <w:lang w:val="en-US" w:eastAsia="zh-CN"/>
                <w14:textFill>
                  <w14:solidFill>
                    <w14:schemeClr w14:val="tx1"/>
                  </w14:solidFill>
                </w14:textFill>
              </w:rPr>
              <w:t>石油烃</w:t>
            </w:r>
          </w:p>
        </w:tc>
        <w:tc>
          <w:tcPr>
            <w:tcW w:w="6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w:t>
            </w:r>
          </w:p>
        </w:tc>
        <w:tc>
          <w:tcPr>
            <w:tcW w:w="6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lang w:val="en-US" w:eastAsia="zh-CN"/>
                <w14:textFill>
                  <w14:solidFill>
                    <w14:schemeClr w14:val="tx1"/>
                  </w14:solidFill>
                </w14:textFill>
              </w:rPr>
              <w:t>4500</w:t>
            </w:r>
          </w:p>
        </w:tc>
      </w:tr>
    </w:tbl>
    <w:p>
      <w:pPr>
        <w:pStyle w:val="9"/>
        <w:keepNext w:val="0"/>
        <w:keepLines w:val="0"/>
        <w:pageBreakBefore w:val="0"/>
        <w:widowControl/>
        <w:kinsoku/>
        <w:wordWrap/>
        <w:overflowPunct/>
        <w:topLinePunct w:val="0"/>
        <w:bidi w:val="0"/>
        <w:adjustRightInd/>
        <w:snapToGrid/>
        <w:ind w:firstLine="482" w:firstLineChars="200"/>
        <w:textAlignment w:val="auto"/>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2.</w:t>
      </w:r>
      <w:r>
        <w:rPr>
          <w:rFonts w:hint="eastAsia" w:ascii="宋体" w:hAnsi="宋体" w:eastAsia="宋体" w:cs="宋体"/>
          <w:color w:val="000000" w:themeColor="text1"/>
          <w:highlight w:val="none"/>
          <w:lang w:eastAsia="zh-CN"/>
          <w14:textFill>
            <w14:solidFill>
              <w14:schemeClr w14:val="tx1"/>
            </w14:solidFill>
          </w14:textFill>
        </w:rPr>
        <w:t>2.3.2污染物排放标准</w:t>
      </w:r>
    </w:p>
    <w:p>
      <w:pPr>
        <w:keepNext w:val="0"/>
        <w:keepLines w:val="0"/>
        <w:pageBreakBefore w:val="0"/>
        <w:widowControl/>
        <w:kinsoku/>
        <w:wordWrap/>
        <w:overflowPunct/>
        <w:topLinePunct w:val="0"/>
        <w:bidi w:val="0"/>
        <w:adjustRightInd/>
        <w:snapToGrid/>
        <w:spacing w:line="360" w:lineRule="auto"/>
        <w:ind w:firstLine="480" w:firstLineChars="200"/>
        <w:textAlignment w:val="auto"/>
        <w:rPr>
          <w:rFonts w:hint="eastAsia"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szCs w:val="22"/>
          <w:highlight w:val="none"/>
          <w14:textFill>
            <w14:solidFill>
              <w14:schemeClr w14:val="tx1"/>
            </w14:solidFill>
          </w14:textFill>
        </w:rPr>
        <w:t>（1）废水</w:t>
      </w:r>
    </w:p>
    <w:p>
      <w:pPr>
        <w:keepNext w:val="0"/>
        <w:keepLines w:val="0"/>
        <w:pageBreakBefore w:val="0"/>
        <w:widowControl/>
        <w:kinsoku/>
        <w:wordWrap/>
        <w:overflowPunct/>
        <w:topLinePunct w:val="0"/>
        <w:bidi w:val="0"/>
        <w:adjustRightInd/>
        <w:snapToGrid/>
        <w:spacing w:line="360" w:lineRule="auto"/>
        <w:ind w:firstLine="480" w:firstLineChars="200"/>
        <w:jc w:val="both"/>
        <w:textAlignment w:val="auto"/>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szCs w:val="22"/>
          <w:highlight w:val="none"/>
          <w:lang w:val="en-US" w:eastAsia="zh-CN"/>
          <w14:textFill>
            <w14:solidFill>
              <w14:schemeClr w14:val="tx1"/>
            </w14:solidFill>
          </w14:textFill>
        </w:rPr>
        <w:t>本项目</w:t>
      </w:r>
      <w:r>
        <w:rPr>
          <w:rFonts w:hint="eastAsia" w:ascii="宋体" w:hAnsi="宋体" w:eastAsia="宋体" w:cs="宋体"/>
          <w:color w:val="000000" w:themeColor="text1"/>
          <w:szCs w:val="22"/>
          <w:highlight w:val="none"/>
          <w14:textFill>
            <w14:solidFill>
              <w14:schemeClr w14:val="tx1"/>
            </w14:solidFill>
          </w14:textFill>
        </w:rPr>
        <w:t>废水排放执行《污水综合排放标准》（GB8978-1996）中的三级排放标准</w:t>
      </w:r>
      <w:r>
        <w:rPr>
          <w:rFonts w:hint="eastAsia" w:ascii="宋体" w:hAnsi="宋体" w:eastAsia="宋体" w:cs="宋体"/>
          <w:color w:val="000000" w:themeColor="text1"/>
          <w:szCs w:val="22"/>
          <w:highlight w:val="none"/>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0" w:firstLineChars="0"/>
        <w:jc w:val="center"/>
        <w:textAlignment w:val="auto"/>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表2</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.2</w:t>
      </w:r>
      <w:r>
        <w:rPr>
          <w:rFonts w:hint="eastAsia" w:ascii="宋体" w:hAnsi="宋体" w:eastAsia="宋体" w:cs="宋体"/>
          <w:b/>
          <w:bCs/>
          <w:color w:val="000000" w:themeColor="text1"/>
          <w:sz w:val="24"/>
          <w:szCs w:val="24"/>
          <w:highlight w:val="none"/>
          <w14:textFill>
            <w14:solidFill>
              <w14:schemeClr w14:val="tx1"/>
            </w14:solidFill>
          </w14:textFill>
        </w:rPr>
        <w:t>-</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6</w:t>
      </w:r>
      <w:r>
        <w:rPr>
          <w:rFonts w:hint="eastAsia" w:ascii="宋体" w:hAnsi="宋体" w:eastAsia="宋体" w:cs="宋体"/>
          <w:b/>
          <w:bCs/>
          <w:color w:val="000000" w:themeColor="text1"/>
          <w:sz w:val="24"/>
          <w:szCs w:val="24"/>
          <w:highlight w:val="none"/>
          <w:lang w:eastAsia="zh-CN"/>
          <w14:textFill>
            <w14:solidFill>
              <w14:schemeClr w14:val="tx1"/>
            </w14:solidFill>
          </w14:textFill>
        </w:rPr>
        <w:t>废水</w:t>
      </w:r>
      <w:r>
        <w:rPr>
          <w:rFonts w:hint="eastAsia" w:ascii="宋体" w:hAnsi="宋体" w:eastAsia="宋体" w:cs="宋体"/>
          <w:b/>
          <w:bCs/>
          <w:color w:val="000000" w:themeColor="text1"/>
          <w:sz w:val="24"/>
          <w:szCs w:val="24"/>
          <w:highlight w:val="none"/>
          <w14:textFill>
            <w14:solidFill>
              <w14:schemeClr w14:val="tx1"/>
            </w14:solidFill>
          </w14:textFill>
        </w:rPr>
        <w:t>排放标准值表单位：mg/L</w:t>
      </w: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544"/>
        <w:gridCol w:w="2280"/>
        <w:gridCol w:w="2025"/>
        <w:gridCol w:w="371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1544" w:type="dxa"/>
            <w:tcBorders>
              <w:tl2br w:val="nil"/>
              <w:tr2bl w:val="nil"/>
            </w:tcBorders>
            <w:noWrap w:val="0"/>
            <w:vAlign w:val="center"/>
          </w:tcPr>
          <w:p>
            <w:pPr>
              <w:pStyle w:val="42"/>
              <w:widowControl w:val="0"/>
              <w:spacing w:line="24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废水来源</w:t>
            </w:r>
          </w:p>
        </w:tc>
        <w:tc>
          <w:tcPr>
            <w:tcW w:w="2280" w:type="dxa"/>
            <w:tcBorders>
              <w:tl2br w:val="nil"/>
              <w:tr2bl w:val="nil"/>
            </w:tcBorders>
            <w:noWrap w:val="0"/>
            <w:vAlign w:val="center"/>
          </w:tcPr>
          <w:p>
            <w:pPr>
              <w:widowControl w:val="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污染因子</w:t>
            </w:r>
          </w:p>
        </w:tc>
        <w:tc>
          <w:tcPr>
            <w:tcW w:w="2025" w:type="dxa"/>
            <w:tcBorders>
              <w:tl2br w:val="nil"/>
              <w:tr2bl w:val="nil"/>
            </w:tcBorders>
            <w:noWrap w:val="0"/>
            <w:vAlign w:val="center"/>
          </w:tcPr>
          <w:p>
            <w:pPr>
              <w:widowControl w:val="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最高允许排放浓度</w:t>
            </w:r>
          </w:p>
        </w:tc>
        <w:tc>
          <w:tcPr>
            <w:tcW w:w="3711" w:type="dxa"/>
            <w:tcBorders>
              <w:tl2br w:val="nil"/>
              <w:tr2bl w:val="nil"/>
            </w:tcBorders>
            <w:noWrap w:val="0"/>
            <w:vAlign w:val="center"/>
          </w:tcPr>
          <w:p>
            <w:pPr>
              <w:widowControl w:val="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标准来源</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67" w:hRule="atLeast"/>
          <w:jc w:val="center"/>
        </w:trPr>
        <w:tc>
          <w:tcPr>
            <w:tcW w:w="1544" w:type="dxa"/>
            <w:vMerge w:val="restart"/>
            <w:tcBorders>
              <w:tl2br w:val="nil"/>
              <w:tr2bl w:val="nil"/>
            </w:tcBorders>
            <w:noWrap w:val="0"/>
            <w:vAlign w:val="center"/>
          </w:tcPr>
          <w:p>
            <w:pPr>
              <w:pStyle w:val="42"/>
              <w:widowControl w:val="0"/>
              <w:spacing w:line="240" w:lineRule="auto"/>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生产废水</w:t>
            </w:r>
          </w:p>
        </w:tc>
        <w:tc>
          <w:tcPr>
            <w:tcW w:w="2280" w:type="dxa"/>
            <w:tcBorders>
              <w:tl2br w:val="nil"/>
              <w:tr2bl w:val="nil"/>
            </w:tcBorders>
            <w:noWrap w:val="0"/>
            <w:vAlign w:val="center"/>
          </w:tcPr>
          <w:p>
            <w:pPr>
              <w:pStyle w:val="43"/>
              <w:widowControl w:val="0"/>
              <w:ind w:firstLine="0"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pH值（无量纲）</w:t>
            </w:r>
          </w:p>
        </w:tc>
        <w:tc>
          <w:tcPr>
            <w:tcW w:w="2025" w:type="dxa"/>
            <w:tcBorders>
              <w:tl2br w:val="nil"/>
              <w:tr2bl w:val="nil"/>
            </w:tcBorders>
            <w:noWrap w:val="0"/>
            <w:vAlign w:val="center"/>
          </w:tcPr>
          <w:p>
            <w:pPr>
              <w:pStyle w:val="43"/>
              <w:widowControl w:val="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6</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9</w:t>
            </w:r>
          </w:p>
        </w:tc>
        <w:tc>
          <w:tcPr>
            <w:tcW w:w="3711" w:type="dxa"/>
            <w:vMerge w:val="restart"/>
            <w:tcBorders>
              <w:tl2br w:val="nil"/>
              <w:tr2bl w:val="nil"/>
            </w:tcBorders>
            <w:noWrap w:val="0"/>
            <w:vAlign w:val="center"/>
          </w:tcPr>
          <w:p>
            <w:pPr>
              <w:pStyle w:val="42"/>
              <w:widowControl w:val="0"/>
              <w:kinsoku w:val="0"/>
              <w:overflowPunct w:val="0"/>
              <w:autoSpaceDE w:val="0"/>
              <w:autoSpaceDN w:val="0"/>
              <w:spacing w:line="240" w:lineRule="auto"/>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szCs w:val="22"/>
                <w:highlight w:val="none"/>
                <w14:textFill>
                  <w14:solidFill>
                    <w14:schemeClr w14:val="tx1"/>
                  </w14:solidFill>
                </w14:textFill>
              </w:rPr>
              <w:t>《污水综合排放标准》（GB8978-199</w:t>
            </w:r>
            <w:r>
              <w:rPr>
                <w:rFonts w:hint="eastAsia" w:ascii="宋体" w:hAnsi="宋体" w:eastAsia="宋体" w:cs="宋体"/>
                <w:color w:val="000000" w:themeColor="text1"/>
                <w:szCs w:val="22"/>
                <w:highlight w:val="none"/>
                <w:lang w:val="en-US" w:eastAsia="zh-CN"/>
                <w14:textFill>
                  <w14:solidFill>
                    <w14:schemeClr w14:val="tx1"/>
                  </w14:solidFill>
                </w14:textFill>
              </w:rPr>
              <w:t>6</w:t>
            </w:r>
            <w:r>
              <w:rPr>
                <w:rFonts w:hint="eastAsia" w:ascii="宋体" w:hAnsi="宋体" w:eastAsia="宋体" w:cs="宋体"/>
                <w:color w:val="000000" w:themeColor="text1"/>
                <w:szCs w:val="22"/>
                <w:highlight w:val="none"/>
                <w14:textFill>
                  <w14:solidFill>
                    <w14:schemeClr w14:val="tx1"/>
                  </w14:solidFill>
                </w14:textFill>
              </w:rPr>
              <w:t>）中的三级排放标准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67" w:hRule="atLeast"/>
          <w:jc w:val="center"/>
        </w:trPr>
        <w:tc>
          <w:tcPr>
            <w:tcW w:w="1544" w:type="dxa"/>
            <w:vMerge w:val="continue"/>
            <w:tcBorders>
              <w:tl2br w:val="nil"/>
              <w:tr2bl w:val="nil"/>
            </w:tcBorders>
            <w:noWrap w:val="0"/>
            <w:vAlign w:val="center"/>
          </w:tcPr>
          <w:p>
            <w:pPr>
              <w:pStyle w:val="42"/>
              <w:widowControl w:val="0"/>
              <w:spacing w:line="240" w:lineRule="auto"/>
              <w:rPr>
                <w:rFonts w:hint="eastAsia" w:ascii="宋体" w:hAnsi="宋体" w:eastAsia="宋体" w:cs="宋体"/>
                <w:color w:val="000000" w:themeColor="text1"/>
                <w:highlight w:val="none"/>
                <w14:textFill>
                  <w14:solidFill>
                    <w14:schemeClr w14:val="tx1"/>
                  </w14:solidFill>
                </w14:textFill>
              </w:rPr>
            </w:pPr>
          </w:p>
        </w:tc>
        <w:tc>
          <w:tcPr>
            <w:tcW w:w="2280" w:type="dxa"/>
            <w:tcBorders>
              <w:tl2br w:val="nil"/>
              <w:tr2bl w:val="nil"/>
            </w:tcBorders>
            <w:noWrap w:val="0"/>
            <w:vAlign w:val="center"/>
          </w:tcPr>
          <w:p>
            <w:pPr>
              <w:pStyle w:val="43"/>
              <w:widowControl w:val="0"/>
              <w:ind w:firstLine="0"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COD</w:t>
            </w:r>
          </w:p>
        </w:tc>
        <w:tc>
          <w:tcPr>
            <w:tcW w:w="2025" w:type="dxa"/>
            <w:tcBorders>
              <w:tl2br w:val="nil"/>
              <w:tr2bl w:val="nil"/>
            </w:tcBorders>
            <w:noWrap w:val="0"/>
            <w:vAlign w:val="center"/>
          </w:tcPr>
          <w:p>
            <w:pPr>
              <w:pStyle w:val="43"/>
              <w:widowControl w:val="0"/>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500</w:t>
            </w:r>
          </w:p>
        </w:tc>
        <w:tc>
          <w:tcPr>
            <w:tcW w:w="3711" w:type="dxa"/>
            <w:vMerge w:val="continue"/>
            <w:tcBorders>
              <w:tl2br w:val="nil"/>
              <w:tr2bl w:val="nil"/>
            </w:tcBorders>
            <w:noWrap w:val="0"/>
            <w:vAlign w:val="center"/>
          </w:tcPr>
          <w:p>
            <w:pPr>
              <w:pStyle w:val="42"/>
              <w:widowControl w:val="0"/>
              <w:kinsoku w:val="0"/>
              <w:overflowPunct w:val="0"/>
              <w:autoSpaceDE w:val="0"/>
              <w:autoSpaceDN w:val="0"/>
              <w:spacing w:line="240" w:lineRule="auto"/>
              <w:rPr>
                <w:rFonts w:hint="eastAsia" w:ascii="宋体" w:hAnsi="宋体" w:eastAsia="宋体" w:cs="宋体"/>
                <w:color w:val="000000" w:themeColor="text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67" w:hRule="atLeast"/>
          <w:jc w:val="center"/>
        </w:trPr>
        <w:tc>
          <w:tcPr>
            <w:tcW w:w="1544" w:type="dxa"/>
            <w:vMerge w:val="continue"/>
            <w:tcBorders>
              <w:tl2br w:val="nil"/>
              <w:tr2bl w:val="nil"/>
            </w:tcBorders>
            <w:noWrap w:val="0"/>
            <w:vAlign w:val="center"/>
          </w:tcPr>
          <w:p>
            <w:pPr>
              <w:pStyle w:val="42"/>
              <w:widowControl w:val="0"/>
              <w:spacing w:line="240" w:lineRule="auto"/>
              <w:rPr>
                <w:rFonts w:hint="eastAsia" w:ascii="宋体" w:hAnsi="宋体" w:eastAsia="宋体" w:cs="宋体"/>
                <w:color w:val="000000" w:themeColor="text1"/>
                <w:highlight w:val="none"/>
                <w14:textFill>
                  <w14:solidFill>
                    <w14:schemeClr w14:val="tx1"/>
                  </w14:solidFill>
                </w14:textFill>
              </w:rPr>
            </w:pPr>
          </w:p>
        </w:tc>
        <w:tc>
          <w:tcPr>
            <w:tcW w:w="2280" w:type="dxa"/>
            <w:tcBorders>
              <w:tl2br w:val="nil"/>
              <w:tr2bl w:val="nil"/>
            </w:tcBorders>
            <w:noWrap w:val="0"/>
            <w:vAlign w:val="center"/>
          </w:tcPr>
          <w:p>
            <w:pPr>
              <w:pStyle w:val="43"/>
              <w:widowControl w:val="0"/>
              <w:ind w:firstLine="0"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NH</w:t>
            </w:r>
            <w:r>
              <w:rPr>
                <w:rFonts w:hint="eastAsia" w:ascii="宋体" w:hAnsi="宋体" w:eastAsia="宋体" w:cs="宋体"/>
                <w:color w:val="000000" w:themeColor="text1"/>
                <w:sz w:val="21"/>
                <w:szCs w:val="21"/>
                <w:highlight w:val="none"/>
                <w:vertAlign w:val="subscript"/>
                <w14:textFill>
                  <w14:solidFill>
                    <w14:schemeClr w14:val="tx1"/>
                  </w14:solidFill>
                </w14:textFill>
              </w:rPr>
              <w:t>3</w:t>
            </w:r>
            <w:r>
              <w:rPr>
                <w:rFonts w:hint="eastAsia" w:ascii="宋体" w:hAnsi="宋体" w:eastAsia="宋体" w:cs="宋体"/>
                <w:color w:val="000000" w:themeColor="text1"/>
                <w:sz w:val="21"/>
                <w:szCs w:val="21"/>
                <w:highlight w:val="none"/>
                <w14:textFill>
                  <w14:solidFill>
                    <w14:schemeClr w14:val="tx1"/>
                  </w14:solidFill>
                </w14:textFill>
              </w:rPr>
              <w:t>-N</w:t>
            </w:r>
          </w:p>
        </w:tc>
        <w:tc>
          <w:tcPr>
            <w:tcW w:w="2025" w:type="dxa"/>
            <w:tcBorders>
              <w:tl2br w:val="nil"/>
              <w:tr2bl w:val="nil"/>
            </w:tcBorders>
            <w:noWrap w:val="0"/>
            <w:vAlign w:val="center"/>
          </w:tcPr>
          <w:p>
            <w:pPr>
              <w:pStyle w:val="43"/>
              <w:widowControl w:val="0"/>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w:t>
            </w:r>
          </w:p>
        </w:tc>
        <w:tc>
          <w:tcPr>
            <w:tcW w:w="3711" w:type="dxa"/>
            <w:vMerge w:val="continue"/>
            <w:tcBorders>
              <w:tl2br w:val="nil"/>
              <w:tr2bl w:val="nil"/>
            </w:tcBorders>
            <w:noWrap w:val="0"/>
            <w:vAlign w:val="center"/>
          </w:tcPr>
          <w:p>
            <w:pPr>
              <w:pStyle w:val="42"/>
              <w:widowControl w:val="0"/>
              <w:kinsoku w:val="0"/>
              <w:overflowPunct w:val="0"/>
              <w:autoSpaceDE w:val="0"/>
              <w:autoSpaceDN w:val="0"/>
              <w:spacing w:line="240" w:lineRule="auto"/>
              <w:rPr>
                <w:rFonts w:hint="eastAsia" w:ascii="宋体" w:hAnsi="宋体" w:eastAsia="宋体" w:cs="宋体"/>
                <w:color w:val="000000" w:themeColor="text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67" w:hRule="atLeast"/>
          <w:jc w:val="center"/>
        </w:trPr>
        <w:tc>
          <w:tcPr>
            <w:tcW w:w="1544" w:type="dxa"/>
            <w:vMerge w:val="continue"/>
            <w:tcBorders>
              <w:tl2br w:val="nil"/>
              <w:tr2bl w:val="nil"/>
            </w:tcBorders>
            <w:noWrap w:val="0"/>
            <w:vAlign w:val="center"/>
          </w:tcPr>
          <w:p>
            <w:pPr>
              <w:pStyle w:val="42"/>
              <w:widowControl w:val="0"/>
              <w:spacing w:line="240" w:lineRule="auto"/>
              <w:rPr>
                <w:rFonts w:hint="eastAsia" w:ascii="宋体" w:hAnsi="宋体" w:eastAsia="宋体" w:cs="宋体"/>
                <w:color w:val="000000" w:themeColor="text1"/>
                <w:highlight w:val="none"/>
                <w14:textFill>
                  <w14:solidFill>
                    <w14:schemeClr w14:val="tx1"/>
                  </w14:solidFill>
                </w14:textFill>
              </w:rPr>
            </w:pPr>
          </w:p>
        </w:tc>
        <w:tc>
          <w:tcPr>
            <w:tcW w:w="2280" w:type="dxa"/>
            <w:tcBorders>
              <w:tl2br w:val="nil"/>
              <w:tr2bl w:val="nil"/>
            </w:tcBorders>
            <w:noWrap w:val="0"/>
            <w:vAlign w:val="center"/>
          </w:tcPr>
          <w:p>
            <w:pPr>
              <w:pStyle w:val="43"/>
              <w:widowControl w:val="0"/>
              <w:ind w:firstLine="0"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BOD</w:t>
            </w:r>
            <w:r>
              <w:rPr>
                <w:rFonts w:hint="eastAsia" w:ascii="宋体" w:hAnsi="宋体" w:eastAsia="宋体" w:cs="宋体"/>
                <w:color w:val="000000" w:themeColor="text1"/>
                <w:sz w:val="21"/>
                <w:szCs w:val="21"/>
                <w:highlight w:val="none"/>
                <w:vertAlign w:val="subscript"/>
                <w14:textFill>
                  <w14:solidFill>
                    <w14:schemeClr w14:val="tx1"/>
                  </w14:solidFill>
                </w14:textFill>
              </w:rPr>
              <w:t>5</w:t>
            </w:r>
          </w:p>
        </w:tc>
        <w:tc>
          <w:tcPr>
            <w:tcW w:w="2025" w:type="dxa"/>
            <w:tcBorders>
              <w:tl2br w:val="nil"/>
              <w:tr2bl w:val="nil"/>
            </w:tcBorders>
            <w:noWrap w:val="0"/>
            <w:vAlign w:val="center"/>
          </w:tcPr>
          <w:p>
            <w:pPr>
              <w:pStyle w:val="43"/>
              <w:widowControl w:val="0"/>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300</w:t>
            </w:r>
          </w:p>
        </w:tc>
        <w:tc>
          <w:tcPr>
            <w:tcW w:w="3711" w:type="dxa"/>
            <w:vMerge w:val="continue"/>
            <w:tcBorders>
              <w:tl2br w:val="nil"/>
              <w:tr2bl w:val="nil"/>
            </w:tcBorders>
            <w:noWrap w:val="0"/>
            <w:vAlign w:val="center"/>
          </w:tcPr>
          <w:p>
            <w:pPr>
              <w:pStyle w:val="42"/>
              <w:widowControl w:val="0"/>
              <w:kinsoku w:val="0"/>
              <w:overflowPunct w:val="0"/>
              <w:autoSpaceDE w:val="0"/>
              <w:autoSpaceDN w:val="0"/>
              <w:spacing w:line="240" w:lineRule="auto"/>
              <w:rPr>
                <w:rFonts w:hint="eastAsia" w:ascii="宋体" w:hAnsi="宋体" w:eastAsia="宋体" w:cs="宋体"/>
                <w:color w:val="000000" w:themeColor="text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67" w:hRule="atLeast"/>
          <w:jc w:val="center"/>
        </w:trPr>
        <w:tc>
          <w:tcPr>
            <w:tcW w:w="1544" w:type="dxa"/>
            <w:vMerge w:val="continue"/>
            <w:tcBorders>
              <w:tl2br w:val="nil"/>
              <w:tr2bl w:val="nil"/>
            </w:tcBorders>
            <w:noWrap w:val="0"/>
            <w:vAlign w:val="center"/>
          </w:tcPr>
          <w:p>
            <w:pPr>
              <w:pStyle w:val="42"/>
              <w:widowControl w:val="0"/>
              <w:spacing w:line="240" w:lineRule="auto"/>
              <w:rPr>
                <w:rFonts w:hint="eastAsia" w:ascii="宋体" w:hAnsi="宋体" w:eastAsia="宋体" w:cs="宋体"/>
                <w:color w:val="000000" w:themeColor="text1"/>
                <w:highlight w:val="none"/>
                <w14:textFill>
                  <w14:solidFill>
                    <w14:schemeClr w14:val="tx1"/>
                  </w14:solidFill>
                </w14:textFill>
              </w:rPr>
            </w:pPr>
          </w:p>
        </w:tc>
        <w:tc>
          <w:tcPr>
            <w:tcW w:w="2280" w:type="dxa"/>
            <w:tcBorders>
              <w:tl2br w:val="nil"/>
              <w:tr2bl w:val="nil"/>
            </w:tcBorders>
            <w:noWrap w:val="0"/>
            <w:vAlign w:val="center"/>
          </w:tcPr>
          <w:p>
            <w:pPr>
              <w:pStyle w:val="43"/>
              <w:widowControl w:val="0"/>
              <w:ind w:firstLine="0" w:firstLineChars="0"/>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SS</w:t>
            </w:r>
          </w:p>
        </w:tc>
        <w:tc>
          <w:tcPr>
            <w:tcW w:w="2025" w:type="dxa"/>
            <w:tcBorders>
              <w:tl2br w:val="nil"/>
              <w:tr2bl w:val="nil"/>
            </w:tcBorders>
            <w:noWrap w:val="0"/>
            <w:vAlign w:val="center"/>
          </w:tcPr>
          <w:p>
            <w:pPr>
              <w:pStyle w:val="43"/>
              <w:widowControl w:val="0"/>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400</w:t>
            </w:r>
          </w:p>
        </w:tc>
        <w:tc>
          <w:tcPr>
            <w:tcW w:w="3711" w:type="dxa"/>
            <w:tcBorders>
              <w:tl2br w:val="nil"/>
              <w:tr2bl w:val="nil"/>
            </w:tcBorders>
            <w:noWrap w:val="0"/>
            <w:vAlign w:val="center"/>
          </w:tcPr>
          <w:p>
            <w:pPr>
              <w:pStyle w:val="42"/>
              <w:widowControl w:val="0"/>
              <w:kinsoku w:val="0"/>
              <w:overflowPunct w:val="0"/>
              <w:autoSpaceDE w:val="0"/>
              <w:autoSpaceDN w:val="0"/>
              <w:spacing w:line="240" w:lineRule="auto"/>
              <w:rPr>
                <w:rFonts w:hint="eastAsia" w:ascii="宋体" w:hAnsi="宋体" w:eastAsia="宋体" w:cs="宋体"/>
                <w:color w:val="000000" w:themeColor="text1"/>
                <w:highlight w:val="none"/>
                <w14:textFill>
                  <w14:solidFill>
                    <w14:schemeClr w14:val="tx1"/>
                  </w14:solidFill>
                </w14:textFill>
              </w:rPr>
            </w:pPr>
          </w:p>
        </w:tc>
      </w:tr>
    </w:tbl>
    <w:p>
      <w:pPr>
        <w:pStyle w:val="18"/>
        <w:widowControl w:val="0"/>
        <w:ind w:firstLine="480"/>
        <w:jc w:val="both"/>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w:t>
      </w:r>
      <w:r>
        <w:rPr>
          <w:rFonts w:hint="eastAsia" w:ascii="宋体" w:hAnsi="宋体" w:eastAsia="宋体" w:cs="宋体"/>
          <w:color w:val="000000" w:themeColor="text1"/>
          <w:szCs w:val="24"/>
          <w:highlight w:val="none"/>
          <w14:textFill>
            <w14:solidFill>
              <w14:schemeClr w14:val="tx1"/>
            </w14:solidFill>
          </w14:textFill>
        </w:rPr>
        <w:t>废气</w:t>
      </w:r>
    </w:p>
    <w:p>
      <w:pPr>
        <w:keepNext w:val="0"/>
        <w:keepLines w:val="0"/>
        <w:pageBreakBefore w:val="0"/>
        <w:widowControl/>
        <w:kinsoku/>
        <w:wordWrap/>
        <w:overflowPunct/>
        <w:topLinePunct w:val="0"/>
        <w:bidi w:val="0"/>
        <w:adjustRightInd/>
        <w:snapToGrid/>
        <w:spacing w:line="360" w:lineRule="auto"/>
        <w:ind w:firstLine="480" w:firstLineChars="200"/>
        <w:jc w:val="both"/>
        <w:textAlignment w:val="auto"/>
        <w:rPr>
          <w:rFonts w:hint="eastAsia" w:ascii="宋体" w:hAnsi="宋体" w:eastAsia="宋体" w:cs="宋体"/>
          <w:b w:val="0"/>
          <w:color w:val="000000" w:themeColor="text1"/>
          <w:kern w:val="2"/>
          <w:sz w:val="24"/>
          <w:szCs w:val="24"/>
          <w:lang w:val="en-US" w:eastAsia="zh-CN" w:bidi="ar-SA"/>
          <w14:textFill>
            <w14:solidFill>
              <w14:schemeClr w14:val="tx1"/>
            </w14:solidFill>
          </w14:textFill>
        </w:rPr>
      </w:pPr>
      <w:bookmarkStart w:id="157" w:name="OLE_LINK5"/>
      <w:r>
        <w:rPr>
          <w:rFonts w:hint="eastAsia" w:ascii="宋体" w:hAnsi="宋体" w:eastAsia="宋体" w:cs="宋体"/>
          <w:b w:val="0"/>
          <w:color w:val="000000" w:themeColor="text1"/>
          <w:kern w:val="2"/>
          <w:sz w:val="24"/>
          <w:szCs w:val="24"/>
          <w:lang w:val="en-US" w:eastAsia="zh-CN" w:bidi="ar-SA"/>
          <w14:textFill>
            <w14:solidFill>
              <w14:schemeClr w14:val="tx1"/>
            </w14:solidFill>
          </w14:textFill>
        </w:rPr>
        <w:t>项目</w:t>
      </w:r>
      <w:bookmarkEnd w:id="157"/>
      <w:r>
        <w:rPr>
          <w:rFonts w:hint="eastAsia" w:ascii="宋体" w:hAnsi="宋体" w:eastAsia="宋体" w:cs="宋体"/>
          <w:b w:val="0"/>
          <w:color w:val="000000" w:themeColor="text1"/>
          <w:kern w:val="2"/>
          <w:sz w:val="24"/>
          <w:szCs w:val="24"/>
          <w:lang w:val="en-US" w:eastAsia="zh-CN" w:bidi="ar-SA"/>
          <w14:textFill>
            <w14:solidFill>
              <w14:schemeClr w14:val="tx1"/>
            </w14:solidFill>
          </w14:textFill>
        </w:rPr>
        <w:t>非甲烷总烃、氨排放参照执行《合成树脂工业污染物排放标准》（GB31572-2015）表</w:t>
      </w:r>
      <w:r>
        <w:rPr>
          <w:rFonts w:hint="eastAsia" w:cs="宋体"/>
          <w:b w:val="0"/>
          <w:color w:val="000000" w:themeColor="text1"/>
          <w:kern w:val="2"/>
          <w:sz w:val="24"/>
          <w:szCs w:val="24"/>
          <w:lang w:val="en-US" w:eastAsia="zh-CN" w:bidi="ar-SA"/>
          <w14:textFill>
            <w14:solidFill>
              <w14:schemeClr w14:val="tx1"/>
            </w14:solidFill>
          </w14:textFill>
        </w:rPr>
        <w:t>4</w:t>
      </w:r>
      <w:r>
        <w:rPr>
          <w:rFonts w:hint="eastAsia" w:ascii="宋体" w:hAnsi="宋体" w:eastAsia="宋体" w:cs="宋体"/>
          <w:b w:val="0"/>
          <w:color w:val="000000" w:themeColor="text1"/>
          <w:kern w:val="2"/>
          <w:sz w:val="24"/>
          <w:szCs w:val="24"/>
          <w:lang w:val="en-US" w:eastAsia="zh-CN" w:bidi="ar-SA"/>
          <w14:textFill>
            <w14:solidFill>
              <w14:schemeClr w14:val="tx1"/>
            </w14:solidFill>
          </w14:textFill>
        </w:rPr>
        <w:t>中大气污染物排放限值及表9中相应标准限值。</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0" w:firstLineChars="0"/>
        <w:jc w:val="center"/>
        <w:textAlignment w:val="auto"/>
        <w:rPr>
          <w:rFonts w:hint="eastAsia" w:ascii="宋体" w:hAnsi="宋体" w:eastAsia="宋体" w:cs="宋体"/>
          <w:b/>
          <w:bCs/>
          <w:color w:val="000000" w:themeColor="text1"/>
          <w:sz w:val="24"/>
          <w:szCs w:val="24"/>
          <w:highlight w:val="none"/>
          <w:lang w:eastAsia="zh-CN"/>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表2</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.2</w:t>
      </w:r>
      <w:r>
        <w:rPr>
          <w:rFonts w:hint="eastAsia" w:ascii="宋体" w:hAnsi="宋体" w:eastAsia="宋体" w:cs="宋体"/>
          <w:b/>
          <w:bCs/>
          <w:color w:val="000000" w:themeColor="text1"/>
          <w:sz w:val="24"/>
          <w:szCs w:val="24"/>
          <w:highlight w:val="none"/>
          <w14:textFill>
            <w14:solidFill>
              <w14:schemeClr w14:val="tx1"/>
            </w14:solidFill>
          </w14:textFill>
        </w:rPr>
        <w:t>-</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7</w:t>
      </w:r>
      <w:r>
        <w:rPr>
          <w:rFonts w:hint="eastAsia" w:ascii="宋体" w:hAnsi="宋体" w:eastAsia="宋体" w:cs="宋体"/>
          <w:b/>
          <w:bCs/>
          <w:color w:val="000000" w:themeColor="text1"/>
          <w:sz w:val="24"/>
          <w:szCs w:val="24"/>
          <w:highlight w:val="none"/>
          <w14:textFill>
            <w14:solidFill>
              <w14:schemeClr w14:val="tx1"/>
            </w14:solidFill>
          </w14:textFill>
        </w:rPr>
        <w:t>大气排放标准值表单位：mg/</w:t>
      </w:r>
      <w:r>
        <w:rPr>
          <w:rFonts w:hint="eastAsia" w:ascii="宋体" w:hAnsi="宋体" w:eastAsia="宋体" w:cs="宋体"/>
          <w:b/>
          <w:bCs/>
          <w:color w:val="000000" w:themeColor="text1"/>
          <w:sz w:val="24"/>
          <w:szCs w:val="24"/>
          <w:highlight w:val="none"/>
          <w:lang w:eastAsia="zh-CN"/>
          <w14:textFill>
            <w14:solidFill>
              <w14:schemeClr w14:val="tx1"/>
            </w14:solidFill>
          </w14:textFill>
        </w:rPr>
        <w:t>m³</w:t>
      </w:r>
    </w:p>
    <w:tbl>
      <w:tblPr>
        <w:tblStyle w:val="30"/>
        <w:tblW w:w="4996"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443"/>
        <w:gridCol w:w="1509"/>
        <w:gridCol w:w="1297"/>
        <w:gridCol w:w="2179"/>
        <w:gridCol w:w="1723"/>
        <w:gridCol w:w="158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95" w:hRule="atLeast"/>
          <w:jc w:val="center"/>
        </w:trPr>
        <w:tc>
          <w:tcPr>
            <w:tcW w:w="741" w:type="pct"/>
            <w:tcBorders>
              <w:tl2br w:val="nil"/>
              <w:tr2bl w:val="nil"/>
            </w:tcBorders>
            <w:noWrap w:val="0"/>
            <w:vAlign w:val="center"/>
          </w:tcPr>
          <w:p>
            <w:pPr>
              <w:pStyle w:val="40"/>
              <w:keepNext w:val="0"/>
              <w:keepLines w:val="0"/>
              <w:pageBreakBefore w:val="0"/>
              <w:widowControl/>
              <w:kinsoku/>
              <w:wordWrap/>
              <w:overflowPunct w:val="0"/>
              <w:topLinePunct w:val="0"/>
              <w:autoSpaceDE/>
              <w:autoSpaceDN/>
              <w:bidi w:val="0"/>
              <w:adjustRightInd/>
              <w:snapToGrid/>
              <w:spacing w:before="0" w:after="0"/>
              <w:jc w:val="center"/>
              <w:textAlignment w:val="baseline"/>
              <w:rPr>
                <w:rFonts w:hint="eastAsia" w:ascii="宋体" w:hAnsi="宋体" w:eastAsia="宋体" w:cs="宋体"/>
                <w:b w:val="0"/>
                <w:bCs/>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bidi="ar-SA"/>
                <w14:textFill>
                  <w14:solidFill>
                    <w14:schemeClr w14:val="tx1"/>
                  </w14:solidFill>
                </w14:textFill>
              </w:rPr>
              <w:t>污染物</w:t>
            </w:r>
          </w:p>
        </w:tc>
        <w:tc>
          <w:tcPr>
            <w:tcW w:w="775" w:type="pct"/>
            <w:tcBorders>
              <w:tl2br w:val="nil"/>
              <w:tr2bl w:val="nil"/>
            </w:tcBorders>
            <w:noWrap w:val="0"/>
            <w:vAlign w:val="center"/>
          </w:tcPr>
          <w:p>
            <w:pPr>
              <w:pStyle w:val="40"/>
              <w:keepNext w:val="0"/>
              <w:keepLines w:val="0"/>
              <w:pageBreakBefore w:val="0"/>
              <w:widowControl/>
              <w:kinsoku/>
              <w:wordWrap/>
              <w:overflowPunct w:val="0"/>
              <w:topLinePunct w:val="0"/>
              <w:autoSpaceDE/>
              <w:autoSpaceDN/>
              <w:bidi w:val="0"/>
              <w:adjustRightInd/>
              <w:snapToGrid/>
              <w:spacing w:before="0" w:after="0"/>
              <w:jc w:val="center"/>
              <w:textAlignment w:val="baseline"/>
              <w:rPr>
                <w:rFonts w:hint="eastAsia" w:ascii="宋体" w:hAnsi="宋体" w:eastAsia="宋体" w:cs="宋体"/>
                <w:b w:val="0"/>
                <w:bCs/>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bidi="ar-SA"/>
                <w14:textFill>
                  <w14:solidFill>
                    <w14:schemeClr w14:val="tx1"/>
                  </w14:solidFill>
                </w14:textFill>
              </w:rPr>
              <w:t>最高允许排放浓度（mg/m³）</w:t>
            </w:r>
          </w:p>
        </w:tc>
        <w:tc>
          <w:tcPr>
            <w:tcW w:w="666" w:type="pct"/>
            <w:tcBorders>
              <w:tl2br w:val="nil"/>
              <w:tr2bl w:val="nil"/>
            </w:tcBorders>
            <w:noWrap w:val="0"/>
            <w:vAlign w:val="center"/>
          </w:tcPr>
          <w:p>
            <w:pPr>
              <w:pStyle w:val="40"/>
              <w:keepNext w:val="0"/>
              <w:keepLines w:val="0"/>
              <w:pageBreakBefore w:val="0"/>
              <w:widowControl/>
              <w:kinsoku/>
              <w:wordWrap/>
              <w:overflowPunct w:val="0"/>
              <w:topLinePunct w:val="0"/>
              <w:autoSpaceDE/>
              <w:autoSpaceDN/>
              <w:bidi w:val="0"/>
              <w:adjustRightInd/>
              <w:snapToGrid/>
              <w:spacing w:before="0" w:after="0"/>
              <w:jc w:val="center"/>
              <w:textAlignment w:val="baseline"/>
              <w:rPr>
                <w:rFonts w:hint="eastAsia" w:ascii="宋体" w:hAnsi="宋体" w:eastAsia="宋体" w:cs="宋体"/>
                <w:b w:val="0"/>
                <w:bCs/>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bidi="ar-SA"/>
                <w14:textFill>
                  <w14:solidFill>
                    <w14:schemeClr w14:val="tx1"/>
                  </w14:solidFill>
                </w14:textFill>
              </w:rPr>
              <w:t>排气筒高度（m）</w:t>
            </w:r>
          </w:p>
        </w:tc>
        <w:tc>
          <w:tcPr>
            <w:tcW w:w="1119" w:type="pct"/>
            <w:tcBorders>
              <w:tl2br w:val="nil"/>
              <w:tr2bl w:val="nil"/>
            </w:tcBorders>
            <w:noWrap w:val="0"/>
            <w:vAlign w:val="center"/>
          </w:tcPr>
          <w:p>
            <w:pPr>
              <w:pStyle w:val="40"/>
              <w:keepNext w:val="0"/>
              <w:keepLines w:val="0"/>
              <w:pageBreakBefore w:val="0"/>
              <w:widowControl/>
              <w:kinsoku/>
              <w:wordWrap/>
              <w:overflowPunct w:val="0"/>
              <w:topLinePunct w:val="0"/>
              <w:autoSpaceDE/>
              <w:autoSpaceDN/>
              <w:bidi w:val="0"/>
              <w:adjustRightInd/>
              <w:snapToGrid/>
              <w:spacing w:before="0" w:after="0"/>
              <w:jc w:val="center"/>
              <w:textAlignment w:val="baseline"/>
              <w:rPr>
                <w:rFonts w:hint="eastAsia" w:ascii="宋体" w:hAnsi="宋体" w:eastAsia="宋体" w:cs="宋体"/>
                <w:b w:val="0"/>
                <w:bCs/>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bidi="ar-SA"/>
                <w14:textFill>
                  <w14:solidFill>
                    <w14:schemeClr w14:val="tx1"/>
                  </w14:solidFill>
                </w14:textFill>
              </w:rPr>
              <w:t>无组织排放监控浓度限值（mg/m³）</w:t>
            </w:r>
          </w:p>
        </w:tc>
        <w:tc>
          <w:tcPr>
            <w:tcW w:w="885" w:type="pct"/>
            <w:tcBorders>
              <w:tl2br w:val="nil"/>
              <w:tr2bl w:val="nil"/>
            </w:tcBorders>
            <w:noWrap w:val="0"/>
            <w:vAlign w:val="center"/>
          </w:tcPr>
          <w:p>
            <w:pPr>
              <w:pStyle w:val="40"/>
              <w:keepNext w:val="0"/>
              <w:keepLines w:val="0"/>
              <w:pageBreakBefore w:val="0"/>
              <w:widowControl/>
              <w:kinsoku/>
              <w:wordWrap/>
              <w:overflowPunct w:val="0"/>
              <w:topLinePunct w:val="0"/>
              <w:autoSpaceDE/>
              <w:autoSpaceDN/>
              <w:bidi w:val="0"/>
              <w:adjustRightInd/>
              <w:snapToGrid/>
              <w:spacing w:before="0" w:after="0"/>
              <w:jc w:val="center"/>
              <w:textAlignment w:val="baseline"/>
              <w:rPr>
                <w:rFonts w:hint="eastAsia" w:ascii="宋体" w:hAnsi="宋体" w:eastAsia="宋体" w:cs="宋体"/>
                <w:b w:val="0"/>
                <w:bCs/>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bidi="ar-SA"/>
                <w14:textFill>
                  <w14:solidFill>
                    <w14:schemeClr w14:val="tx1"/>
                  </w14:solidFill>
                </w14:textFill>
              </w:rPr>
              <w:t>废气来源</w:t>
            </w:r>
          </w:p>
        </w:tc>
        <w:tc>
          <w:tcPr>
            <w:tcW w:w="812" w:type="pct"/>
            <w:tcBorders>
              <w:tl2br w:val="nil"/>
              <w:tr2bl w:val="nil"/>
            </w:tcBorders>
            <w:noWrap w:val="0"/>
            <w:vAlign w:val="center"/>
          </w:tcPr>
          <w:p>
            <w:pPr>
              <w:pStyle w:val="40"/>
              <w:keepNext w:val="0"/>
              <w:keepLines w:val="0"/>
              <w:pageBreakBefore w:val="0"/>
              <w:widowControl/>
              <w:kinsoku/>
              <w:wordWrap/>
              <w:overflowPunct w:val="0"/>
              <w:topLinePunct w:val="0"/>
              <w:autoSpaceDE/>
              <w:autoSpaceDN/>
              <w:bidi w:val="0"/>
              <w:adjustRightInd/>
              <w:snapToGrid/>
              <w:spacing w:before="0" w:after="0"/>
              <w:jc w:val="center"/>
              <w:textAlignment w:val="baseline"/>
              <w:rPr>
                <w:rFonts w:hint="eastAsia" w:ascii="宋体" w:hAnsi="宋体" w:eastAsia="宋体" w:cs="宋体"/>
                <w:b w:val="0"/>
                <w:bCs/>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bidi="ar-SA"/>
                <w14:textFill>
                  <w14:solidFill>
                    <w14:schemeClr w14:val="tx1"/>
                  </w14:solidFill>
                </w14:textFill>
              </w:rPr>
              <w:t>标准来源</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53" w:hRule="atLeast"/>
          <w:jc w:val="center"/>
        </w:trPr>
        <w:tc>
          <w:tcPr>
            <w:tcW w:w="741" w:type="pct"/>
            <w:tcBorders>
              <w:tl2br w:val="nil"/>
              <w:tr2bl w:val="nil"/>
            </w:tcBorders>
            <w:noWrap w:val="0"/>
            <w:vAlign w:val="center"/>
          </w:tcPr>
          <w:p>
            <w:pPr>
              <w:pStyle w:val="40"/>
              <w:keepNext w:val="0"/>
              <w:keepLines w:val="0"/>
              <w:pageBreakBefore w:val="0"/>
              <w:widowControl/>
              <w:kinsoku/>
              <w:wordWrap/>
              <w:overflowPunct w:val="0"/>
              <w:topLinePunct w:val="0"/>
              <w:autoSpaceDE/>
              <w:autoSpaceDN/>
              <w:bidi w:val="0"/>
              <w:adjustRightInd/>
              <w:snapToGrid/>
              <w:spacing w:before="0" w:after="0"/>
              <w:jc w:val="center"/>
              <w:textAlignment w:val="baseline"/>
              <w:rPr>
                <w:rFonts w:hint="eastAsia" w:ascii="宋体" w:hAnsi="宋体" w:eastAsia="宋体" w:cs="宋体"/>
                <w:b w:val="0"/>
                <w:bCs/>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bidi="ar-SA"/>
                <w14:textFill>
                  <w14:solidFill>
                    <w14:schemeClr w14:val="tx1"/>
                  </w14:solidFill>
                </w14:textFill>
              </w:rPr>
              <w:t>非甲烷总烃</w:t>
            </w:r>
          </w:p>
        </w:tc>
        <w:tc>
          <w:tcPr>
            <w:tcW w:w="775" w:type="pct"/>
            <w:tcBorders>
              <w:tl2br w:val="nil"/>
              <w:tr2bl w:val="nil"/>
            </w:tcBorders>
            <w:noWrap w:val="0"/>
            <w:vAlign w:val="center"/>
          </w:tcPr>
          <w:p>
            <w:pPr>
              <w:pStyle w:val="40"/>
              <w:keepNext w:val="0"/>
              <w:keepLines w:val="0"/>
              <w:pageBreakBefore w:val="0"/>
              <w:widowControl/>
              <w:kinsoku/>
              <w:wordWrap/>
              <w:overflowPunct w:val="0"/>
              <w:topLinePunct w:val="0"/>
              <w:autoSpaceDE/>
              <w:autoSpaceDN/>
              <w:bidi w:val="0"/>
              <w:adjustRightInd/>
              <w:snapToGrid/>
              <w:spacing w:before="0" w:after="0"/>
              <w:jc w:val="center"/>
              <w:textAlignment w:val="baseline"/>
              <w:rPr>
                <w:rFonts w:hint="default" w:ascii="宋体" w:hAnsi="宋体" w:eastAsia="宋体" w:cs="宋体"/>
                <w:b w:val="0"/>
                <w:bCs/>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bidi="ar-SA"/>
                <w14:textFill>
                  <w14:solidFill>
                    <w14:schemeClr w14:val="tx1"/>
                  </w14:solidFill>
                </w14:textFill>
              </w:rPr>
              <w:t>100</w:t>
            </w:r>
          </w:p>
        </w:tc>
        <w:tc>
          <w:tcPr>
            <w:tcW w:w="666" w:type="pct"/>
            <w:tcBorders>
              <w:tl2br w:val="nil"/>
              <w:tr2bl w:val="nil"/>
            </w:tcBorders>
            <w:noWrap w:val="0"/>
            <w:vAlign w:val="center"/>
          </w:tcPr>
          <w:p>
            <w:pPr>
              <w:pStyle w:val="40"/>
              <w:keepNext w:val="0"/>
              <w:keepLines w:val="0"/>
              <w:pageBreakBefore w:val="0"/>
              <w:widowControl/>
              <w:kinsoku/>
              <w:wordWrap/>
              <w:overflowPunct w:val="0"/>
              <w:topLinePunct w:val="0"/>
              <w:autoSpaceDE/>
              <w:autoSpaceDN/>
              <w:bidi w:val="0"/>
              <w:adjustRightInd/>
              <w:snapToGrid/>
              <w:spacing w:before="0" w:after="0"/>
              <w:jc w:val="center"/>
              <w:textAlignment w:val="baseline"/>
              <w:rPr>
                <w:rFonts w:hint="eastAsia" w:ascii="宋体" w:hAnsi="宋体" w:eastAsia="宋体" w:cs="宋体"/>
                <w:b w:val="0"/>
                <w:bCs/>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bidi="ar-SA"/>
                <w14:textFill>
                  <w14:solidFill>
                    <w14:schemeClr w14:val="tx1"/>
                  </w14:solidFill>
                </w14:textFill>
              </w:rPr>
              <w:t>15</w:t>
            </w:r>
          </w:p>
        </w:tc>
        <w:tc>
          <w:tcPr>
            <w:tcW w:w="1119" w:type="pct"/>
            <w:tcBorders>
              <w:tl2br w:val="nil"/>
              <w:tr2bl w:val="nil"/>
            </w:tcBorders>
            <w:noWrap w:val="0"/>
            <w:vAlign w:val="center"/>
          </w:tcPr>
          <w:p>
            <w:pPr>
              <w:pStyle w:val="40"/>
              <w:keepNext w:val="0"/>
              <w:keepLines w:val="0"/>
              <w:pageBreakBefore w:val="0"/>
              <w:widowControl/>
              <w:kinsoku/>
              <w:wordWrap/>
              <w:overflowPunct w:val="0"/>
              <w:topLinePunct w:val="0"/>
              <w:autoSpaceDE/>
              <w:autoSpaceDN/>
              <w:bidi w:val="0"/>
              <w:adjustRightInd/>
              <w:snapToGrid/>
              <w:spacing w:before="0" w:after="0"/>
              <w:jc w:val="center"/>
              <w:textAlignment w:val="baseline"/>
              <w:rPr>
                <w:rFonts w:hint="eastAsia" w:ascii="宋体" w:hAnsi="宋体" w:eastAsia="宋体" w:cs="宋体"/>
                <w:b w:val="0"/>
                <w:bCs/>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bidi="ar-SA"/>
                <w14:textFill>
                  <w14:solidFill>
                    <w14:schemeClr w14:val="tx1"/>
                  </w14:solidFill>
                </w14:textFill>
              </w:rPr>
              <w:t>4.0</w:t>
            </w:r>
          </w:p>
        </w:tc>
        <w:tc>
          <w:tcPr>
            <w:tcW w:w="885" w:type="pct"/>
            <w:tcBorders>
              <w:tl2br w:val="nil"/>
              <w:tr2bl w:val="nil"/>
            </w:tcBorders>
            <w:noWrap w:val="0"/>
            <w:vAlign w:val="center"/>
          </w:tcPr>
          <w:p>
            <w:pPr>
              <w:pStyle w:val="40"/>
              <w:keepNext w:val="0"/>
              <w:keepLines w:val="0"/>
              <w:pageBreakBefore w:val="0"/>
              <w:widowControl/>
              <w:kinsoku/>
              <w:wordWrap/>
              <w:overflowPunct w:val="0"/>
              <w:topLinePunct w:val="0"/>
              <w:autoSpaceDE/>
              <w:autoSpaceDN/>
              <w:bidi w:val="0"/>
              <w:adjustRightInd/>
              <w:snapToGrid/>
              <w:spacing w:before="0" w:after="0"/>
              <w:jc w:val="center"/>
              <w:textAlignment w:val="baseline"/>
              <w:rPr>
                <w:rFonts w:hint="eastAsia" w:ascii="宋体" w:hAnsi="宋体" w:eastAsia="宋体" w:cs="宋体"/>
                <w:b w:val="0"/>
                <w:bCs/>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bidi="ar-SA"/>
                <w14:textFill>
                  <w14:solidFill>
                    <w14:schemeClr w14:val="tx1"/>
                  </w14:solidFill>
                </w14:textFill>
              </w:rPr>
              <w:t>消泡、流涎、亚胺化工序</w:t>
            </w:r>
          </w:p>
        </w:tc>
        <w:tc>
          <w:tcPr>
            <w:tcW w:w="812" w:type="pct"/>
            <w:vMerge w:val="restart"/>
            <w:tcBorders>
              <w:tl2br w:val="nil"/>
              <w:tr2bl w:val="nil"/>
            </w:tcBorders>
            <w:noWrap w:val="0"/>
            <w:vAlign w:val="center"/>
          </w:tcPr>
          <w:p>
            <w:pPr>
              <w:pStyle w:val="40"/>
              <w:keepNext w:val="0"/>
              <w:keepLines w:val="0"/>
              <w:pageBreakBefore w:val="0"/>
              <w:widowControl/>
              <w:kinsoku/>
              <w:wordWrap/>
              <w:overflowPunct w:val="0"/>
              <w:topLinePunct w:val="0"/>
              <w:autoSpaceDE/>
              <w:autoSpaceDN/>
              <w:bidi w:val="0"/>
              <w:adjustRightInd/>
              <w:snapToGrid/>
              <w:spacing w:before="0" w:after="0"/>
              <w:jc w:val="center"/>
              <w:textAlignment w:val="baseline"/>
              <w:rPr>
                <w:rFonts w:hint="eastAsia" w:ascii="宋体" w:hAnsi="宋体" w:eastAsia="宋体" w:cs="宋体"/>
                <w:b w:val="0"/>
                <w:bCs/>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bidi="ar-SA"/>
                <w14:textFill>
                  <w14:solidFill>
                    <w14:schemeClr w14:val="tx1"/>
                  </w14:solidFill>
                </w14:textFill>
              </w:rPr>
              <w:t>GB31572-2015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53" w:hRule="atLeast"/>
          <w:jc w:val="center"/>
        </w:trPr>
        <w:tc>
          <w:tcPr>
            <w:tcW w:w="741" w:type="pct"/>
            <w:tcBorders>
              <w:tl2br w:val="nil"/>
              <w:tr2bl w:val="nil"/>
            </w:tcBorders>
            <w:noWrap w:val="0"/>
            <w:vAlign w:val="center"/>
          </w:tcPr>
          <w:p>
            <w:pPr>
              <w:pStyle w:val="40"/>
              <w:keepNext w:val="0"/>
              <w:keepLines w:val="0"/>
              <w:pageBreakBefore w:val="0"/>
              <w:widowControl/>
              <w:kinsoku/>
              <w:wordWrap/>
              <w:overflowPunct w:val="0"/>
              <w:topLinePunct w:val="0"/>
              <w:autoSpaceDE/>
              <w:autoSpaceDN/>
              <w:bidi w:val="0"/>
              <w:adjustRightInd/>
              <w:snapToGrid/>
              <w:spacing w:before="0" w:after="0"/>
              <w:jc w:val="center"/>
              <w:textAlignment w:val="baseline"/>
              <w:rPr>
                <w:rFonts w:hint="eastAsia" w:ascii="宋体" w:hAnsi="宋体" w:eastAsia="宋体" w:cs="宋体"/>
                <w:b w:val="0"/>
                <w:bCs/>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bidi="ar-SA"/>
                <w14:textFill>
                  <w14:solidFill>
                    <w14:schemeClr w14:val="tx1"/>
                  </w14:solidFill>
                </w14:textFill>
              </w:rPr>
              <w:t>氨</w:t>
            </w:r>
          </w:p>
        </w:tc>
        <w:tc>
          <w:tcPr>
            <w:tcW w:w="775" w:type="pct"/>
            <w:tcBorders>
              <w:tl2br w:val="nil"/>
              <w:tr2bl w:val="nil"/>
            </w:tcBorders>
            <w:noWrap w:val="0"/>
            <w:vAlign w:val="center"/>
          </w:tcPr>
          <w:p>
            <w:pPr>
              <w:pStyle w:val="40"/>
              <w:keepNext w:val="0"/>
              <w:keepLines w:val="0"/>
              <w:pageBreakBefore w:val="0"/>
              <w:widowControl/>
              <w:kinsoku/>
              <w:wordWrap/>
              <w:overflowPunct w:val="0"/>
              <w:topLinePunct w:val="0"/>
              <w:autoSpaceDE/>
              <w:autoSpaceDN/>
              <w:bidi w:val="0"/>
              <w:adjustRightInd/>
              <w:snapToGrid/>
              <w:spacing w:before="0" w:after="0"/>
              <w:jc w:val="center"/>
              <w:textAlignment w:val="baseline"/>
              <w:rPr>
                <w:rFonts w:hint="eastAsia" w:ascii="宋体" w:hAnsi="宋体" w:eastAsia="宋体" w:cs="宋体"/>
                <w:b w:val="0"/>
                <w:bCs/>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bidi="ar-SA"/>
                <w14:textFill>
                  <w14:solidFill>
                    <w14:schemeClr w14:val="tx1"/>
                  </w14:solidFill>
                </w14:textFill>
              </w:rPr>
              <w:t>20</w:t>
            </w:r>
          </w:p>
        </w:tc>
        <w:tc>
          <w:tcPr>
            <w:tcW w:w="666" w:type="pct"/>
            <w:tcBorders>
              <w:tl2br w:val="nil"/>
              <w:tr2bl w:val="nil"/>
            </w:tcBorders>
            <w:noWrap w:val="0"/>
            <w:vAlign w:val="center"/>
          </w:tcPr>
          <w:p>
            <w:pPr>
              <w:pStyle w:val="40"/>
              <w:keepNext w:val="0"/>
              <w:keepLines w:val="0"/>
              <w:pageBreakBefore w:val="0"/>
              <w:widowControl/>
              <w:kinsoku/>
              <w:wordWrap/>
              <w:overflowPunct w:val="0"/>
              <w:topLinePunct w:val="0"/>
              <w:autoSpaceDE/>
              <w:autoSpaceDN/>
              <w:bidi w:val="0"/>
              <w:adjustRightInd/>
              <w:snapToGrid/>
              <w:spacing w:before="0" w:after="0"/>
              <w:jc w:val="center"/>
              <w:textAlignment w:val="baseline"/>
              <w:rPr>
                <w:rFonts w:hint="eastAsia" w:ascii="宋体" w:hAnsi="宋体" w:eastAsia="宋体" w:cs="宋体"/>
                <w:b w:val="0"/>
                <w:bCs/>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bidi="ar-SA"/>
                <w14:textFill>
                  <w14:solidFill>
                    <w14:schemeClr w14:val="tx1"/>
                  </w14:solidFill>
                </w14:textFill>
              </w:rPr>
              <w:t>15</w:t>
            </w:r>
          </w:p>
        </w:tc>
        <w:tc>
          <w:tcPr>
            <w:tcW w:w="1119" w:type="pct"/>
            <w:tcBorders>
              <w:tl2br w:val="nil"/>
              <w:tr2bl w:val="nil"/>
            </w:tcBorders>
            <w:noWrap w:val="0"/>
            <w:vAlign w:val="center"/>
          </w:tcPr>
          <w:p>
            <w:pPr>
              <w:pStyle w:val="40"/>
              <w:keepNext w:val="0"/>
              <w:keepLines w:val="0"/>
              <w:pageBreakBefore w:val="0"/>
              <w:widowControl/>
              <w:kinsoku/>
              <w:wordWrap/>
              <w:overflowPunct w:val="0"/>
              <w:topLinePunct w:val="0"/>
              <w:autoSpaceDE/>
              <w:autoSpaceDN/>
              <w:bidi w:val="0"/>
              <w:adjustRightInd/>
              <w:snapToGrid/>
              <w:spacing w:before="0" w:after="0"/>
              <w:jc w:val="center"/>
              <w:textAlignment w:val="baseline"/>
              <w:rPr>
                <w:rFonts w:hint="eastAsia" w:ascii="宋体" w:hAnsi="宋体" w:eastAsia="宋体" w:cs="宋体"/>
                <w:b w:val="0"/>
                <w:bCs/>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bidi="ar-SA"/>
                <w14:textFill>
                  <w14:solidFill>
                    <w14:schemeClr w14:val="tx1"/>
                  </w14:solidFill>
                </w14:textFill>
              </w:rPr>
              <w:t>/</w:t>
            </w:r>
          </w:p>
        </w:tc>
        <w:tc>
          <w:tcPr>
            <w:tcW w:w="885" w:type="pct"/>
            <w:tcBorders>
              <w:tl2br w:val="nil"/>
              <w:tr2bl w:val="nil"/>
            </w:tcBorders>
            <w:noWrap w:val="0"/>
            <w:vAlign w:val="center"/>
          </w:tcPr>
          <w:p>
            <w:pPr>
              <w:pStyle w:val="40"/>
              <w:keepNext w:val="0"/>
              <w:keepLines w:val="0"/>
              <w:pageBreakBefore w:val="0"/>
              <w:widowControl/>
              <w:kinsoku/>
              <w:wordWrap/>
              <w:overflowPunct w:val="0"/>
              <w:topLinePunct w:val="0"/>
              <w:autoSpaceDE/>
              <w:autoSpaceDN/>
              <w:bidi w:val="0"/>
              <w:adjustRightInd/>
              <w:snapToGrid/>
              <w:spacing w:before="0" w:after="0"/>
              <w:jc w:val="center"/>
              <w:textAlignment w:val="baseline"/>
              <w:rPr>
                <w:rFonts w:hint="eastAsia" w:ascii="宋体" w:hAnsi="宋体" w:eastAsia="宋体" w:cs="宋体"/>
                <w:b w:val="0"/>
                <w:bCs/>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bidi="ar-SA"/>
                <w14:textFill>
                  <w14:solidFill>
                    <w14:schemeClr w14:val="tx1"/>
                  </w14:solidFill>
                </w14:textFill>
              </w:rPr>
              <w:t>流涎、亚胺化工序</w:t>
            </w:r>
          </w:p>
        </w:tc>
        <w:tc>
          <w:tcPr>
            <w:tcW w:w="812" w:type="pct"/>
            <w:vMerge w:val="continue"/>
            <w:tcBorders>
              <w:tl2br w:val="nil"/>
              <w:tr2bl w:val="nil"/>
            </w:tcBorders>
            <w:noWrap w:val="0"/>
            <w:vAlign w:val="center"/>
          </w:tcPr>
          <w:p>
            <w:pPr>
              <w:pStyle w:val="40"/>
              <w:keepNext w:val="0"/>
              <w:keepLines w:val="0"/>
              <w:pageBreakBefore w:val="0"/>
              <w:widowControl/>
              <w:kinsoku/>
              <w:wordWrap/>
              <w:overflowPunct w:val="0"/>
              <w:topLinePunct w:val="0"/>
              <w:autoSpaceDE/>
              <w:autoSpaceDN/>
              <w:bidi w:val="0"/>
              <w:adjustRightInd/>
              <w:snapToGrid/>
              <w:spacing w:before="0" w:after="0"/>
              <w:jc w:val="center"/>
              <w:textAlignment w:val="baseline"/>
              <w:rPr>
                <w:rFonts w:hint="eastAsia" w:ascii="宋体" w:hAnsi="宋体" w:eastAsia="宋体" w:cs="宋体"/>
                <w:b w:val="0"/>
                <w:bCs/>
                <w:color w:val="000000" w:themeColor="text1"/>
                <w:sz w:val="21"/>
                <w:szCs w:val="21"/>
                <w:highlight w:val="none"/>
                <w:lang w:val="en-US" w:eastAsia="zh-CN" w:bidi="ar-SA"/>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53" w:hRule="atLeast"/>
          <w:jc w:val="center"/>
        </w:trPr>
        <w:tc>
          <w:tcPr>
            <w:tcW w:w="741" w:type="pct"/>
            <w:tcBorders>
              <w:tl2br w:val="nil"/>
              <w:tr2bl w:val="nil"/>
            </w:tcBorders>
            <w:noWrap w:val="0"/>
            <w:vAlign w:val="center"/>
          </w:tcPr>
          <w:p>
            <w:pPr>
              <w:pStyle w:val="40"/>
              <w:keepNext w:val="0"/>
              <w:keepLines w:val="0"/>
              <w:pageBreakBefore w:val="0"/>
              <w:widowControl/>
              <w:kinsoku/>
              <w:wordWrap/>
              <w:overflowPunct w:val="0"/>
              <w:topLinePunct w:val="0"/>
              <w:autoSpaceDE/>
              <w:autoSpaceDN/>
              <w:bidi w:val="0"/>
              <w:adjustRightInd/>
              <w:snapToGrid/>
              <w:spacing w:before="0" w:after="0"/>
              <w:jc w:val="center"/>
              <w:textAlignment w:val="baseline"/>
              <w:rPr>
                <w:rFonts w:hint="eastAsia" w:ascii="宋体" w:hAnsi="宋体" w:eastAsia="宋体" w:cs="宋体"/>
                <w:b w:val="0"/>
                <w:bCs/>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bidi="ar-SA"/>
                <w14:textFill>
                  <w14:solidFill>
                    <w14:schemeClr w14:val="tx1"/>
                  </w14:solidFill>
                </w14:textFill>
              </w:rPr>
              <w:t>单位产品非甲烷总烃排放量</w:t>
            </w:r>
          </w:p>
        </w:tc>
        <w:tc>
          <w:tcPr>
            <w:tcW w:w="775" w:type="pct"/>
            <w:tcBorders>
              <w:tl2br w:val="nil"/>
              <w:tr2bl w:val="nil"/>
            </w:tcBorders>
            <w:noWrap w:val="0"/>
            <w:vAlign w:val="center"/>
          </w:tcPr>
          <w:p>
            <w:pPr>
              <w:pStyle w:val="40"/>
              <w:keepNext w:val="0"/>
              <w:keepLines w:val="0"/>
              <w:pageBreakBefore w:val="0"/>
              <w:widowControl/>
              <w:kinsoku/>
              <w:wordWrap/>
              <w:overflowPunct w:val="0"/>
              <w:topLinePunct w:val="0"/>
              <w:autoSpaceDE/>
              <w:autoSpaceDN/>
              <w:bidi w:val="0"/>
              <w:adjustRightInd/>
              <w:snapToGrid/>
              <w:spacing w:before="0" w:after="0"/>
              <w:jc w:val="center"/>
              <w:textAlignment w:val="baseline"/>
              <w:rPr>
                <w:rFonts w:hint="eastAsia" w:ascii="宋体" w:hAnsi="宋体" w:eastAsia="宋体" w:cs="宋体"/>
                <w:b w:val="0"/>
                <w:bCs/>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bidi="ar-SA"/>
                <w14:textFill>
                  <w14:solidFill>
                    <w14:schemeClr w14:val="tx1"/>
                  </w14:solidFill>
                </w14:textFill>
              </w:rPr>
              <w:t>0.3kg/t产品</w:t>
            </w:r>
          </w:p>
        </w:tc>
        <w:tc>
          <w:tcPr>
            <w:tcW w:w="666" w:type="pct"/>
            <w:tcBorders>
              <w:tl2br w:val="nil"/>
              <w:tr2bl w:val="nil"/>
            </w:tcBorders>
            <w:noWrap w:val="0"/>
            <w:vAlign w:val="center"/>
          </w:tcPr>
          <w:p>
            <w:pPr>
              <w:pStyle w:val="40"/>
              <w:keepNext w:val="0"/>
              <w:keepLines w:val="0"/>
              <w:pageBreakBefore w:val="0"/>
              <w:widowControl/>
              <w:kinsoku/>
              <w:wordWrap/>
              <w:overflowPunct w:val="0"/>
              <w:topLinePunct w:val="0"/>
              <w:autoSpaceDE/>
              <w:autoSpaceDN/>
              <w:bidi w:val="0"/>
              <w:adjustRightInd/>
              <w:snapToGrid/>
              <w:spacing w:before="0" w:after="0"/>
              <w:jc w:val="center"/>
              <w:textAlignment w:val="baseline"/>
              <w:rPr>
                <w:rFonts w:hint="eastAsia" w:ascii="宋体" w:hAnsi="宋体" w:eastAsia="宋体" w:cs="宋体"/>
                <w:b w:val="0"/>
                <w:bCs/>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bidi="ar-SA"/>
                <w14:textFill>
                  <w14:solidFill>
                    <w14:schemeClr w14:val="tx1"/>
                  </w14:solidFill>
                </w14:textFill>
              </w:rPr>
              <w:t>/</w:t>
            </w:r>
          </w:p>
        </w:tc>
        <w:tc>
          <w:tcPr>
            <w:tcW w:w="1119" w:type="pct"/>
            <w:tcBorders>
              <w:tl2br w:val="nil"/>
              <w:tr2bl w:val="nil"/>
            </w:tcBorders>
            <w:noWrap w:val="0"/>
            <w:vAlign w:val="center"/>
          </w:tcPr>
          <w:p>
            <w:pPr>
              <w:pStyle w:val="40"/>
              <w:keepNext w:val="0"/>
              <w:keepLines w:val="0"/>
              <w:pageBreakBefore w:val="0"/>
              <w:widowControl/>
              <w:kinsoku/>
              <w:wordWrap/>
              <w:overflowPunct w:val="0"/>
              <w:topLinePunct w:val="0"/>
              <w:autoSpaceDE/>
              <w:autoSpaceDN/>
              <w:bidi w:val="0"/>
              <w:adjustRightInd/>
              <w:snapToGrid/>
              <w:spacing w:before="0" w:after="0"/>
              <w:jc w:val="center"/>
              <w:textAlignment w:val="baseline"/>
              <w:rPr>
                <w:rFonts w:hint="eastAsia" w:ascii="宋体" w:hAnsi="宋体" w:eastAsia="宋体" w:cs="宋体"/>
                <w:b w:val="0"/>
                <w:bCs/>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bidi="ar-SA"/>
                <w14:textFill>
                  <w14:solidFill>
                    <w14:schemeClr w14:val="tx1"/>
                  </w14:solidFill>
                </w14:textFill>
              </w:rPr>
              <w:t>/</w:t>
            </w:r>
          </w:p>
        </w:tc>
        <w:tc>
          <w:tcPr>
            <w:tcW w:w="885" w:type="pct"/>
            <w:tcBorders>
              <w:tl2br w:val="nil"/>
              <w:tr2bl w:val="nil"/>
            </w:tcBorders>
            <w:noWrap w:val="0"/>
            <w:vAlign w:val="center"/>
          </w:tcPr>
          <w:p>
            <w:pPr>
              <w:pStyle w:val="40"/>
              <w:keepNext w:val="0"/>
              <w:keepLines w:val="0"/>
              <w:pageBreakBefore w:val="0"/>
              <w:widowControl/>
              <w:kinsoku/>
              <w:wordWrap/>
              <w:overflowPunct w:val="0"/>
              <w:topLinePunct w:val="0"/>
              <w:autoSpaceDE/>
              <w:autoSpaceDN/>
              <w:bidi w:val="0"/>
              <w:adjustRightInd/>
              <w:snapToGrid/>
              <w:spacing w:before="0" w:after="0"/>
              <w:jc w:val="center"/>
              <w:textAlignment w:val="baseline"/>
              <w:rPr>
                <w:rFonts w:hint="eastAsia" w:ascii="宋体" w:hAnsi="宋体" w:eastAsia="宋体" w:cs="宋体"/>
                <w:b w:val="0"/>
                <w:bCs/>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bidi="ar-SA"/>
                <w14:textFill>
                  <w14:solidFill>
                    <w14:schemeClr w14:val="tx1"/>
                  </w14:solidFill>
                </w14:textFill>
              </w:rPr>
              <w:t>/</w:t>
            </w:r>
          </w:p>
        </w:tc>
        <w:tc>
          <w:tcPr>
            <w:tcW w:w="812" w:type="pct"/>
            <w:vMerge w:val="continue"/>
            <w:tcBorders>
              <w:tl2br w:val="nil"/>
              <w:tr2bl w:val="nil"/>
            </w:tcBorders>
            <w:noWrap w:val="0"/>
            <w:vAlign w:val="center"/>
          </w:tcPr>
          <w:p>
            <w:pPr>
              <w:pStyle w:val="40"/>
              <w:keepNext w:val="0"/>
              <w:keepLines w:val="0"/>
              <w:pageBreakBefore w:val="0"/>
              <w:widowControl/>
              <w:kinsoku/>
              <w:wordWrap/>
              <w:overflowPunct w:val="0"/>
              <w:topLinePunct w:val="0"/>
              <w:autoSpaceDE/>
              <w:autoSpaceDN/>
              <w:bidi w:val="0"/>
              <w:adjustRightInd/>
              <w:snapToGrid/>
              <w:spacing w:before="0" w:after="0"/>
              <w:jc w:val="center"/>
              <w:textAlignment w:val="baseline"/>
              <w:rPr>
                <w:rFonts w:hint="eastAsia" w:ascii="宋体" w:hAnsi="宋体" w:eastAsia="宋体" w:cs="宋体"/>
                <w:b w:val="0"/>
                <w:bCs/>
                <w:color w:val="000000" w:themeColor="text1"/>
                <w:sz w:val="21"/>
                <w:szCs w:val="21"/>
                <w:highlight w:val="none"/>
                <w:lang w:val="en-US" w:eastAsia="zh-CN" w:bidi="ar-SA"/>
                <w14:textFill>
                  <w14:solidFill>
                    <w14:schemeClr w14:val="tx1"/>
                  </w14:solidFill>
                </w14:textFill>
              </w:rPr>
            </w:pPr>
          </w:p>
        </w:tc>
      </w:tr>
    </w:tbl>
    <w:p>
      <w:pPr>
        <w:widowControl w:val="0"/>
        <w:adjustRightInd w:val="0"/>
        <w:snapToGrid w:val="0"/>
        <w:spacing w:line="360" w:lineRule="auto"/>
        <w:ind w:firstLine="480" w:firstLineChars="200"/>
        <w:jc w:val="both"/>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（3）噪声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施工期噪声执行《建筑施工场界环境噪声排放标准》（GB12523-2011）表1建筑施工场界环境噪声排放限值的相关要求；运营期厂界噪声执行《工业企业厂界环境噪声排放标准》（GB12348-2008）3类。具体标准值见表2.</w:t>
      </w:r>
      <w:r>
        <w:rPr>
          <w:rFonts w:hint="eastAsia" w:ascii="宋体" w:hAnsi="宋体" w:eastAsia="宋体" w:cs="宋体"/>
          <w:color w:val="000000" w:themeColor="text1"/>
          <w:highlight w:val="none"/>
          <w:lang w:val="en-US" w:eastAsia="zh-CN"/>
          <w14:textFill>
            <w14:solidFill>
              <w14:schemeClr w14:val="tx1"/>
            </w14:solidFill>
          </w14:textFill>
        </w:rPr>
        <w:t>2</w:t>
      </w:r>
      <w:r>
        <w:rPr>
          <w:rFonts w:hint="eastAsia" w:ascii="宋体" w:hAnsi="宋体" w:eastAsia="宋体" w:cs="宋体"/>
          <w:color w:val="000000" w:themeColor="text1"/>
          <w:highlight w:val="none"/>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9</w:t>
      </w:r>
      <w:r>
        <w:rPr>
          <w:rFonts w:hint="eastAsia" w:ascii="宋体" w:hAnsi="宋体" w:eastAsia="宋体" w:cs="宋体"/>
          <w:color w:val="000000" w:themeColor="text1"/>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0" w:firstLineChars="0"/>
        <w:jc w:val="center"/>
        <w:textAlignment w:val="auto"/>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表2</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.2</w:t>
      </w:r>
      <w:r>
        <w:rPr>
          <w:rFonts w:hint="eastAsia" w:ascii="宋体" w:hAnsi="宋体" w:eastAsia="宋体" w:cs="宋体"/>
          <w:b/>
          <w:bCs/>
          <w:color w:val="000000" w:themeColor="text1"/>
          <w:sz w:val="24"/>
          <w:szCs w:val="24"/>
          <w:highlight w:val="none"/>
          <w14:textFill>
            <w14:solidFill>
              <w14:schemeClr w14:val="tx1"/>
            </w14:solidFill>
          </w14:textFill>
        </w:rPr>
        <w:t>-</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9</w:t>
      </w:r>
      <w:r>
        <w:rPr>
          <w:rFonts w:hint="eastAsia" w:ascii="宋体" w:hAnsi="宋体" w:eastAsia="宋体" w:cs="宋体"/>
          <w:b/>
          <w:bCs/>
          <w:color w:val="000000" w:themeColor="text1"/>
          <w:sz w:val="24"/>
          <w:szCs w:val="24"/>
          <w:highlight w:val="none"/>
          <w14:textFill>
            <w14:solidFill>
              <w14:schemeClr w14:val="tx1"/>
            </w14:solidFill>
          </w14:textFill>
        </w:rPr>
        <w:t>不同阶段噪声排放标准单位：dB（A）</w:t>
      </w:r>
    </w:p>
    <w:tbl>
      <w:tblPr>
        <w:tblStyle w:val="30"/>
        <w:tblW w:w="4998"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864"/>
        <w:gridCol w:w="729"/>
        <w:gridCol w:w="857"/>
        <w:gridCol w:w="6287"/>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957" w:type="pct"/>
            <w:tcBorders>
              <w:tl2br w:val="nil"/>
              <w:tr2bl w:val="nil"/>
            </w:tcBorders>
            <w:noWrap w:val="0"/>
            <w:vAlign w:val="center"/>
          </w:tcPr>
          <w:p>
            <w:pPr>
              <w:widowControl w:val="0"/>
              <w:spacing w:line="44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工程阶段</w:t>
            </w:r>
          </w:p>
        </w:tc>
        <w:tc>
          <w:tcPr>
            <w:tcW w:w="374" w:type="pct"/>
            <w:tcBorders>
              <w:tl2br w:val="nil"/>
              <w:tr2bl w:val="nil"/>
            </w:tcBorders>
            <w:noWrap w:val="0"/>
            <w:vAlign w:val="center"/>
          </w:tcPr>
          <w:p>
            <w:pPr>
              <w:widowControl w:val="0"/>
              <w:spacing w:line="44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昼间</w:t>
            </w:r>
          </w:p>
        </w:tc>
        <w:tc>
          <w:tcPr>
            <w:tcW w:w="440" w:type="pct"/>
            <w:tcBorders>
              <w:tl2br w:val="nil"/>
              <w:tr2bl w:val="nil"/>
            </w:tcBorders>
            <w:noWrap w:val="0"/>
            <w:vAlign w:val="center"/>
          </w:tcPr>
          <w:p>
            <w:pPr>
              <w:widowControl w:val="0"/>
              <w:spacing w:line="44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夜间</w:t>
            </w:r>
          </w:p>
        </w:tc>
        <w:tc>
          <w:tcPr>
            <w:tcW w:w="3227" w:type="pct"/>
            <w:tcBorders>
              <w:tl2br w:val="nil"/>
              <w:tr2bl w:val="nil"/>
            </w:tcBorders>
            <w:noWrap w:val="0"/>
            <w:vAlign w:val="center"/>
          </w:tcPr>
          <w:p>
            <w:pPr>
              <w:widowControl w:val="0"/>
              <w:spacing w:line="44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标准来源</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957" w:type="pct"/>
            <w:tcBorders>
              <w:tl2br w:val="nil"/>
              <w:tr2bl w:val="nil"/>
            </w:tcBorders>
            <w:noWrap w:val="0"/>
            <w:vAlign w:val="center"/>
          </w:tcPr>
          <w:p>
            <w:pPr>
              <w:widowControl w:val="0"/>
              <w:spacing w:line="44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施工期</w:t>
            </w:r>
          </w:p>
        </w:tc>
        <w:tc>
          <w:tcPr>
            <w:tcW w:w="374" w:type="pct"/>
            <w:tcBorders>
              <w:tl2br w:val="nil"/>
              <w:tr2bl w:val="nil"/>
            </w:tcBorders>
            <w:noWrap w:val="0"/>
            <w:vAlign w:val="center"/>
          </w:tcPr>
          <w:p>
            <w:pPr>
              <w:widowControl w:val="0"/>
              <w:spacing w:line="44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70</w:t>
            </w:r>
          </w:p>
        </w:tc>
        <w:tc>
          <w:tcPr>
            <w:tcW w:w="440" w:type="pct"/>
            <w:tcBorders>
              <w:tl2br w:val="nil"/>
              <w:tr2bl w:val="nil"/>
            </w:tcBorders>
            <w:noWrap w:val="0"/>
            <w:vAlign w:val="center"/>
          </w:tcPr>
          <w:p>
            <w:pPr>
              <w:widowControl w:val="0"/>
              <w:spacing w:line="44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55</w:t>
            </w:r>
          </w:p>
        </w:tc>
        <w:tc>
          <w:tcPr>
            <w:tcW w:w="3227" w:type="pct"/>
            <w:tcBorders>
              <w:tl2br w:val="nil"/>
              <w:tr2bl w:val="nil"/>
            </w:tcBorders>
            <w:noWrap w:val="0"/>
            <w:vAlign w:val="center"/>
          </w:tcPr>
          <w:p>
            <w:pPr>
              <w:spacing w:line="44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《建筑施工场界环境噪声排放标准》（GB12523-2011）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957" w:type="pct"/>
            <w:tcBorders>
              <w:tl2br w:val="nil"/>
              <w:tr2bl w:val="nil"/>
            </w:tcBorders>
            <w:noWrap w:val="0"/>
            <w:vAlign w:val="center"/>
          </w:tcPr>
          <w:p>
            <w:pPr>
              <w:widowControl w:val="0"/>
              <w:spacing w:line="44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运营期厂界</w:t>
            </w:r>
          </w:p>
        </w:tc>
        <w:tc>
          <w:tcPr>
            <w:tcW w:w="374" w:type="pct"/>
            <w:tcBorders>
              <w:tl2br w:val="nil"/>
              <w:tr2bl w:val="nil"/>
            </w:tcBorders>
            <w:noWrap w:val="0"/>
            <w:vAlign w:val="center"/>
          </w:tcPr>
          <w:p>
            <w:pPr>
              <w:widowControl w:val="0"/>
              <w:spacing w:line="44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65</w:t>
            </w:r>
          </w:p>
        </w:tc>
        <w:tc>
          <w:tcPr>
            <w:tcW w:w="440" w:type="pct"/>
            <w:tcBorders>
              <w:tl2br w:val="nil"/>
              <w:tr2bl w:val="nil"/>
            </w:tcBorders>
            <w:noWrap w:val="0"/>
            <w:vAlign w:val="center"/>
          </w:tcPr>
          <w:p>
            <w:pPr>
              <w:widowControl w:val="0"/>
              <w:spacing w:line="44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55</w:t>
            </w:r>
          </w:p>
        </w:tc>
        <w:tc>
          <w:tcPr>
            <w:tcW w:w="3227" w:type="pct"/>
            <w:tcBorders>
              <w:tl2br w:val="nil"/>
              <w:tr2bl w:val="nil"/>
            </w:tcBorders>
            <w:noWrap w:val="0"/>
            <w:vAlign w:val="center"/>
          </w:tcPr>
          <w:p>
            <w:pPr>
              <w:spacing w:line="44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《工业企业厂界环境噪声排放标准》（GB12348-2008）3类标准</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（4）固废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themeColor="text1"/>
          <w:highlight w:val="none"/>
          <w14:textFill>
            <w14:solidFill>
              <w14:schemeClr w14:val="tx1"/>
            </w14:solidFill>
          </w14:textFill>
        </w:rPr>
      </w:pPr>
      <w:bookmarkStart w:id="158" w:name="_Toc838"/>
      <w:bookmarkStart w:id="159" w:name="_Toc21363_WPSOffice_Level2"/>
      <w:bookmarkStart w:id="160" w:name="_Toc4776"/>
      <w:bookmarkStart w:id="161" w:name="_Toc20085"/>
      <w:bookmarkStart w:id="162" w:name="_Toc8078"/>
      <w:bookmarkStart w:id="163" w:name="_Toc20699"/>
      <w:bookmarkStart w:id="164" w:name="_Toc4467_WPSOffice_Level2"/>
      <w:bookmarkStart w:id="165" w:name="_Toc17904"/>
      <w:bookmarkStart w:id="166" w:name="_Toc5260"/>
      <w:bookmarkStart w:id="167" w:name="_Toc11520_WPSOffice_Level2"/>
      <w:bookmarkStart w:id="168" w:name="_Toc252347642"/>
      <w:bookmarkStart w:id="169" w:name="_Toc326604741"/>
      <w:bookmarkStart w:id="170" w:name="_Toc326604206"/>
      <w:bookmarkStart w:id="171" w:name="_Toc326606435"/>
      <w:bookmarkStart w:id="172" w:name="_Toc326605944"/>
      <w:r>
        <w:rPr>
          <w:rFonts w:hint="eastAsia" w:ascii="宋体" w:hAnsi="宋体" w:eastAsia="宋体" w:cs="宋体"/>
          <w:color w:val="000000" w:themeColor="text1"/>
          <w:highlight w:val="none"/>
          <w:lang w:val="en-US" w:eastAsia="zh-CN"/>
          <w14:textFill>
            <w14:solidFill>
              <w14:schemeClr w14:val="tx1"/>
            </w14:solidFill>
          </w14:textFill>
        </w:rPr>
        <w:t>一般</w:t>
      </w:r>
      <w:r>
        <w:rPr>
          <w:rFonts w:hint="eastAsia" w:ascii="宋体" w:hAnsi="宋体" w:eastAsia="宋体" w:cs="宋体"/>
          <w:color w:val="000000" w:themeColor="text1"/>
          <w:highlight w:val="none"/>
          <w14:textFill>
            <w14:solidFill>
              <w14:schemeClr w14:val="tx1"/>
            </w14:solidFill>
          </w14:textFill>
        </w:rPr>
        <w:t>工业固体废物处理处置执行《一般工业固体废物贮存和填埋污染控制标准》</w:t>
      </w:r>
      <w:bookmarkStart w:id="173" w:name="_Hlk507755452"/>
      <w:r>
        <w:rPr>
          <w:rFonts w:hint="eastAsia" w:ascii="宋体" w:hAnsi="宋体" w:eastAsia="宋体" w:cs="宋体"/>
          <w:color w:val="000000" w:themeColor="text1"/>
          <w:highlight w:val="none"/>
          <w14:textFill>
            <w14:solidFill>
              <w14:schemeClr w14:val="tx1"/>
            </w14:solidFill>
          </w14:textFill>
        </w:rPr>
        <w:t>（GB18599-2020）、</w:t>
      </w:r>
      <w:r>
        <w:rPr>
          <w:rFonts w:hint="eastAsia" w:ascii="宋体" w:hAnsi="宋体" w:eastAsia="宋体" w:cs="宋体"/>
          <w:color w:val="000000" w:themeColor="text1"/>
          <w:highlight w:val="none"/>
          <w:lang w:val="en-US" w:eastAsia="zh-CN"/>
          <w14:textFill>
            <w14:solidFill>
              <w14:schemeClr w14:val="tx1"/>
            </w14:solidFill>
          </w14:textFill>
        </w:rPr>
        <w:t>危险废物处置执行</w:t>
      </w:r>
      <w:r>
        <w:rPr>
          <w:rFonts w:hint="eastAsia" w:ascii="宋体" w:hAnsi="宋体" w:eastAsia="宋体" w:cs="宋体"/>
          <w:color w:val="000000" w:themeColor="text1"/>
          <w:highlight w:val="none"/>
          <w14:textFill>
            <w14:solidFill>
              <w14:schemeClr w14:val="tx1"/>
            </w14:solidFill>
          </w14:textFill>
        </w:rPr>
        <w:t>《危险废物贮存污染控制标准》（GB</w:t>
      </w:r>
      <w:r>
        <w:rPr>
          <w:rFonts w:hint="eastAsia" w:ascii="宋体" w:hAnsi="宋体" w:eastAsia="宋体" w:cs="宋体"/>
          <w:color w:val="000000" w:themeColor="text1"/>
          <w:highlight w:val="none"/>
          <w:lang w:eastAsia="zh-CN"/>
          <w14:textFill>
            <w14:solidFill>
              <w14:schemeClr w14:val="tx1"/>
            </w14:solidFill>
          </w14:textFill>
        </w:rPr>
        <w:t>18597-2023</w:t>
      </w:r>
      <w:r>
        <w:rPr>
          <w:rFonts w:hint="eastAsia" w:ascii="宋体" w:hAnsi="宋体" w:eastAsia="宋体" w:cs="宋体"/>
          <w:color w:val="000000" w:themeColor="text1"/>
          <w:highlight w:val="none"/>
          <w14:textFill>
            <w14:solidFill>
              <w14:schemeClr w14:val="tx1"/>
            </w14:solidFill>
          </w14:textFill>
        </w:rPr>
        <w:t>）</w:t>
      </w:r>
      <w:bookmarkEnd w:id="173"/>
      <w:r>
        <w:rPr>
          <w:rFonts w:hint="eastAsia" w:ascii="宋体" w:hAnsi="宋体" w:eastAsia="宋体" w:cs="宋体"/>
          <w:color w:val="000000" w:themeColor="text1"/>
          <w:highlight w:val="none"/>
          <w14:textFill>
            <w14:solidFill>
              <w14:schemeClr w14:val="tx1"/>
            </w14:solidFill>
          </w14:textFill>
        </w:rPr>
        <w:t>。</w:t>
      </w:r>
    </w:p>
    <w:p>
      <w:pPr>
        <w:pStyle w:val="7"/>
        <w:keepNext w:val="0"/>
        <w:keepLines w:val="0"/>
        <w:pageBreakBefore w:val="0"/>
        <w:kinsoku/>
        <w:wordWrap/>
        <w:overflowPunct/>
        <w:topLinePunct w:val="0"/>
        <w:bidi w:val="0"/>
        <w:adjustRightInd/>
        <w:snapToGrid/>
        <w:spacing w:line="360" w:lineRule="auto"/>
        <w:ind w:firstLine="482" w:firstLineChars="20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bookmarkStart w:id="174" w:name="_Toc13164"/>
      <w:bookmarkStart w:id="175" w:name="_Toc2008"/>
      <w:r>
        <w:rPr>
          <w:rFonts w:hint="eastAsia" w:ascii="宋体" w:hAnsi="宋体" w:eastAsia="宋体" w:cs="宋体"/>
          <w:color w:val="000000" w:themeColor="text1"/>
          <w:sz w:val="24"/>
          <w:szCs w:val="24"/>
          <w:highlight w:val="none"/>
          <w:lang w:val="en-US" w:eastAsia="zh-CN"/>
          <w14:textFill>
            <w14:solidFill>
              <w14:schemeClr w14:val="tx1"/>
            </w14:solidFill>
          </w14:textFill>
        </w:rPr>
        <w:t>2.</w:t>
      </w:r>
      <w:r>
        <w:rPr>
          <w:rFonts w:hint="eastAsia" w:ascii="宋体" w:hAnsi="宋体" w:eastAsia="宋体" w:cs="宋体"/>
          <w:color w:val="000000" w:themeColor="text1"/>
          <w:sz w:val="24"/>
          <w:szCs w:val="24"/>
          <w:highlight w:val="none"/>
          <w:lang w:eastAsia="zh-CN"/>
          <w14:textFill>
            <w14:solidFill>
              <w14:schemeClr w14:val="tx1"/>
            </w14:solidFill>
          </w14:textFill>
        </w:rPr>
        <w:t>3评价工作等级与评价范围</w:t>
      </w:r>
      <w:bookmarkEnd w:id="158"/>
      <w:bookmarkEnd w:id="159"/>
      <w:bookmarkEnd w:id="160"/>
      <w:bookmarkEnd w:id="161"/>
      <w:bookmarkEnd w:id="162"/>
      <w:bookmarkEnd w:id="163"/>
      <w:bookmarkEnd w:id="164"/>
      <w:bookmarkEnd w:id="165"/>
      <w:bookmarkEnd w:id="166"/>
      <w:bookmarkEnd w:id="167"/>
      <w:bookmarkEnd w:id="174"/>
      <w:bookmarkEnd w:id="175"/>
    </w:p>
    <w:p>
      <w:pPr>
        <w:pStyle w:val="8"/>
        <w:keepNext w:val="0"/>
        <w:keepLines w:val="0"/>
        <w:pageBreakBefore w:val="0"/>
        <w:kinsoku/>
        <w:wordWrap/>
        <w:overflowPunct/>
        <w:topLinePunct w:val="0"/>
        <w:bidi w:val="0"/>
        <w:adjustRightInd/>
        <w:snapToGrid/>
        <w:spacing w:line="360" w:lineRule="auto"/>
        <w:ind w:firstLine="482" w:firstLineChars="200"/>
        <w:textAlignment w:val="auto"/>
        <w:rPr>
          <w:rFonts w:hint="eastAsia" w:ascii="宋体" w:hAnsi="宋体" w:eastAsia="宋体" w:cs="宋体"/>
          <w:bCs/>
          <w:color w:val="000000" w:themeColor="text1"/>
          <w:sz w:val="24"/>
          <w:szCs w:val="24"/>
          <w:highlight w:val="none"/>
          <w:lang w:eastAsia="zh-CN"/>
          <w14:textFill>
            <w14:solidFill>
              <w14:schemeClr w14:val="tx1"/>
            </w14:solidFill>
          </w14:textFill>
        </w:rPr>
      </w:pPr>
      <w:bookmarkStart w:id="176" w:name="_Toc27267"/>
      <w:bookmarkStart w:id="177" w:name="_Toc7295"/>
      <w:bookmarkStart w:id="178" w:name="_Toc12884"/>
      <w:bookmarkStart w:id="179" w:name="_Toc27239"/>
      <w:bookmarkStart w:id="180" w:name="_Toc6287"/>
      <w:bookmarkStart w:id="181" w:name="_Toc32377"/>
      <w:bookmarkStart w:id="182" w:name="_Toc10539"/>
      <w:bookmarkStart w:id="183" w:name="_Toc327774582"/>
      <w:bookmarkStart w:id="184" w:name="_Toc326605933"/>
      <w:bookmarkStart w:id="185" w:name="_Toc326841836"/>
      <w:bookmarkStart w:id="186" w:name="_Toc329596321"/>
      <w:bookmarkStart w:id="187" w:name="_Toc326604730"/>
      <w:bookmarkStart w:id="188" w:name="_Toc326604195"/>
      <w:bookmarkStart w:id="189" w:name="_Toc326605948"/>
      <w:bookmarkStart w:id="190" w:name="_Toc327774596"/>
      <w:bookmarkStart w:id="191" w:name="_Toc326604210"/>
      <w:bookmarkStart w:id="192" w:name="_Toc329596335"/>
      <w:bookmarkStart w:id="193" w:name="_Toc326604745"/>
      <w:bookmarkStart w:id="194" w:name="_Toc326841851"/>
      <w:r>
        <w:rPr>
          <w:rFonts w:hint="eastAsia" w:ascii="宋体" w:hAnsi="宋体" w:eastAsia="宋体" w:cs="宋体"/>
          <w:bCs/>
          <w:color w:val="000000" w:themeColor="text1"/>
          <w:sz w:val="24"/>
          <w:szCs w:val="24"/>
          <w:highlight w:val="none"/>
          <w:lang w:val="en-US" w:eastAsia="zh-CN"/>
          <w14:textFill>
            <w14:solidFill>
              <w14:schemeClr w14:val="tx1"/>
            </w14:solidFill>
          </w14:textFill>
        </w:rPr>
        <w:t>2.</w:t>
      </w:r>
      <w:r>
        <w:rPr>
          <w:rFonts w:hint="eastAsia" w:ascii="宋体" w:hAnsi="宋体" w:eastAsia="宋体" w:cs="宋体"/>
          <w:bCs/>
          <w:color w:val="000000" w:themeColor="text1"/>
          <w:sz w:val="24"/>
          <w:szCs w:val="24"/>
          <w:highlight w:val="none"/>
          <w:lang w:eastAsia="zh-CN"/>
          <w14:textFill>
            <w14:solidFill>
              <w14:schemeClr w14:val="tx1"/>
            </w14:solidFill>
          </w14:textFill>
        </w:rPr>
        <w:t>3.1评价等级</w:t>
      </w:r>
      <w:bookmarkEnd w:id="176"/>
      <w:bookmarkEnd w:id="177"/>
      <w:bookmarkEnd w:id="178"/>
      <w:bookmarkEnd w:id="179"/>
      <w:bookmarkEnd w:id="180"/>
      <w:bookmarkEnd w:id="181"/>
      <w:bookmarkEnd w:id="182"/>
    </w:p>
    <w:bookmarkEnd w:id="183"/>
    <w:bookmarkEnd w:id="184"/>
    <w:bookmarkEnd w:id="185"/>
    <w:bookmarkEnd w:id="186"/>
    <w:bookmarkEnd w:id="187"/>
    <w:bookmarkEnd w:id="188"/>
    <w:p>
      <w:pPr>
        <w:pStyle w:val="34"/>
        <w:keepNext w:val="0"/>
        <w:keepLines w:val="0"/>
        <w:pageBreakBefore w:val="0"/>
        <w:kinsoku/>
        <w:wordWrap/>
        <w:overflowPunct/>
        <w:topLinePunct w:val="0"/>
        <w:bidi w:val="0"/>
        <w:adjustRightInd/>
        <w:snapToGrid/>
        <w:spacing w:line="360" w:lineRule="auto"/>
        <w:ind w:firstLine="480" w:firstLineChars="200"/>
        <w:textAlignment w:val="auto"/>
        <w:rPr>
          <w:rFonts w:hint="eastAsia" w:ascii="宋体" w:hAnsi="宋体" w:eastAsia="宋体" w:cs="宋体"/>
          <w:snapToGrid w:val="0"/>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sz w:val="24"/>
          <w:szCs w:val="24"/>
          <w:highlight w:val="none"/>
          <w14:textFill>
            <w14:solidFill>
              <w14:schemeClr w14:val="tx1"/>
            </w14:solidFill>
          </w14:textFill>
        </w:rPr>
        <w:t>（1）</w:t>
      </w:r>
      <w:r>
        <w:rPr>
          <w:rFonts w:hint="eastAsia" w:ascii="宋体" w:hAnsi="宋体" w:eastAsia="宋体" w:cs="宋体"/>
          <w:snapToGrid w:val="0"/>
          <w:color w:val="000000" w:themeColor="text1"/>
          <w:sz w:val="24"/>
          <w:szCs w:val="24"/>
          <w:highlight w:val="none"/>
          <w:lang w:val="en-US" w:eastAsia="zh-CN"/>
          <w14:textFill>
            <w14:solidFill>
              <w14:schemeClr w14:val="tx1"/>
            </w14:solidFill>
          </w14:textFill>
        </w:rPr>
        <w:t>大气</w:t>
      </w:r>
      <w:r>
        <w:rPr>
          <w:rFonts w:hint="eastAsia" w:ascii="宋体" w:hAnsi="宋体" w:eastAsia="宋体" w:cs="宋体"/>
          <w:snapToGrid w:val="0"/>
          <w:color w:val="000000" w:themeColor="text1"/>
          <w:sz w:val="24"/>
          <w:szCs w:val="24"/>
          <w:highlight w:val="none"/>
          <w14:textFill>
            <w14:solidFill>
              <w14:schemeClr w14:val="tx1"/>
            </w14:solidFill>
          </w14:textFill>
        </w:rPr>
        <w:t>评价等级</w:t>
      </w:r>
    </w:p>
    <w:p>
      <w:pPr>
        <w:pStyle w:val="34"/>
        <w:keepNext w:val="0"/>
        <w:keepLines w:val="0"/>
        <w:pageBreakBefore w:val="0"/>
        <w:kinsoku/>
        <w:wordWrap/>
        <w:overflowPunct/>
        <w:topLinePunct w:val="0"/>
        <w:bidi w:val="0"/>
        <w:adjustRightInd/>
        <w:snapToGrid/>
        <w:spacing w:line="360" w:lineRule="auto"/>
        <w:ind w:firstLine="480" w:firstLineChars="200"/>
        <w:textAlignment w:val="auto"/>
        <w:rPr>
          <w:rFonts w:hint="eastAsia" w:ascii="宋体" w:hAnsi="宋体" w:eastAsia="宋体" w:cs="宋体"/>
          <w:snapToGrid w:val="0"/>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sz w:val="24"/>
          <w:szCs w:val="24"/>
          <w:highlight w:val="none"/>
          <w14:textFill>
            <w14:solidFill>
              <w14:schemeClr w14:val="tx1"/>
            </w14:solidFill>
          </w14:textFill>
        </w:rPr>
        <w:t>本工程主要大气污染物有：</w:t>
      </w:r>
      <w:r>
        <w:rPr>
          <w:rFonts w:hint="eastAsia" w:ascii="宋体" w:hAnsi="宋体" w:eastAsia="宋体" w:cs="宋体"/>
          <w:color w:val="000000" w:themeColor="text1"/>
          <w:sz w:val="24"/>
          <w:szCs w:val="24"/>
          <w:highlight w:val="none"/>
          <w14:textFill>
            <w14:solidFill>
              <w14:schemeClr w14:val="tx1"/>
            </w14:solidFill>
          </w14:textFill>
        </w:rPr>
        <w:t>非甲烷总烃。</w:t>
      </w:r>
      <w:r>
        <w:rPr>
          <w:rFonts w:hint="eastAsia" w:ascii="宋体" w:hAnsi="宋体" w:eastAsia="宋体" w:cs="宋体"/>
          <w:snapToGrid w:val="0"/>
          <w:color w:val="000000" w:themeColor="text1"/>
          <w:sz w:val="24"/>
          <w:szCs w:val="24"/>
          <w:highlight w:val="none"/>
          <w14:textFill>
            <w14:solidFill>
              <w14:schemeClr w14:val="tx1"/>
            </w14:solidFill>
          </w14:textFill>
        </w:rPr>
        <w:t>按照HJ2.2-2018《环境影响评价技术导则-大气环境》规定，分别计算每一种污染物的最大地面浓度占标率Pi（第i个污染物），及第i个污染物的地面浓度达标准限值10%时所对应的最远距离D</w:t>
      </w:r>
      <w:r>
        <w:rPr>
          <w:rFonts w:hint="eastAsia" w:ascii="宋体" w:hAnsi="宋体" w:eastAsia="宋体" w:cs="宋体"/>
          <w:snapToGrid w:val="0"/>
          <w:color w:val="000000" w:themeColor="text1"/>
          <w:sz w:val="24"/>
          <w:szCs w:val="24"/>
          <w:highlight w:val="none"/>
          <w:vertAlign w:val="subscript"/>
          <w14:textFill>
            <w14:solidFill>
              <w14:schemeClr w14:val="tx1"/>
            </w14:solidFill>
          </w14:textFill>
        </w:rPr>
        <w:t>10%</w:t>
      </w:r>
      <w:r>
        <w:rPr>
          <w:rFonts w:hint="eastAsia" w:ascii="宋体" w:hAnsi="宋体" w:eastAsia="宋体" w:cs="宋体"/>
          <w:snapToGrid w:val="0"/>
          <w:color w:val="000000" w:themeColor="text1"/>
          <w:sz w:val="24"/>
          <w:szCs w:val="24"/>
          <w:highlight w:val="none"/>
          <w14:textFill>
            <w14:solidFill>
              <w14:schemeClr w14:val="tx1"/>
            </w14:solidFill>
          </w14:textFill>
        </w:rPr>
        <w:t>，其中Pi定义为：</w:t>
      </w:r>
    </w:p>
    <w:p>
      <w:pPr>
        <w:keepNext w:val="0"/>
        <w:keepLines w:val="0"/>
        <w:pageBreakBefore w:val="0"/>
        <w:kinsoku/>
        <w:wordWrap/>
        <w:overflowPunct/>
        <w:topLinePunct w:val="0"/>
        <w:bidi w:val="0"/>
        <w:adjustRightInd/>
        <w:snapToGrid/>
        <w:spacing w:line="360" w:lineRule="auto"/>
        <w:ind w:firstLine="480" w:firstLineChars="20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position w:val="-12"/>
          <w:sz w:val="24"/>
          <w:szCs w:val="24"/>
          <w:highlight w:val="none"/>
          <w14:textFill>
            <w14:solidFill>
              <w14:schemeClr w14:val="tx1"/>
            </w14:solidFill>
          </w14:textFill>
        </w:rPr>
        <w:drawing>
          <wp:inline distT="0" distB="0" distL="114300" distR="114300">
            <wp:extent cx="1344295" cy="227965"/>
            <wp:effectExtent l="0" t="0" r="825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1344295" cy="227965"/>
                    </a:xfrm>
                    <a:prstGeom prst="rect">
                      <a:avLst/>
                    </a:prstGeom>
                    <a:noFill/>
                    <a:ln>
                      <a:noFill/>
                    </a:ln>
                  </pic:spPr>
                </pic:pic>
              </a:graphicData>
            </a:graphic>
          </wp:inline>
        </w:drawing>
      </w:r>
    </w:p>
    <w:p>
      <w:pPr>
        <w:keepNext w:val="0"/>
        <w:keepLines w:val="0"/>
        <w:pageBreakBefore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式中：</w:t>
      </w:r>
      <w:r>
        <w:rPr>
          <w:rFonts w:hint="eastAsia" w:ascii="宋体" w:hAnsi="宋体" w:eastAsia="宋体" w:cs="宋体"/>
          <w:i/>
          <w:iCs/>
          <w:color w:val="000000" w:themeColor="text1"/>
          <w:sz w:val="24"/>
          <w:szCs w:val="24"/>
          <w:highlight w:val="none"/>
          <w14:textFill>
            <w14:solidFill>
              <w14:schemeClr w14:val="tx1"/>
            </w14:solidFill>
          </w14:textFill>
        </w:rPr>
        <w:t>P</w:t>
      </w:r>
      <w:r>
        <w:rPr>
          <w:rFonts w:hint="eastAsia" w:ascii="宋体" w:hAnsi="宋体" w:eastAsia="宋体" w:cs="宋体"/>
          <w:i/>
          <w:iCs/>
          <w:color w:val="000000" w:themeColor="text1"/>
          <w:sz w:val="24"/>
          <w:szCs w:val="24"/>
          <w:highlight w:val="none"/>
          <w:vertAlign w:val="subscript"/>
          <w14:textFill>
            <w14:solidFill>
              <w14:schemeClr w14:val="tx1"/>
            </w14:solidFill>
          </w14:textFill>
        </w:rPr>
        <w:t>i</w:t>
      </w:r>
      <w:r>
        <w:rPr>
          <w:rFonts w:hint="eastAsia" w:ascii="宋体" w:hAnsi="宋体" w:eastAsia="宋体" w:cs="宋体"/>
          <w:color w:val="000000" w:themeColor="text1"/>
          <w:sz w:val="24"/>
          <w:szCs w:val="24"/>
          <w:highlight w:val="none"/>
          <w14:textFill>
            <w14:solidFill>
              <w14:schemeClr w14:val="tx1"/>
            </w14:solidFill>
          </w14:textFill>
        </w:rPr>
        <w:t>——第i个污染物的最大地面浓度占标率，%；</w:t>
      </w:r>
    </w:p>
    <w:p>
      <w:pPr>
        <w:keepNext w:val="0"/>
        <w:keepLines w:val="0"/>
        <w:pageBreakBefore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bookmarkStart w:id="195" w:name="_Toc297036065"/>
      <w:r>
        <w:rPr>
          <w:rFonts w:hint="eastAsia" w:ascii="宋体" w:hAnsi="宋体" w:eastAsia="宋体" w:cs="宋体"/>
          <w:i/>
          <w:iCs/>
          <w:color w:val="000000" w:themeColor="text1"/>
          <w:sz w:val="24"/>
          <w:szCs w:val="24"/>
          <w:highlight w:val="none"/>
          <w14:textFill>
            <w14:solidFill>
              <w14:schemeClr w14:val="tx1"/>
            </w14:solidFill>
          </w14:textFill>
        </w:rPr>
        <w:t>C</w:t>
      </w:r>
      <w:r>
        <w:rPr>
          <w:rFonts w:hint="eastAsia" w:ascii="宋体" w:hAnsi="宋体" w:eastAsia="宋体" w:cs="宋体"/>
          <w:i/>
          <w:iCs/>
          <w:color w:val="000000" w:themeColor="text1"/>
          <w:sz w:val="24"/>
          <w:szCs w:val="24"/>
          <w:highlight w:val="none"/>
          <w:vertAlign w:val="subscript"/>
          <w14:textFill>
            <w14:solidFill>
              <w14:schemeClr w14:val="tx1"/>
            </w14:solidFill>
          </w14:textFill>
        </w:rPr>
        <w:t>i</w:t>
      </w:r>
      <w:r>
        <w:rPr>
          <w:rFonts w:hint="eastAsia" w:ascii="宋体" w:hAnsi="宋体" w:eastAsia="宋体" w:cs="宋体"/>
          <w:color w:val="000000" w:themeColor="text1"/>
          <w:sz w:val="24"/>
          <w:szCs w:val="24"/>
          <w:highlight w:val="none"/>
          <w14:textFill>
            <w14:solidFill>
              <w14:schemeClr w14:val="tx1"/>
            </w14:solidFill>
          </w14:textFill>
        </w:rPr>
        <w:t>——采用估算模式计算出的第i个污染物的最大地面浓度，mg/</w:t>
      </w:r>
      <w:r>
        <w:rPr>
          <w:rFonts w:hint="eastAsia" w:ascii="宋体" w:hAnsi="宋体" w:eastAsia="宋体" w:cs="宋体"/>
          <w:color w:val="000000" w:themeColor="text1"/>
          <w:sz w:val="24"/>
          <w:szCs w:val="24"/>
          <w:highlight w:val="none"/>
          <w:lang w:eastAsia="zh-CN"/>
          <w14:textFill>
            <w14:solidFill>
              <w14:schemeClr w14:val="tx1"/>
            </w14:solidFill>
          </w14:textFill>
        </w:rPr>
        <w:t>m³</w:t>
      </w:r>
      <w:r>
        <w:rPr>
          <w:rFonts w:hint="eastAsia" w:ascii="宋体" w:hAnsi="宋体" w:eastAsia="宋体" w:cs="宋体"/>
          <w:color w:val="000000" w:themeColor="text1"/>
          <w:sz w:val="24"/>
          <w:szCs w:val="24"/>
          <w:highlight w:val="none"/>
          <w14:textFill>
            <w14:solidFill>
              <w14:schemeClr w14:val="tx1"/>
            </w14:solidFill>
          </w14:textFill>
        </w:rPr>
        <w:t>；</w:t>
      </w:r>
      <w:bookmarkEnd w:id="195"/>
    </w:p>
    <w:p>
      <w:pPr>
        <w:keepNext w:val="0"/>
        <w:keepLines w:val="0"/>
        <w:pageBreakBefore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iCs/>
          <w:color w:val="000000" w:themeColor="text1"/>
          <w:sz w:val="24"/>
          <w:szCs w:val="24"/>
          <w:highlight w:val="none"/>
          <w14:textFill>
            <w14:solidFill>
              <w14:schemeClr w14:val="tx1"/>
            </w14:solidFill>
          </w14:textFill>
        </w:rPr>
        <w:t>C</w:t>
      </w:r>
      <w:r>
        <w:rPr>
          <w:rFonts w:hint="eastAsia" w:ascii="宋体" w:hAnsi="宋体" w:eastAsia="宋体" w:cs="宋体"/>
          <w:i/>
          <w:iCs/>
          <w:color w:val="000000" w:themeColor="text1"/>
          <w:sz w:val="24"/>
          <w:szCs w:val="24"/>
          <w:highlight w:val="none"/>
          <w:vertAlign w:val="subscript"/>
          <w14:textFill>
            <w14:solidFill>
              <w14:schemeClr w14:val="tx1"/>
            </w14:solidFill>
          </w14:textFill>
        </w:rPr>
        <w:t>0i</w:t>
      </w:r>
      <w:r>
        <w:rPr>
          <w:rFonts w:hint="eastAsia" w:ascii="宋体" w:hAnsi="宋体" w:eastAsia="宋体" w:cs="宋体"/>
          <w:color w:val="000000" w:themeColor="text1"/>
          <w:sz w:val="24"/>
          <w:szCs w:val="24"/>
          <w:highlight w:val="none"/>
          <w14:textFill>
            <w14:solidFill>
              <w14:schemeClr w14:val="tx1"/>
            </w14:solidFill>
          </w14:textFill>
        </w:rPr>
        <w:t>——第i个污染物的环境空气质量标准，mg/</w:t>
      </w:r>
      <w:r>
        <w:rPr>
          <w:rFonts w:hint="eastAsia" w:ascii="宋体" w:hAnsi="宋体" w:eastAsia="宋体" w:cs="宋体"/>
          <w:color w:val="000000" w:themeColor="text1"/>
          <w:sz w:val="24"/>
          <w:szCs w:val="24"/>
          <w:highlight w:val="none"/>
          <w:lang w:eastAsia="zh-CN"/>
          <w14:textFill>
            <w14:solidFill>
              <w14:schemeClr w14:val="tx1"/>
            </w14:solidFill>
          </w14:textFill>
        </w:rPr>
        <w:t>m³</w:t>
      </w:r>
      <w:r>
        <w:rPr>
          <w:rFonts w:hint="eastAsia" w:ascii="宋体" w:hAnsi="宋体" w:eastAsia="宋体" w:cs="宋体"/>
          <w:color w:val="000000" w:themeColor="text1"/>
          <w:sz w:val="24"/>
          <w:szCs w:val="24"/>
          <w:highlight w:val="none"/>
          <w14:textFill>
            <w14:solidFill>
              <w14:schemeClr w14:val="tx1"/>
            </w14:solidFill>
          </w14:textFill>
        </w:rPr>
        <w:t>；</w:t>
      </w:r>
    </w:p>
    <w:p>
      <w:pPr>
        <w:keepNext w:val="0"/>
        <w:keepLines w:val="0"/>
        <w:pageBreakBefore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iCs/>
          <w:color w:val="000000" w:themeColor="text1"/>
          <w:sz w:val="24"/>
          <w:szCs w:val="24"/>
          <w:highlight w:val="none"/>
          <w14:textFill>
            <w14:solidFill>
              <w14:schemeClr w14:val="tx1"/>
            </w14:solidFill>
          </w14:textFill>
        </w:rPr>
        <w:t>C</w:t>
      </w:r>
      <w:r>
        <w:rPr>
          <w:rFonts w:hint="eastAsia" w:ascii="宋体" w:hAnsi="宋体" w:eastAsia="宋体" w:cs="宋体"/>
          <w:i/>
          <w:iCs/>
          <w:color w:val="000000" w:themeColor="text1"/>
          <w:sz w:val="24"/>
          <w:szCs w:val="24"/>
          <w:highlight w:val="none"/>
          <w:vertAlign w:val="subscript"/>
          <w14:textFill>
            <w14:solidFill>
              <w14:schemeClr w14:val="tx1"/>
            </w14:solidFill>
          </w14:textFill>
        </w:rPr>
        <w:t>0i</w:t>
      </w:r>
      <w:r>
        <w:rPr>
          <w:rFonts w:hint="eastAsia" w:ascii="宋体" w:hAnsi="宋体" w:eastAsia="宋体" w:cs="宋体"/>
          <w:color w:val="000000" w:themeColor="text1"/>
          <w:sz w:val="24"/>
          <w:szCs w:val="24"/>
          <w:highlight w:val="none"/>
          <w14:textFill>
            <w14:solidFill>
              <w14:schemeClr w14:val="tx1"/>
            </w14:solidFill>
          </w14:textFill>
        </w:rPr>
        <w:t>一般选用GB3095中1小时平均取样时间的二级标准的浓度限值。</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0" w:firstLineChars="0"/>
        <w:jc w:val="center"/>
        <w:textAlignment w:val="auto"/>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表</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2.3.1</w:t>
      </w:r>
      <w:r>
        <w:rPr>
          <w:rFonts w:hint="eastAsia" w:ascii="宋体" w:hAnsi="宋体" w:eastAsia="宋体" w:cs="宋体"/>
          <w:b/>
          <w:bCs/>
          <w:color w:val="000000" w:themeColor="text1"/>
          <w:sz w:val="24"/>
          <w:szCs w:val="24"/>
          <w:highlight w:val="none"/>
          <w14:textFill>
            <w14:solidFill>
              <w14:schemeClr w14:val="tx1"/>
            </w14:solidFill>
          </w14:textFill>
        </w:rPr>
        <w:t>-</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1</w:t>
      </w:r>
      <w:r>
        <w:rPr>
          <w:rFonts w:hint="eastAsia" w:ascii="宋体" w:hAnsi="宋体" w:eastAsia="宋体" w:cs="宋体"/>
          <w:b/>
          <w:bCs/>
          <w:color w:val="000000" w:themeColor="text1"/>
          <w:sz w:val="24"/>
          <w:szCs w:val="24"/>
          <w:highlight w:val="none"/>
          <w14:textFill>
            <w14:solidFill>
              <w14:schemeClr w14:val="tx1"/>
            </w14:solidFill>
          </w14:textFill>
        </w:rPr>
        <w:t>评价工作等级</w:t>
      </w:r>
    </w:p>
    <w:tbl>
      <w:tblPr>
        <w:tblStyle w:val="30"/>
        <w:tblW w:w="4999"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3292"/>
        <w:gridCol w:w="6447"/>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690" w:type="pct"/>
            <w:tcBorders>
              <w:tl2br w:val="nil"/>
              <w:tr2bl w:val="nil"/>
            </w:tcBorders>
            <w:noWrap w:val="0"/>
            <w:vAlign w:val="top"/>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评价工作等级</w:t>
            </w:r>
          </w:p>
        </w:tc>
        <w:tc>
          <w:tcPr>
            <w:tcW w:w="3309" w:type="pct"/>
            <w:tcBorders>
              <w:tl2br w:val="nil"/>
              <w:tr2bl w:val="nil"/>
            </w:tcBorders>
            <w:noWrap w:val="0"/>
            <w:vAlign w:val="top"/>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评价工作等级判据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690" w:type="pct"/>
            <w:tcBorders>
              <w:tl2br w:val="nil"/>
              <w:tr2bl w:val="nil"/>
            </w:tcBorders>
            <w:noWrap w:val="0"/>
            <w:vAlign w:val="top"/>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一级</w:t>
            </w:r>
          </w:p>
        </w:tc>
        <w:tc>
          <w:tcPr>
            <w:tcW w:w="3309" w:type="pct"/>
            <w:tcBorders>
              <w:tl2br w:val="nil"/>
              <w:tr2bl w:val="nil"/>
            </w:tcBorders>
            <w:noWrap w:val="0"/>
            <w:vAlign w:val="top"/>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Pmax≥10%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1690" w:type="pct"/>
            <w:tcBorders>
              <w:tl2br w:val="nil"/>
              <w:tr2bl w:val="nil"/>
            </w:tcBorders>
            <w:noWrap w:val="0"/>
            <w:vAlign w:val="top"/>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二级</w:t>
            </w:r>
          </w:p>
        </w:tc>
        <w:tc>
          <w:tcPr>
            <w:tcW w:w="3309" w:type="pct"/>
            <w:tcBorders>
              <w:tl2br w:val="nil"/>
              <w:tr2bl w:val="nil"/>
            </w:tcBorders>
            <w:noWrap w:val="0"/>
            <w:vAlign w:val="top"/>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1%≤Pmax</w:t>
            </w:r>
            <w:r>
              <w:rPr>
                <w:rFonts w:hint="eastAsia" w:ascii="宋体" w:hAnsi="宋体" w:eastAsia="宋体" w:cs="宋体"/>
                <w:color w:val="000000" w:themeColor="text1"/>
                <w:sz w:val="21"/>
                <w:szCs w:val="21"/>
                <w:highlight w:val="none"/>
                <w:lang w:val="en-US"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10%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690" w:type="pct"/>
            <w:tcBorders>
              <w:tl2br w:val="nil"/>
              <w:tr2bl w:val="nil"/>
            </w:tcBorders>
            <w:noWrap w:val="0"/>
            <w:vAlign w:val="top"/>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三级</w:t>
            </w:r>
          </w:p>
        </w:tc>
        <w:tc>
          <w:tcPr>
            <w:tcW w:w="3309" w:type="pct"/>
            <w:tcBorders>
              <w:tl2br w:val="nil"/>
              <w:tr2bl w:val="nil"/>
            </w:tcBorders>
            <w:noWrap w:val="0"/>
            <w:vAlign w:val="top"/>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P</w:t>
            </w:r>
            <w:r>
              <w:rPr>
                <w:rFonts w:hint="eastAsia" w:ascii="宋体" w:hAnsi="宋体" w:eastAsia="宋体" w:cs="宋体"/>
                <w:color w:val="000000" w:themeColor="text1"/>
                <w:sz w:val="21"/>
                <w:szCs w:val="21"/>
                <w:highlight w:val="none"/>
                <w:vertAlign w:val="subscript"/>
                <w14:textFill>
                  <w14:solidFill>
                    <w14:schemeClr w14:val="tx1"/>
                  </w14:solidFill>
                </w14:textFill>
              </w:rPr>
              <w:t>max</w:t>
            </w:r>
            <w:r>
              <w:rPr>
                <w:rFonts w:hint="eastAsia" w:ascii="宋体" w:hAnsi="宋体" w:eastAsia="宋体" w:cs="宋体"/>
                <w:color w:val="000000" w:themeColor="text1"/>
                <w:sz w:val="21"/>
                <w:szCs w:val="21"/>
                <w:highlight w:val="none"/>
                <w:lang w:val="en-US"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1%</w:t>
            </w:r>
          </w:p>
        </w:tc>
      </w:tr>
    </w:tbl>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0" w:firstLineChars="0"/>
        <w:jc w:val="center"/>
        <w:textAlignment w:val="auto"/>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表</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2.3.1-2</w:t>
      </w:r>
      <w:r>
        <w:rPr>
          <w:rFonts w:hint="eastAsia" w:ascii="宋体" w:hAnsi="宋体" w:eastAsia="宋体" w:cs="宋体"/>
          <w:b/>
          <w:bCs/>
          <w:color w:val="000000" w:themeColor="text1"/>
          <w:sz w:val="24"/>
          <w:szCs w:val="24"/>
          <w:highlight w:val="none"/>
          <w14:textFill>
            <w14:solidFill>
              <w14:schemeClr w14:val="tx1"/>
            </w14:solidFill>
          </w14:textFill>
        </w:rPr>
        <w:t>环境空气评价等级计算</w:t>
      </w:r>
    </w:p>
    <w:tbl>
      <w:tblPr>
        <w:tblStyle w:val="31"/>
        <w:tblW w:w="504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3"/>
        <w:gridCol w:w="2257"/>
        <w:gridCol w:w="1963"/>
        <w:gridCol w:w="2257"/>
        <w:gridCol w:w="19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pct"/>
            <w:vMerge w:val="restar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污染源/污染物</w:t>
            </w:r>
          </w:p>
        </w:tc>
        <w:tc>
          <w:tcPr>
            <w:tcW w:w="2145" w:type="pct"/>
            <w:gridSpan w:val="2"/>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非甲烷总烃</w:t>
            </w:r>
          </w:p>
        </w:tc>
        <w:tc>
          <w:tcPr>
            <w:tcW w:w="2146" w:type="pct"/>
            <w:gridSpan w:val="2"/>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p>
        </w:tc>
        <w:tc>
          <w:tcPr>
            <w:tcW w:w="1147"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最大落地浓度（mg/m³）</w:t>
            </w:r>
          </w:p>
        </w:tc>
        <w:tc>
          <w:tcPr>
            <w:tcW w:w="997"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最大占标率（%）</w:t>
            </w:r>
          </w:p>
        </w:tc>
        <w:tc>
          <w:tcPr>
            <w:tcW w:w="1147"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最大落地浓度（mg/m³）</w:t>
            </w:r>
          </w:p>
        </w:tc>
        <w:tc>
          <w:tcPr>
            <w:tcW w:w="998"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最大占标率（%）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DA001</w:t>
            </w:r>
          </w:p>
        </w:tc>
        <w:tc>
          <w:tcPr>
            <w:tcW w:w="1147"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2.58E-04</w:t>
            </w:r>
          </w:p>
        </w:tc>
        <w:tc>
          <w:tcPr>
            <w:tcW w:w="997"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0.13</w:t>
            </w:r>
          </w:p>
        </w:tc>
        <w:tc>
          <w:tcPr>
            <w:tcW w:w="1147"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7.74E-04</w:t>
            </w:r>
          </w:p>
        </w:tc>
        <w:tc>
          <w:tcPr>
            <w:tcW w:w="998"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DA002</w:t>
            </w:r>
          </w:p>
        </w:tc>
        <w:tc>
          <w:tcPr>
            <w:tcW w:w="1147"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6.25E-05</w:t>
            </w:r>
          </w:p>
        </w:tc>
        <w:tc>
          <w:tcPr>
            <w:tcW w:w="997"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0.03</w:t>
            </w:r>
          </w:p>
        </w:tc>
        <w:tc>
          <w:tcPr>
            <w:tcW w:w="1147"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5.61E-03</w:t>
            </w:r>
          </w:p>
        </w:tc>
        <w:tc>
          <w:tcPr>
            <w:tcW w:w="998"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生产车间</w:t>
            </w:r>
          </w:p>
        </w:tc>
        <w:tc>
          <w:tcPr>
            <w:tcW w:w="1147"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1.01E-02</w:t>
            </w:r>
          </w:p>
        </w:tc>
        <w:tc>
          <w:tcPr>
            <w:tcW w:w="997"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0.5</w:t>
            </w:r>
          </w:p>
        </w:tc>
        <w:tc>
          <w:tcPr>
            <w:tcW w:w="1147"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w:t>
            </w:r>
          </w:p>
        </w:tc>
        <w:tc>
          <w:tcPr>
            <w:tcW w:w="998"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w:t>
            </w:r>
          </w:p>
        </w:tc>
      </w:tr>
    </w:tbl>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经估算模型计算，本项目</w:t>
      </w:r>
      <w:r>
        <w:rPr>
          <w:rFonts w:hint="eastAsia" w:ascii="宋体" w:hAnsi="宋体" w:eastAsia="宋体" w:cs="宋体"/>
          <w:b w:val="0"/>
          <w:color w:val="000000" w:themeColor="text1"/>
          <w:sz w:val="24"/>
          <w:szCs w:val="24"/>
          <w14:textFill>
            <w14:solidFill>
              <w14:schemeClr w14:val="tx1"/>
            </w14:solidFill>
          </w14:textFill>
        </w:rPr>
        <w:t>Pmax</w:t>
      </w:r>
      <w:r>
        <w:rPr>
          <w:rFonts w:hint="eastAsia" w:ascii="宋体" w:hAnsi="宋体" w:eastAsia="宋体" w:cs="宋体"/>
          <w:b w:val="0"/>
          <w:color w:val="000000" w:themeColor="text1"/>
          <w:sz w:val="24"/>
          <w:szCs w:val="24"/>
          <w:lang w:eastAsia="zh-CN"/>
          <w14:textFill>
            <w14:solidFill>
              <w14:schemeClr w14:val="tx1"/>
            </w14:solidFill>
          </w14:textFill>
        </w:rPr>
        <w:t>最大值出现为</w:t>
      </w:r>
      <w:r>
        <w:rPr>
          <w:rFonts w:hint="eastAsia" w:ascii="宋体" w:hAnsi="宋体" w:eastAsia="宋体" w:cs="宋体"/>
          <w:b w:val="0"/>
          <w:color w:val="000000" w:themeColor="text1"/>
          <w:sz w:val="24"/>
          <w:szCs w:val="24"/>
          <w:lang w:val="en-US" w:eastAsia="zh-CN"/>
          <w14:textFill>
            <w14:solidFill>
              <w14:schemeClr w14:val="tx1"/>
            </w14:solidFill>
          </w14:textFill>
        </w:rPr>
        <w:t>有组织</w:t>
      </w:r>
      <w:r>
        <w:rPr>
          <w:rFonts w:hint="eastAsia" w:ascii="宋体" w:hAnsi="宋体" w:eastAsia="宋体" w:cs="宋体"/>
          <w:b w:val="0"/>
          <w:color w:val="000000" w:themeColor="text1"/>
          <w:sz w:val="24"/>
          <w:szCs w:val="24"/>
          <w14:textFill>
            <w14:solidFill>
              <w14:schemeClr w14:val="tx1"/>
            </w14:solidFill>
          </w14:textFill>
        </w:rPr>
        <w:t>排放的</w:t>
      </w:r>
      <w:r>
        <w:rPr>
          <w:rFonts w:hint="eastAsia" w:ascii="宋体" w:hAnsi="宋体" w:eastAsia="宋体" w:cs="宋体"/>
          <w:color w:val="000000" w:themeColor="text1"/>
          <w:sz w:val="24"/>
          <w:szCs w:val="24"/>
          <w:highlight w:val="none"/>
          <w:lang w:eastAsia="zh-CN"/>
          <w14:textFill>
            <w14:solidFill>
              <w14:schemeClr w14:val="tx1"/>
            </w14:solidFill>
          </w14:textFill>
        </w:rPr>
        <w:t>Pmax值为</w:t>
      </w:r>
      <w:r>
        <w:rPr>
          <w:rFonts w:hint="eastAsia" w:ascii="宋体" w:hAnsi="宋体" w:eastAsia="宋体" w:cs="宋体"/>
          <w:color w:val="000000" w:themeColor="text1"/>
          <w:sz w:val="24"/>
          <w:szCs w:val="24"/>
          <w:highlight w:val="none"/>
          <w:lang w:val="en-US" w:eastAsia="zh-CN"/>
          <w14:textFill>
            <w14:solidFill>
              <w14:schemeClr w14:val="tx1"/>
            </w14:solidFill>
          </w14:textFill>
        </w:rPr>
        <w:t>0.84</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根据《环境影响评价技术导则大气环境》（HJ2.2-2018）分级判据，确定本项目大气环境影响评价工作等级为</w:t>
      </w:r>
      <w:r>
        <w:rPr>
          <w:rFonts w:hint="eastAsia" w:ascii="宋体" w:hAnsi="宋体" w:eastAsia="宋体" w:cs="宋体"/>
          <w:color w:val="000000" w:themeColor="text1"/>
          <w:sz w:val="24"/>
          <w:szCs w:val="24"/>
          <w:highlight w:val="none"/>
          <w:lang w:val="en-US" w:eastAsia="zh-CN"/>
          <w14:textFill>
            <w14:solidFill>
              <w14:schemeClr w14:val="tx1"/>
            </w14:solidFill>
          </w14:textFill>
        </w:rPr>
        <w:t>三</w:t>
      </w:r>
      <w:r>
        <w:rPr>
          <w:rFonts w:hint="eastAsia" w:ascii="宋体" w:hAnsi="宋体" w:eastAsia="宋体" w:cs="宋体"/>
          <w:color w:val="000000" w:themeColor="text1"/>
          <w:sz w:val="24"/>
          <w:szCs w:val="24"/>
          <w:highlight w:val="none"/>
          <w14:textFill>
            <w14:solidFill>
              <w14:schemeClr w14:val="tx1"/>
            </w14:solidFill>
          </w14:textFill>
        </w:rPr>
        <w:t>级。</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（2）地表水环境评价等级</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项目</w:t>
      </w:r>
      <w:r>
        <w:rPr>
          <w:rFonts w:hint="eastAsia" w:ascii="宋体" w:hAnsi="宋体" w:eastAsia="宋体" w:cs="宋体"/>
          <w:color w:val="000000" w:themeColor="text1"/>
          <w:sz w:val="24"/>
          <w:szCs w:val="24"/>
          <w:highlight w:val="none"/>
          <w:lang w:val="en-US" w:eastAsia="zh-CN"/>
          <w14:textFill>
            <w14:solidFill>
              <w14:schemeClr w14:val="tx1"/>
            </w14:solidFill>
          </w14:textFill>
        </w:rPr>
        <w:t>生产</w:t>
      </w:r>
      <w:r>
        <w:rPr>
          <w:rFonts w:hint="eastAsia" w:ascii="宋体" w:hAnsi="宋体" w:eastAsia="宋体" w:cs="宋体"/>
          <w:color w:val="000000" w:themeColor="text1"/>
          <w:sz w:val="24"/>
          <w:szCs w:val="24"/>
          <w:highlight w:val="none"/>
          <w14:textFill>
            <w14:solidFill>
              <w14:schemeClr w14:val="tx1"/>
            </w14:solidFill>
          </w14:textFill>
        </w:rPr>
        <w:t>废水</w:t>
      </w:r>
      <w:r>
        <w:rPr>
          <w:rFonts w:hint="eastAsia" w:ascii="宋体" w:hAnsi="宋体" w:eastAsia="宋体" w:cs="宋体"/>
          <w:color w:val="000000" w:themeColor="text1"/>
          <w:sz w:val="24"/>
          <w:szCs w:val="24"/>
          <w:highlight w:val="none"/>
          <w:lang w:val="en-US" w:eastAsia="zh-CN"/>
          <w14:textFill>
            <w14:solidFill>
              <w14:schemeClr w14:val="tx1"/>
            </w14:solidFill>
          </w14:textFill>
        </w:rPr>
        <w:t>进入城市管网，</w:t>
      </w:r>
      <w:r>
        <w:rPr>
          <w:rFonts w:hint="eastAsia" w:ascii="宋体" w:hAnsi="宋体" w:eastAsia="宋体" w:cs="宋体"/>
          <w:snapToGrid w:val="0"/>
          <w:color w:val="000000" w:themeColor="text1"/>
          <w:sz w:val="24"/>
          <w:szCs w:val="24"/>
          <w:highlight w:val="none"/>
          <w14:textFill>
            <w14:solidFill>
              <w14:schemeClr w14:val="tx1"/>
            </w14:solidFill>
          </w14:textFill>
        </w:rPr>
        <w:t>根据《环境影响评价技术导则—地表水环境》（HJ2.3-2018）中“5.2”及“表1”的内容，确定本项目地表水环境影响评价等级为三级B。</w:t>
      </w:r>
    </w:p>
    <w:p>
      <w:pPr>
        <w:pStyle w:val="34"/>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（3）声环境评价等级</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themeColor="text1"/>
          <w:sz w:val="24"/>
          <w:szCs w:val="24"/>
          <w:highlight w:val="none"/>
          <w14:textFill>
            <w14:solidFill>
              <w14:schemeClr w14:val="tx1"/>
            </w14:solidFill>
          </w14:textFill>
        </w:rPr>
      </w:pPr>
      <w:bookmarkStart w:id="196" w:name="_Toc78014019"/>
      <w:r>
        <w:rPr>
          <w:rFonts w:hint="eastAsia" w:ascii="宋体" w:hAnsi="宋体" w:eastAsia="宋体" w:cs="宋体"/>
          <w:color w:val="000000" w:themeColor="text1"/>
          <w:sz w:val="24"/>
          <w:szCs w:val="24"/>
          <w:highlight w:val="none"/>
          <w14:textFill>
            <w14:solidFill>
              <w14:schemeClr w14:val="tx1"/>
            </w14:solidFill>
          </w14:textFill>
        </w:rPr>
        <w:t>本工程选址于</w:t>
      </w:r>
      <w:r>
        <w:rPr>
          <w:rFonts w:hint="eastAsia" w:ascii="宋体" w:hAnsi="宋体" w:eastAsia="宋体" w:cs="宋体"/>
          <w:color w:val="000000" w:themeColor="text1"/>
          <w:sz w:val="24"/>
          <w:szCs w:val="24"/>
          <w:highlight w:val="none"/>
          <w:lang w:eastAsia="zh-CN"/>
          <w14:textFill>
            <w14:solidFill>
              <w14:schemeClr w14:val="tx1"/>
            </w14:solidFill>
          </w14:textFill>
        </w:rPr>
        <w:t>新马创新工业片区</w:t>
      </w:r>
      <w:r>
        <w:rPr>
          <w:rFonts w:hint="eastAsia" w:ascii="宋体" w:hAnsi="宋体" w:eastAsia="宋体" w:cs="宋体"/>
          <w:color w:val="000000" w:themeColor="text1"/>
          <w:sz w:val="24"/>
          <w:szCs w:val="24"/>
          <w:highlight w:val="none"/>
          <w14:textFill>
            <w14:solidFill>
              <w14:schemeClr w14:val="tx1"/>
            </w14:solidFill>
          </w14:textFill>
        </w:rPr>
        <w:t>内，处于《声环境质量标准》（GB3096-2008）中3类声环境功能区，受影响人口数量变化不大，根据HJ2.4-2009《环境影响评价技术导则-声环境》划分原则，确定声环境影响评价等级为三级。</w:t>
      </w:r>
    </w:p>
    <w:p>
      <w:pPr>
        <w:pStyle w:val="34"/>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（4）地下水环境评价等级</w:t>
      </w:r>
    </w:p>
    <w:p>
      <w:pPr>
        <w:pStyle w:val="34"/>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a.建设项目分类</w:t>
      </w:r>
    </w:p>
    <w:p>
      <w:pPr>
        <w:pStyle w:val="34"/>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本项目属于</w:t>
      </w:r>
      <w:r>
        <w:rPr>
          <w:rFonts w:hint="eastAsia" w:ascii="宋体" w:hAnsi="宋体" w:eastAsia="宋体" w:cs="宋体"/>
          <w:color w:val="000000" w:themeColor="text1"/>
          <w:kern w:val="2"/>
          <w:sz w:val="24"/>
          <w:szCs w:val="24"/>
          <w:highlight w:val="none"/>
          <w14:textFill>
            <w14:solidFill>
              <w14:schemeClr w14:val="tx1"/>
            </w14:solidFill>
          </w14:textFill>
        </w:rPr>
        <w:t>电子元件及电子专用材料制造</w:t>
      </w:r>
      <w:r>
        <w:rPr>
          <w:rFonts w:hint="eastAsia" w:ascii="宋体" w:hAnsi="宋体" w:eastAsia="宋体" w:cs="宋体"/>
          <w:color w:val="000000" w:themeColor="text1"/>
          <w:sz w:val="24"/>
          <w:szCs w:val="24"/>
          <w:highlight w:val="none"/>
          <w14:textFill>
            <w14:solidFill>
              <w14:schemeClr w14:val="tx1"/>
            </w14:solidFill>
          </w14:textFill>
        </w:rPr>
        <w:t>，对照《环境影响评价技术导则地下水环境》（HJ610-2016）中“附录A地下水环境影响评价行业分类表”，本项目属于地下水环境影响评价项目类别中的Ⅳ类项目。</w:t>
      </w:r>
    </w:p>
    <w:p>
      <w:pPr>
        <w:pStyle w:val="34"/>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b.地下水环境敏感程度</w:t>
      </w:r>
    </w:p>
    <w:p>
      <w:pPr>
        <w:pStyle w:val="34"/>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项目位于</w:t>
      </w:r>
      <w:r>
        <w:rPr>
          <w:rFonts w:hint="eastAsia" w:ascii="宋体" w:hAnsi="宋体" w:eastAsia="宋体" w:cs="宋体"/>
          <w:color w:val="000000" w:themeColor="text1"/>
          <w:sz w:val="24"/>
          <w:szCs w:val="24"/>
          <w:highlight w:val="none"/>
          <w:lang w:val="en-US" w:eastAsia="zh-CN"/>
          <w14:textFill>
            <w14:solidFill>
              <w14:schemeClr w14:val="tx1"/>
            </w14:solidFill>
          </w14:textFill>
        </w:rPr>
        <w:t>新马工业园内</w:t>
      </w:r>
      <w:r>
        <w:rPr>
          <w:rFonts w:hint="eastAsia" w:ascii="宋体" w:hAnsi="宋体" w:eastAsia="宋体" w:cs="宋体"/>
          <w:color w:val="000000" w:themeColor="text1"/>
          <w:sz w:val="24"/>
          <w:szCs w:val="24"/>
          <w:highlight w:val="none"/>
          <w14:textFill>
            <w14:solidFill>
              <w14:schemeClr w14:val="tx1"/>
            </w14:solidFill>
          </w14:textFill>
        </w:rPr>
        <w:t>，所在区域无集中式地下水饮用水源地，不属于水源地保护区、准保护区和补给径流区。因此，项目地下水环境敏感程度为“不敏感”。</w:t>
      </w:r>
    </w:p>
    <w:p>
      <w:pPr>
        <w:pStyle w:val="34"/>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c.建设项目等级划分</w:t>
      </w:r>
    </w:p>
    <w:p>
      <w:pPr>
        <w:pStyle w:val="34"/>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根据《环境影响评价技术导则地下水环境》（HJ610-2016）判定属于Ⅳ类项目，项目位于</w:t>
      </w:r>
      <w:r>
        <w:rPr>
          <w:rFonts w:hint="eastAsia" w:ascii="宋体" w:hAnsi="宋体" w:eastAsia="宋体" w:cs="宋体"/>
          <w:color w:val="000000" w:themeColor="text1"/>
          <w:sz w:val="24"/>
          <w:szCs w:val="24"/>
          <w:highlight w:val="none"/>
          <w:lang w:val="en-US" w:eastAsia="zh-CN"/>
          <w14:textFill>
            <w14:solidFill>
              <w14:schemeClr w14:val="tx1"/>
            </w14:solidFill>
          </w14:textFill>
        </w:rPr>
        <w:t>新马创新工业园</w:t>
      </w:r>
      <w:r>
        <w:rPr>
          <w:rFonts w:hint="eastAsia" w:ascii="宋体" w:hAnsi="宋体" w:eastAsia="宋体" w:cs="宋体"/>
          <w:color w:val="000000" w:themeColor="text1"/>
          <w:sz w:val="24"/>
          <w:szCs w:val="24"/>
          <w:highlight w:val="none"/>
          <w14:textFill>
            <w14:solidFill>
              <w14:schemeClr w14:val="tx1"/>
            </w14:solidFill>
          </w14:textFill>
        </w:rPr>
        <w:t>，周边无集中式饮用水水源、特殊地下水资源等，地下水环境敏感程度为“不敏感”</w:t>
      </w:r>
      <w:r>
        <w:rPr>
          <w:rFonts w:hint="eastAsia" w:ascii="宋体" w:hAnsi="宋体" w:eastAsia="宋体" w:cs="宋体"/>
          <w:color w:val="000000" w:themeColor="text1"/>
          <w:sz w:val="24"/>
          <w:szCs w:val="24"/>
          <w:highlight w:val="none"/>
          <w:lang w:eastAsia="zh-CN"/>
          <w14:textFill>
            <w14:solidFill>
              <w14:schemeClr w14:val="tx1"/>
            </w14:solidFill>
          </w14:textFill>
        </w:rPr>
        <w:t>，可不开展地下水环境影响评价，仅对地下水文地质、地下水防护措施进行分析。</w:t>
      </w:r>
    </w:p>
    <w:bookmarkEnd w:id="196"/>
    <w:p>
      <w:pPr>
        <w:pStyle w:val="34"/>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（5）环境风险评价等级</w:t>
      </w:r>
    </w:p>
    <w:p>
      <w:pPr>
        <w:pStyle w:val="1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本</w:t>
      </w:r>
      <w:r>
        <w:rPr>
          <w:rFonts w:hint="eastAsia" w:ascii="宋体" w:hAnsi="宋体" w:eastAsia="宋体" w:cs="宋体"/>
          <w:bCs/>
          <w:color w:val="000000" w:themeColor="text1"/>
          <w:sz w:val="24"/>
          <w:szCs w:val="24"/>
          <w:highlight w:val="none"/>
          <w:lang w:val="en-US" w:eastAsia="zh-CN"/>
          <w14:textFill>
            <w14:solidFill>
              <w14:schemeClr w14:val="tx1"/>
            </w14:solidFill>
          </w14:textFill>
        </w:rPr>
        <w:t>项目</w:t>
      </w:r>
      <w:r>
        <w:rPr>
          <w:rFonts w:hint="eastAsia" w:ascii="宋体" w:hAnsi="宋体" w:eastAsia="宋体" w:cs="宋体"/>
          <w:bCs/>
          <w:color w:val="000000" w:themeColor="text1"/>
          <w:sz w:val="24"/>
          <w:szCs w:val="24"/>
          <w:highlight w:val="none"/>
          <w14:textFill>
            <w14:solidFill>
              <w14:schemeClr w14:val="tx1"/>
            </w14:solidFill>
          </w14:textFill>
        </w:rPr>
        <w:t>环境风险潜势为Ⅰ</w:t>
      </w:r>
      <w:r>
        <w:rPr>
          <w:rFonts w:hint="eastAsia" w:ascii="宋体" w:hAnsi="宋体" w:eastAsia="宋体" w:cs="宋体"/>
          <w:bCs/>
          <w:color w:val="000000" w:themeColor="text1"/>
          <w:sz w:val="24"/>
          <w:szCs w:val="24"/>
          <w:highlight w:val="none"/>
          <w:lang w:eastAsia="zh-CN"/>
          <w14:textFill>
            <w14:solidFill>
              <w14:schemeClr w14:val="tx1"/>
            </w14:solidFill>
          </w14:textFill>
        </w:rPr>
        <w:t>，</w:t>
      </w:r>
      <w:r>
        <w:rPr>
          <w:rFonts w:hint="eastAsia" w:ascii="宋体" w:hAnsi="宋体" w:eastAsia="宋体" w:cs="宋体"/>
          <w:bCs/>
          <w:color w:val="000000" w:themeColor="text1"/>
          <w:sz w:val="24"/>
          <w:szCs w:val="24"/>
          <w:highlight w:val="none"/>
          <w14:textFill>
            <w14:solidFill>
              <w14:schemeClr w14:val="tx1"/>
            </w14:solidFill>
          </w14:textFill>
        </w:rPr>
        <w:t>根据</w:t>
      </w:r>
      <w:r>
        <w:rPr>
          <w:rFonts w:hint="eastAsia" w:ascii="宋体" w:hAnsi="宋体" w:eastAsia="宋体" w:cs="宋体"/>
          <w:color w:val="000000" w:themeColor="text1"/>
          <w:sz w:val="24"/>
          <w:szCs w:val="24"/>
          <w:highlight w:val="none"/>
          <w14:textFill>
            <w14:solidFill>
              <w14:schemeClr w14:val="tx1"/>
            </w14:solidFill>
          </w14:textFill>
        </w:rPr>
        <w:t>《建设项目环境风险评价技术导则》（HJ169-2018）</w:t>
      </w:r>
      <w:r>
        <w:rPr>
          <w:rFonts w:hint="eastAsia" w:ascii="宋体" w:hAnsi="宋体" w:eastAsia="宋体" w:cs="宋体"/>
          <w:bCs/>
          <w:color w:val="000000" w:themeColor="text1"/>
          <w:sz w:val="24"/>
          <w:szCs w:val="24"/>
          <w:highlight w:val="none"/>
          <w14:textFill>
            <w14:solidFill>
              <w14:schemeClr w14:val="tx1"/>
            </w14:solidFill>
          </w14:textFill>
        </w:rPr>
        <w:t>中对评价工作等级划分的原则和方法，为</w:t>
      </w:r>
      <w:r>
        <w:rPr>
          <w:rFonts w:hint="eastAsia" w:ascii="宋体" w:hAnsi="宋体" w:eastAsia="宋体" w:cs="宋体"/>
          <w:color w:val="000000" w:themeColor="text1"/>
          <w:sz w:val="24"/>
          <w:szCs w:val="24"/>
          <w:highlight w:val="none"/>
          <w14:textFill>
            <w14:solidFill>
              <w14:schemeClr w14:val="tx1"/>
            </w14:solidFill>
          </w14:textFill>
        </w:rPr>
        <w:t>简单分析</w:t>
      </w:r>
      <w:r>
        <w:rPr>
          <w:rFonts w:hint="eastAsia" w:ascii="宋体" w:hAnsi="宋体" w:eastAsia="宋体" w:cs="宋体"/>
          <w:bCs/>
          <w:color w:val="000000" w:themeColor="text1"/>
          <w:sz w:val="24"/>
          <w:szCs w:val="24"/>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0" w:firstLineChars="0"/>
        <w:jc w:val="center"/>
        <w:textAlignment w:val="auto"/>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表</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2.3.1-4</w:t>
      </w:r>
      <w:r>
        <w:rPr>
          <w:rFonts w:hint="eastAsia" w:ascii="宋体" w:hAnsi="宋体" w:eastAsia="宋体" w:cs="宋体"/>
          <w:b/>
          <w:bCs/>
          <w:color w:val="000000" w:themeColor="text1"/>
          <w:sz w:val="24"/>
          <w:szCs w:val="24"/>
          <w:highlight w:val="none"/>
          <w14:textFill>
            <w14:solidFill>
              <w14:schemeClr w14:val="tx1"/>
            </w14:solidFill>
          </w14:textFill>
        </w:rPr>
        <w:t>评价工作等级划分</w:t>
      </w:r>
    </w:p>
    <w:tbl>
      <w:tblPr>
        <w:tblStyle w:val="30"/>
        <w:tblW w:w="4998"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108" w:type="dxa"/>
          <w:bottom w:w="0" w:type="dxa"/>
          <w:right w:w="108" w:type="dxa"/>
        </w:tblCellMar>
      </w:tblPr>
      <w:tblGrid>
        <w:gridCol w:w="1824"/>
        <w:gridCol w:w="1719"/>
        <w:gridCol w:w="1977"/>
        <w:gridCol w:w="1977"/>
        <w:gridCol w:w="224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6" w:hRule="atLeast"/>
          <w:jc w:val="center"/>
        </w:trPr>
        <w:tc>
          <w:tcPr>
            <w:tcW w:w="937" w:type="pct"/>
            <w:tcBorders>
              <w:tl2br w:val="nil"/>
              <w:tr2bl w:val="nil"/>
            </w:tcBorders>
            <w:noWrap w:val="0"/>
            <w:vAlign w:val="top"/>
          </w:tcPr>
          <w:p>
            <w:pPr>
              <w:widowControl w:val="0"/>
              <w:adjustRightInd w:val="0"/>
              <w:snapToGrid w:val="0"/>
              <w:spacing w:line="28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环境风险潜势</w:t>
            </w:r>
          </w:p>
        </w:tc>
        <w:tc>
          <w:tcPr>
            <w:tcW w:w="883" w:type="pct"/>
            <w:tcBorders>
              <w:tl2br w:val="nil"/>
              <w:tr2bl w:val="nil"/>
            </w:tcBorders>
            <w:noWrap w:val="0"/>
            <w:vAlign w:val="top"/>
          </w:tcPr>
          <w:p>
            <w:pPr>
              <w:widowControl w:val="0"/>
              <w:adjustRightInd w:val="0"/>
              <w:snapToGrid w:val="0"/>
              <w:spacing w:line="28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Ⅳ、Ⅳ+</w:t>
            </w:r>
          </w:p>
        </w:tc>
        <w:tc>
          <w:tcPr>
            <w:tcW w:w="1015" w:type="pct"/>
            <w:tcBorders>
              <w:tl2br w:val="nil"/>
              <w:tr2bl w:val="nil"/>
            </w:tcBorders>
            <w:noWrap w:val="0"/>
            <w:vAlign w:val="top"/>
          </w:tcPr>
          <w:p>
            <w:pPr>
              <w:widowControl w:val="0"/>
              <w:adjustRightInd w:val="0"/>
              <w:snapToGrid w:val="0"/>
              <w:spacing w:line="28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Ⅲ</w:t>
            </w:r>
          </w:p>
        </w:tc>
        <w:tc>
          <w:tcPr>
            <w:tcW w:w="1015" w:type="pct"/>
            <w:tcBorders>
              <w:tl2br w:val="nil"/>
              <w:tr2bl w:val="nil"/>
            </w:tcBorders>
            <w:noWrap w:val="0"/>
            <w:vAlign w:val="top"/>
          </w:tcPr>
          <w:p>
            <w:pPr>
              <w:widowControl w:val="0"/>
              <w:adjustRightInd w:val="0"/>
              <w:snapToGrid w:val="0"/>
              <w:spacing w:line="28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Ⅱ</w:t>
            </w:r>
          </w:p>
        </w:tc>
        <w:tc>
          <w:tcPr>
            <w:tcW w:w="1148" w:type="pct"/>
            <w:tcBorders>
              <w:tl2br w:val="nil"/>
              <w:tr2bl w:val="nil"/>
            </w:tcBorders>
            <w:noWrap w:val="0"/>
            <w:vAlign w:val="top"/>
          </w:tcPr>
          <w:p>
            <w:pPr>
              <w:widowControl w:val="0"/>
              <w:adjustRightInd w:val="0"/>
              <w:snapToGrid w:val="0"/>
              <w:spacing w:line="28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96" w:hRule="atLeast"/>
          <w:jc w:val="center"/>
        </w:trPr>
        <w:tc>
          <w:tcPr>
            <w:tcW w:w="937" w:type="pct"/>
            <w:tcBorders>
              <w:tl2br w:val="nil"/>
              <w:tr2bl w:val="nil"/>
            </w:tcBorders>
            <w:noWrap w:val="0"/>
            <w:vAlign w:val="top"/>
          </w:tcPr>
          <w:p>
            <w:pPr>
              <w:widowControl w:val="0"/>
              <w:adjustRightInd w:val="0"/>
              <w:snapToGrid w:val="0"/>
              <w:spacing w:line="28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评价工作等级</w:t>
            </w:r>
          </w:p>
        </w:tc>
        <w:tc>
          <w:tcPr>
            <w:tcW w:w="883" w:type="pct"/>
            <w:tcBorders>
              <w:tl2br w:val="nil"/>
              <w:tr2bl w:val="nil"/>
            </w:tcBorders>
            <w:noWrap w:val="0"/>
            <w:vAlign w:val="top"/>
          </w:tcPr>
          <w:p>
            <w:pPr>
              <w:widowControl w:val="0"/>
              <w:adjustRightInd w:val="0"/>
              <w:snapToGrid w:val="0"/>
              <w:spacing w:line="28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一</w:t>
            </w:r>
          </w:p>
        </w:tc>
        <w:tc>
          <w:tcPr>
            <w:tcW w:w="1015" w:type="pct"/>
            <w:tcBorders>
              <w:tl2br w:val="nil"/>
              <w:tr2bl w:val="nil"/>
            </w:tcBorders>
            <w:noWrap w:val="0"/>
            <w:vAlign w:val="top"/>
          </w:tcPr>
          <w:p>
            <w:pPr>
              <w:widowControl w:val="0"/>
              <w:adjustRightInd w:val="0"/>
              <w:snapToGrid w:val="0"/>
              <w:spacing w:line="28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二</w:t>
            </w:r>
          </w:p>
        </w:tc>
        <w:tc>
          <w:tcPr>
            <w:tcW w:w="1015" w:type="pct"/>
            <w:tcBorders>
              <w:tl2br w:val="nil"/>
              <w:tr2bl w:val="nil"/>
            </w:tcBorders>
            <w:noWrap w:val="0"/>
            <w:vAlign w:val="top"/>
          </w:tcPr>
          <w:p>
            <w:pPr>
              <w:widowControl w:val="0"/>
              <w:adjustRightInd w:val="0"/>
              <w:snapToGrid w:val="0"/>
              <w:spacing w:line="28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三</w:t>
            </w:r>
          </w:p>
        </w:tc>
        <w:tc>
          <w:tcPr>
            <w:tcW w:w="1148" w:type="pct"/>
            <w:tcBorders>
              <w:tl2br w:val="nil"/>
              <w:tr2bl w:val="nil"/>
            </w:tcBorders>
            <w:noWrap w:val="0"/>
            <w:vAlign w:val="top"/>
          </w:tcPr>
          <w:p>
            <w:pPr>
              <w:widowControl w:val="0"/>
              <w:adjustRightInd w:val="0"/>
              <w:snapToGrid w:val="0"/>
              <w:spacing w:line="28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简单分析a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00" w:hRule="atLeast"/>
          <w:jc w:val="center"/>
        </w:trPr>
        <w:tc>
          <w:tcPr>
            <w:tcW w:w="5000" w:type="pct"/>
            <w:gridSpan w:val="5"/>
            <w:tcBorders>
              <w:tl2br w:val="nil"/>
              <w:tr2bl w:val="nil"/>
            </w:tcBorders>
            <w:noWrap w:val="0"/>
            <w:vAlign w:val="top"/>
          </w:tcPr>
          <w:p>
            <w:pPr>
              <w:widowControl w:val="0"/>
              <w:adjustRightInd w:val="0"/>
              <w:snapToGrid w:val="0"/>
              <w:spacing w:line="28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a是相对于详细评价工作内容而言，在描述危险物质、环境影响途径、环境危害后果、风险防范措施等方面给出定性的说明。见附录A。</w:t>
            </w:r>
          </w:p>
        </w:tc>
      </w:tr>
    </w:tbl>
    <w:p>
      <w:pPr>
        <w:pStyle w:val="1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（6）土壤环境评价等级</w:t>
      </w:r>
    </w:p>
    <w:p>
      <w:pPr>
        <w:pStyle w:val="1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本项目属于机械、电子行业，根据《环境影响评价技术导则土壤环境（试行）》（HJ964-2018），项目土壤环境影响类型为污染影响型。因此，根据评价类别、占地规模与敏感程度划分评价工作等级。</w:t>
      </w:r>
    </w:p>
    <w:p>
      <w:pPr>
        <w:pStyle w:val="1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a.项目类别</w:t>
      </w:r>
    </w:p>
    <w:p>
      <w:pPr>
        <w:pStyle w:val="1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本项目属于</w:t>
      </w:r>
      <w:r>
        <w:rPr>
          <w:rFonts w:hint="eastAsia" w:ascii="宋体" w:hAnsi="宋体" w:eastAsia="宋体" w:cs="宋体"/>
          <w:bCs/>
          <w:color w:val="000000" w:themeColor="text1"/>
          <w:sz w:val="24"/>
          <w:szCs w:val="24"/>
          <w:highlight w:val="none"/>
          <w:lang w:eastAsia="zh-CN"/>
          <w14:textFill>
            <w14:solidFill>
              <w14:schemeClr w14:val="tx1"/>
            </w14:solidFill>
          </w14:textFill>
        </w:rPr>
        <w:t>电子化工材料制造</w:t>
      </w:r>
      <w:r>
        <w:rPr>
          <w:rFonts w:hint="eastAsia" w:ascii="宋体" w:hAnsi="宋体" w:eastAsia="宋体" w:cs="宋体"/>
          <w:bCs/>
          <w:color w:val="000000" w:themeColor="text1"/>
          <w:sz w:val="24"/>
          <w:szCs w:val="24"/>
          <w:highlight w:val="none"/>
          <w14:textFill>
            <w14:solidFill>
              <w14:schemeClr w14:val="tx1"/>
            </w14:solidFill>
          </w14:textFill>
        </w:rPr>
        <w:t>，</w:t>
      </w:r>
      <w:r>
        <w:rPr>
          <w:rFonts w:hint="eastAsia" w:ascii="宋体" w:hAnsi="宋体" w:eastAsia="宋体" w:cs="宋体"/>
          <w:bCs/>
          <w:color w:val="000000" w:themeColor="text1"/>
          <w:sz w:val="24"/>
          <w:szCs w:val="24"/>
          <w:highlight w:val="none"/>
          <w:lang w:eastAsia="zh-CN"/>
          <w14:textFill>
            <w14:solidFill>
              <w14:schemeClr w14:val="tx1"/>
            </w14:solidFill>
          </w14:textFill>
        </w:rPr>
        <w:t>根据</w:t>
      </w:r>
      <w:r>
        <w:rPr>
          <w:rFonts w:hint="eastAsia" w:ascii="宋体" w:hAnsi="宋体" w:eastAsia="宋体" w:cs="宋体"/>
          <w:bCs/>
          <w:color w:val="000000" w:themeColor="text1"/>
          <w:sz w:val="24"/>
          <w:szCs w:val="24"/>
          <w:highlight w:val="none"/>
          <w14:textFill>
            <w14:solidFill>
              <w14:schemeClr w14:val="tx1"/>
            </w14:solidFill>
          </w14:textFill>
        </w:rPr>
        <w:t>《环境影响评价技术导则土壤环境》（HJ964-2018）附录A</w:t>
      </w:r>
      <w:r>
        <w:rPr>
          <w:rFonts w:hint="eastAsia" w:ascii="宋体" w:hAnsi="宋体" w:eastAsia="宋体" w:cs="宋体"/>
          <w:bCs/>
          <w:color w:val="000000" w:themeColor="text1"/>
          <w:sz w:val="24"/>
          <w:szCs w:val="24"/>
          <w:highlight w:val="none"/>
          <w:lang w:eastAsia="zh-CN"/>
          <w14:textFill>
            <w14:solidFill>
              <w14:schemeClr w14:val="tx1"/>
            </w14:solidFill>
          </w14:textFill>
        </w:rPr>
        <w:t>，参照相近项目类别进行确定，属于</w:t>
      </w:r>
      <w:r>
        <w:rPr>
          <w:rFonts w:hint="eastAsia" w:ascii="宋体" w:hAnsi="宋体" w:eastAsia="宋体" w:cs="宋体"/>
          <w:bCs/>
          <w:color w:val="000000" w:themeColor="text1"/>
          <w:sz w:val="24"/>
          <w:szCs w:val="24"/>
          <w:highlight w:val="none"/>
          <w14:textFill>
            <w14:solidFill>
              <w14:schemeClr w14:val="tx1"/>
            </w14:solidFill>
          </w14:textFill>
        </w:rPr>
        <w:t>“制造业”、“</w:t>
      </w:r>
      <w:r>
        <w:rPr>
          <w:rFonts w:hint="eastAsia" w:ascii="宋体" w:hAnsi="宋体" w:eastAsia="宋体" w:cs="宋体"/>
          <w:bCs/>
          <w:color w:val="000000" w:themeColor="text1"/>
          <w:sz w:val="24"/>
          <w:szCs w:val="24"/>
          <w:highlight w:val="none"/>
          <w:lang w:eastAsia="zh-CN"/>
          <w14:textFill>
            <w14:solidFill>
              <w14:schemeClr w14:val="tx1"/>
            </w14:solidFill>
          </w14:textFill>
        </w:rPr>
        <w:t>石油、化工</w:t>
      </w:r>
      <w:r>
        <w:rPr>
          <w:rFonts w:hint="eastAsia" w:ascii="宋体" w:hAnsi="宋体" w:eastAsia="宋体" w:cs="宋体"/>
          <w:bCs/>
          <w:color w:val="000000" w:themeColor="text1"/>
          <w:sz w:val="24"/>
          <w:szCs w:val="24"/>
          <w:highlight w:val="none"/>
          <w14:textFill>
            <w14:solidFill>
              <w14:schemeClr w14:val="tx1"/>
            </w14:solidFill>
          </w14:textFill>
        </w:rPr>
        <w:t>”中“</w:t>
      </w:r>
      <w:r>
        <w:rPr>
          <w:rFonts w:hint="eastAsia" w:ascii="宋体" w:hAnsi="宋体" w:eastAsia="宋体" w:cs="宋体"/>
          <w:bCs/>
          <w:color w:val="000000" w:themeColor="text1"/>
          <w:sz w:val="24"/>
          <w:szCs w:val="24"/>
          <w:highlight w:val="none"/>
          <w:lang w:eastAsia="zh-CN"/>
          <w14:textFill>
            <w14:solidFill>
              <w14:schemeClr w14:val="tx1"/>
            </w14:solidFill>
          </w14:textFill>
        </w:rPr>
        <w:t>半导体材料、日用化学品制造</w:t>
      </w:r>
      <w:r>
        <w:rPr>
          <w:rFonts w:hint="eastAsia" w:ascii="宋体" w:hAnsi="宋体" w:eastAsia="宋体" w:cs="宋体"/>
          <w:bCs/>
          <w:color w:val="000000" w:themeColor="text1"/>
          <w:sz w:val="24"/>
          <w:szCs w:val="24"/>
          <w:highlight w:val="none"/>
          <w14:textFill>
            <w14:solidFill>
              <w14:schemeClr w14:val="tx1"/>
            </w14:solidFill>
          </w14:textFill>
        </w:rPr>
        <w:t>”，类别为Ⅱ类项目。</w:t>
      </w:r>
    </w:p>
    <w:p>
      <w:pPr>
        <w:pStyle w:val="1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b.占地规模</w:t>
      </w:r>
    </w:p>
    <w:p>
      <w:pPr>
        <w:pStyle w:val="1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项目位于</w:t>
      </w:r>
      <w:r>
        <w:rPr>
          <w:rFonts w:hint="eastAsia" w:ascii="宋体" w:hAnsi="宋体" w:eastAsia="宋体" w:cs="宋体"/>
          <w:bCs/>
          <w:color w:val="000000" w:themeColor="text1"/>
          <w:sz w:val="24"/>
          <w:szCs w:val="24"/>
          <w:highlight w:val="none"/>
          <w:lang w:eastAsia="zh-CN"/>
          <w14:textFill>
            <w14:solidFill>
              <w14:schemeClr w14:val="tx1"/>
            </w14:solidFill>
          </w14:textFill>
        </w:rPr>
        <w:t>株洲市绝缘材料有限责任公司</w:t>
      </w:r>
      <w:r>
        <w:rPr>
          <w:rFonts w:hint="eastAsia" w:ascii="宋体" w:hAnsi="宋体" w:eastAsia="宋体" w:cs="宋体"/>
          <w:bCs/>
          <w:color w:val="000000" w:themeColor="text1"/>
          <w:sz w:val="24"/>
          <w:szCs w:val="24"/>
          <w:highlight w:val="none"/>
          <w:lang w:val="en-US" w:eastAsia="zh-CN"/>
          <w14:textFill>
            <w14:solidFill>
              <w14:schemeClr w14:val="tx1"/>
            </w14:solidFill>
          </w14:textFill>
        </w:rPr>
        <w:t>5#</w:t>
      </w:r>
      <w:r>
        <w:rPr>
          <w:rFonts w:hint="eastAsia" w:ascii="宋体" w:hAnsi="宋体" w:eastAsia="宋体" w:cs="宋体"/>
          <w:bCs/>
          <w:color w:val="000000" w:themeColor="text1"/>
          <w:sz w:val="24"/>
          <w:szCs w:val="24"/>
          <w:highlight w:val="none"/>
          <w14:textFill>
            <w14:solidFill>
              <w14:schemeClr w14:val="tx1"/>
            </w14:solidFill>
          </w14:textFill>
        </w:rPr>
        <w:t>厂区内，不新增占地。</w:t>
      </w:r>
      <w:r>
        <w:rPr>
          <w:rFonts w:hint="eastAsia" w:ascii="宋体" w:hAnsi="宋体" w:eastAsia="宋体" w:cs="宋体"/>
          <w:bCs/>
          <w:color w:val="000000" w:themeColor="text1"/>
          <w:sz w:val="24"/>
          <w:szCs w:val="24"/>
          <w:highlight w:val="none"/>
          <w:lang w:val="en-US" w:eastAsia="zh-CN"/>
          <w14:textFill>
            <w14:solidFill>
              <w14:schemeClr w14:val="tx1"/>
            </w14:solidFill>
          </w14:textFill>
        </w:rPr>
        <w:t>5#厂房占地面积3000m2</w:t>
      </w:r>
      <w:r>
        <w:rPr>
          <w:rFonts w:hint="eastAsia" w:ascii="宋体" w:hAnsi="宋体" w:eastAsia="宋体" w:cs="宋体"/>
          <w:bCs/>
          <w:color w:val="000000" w:themeColor="text1"/>
          <w:sz w:val="24"/>
          <w:szCs w:val="24"/>
          <w:highlight w:val="none"/>
          <w:lang w:eastAsia="zh-CN"/>
          <w14:textFill>
            <w14:solidFill>
              <w14:schemeClr w14:val="tx1"/>
            </w14:solidFill>
          </w14:textFill>
        </w:rPr>
        <w:t>＜</w:t>
      </w:r>
      <w:r>
        <w:rPr>
          <w:rFonts w:hint="eastAsia" w:ascii="宋体" w:hAnsi="宋体" w:eastAsia="宋体" w:cs="宋体"/>
          <w:bCs/>
          <w:color w:val="000000" w:themeColor="text1"/>
          <w:sz w:val="24"/>
          <w:szCs w:val="24"/>
          <w:highlight w:val="none"/>
          <w14:textFill>
            <w14:solidFill>
              <w14:schemeClr w14:val="tx1"/>
            </w14:solidFill>
          </w14:textFill>
        </w:rPr>
        <w:t>5hm2，占地规模为小型。</w:t>
      </w:r>
    </w:p>
    <w:p>
      <w:pPr>
        <w:pStyle w:val="1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c.土壤环境敏感程度</w:t>
      </w:r>
    </w:p>
    <w:p>
      <w:pPr>
        <w:pStyle w:val="1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建设项目周边不存在耕地、园地、牧草地、饮用水水源地或居民区、学校、医院、疗养院、养老院等土壤环境敏感目标，也无其他土壤环境保护目标，因此土壤环境敏感程度为不敏感。</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0" w:firstLineChars="0"/>
        <w:jc w:val="center"/>
        <w:textAlignment w:val="auto"/>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表</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2.3.1-5</w:t>
      </w:r>
      <w:r>
        <w:rPr>
          <w:rFonts w:hint="eastAsia" w:ascii="宋体" w:hAnsi="宋体" w:eastAsia="宋体" w:cs="宋体"/>
          <w:b/>
          <w:bCs/>
          <w:color w:val="000000" w:themeColor="text1"/>
          <w:sz w:val="24"/>
          <w:szCs w:val="24"/>
          <w:highlight w:val="none"/>
          <w14:textFill>
            <w14:solidFill>
              <w14:schemeClr w14:val="tx1"/>
            </w14:solidFill>
          </w14:textFill>
        </w:rPr>
        <w:t>污染影响型敏感程度分级表</w:t>
      </w:r>
    </w:p>
    <w:tbl>
      <w:tblPr>
        <w:tblStyle w:val="30"/>
        <w:tblW w:w="4999"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956"/>
        <w:gridCol w:w="7783"/>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7" w:hRule="atLeast"/>
        </w:trPr>
        <w:tc>
          <w:tcPr>
            <w:tcW w:w="1004" w:type="pct"/>
            <w:tcBorders>
              <w:tl2br w:val="nil"/>
              <w:tr2bl w:val="nil"/>
            </w:tcBorders>
            <w:noWrap w:val="0"/>
            <w:vAlign w:val="center"/>
          </w:tcPr>
          <w:p>
            <w:pPr>
              <w:widowControl w:val="0"/>
              <w:adjustRightInd w:val="0"/>
              <w:snapToGrid w:val="0"/>
              <w:spacing w:line="28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敏感程度</w:t>
            </w:r>
          </w:p>
        </w:tc>
        <w:tc>
          <w:tcPr>
            <w:tcW w:w="3995" w:type="pct"/>
            <w:tcBorders>
              <w:tl2br w:val="nil"/>
              <w:tr2bl w:val="nil"/>
            </w:tcBorders>
            <w:noWrap w:val="0"/>
            <w:vAlign w:val="center"/>
          </w:tcPr>
          <w:p>
            <w:pPr>
              <w:widowControl w:val="0"/>
              <w:adjustRightInd w:val="0"/>
              <w:snapToGrid w:val="0"/>
              <w:spacing w:line="28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判别依据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0" w:hRule="atLeast"/>
        </w:trPr>
        <w:tc>
          <w:tcPr>
            <w:tcW w:w="1004" w:type="pct"/>
            <w:tcBorders>
              <w:tl2br w:val="nil"/>
              <w:tr2bl w:val="nil"/>
            </w:tcBorders>
            <w:noWrap w:val="0"/>
            <w:vAlign w:val="center"/>
          </w:tcPr>
          <w:p>
            <w:pPr>
              <w:widowControl w:val="0"/>
              <w:adjustRightInd w:val="0"/>
              <w:snapToGrid w:val="0"/>
              <w:spacing w:line="28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敏感</w:t>
            </w:r>
          </w:p>
        </w:tc>
        <w:tc>
          <w:tcPr>
            <w:tcW w:w="3995" w:type="pct"/>
            <w:tcBorders>
              <w:tl2br w:val="nil"/>
              <w:tr2bl w:val="nil"/>
            </w:tcBorders>
            <w:noWrap w:val="0"/>
            <w:vAlign w:val="center"/>
          </w:tcPr>
          <w:p>
            <w:pPr>
              <w:widowControl w:val="0"/>
              <w:adjustRightInd w:val="0"/>
              <w:snapToGrid w:val="0"/>
              <w:spacing w:line="28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建设项目周边存在耕地、园地、牧草地、饮用水水源地或居民区、学校、医院、疗养院、养老院等土壤环境敏感目标的</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0" w:hRule="atLeast"/>
        </w:trPr>
        <w:tc>
          <w:tcPr>
            <w:tcW w:w="1004" w:type="pct"/>
            <w:tcBorders>
              <w:tl2br w:val="nil"/>
              <w:tr2bl w:val="nil"/>
            </w:tcBorders>
            <w:noWrap w:val="0"/>
            <w:vAlign w:val="center"/>
          </w:tcPr>
          <w:p>
            <w:pPr>
              <w:widowControl w:val="0"/>
              <w:adjustRightInd w:val="0"/>
              <w:snapToGrid w:val="0"/>
              <w:spacing w:line="28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较敏感</w:t>
            </w:r>
          </w:p>
        </w:tc>
        <w:tc>
          <w:tcPr>
            <w:tcW w:w="3995" w:type="pct"/>
            <w:tcBorders>
              <w:tl2br w:val="nil"/>
              <w:tr2bl w:val="nil"/>
            </w:tcBorders>
            <w:noWrap w:val="0"/>
            <w:vAlign w:val="center"/>
          </w:tcPr>
          <w:p>
            <w:pPr>
              <w:widowControl w:val="0"/>
              <w:adjustRightInd w:val="0"/>
              <w:snapToGrid w:val="0"/>
              <w:spacing w:line="28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建设项目周边存在其他土壤环境敏感目标的</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0" w:hRule="atLeast"/>
        </w:trPr>
        <w:tc>
          <w:tcPr>
            <w:tcW w:w="1004" w:type="pct"/>
            <w:tcBorders>
              <w:tl2br w:val="nil"/>
              <w:tr2bl w:val="nil"/>
            </w:tcBorders>
            <w:noWrap w:val="0"/>
            <w:vAlign w:val="center"/>
          </w:tcPr>
          <w:p>
            <w:pPr>
              <w:widowControl w:val="0"/>
              <w:adjustRightInd w:val="0"/>
              <w:snapToGrid w:val="0"/>
              <w:spacing w:line="28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不敏感</w:t>
            </w:r>
          </w:p>
        </w:tc>
        <w:tc>
          <w:tcPr>
            <w:tcW w:w="3995" w:type="pct"/>
            <w:tcBorders>
              <w:tl2br w:val="nil"/>
              <w:tr2bl w:val="nil"/>
            </w:tcBorders>
            <w:noWrap w:val="0"/>
            <w:vAlign w:val="center"/>
          </w:tcPr>
          <w:p>
            <w:pPr>
              <w:widowControl w:val="0"/>
              <w:adjustRightInd w:val="0"/>
              <w:snapToGrid w:val="0"/>
              <w:spacing w:line="28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其他情况</w:t>
            </w:r>
          </w:p>
        </w:tc>
      </w:tr>
    </w:tbl>
    <w:p>
      <w:pPr>
        <w:pStyle w:val="1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d.评价工作等级</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0" w:firstLineChars="0"/>
        <w:jc w:val="center"/>
        <w:textAlignment w:val="auto"/>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表</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2.3.1-6</w:t>
      </w:r>
      <w:r>
        <w:rPr>
          <w:rFonts w:hint="eastAsia" w:ascii="宋体" w:hAnsi="宋体" w:eastAsia="宋体" w:cs="宋体"/>
          <w:b/>
          <w:bCs/>
          <w:color w:val="000000" w:themeColor="text1"/>
          <w:sz w:val="24"/>
          <w:szCs w:val="24"/>
          <w:highlight w:val="none"/>
          <w14:textFill>
            <w14:solidFill>
              <w14:schemeClr w14:val="tx1"/>
            </w14:solidFill>
          </w14:textFill>
        </w:rPr>
        <w:t>污染影响型评价工作等级划分表</w:t>
      </w:r>
    </w:p>
    <w:tbl>
      <w:tblPr>
        <w:tblStyle w:val="30"/>
        <w:tblW w:w="4998"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171"/>
        <w:gridCol w:w="907"/>
        <w:gridCol w:w="921"/>
        <w:gridCol w:w="1087"/>
        <w:gridCol w:w="989"/>
        <w:gridCol w:w="867"/>
        <w:gridCol w:w="976"/>
        <w:gridCol w:w="867"/>
        <w:gridCol w:w="974"/>
        <w:gridCol w:w="97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602" w:type="pct"/>
            <w:vMerge w:val="restart"/>
            <w:tcBorders>
              <w:tl2br w:val="nil"/>
              <w:tr2bl w:val="nil"/>
            </w:tcBorders>
            <w:noWrap w:val="0"/>
            <w:vAlign w:val="center"/>
          </w:tcPr>
          <w:p>
            <w:pPr>
              <w:widowControl w:val="0"/>
              <w:adjustRightInd w:val="0"/>
              <w:snapToGrid w:val="0"/>
              <w:spacing w:line="28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敏感程度</w:t>
            </w:r>
          </w:p>
          <w:p>
            <w:pPr>
              <w:widowControl w:val="0"/>
              <w:adjustRightInd w:val="0"/>
              <w:snapToGrid w:val="0"/>
              <w:spacing w:line="28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评价工作等级</w:t>
            </w:r>
          </w:p>
          <w:p>
            <w:pPr>
              <w:widowControl w:val="0"/>
              <w:adjustRightInd w:val="0"/>
              <w:snapToGrid w:val="0"/>
              <w:spacing w:line="28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占地规模</w:t>
            </w:r>
          </w:p>
        </w:tc>
        <w:tc>
          <w:tcPr>
            <w:tcW w:w="1497" w:type="pct"/>
            <w:gridSpan w:val="3"/>
            <w:tcBorders>
              <w:tl2br w:val="nil"/>
              <w:tr2bl w:val="nil"/>
            </w:tcBorders>
            <w:noWrap w:val="0"/>
            <w:vAlign w:val="center"/>
          </w:tcPr>
          <w:p>
            <w:pPr>
              <w:widowControl w:val="0"/>
              <w:adjustRightInd w:val="0"/>
              <w:snapToGrid w:val="0"/>
              <w:spacing w:line="28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I类</w:t>
            </w:r>
          </w:p>
        </w:tc>
        <w:tc>
          <w:tcPr>
            <w:tcW w:w="1454" w:type="pct"/>
            <w:gridSpan w:val="3"/>
            <w:tcBorders>
              <w:tl2br w:val="nil"/>
              <w:tr2bl w:val="nil"/>
            </w:tcBorders>
            <w:noWrap w:val="0"/>
            <w:vAlign w:val="center"/>
          </w:tcPr>
          <w:p>
            <w:pPr>
              <w:widowControl w:val="0"/>
              <w:adjustRightInd w:val="0"/>
              <w:snapToGrid w:val="0"/>
              <w:spacing w:line="28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II类</w:t>
            </w:r>
          </w:p>
        </w:tc>
        <w:tc>
          <w:tcPr>
            <w:tcW w:w="1445" w:type="pct"/>
            <w:gridSpan w:val="3"/>
            <w:tcBorders>
              <w:tl2br w:val="nil"/>
              <w:tr2bl w:val="nil"/>
            </w:tcBorders>
            <w:noWrap w:val="0"/>
            <w:vAlign w:val="center"/>
          </w:tcPr>
          <w:p>
            <w:pPr>
              <w:widowControl w:val="0"/>
              <w:adjustRightInd w:val="0"/>
              <w:snapToGrid w:val="0"/>
              <w:spacing w:line="28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III类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602" w:type="pct"/>
            <w:vMerge w:val="continue"/>
            <w:tcBorders>
              <w:tl2br w:val="nil"/>
              <w:tr2bl w:val="nil"/>
            </w:tcBorders>
            <w:noWrap w:val="0"/>
            <w:vAlign w:val="center"/>
          </w:tcPr>
          <w:p>
            <w:pPr>
              <w:widowControl w:val="0"/>
              <w:adjustRightInd w:val="0"/>
              <w:snapToGrid w:val="0"/>
              <w:spacing w:line="280" w:lineRule="exact"/>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466" w:type="pct"/>
            <w:tcBorders>
              <w:tl2br w:val="nil"/>
              <w:tr2bl w:val="nil"/>
            </w:tcBorders>
            <w:noWrap w:val="0"/>
            <w:vAlign w:val="center"/>
          </w:tcPr>
          <w:p>
            <w:pPr>
              <w:widowControl w:val="0"/>
              <w:adjustRightInd w:val="0"/>
              <w:snapToGrid w:val="0"/>
              <w:spacing w:line="28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大</w:t>
            </w:r>
          </w:p>
        </w:tc>
        <w:tc>
          <w:tcPr>
            <w:tcW w:w="473" w:type="pct"/>
            <w:tcBorders>
              <w:tl2br w:val="nil"/>
              <w:tr2bl w:val="nil"/>
            </w:tcBorders>
            <w:noWrap w:val="0"/>
            <w:vAlign w:val="center"/>
          </w:tcPr>
          <w:p>
            <w:pPr>
              <w:widowControl w:val="0"/>
              <w:adjustRightInd w:val="0"/>
              <w:snapToGrid w:val="0"/>
              <w:spacing w:line="28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中</w:t>
            </w:r>
          </w:p>
        </w:tc>
        <w:tc>
          <w:tcPr>
            <w:tcW w:w="557" w:type="pct"/>
            <w:tcBorders>
              <w:tl2br w:val="nil"/>
              <w:tr2bl w:val="nil"/>
            </w:tcBorders>
            <w:noWrap w:val="0"/>
            <w:vAlign w:val="center"/>
          </w:tcPr>
          <w:p>
            <w:pPr>
              <w:widowControl w:val="0"/>
              <w:adjustRightInd w:val="0"/>
              <w:snapToGrid w:val="0"/>
              <w:spacing w:line="28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小</w:t>
            </w:r>
          </w:p>
        </w:tc>
        <w:tc>
          <w:tcPr>
            <w:tcW w:w="508" w:type="pct"/>
            <w:tcBorders>
              <w:tl2br w:val="nil"/>
              <w:tr2bl w:val="nil"/>
            </w:tcBorders>
            <w:noWrap w:val="0"/>
            <w:vAlign w:val="center"/>
          </w:tcPr>
          <w:p>
            <w:pPr>
              <w:widowControl w:val="0"/>
              <w:adjustRightInd w:val="0"/>
              <w:snapToGrid w:val="0"/>
              <w:spacing w:line="28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大</w:t>
            </w:r>
          </w:p>
        </w:tc>
        <w:tc>
          <w:tcPr>
            <w:tcW w:w="445" w:type="pct"/>
            <w:tcBorders>
              <w:tl2br w:val="nil"/>
              <w:tr2bl w:val="nil"/>
            </w:tcBorders>
            <w:noWrap w:val="0"/>
            <w:vAlign w:val="center"/>
          </w:tcPr>
          <w:p>
            <w:pPr>
              <w:widowControl w:val="0"/>
              <w:adjustRightInd w:val="0"/>
              <w:snapToGrid w:val="0"/>
              <w:spacing w:line="28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中</w:t>
            </w:r>
          </w:p>
        </w:tc>
        <w:tc>
          <w:tcPr>
            <w:tcW w:w="501" w:type="pct"/>
            <w:tcBorders>
              <w:tl2br w:val="nil"/>
              <w:tr2bl w:val="nil"/>
            </w:tcBorders>
            <w:noWrap w:val="0"/>
            <w:vAlign w:val="center"/>
          </w:tcPr>
          <w:p>
            <w:pPr>
              <w:widowControl w:val="0"/>
              <w:adjustRightInd w:val="0"/>
              <w:snapToGrid w:val="0"/>
              <w:spacing w:line="28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小</w:t>
            </w:r>
          </w:p>
        </w:tc>
        <w:tc>
          <w:tcPr>
            <w:tcW w:w="445" w:type="pct"/>
            <w:tcBorders>
              <w:tl2br w:val="nil"/>
              <w:tr2bl w:val="nil"/>
            </w:tcBorders>
            <w:noWrap w:val="0"/>
            <w:vAlign w:val="center"/>
          </w:tcPr>
          <w:p>
            <w:pPr>
              <w:widowControl w:val="0"/>
              <w:adjustRightInd w:val="0"/>
              <w:snapToGrid w:val="0"/>
              <w:spacing w:line="28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大</w:t>
            </w:r>
          </w:p>
        </w:tc>
        <w:tc>
          <w:tcPr>
            <w:tcW w:w="500" w:type="pct"/>
            <w:tcBorders>
              <w:tl2br w:val="nil"/>
              <w:tr2bl w:val="nil"/>
            </w:tcBorders>
            <w:noWrap w:val="0"/>
            <w:vAlign w:val="center"/>
          </w:tcPr>
          <w:p>
            <w:pPr>
              <w:widowControl w:val="0"/>
              <w:adjustRightInd w:val="0"/>
              <w:snapToGrid w:val="0"/>
              <w:spacing w:line="28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中</w:t>
            </w:r>
          </w:p>
        </w:tc>
        <w:tc>
          <w:tcPr>
            <w:tcW w:w="500" w:type="pct"/>
            <w:tcBorders>
              <w:tl2br w:val="nil"/>
              <w:tr2bl w:val="nil"/>
            </w:tcBorders>
            <w:noWrap w:val="0"/>
            <w:vAlign w:val="center"/>
          </w:tcPr>
          <w:p>
            <w:pPr>
              <w:widowControl w:val="0"/>
              <w:adjustRightInd w:val="0"/>
              <w:snapToGrid w:val="0"/>
              <w:spacing w:line="28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小</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602" w:type="pct"/>
            <w:tcBorders>
              <w:tl2br w:val="nil"/>
              <w:tr2bl w:val="nil"/>
            </w:tcBorders>
            <w:noWrap w:val="0"/>
            <w:vAlign w:val="center"/>
          </w:tcPr>
          <w:p>
            <w:pPr>
              <w:widowControl w:val="0"/>
              <w:adjustRightInd w:val="0"/>
              <w:snapToGrid w:val="0"/>
              <w:spacing w:line="28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敏感</w:t>
            </w:r>
          </w:p>
        </w:tc>
        <w:tc>
          <w:tcPr>
            <w:tcW w:w="466" w:type="pct"/>
            <w:tcBorders>
              <w:tl2br w:val="nil"/>
              <w:tr2bl w:val="nil"/>
            </w:tcBorders>
            <w:noWrap w:val="0"/>
            <w:vAlign w:val="center"/>
          </w:tcPr>
          <w:p>
            <w:pPr>
              <w:widowControl w:val="0"/>
              <w:adjustRightInd w:val="0"/>
              <w:snapToGrid w:val="0"/>
              <w:spacing w:line="28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一级</w:t>
            </w:r>
          </w:p>
        </w:tc>
        <w:tc>
          <w:tcPr>
            <w:tcW w:w="473" w:type="pct"/>
            <w:tcBorders>
              <w:tl2br w:val="nil"/>
              <w:tr2bl w:val="nil"/>
            </w:tcBorders>
            <w:noWrap w:val="0"/>
            <w:vAlign w:val="center"/>
          </w:tcPr>
          <w:p>
            <w:pPr>
              <w:widowControl w:val="0"/>
              <w:adjustRightInd w:val="0"/>
              <w:snapToGrid w:val="0"/>
              <w:spacing w:line="28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一级</w:t>
            </w:r>
          </w:p>
        </w:tc>
        <w:tc>
          <w:tcPr>
            <w:tcW w:w="557" w:type="pct"/>
            <w:tcBorders>
              <w:tl2br w:val="nil"/>
              <w:tr2bl w:val="nil"/>
            </w:tcBorders>
            <w:noWrap w:val="0"/>
            <w:vAlign w:val="center"/>
          </w:tcPr>
          <w:p>
            <w:pPr>
              <w:widowControl w:val="0"/>
              <w:adjustRightInd w:val="0"/>
              <w:snapToGrid w:val="0"/>
              <w:spacing w:line="28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一级</w:t>
            </w:r>
          </w:p>
        </w:tc>
        <w:tc>
          <w:tcPr>
            <w:tcW w:w="508" w:type="pct"/>
            <w:tcBorders>
              <w:tl2br w:val="nil"/>
              <w:tr2bl w:val="nil"/>
            </w:tcBorders>
            <w:noWrap w:val="0"/>
            <w:vAlign w:val="center"/>
          </w:tcPr>
          <w:p>
            <w:pPr>
              <w:widowControl w:val="0"/>
              <w:adjustRightInd w:val="0"/>
              <w:snapToGrid w:val="0"/>
              <w:spacing w:line="28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二级</w:t>
            </w:r>
          </w:p>
        </w:tc>
        <w:tc>
          <w:tcPr>
            <w:tcW w:w="445" w:type="pct"/>
            <w:tcBorders>
              <w:tl2br w:val="nil"/>
              <w:tr2bl w:val="nil"/>
            </w:tcBorders>
            <w:noWrap w:val="0"/>
            <w:vAlign w:val="center"/>
          </w:tcPr>
          <w:p>
            <w:pPr>
              <w:widowControl w:val="0"/>
              <w:adjustRightInd w:val="0"/>
              <w:snapToGrid w:val="0"/>
              <w:spacing w:line="28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二级</w:t>
            </w:r>
          </w:p>
        </w:tc>
        <w:tc>
          <w:tcPr>
            <w:tcW w:w="501" w:type="pct"/>
            <w:tcBorders>
              <w:tl2br w:val="nil"/>
              <w:tr2bl w:val="nil"/>
            </w:tcBorders>
            <w:noWrap w:val="0"/>
            <w:vAlign w:val="center"/>
          </w:tcPr>
          <w:p>
            <w:pPr>
              <w:widowControl w:val="0"/>
              <w:adjustRightInd w:val="0"/>
              <w:snapToGrid w:val="0"/>
              <w:spacing w:line="28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二级</w:t>
            </w:r>
          </w:p>
        </w:tc>
        <w:tc>
          <w:tcPr>
            <w:tcW w:w="445" w:type="pct"/>
            <w:tcBorders>
              <w:tl2br w:val="nil"/>
              <w:tr2bl w:val="nil"/>
            </w:tcBorders>
            <w:noWrap w:val="0"/>
            <w:vAlign w:val="center"/>
          </w:tcPr>
          <w:p>
            <w:pPr>
              <w:widowControl w:val="0"/>
              <w:adjustRightInd w:val="0"/>
              <w:snapToGrid w:val="0"/>
              <w:spacing w:line="28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三级</w:t>
            </w:r>
          </w:p>
        </w:tc>
        <w:tc>
          <w:tcPr>
            <w:tcW w:w="500" w:type="pct"/>
            <w:tcBorders>
              <w:tl2br w:val="nil"/>
              <w:tr2bl w:val="nil"/>
            </w:tcBorders>
            <w:noWrap w:val="0"/>
            <w:vAlign w:val="center"/>
          </w:tcPr>
          <w:p>
            <w:pPr>
              <w:widowControl w:val="0"/>
              <w:adjustRightInd w:val="0"/>
              <w:snapToGrid w:val="0"/>
              <w:spacing w:line="28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三级</w:t>
            </w:r>
          </w:p>
        </w:tc>
        <w:tc>
          <w:tcPr>
            <w:tcW w:w="500" w:type="pct"/>
            <w:tcBorders>
              <w:tl2br w:val="nil"/>
              <w:tr2bl w:val="nil"/>
            </w:tcBorders>
            <w:noWrap w:val="0"/>
            <w:vAlign w:val="center"/>
          </w:tcPr>
          <w:p>
            <w:pPr>
              <w:widowControl w:val="0"/>
              <w:adjustRightInd w:val="0"/>
              <w:snapToGrid w:val="0"/>
              <w:spacing w:line="28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三级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602" w:type="pct"/>
            <w:tcBorders>
              <w:tl2br w:val="nil"/>
              <w:tr2bl w:val="nil"/>
            </w:tcBorders>
            <w:noWrap w:val="0"/>
            <w:vAlign w:val="center"/>
          </w:tcPr>
          <w:p>
            <w:pPr>
              <w:widowControl w:val="0"/>
              <w:adjustRightInd w:val="0"/>
              <w:snapToGrid w:val="0"/>
              <w:spacing w:line="28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较敏感</w:t>
            </w:r>
          </w:p>
        </w:tc>
        <w:tc>
          <w:tcPr>
            <w:tcW w:w="466" w:type="pct"/>
            <w:tcBorders>
              <w:tl2br w:val="nil"/>
              <w:tr2bl w:val="nil"/>
            </w:tcBorders>
            <w:noWrap w:val="0"/>
            <w:vAlign w:val="center"/>
          </w:tcPr>
          <w:p>
            <w:pPr>
              <w:widowControl w:val="0"/>
              <w:adjustRightInd w:val="0"/>
              <w:snapToGrid w:val="0"/>
              <w:spacing w:line="28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一级</w:t>
            </w:r>
          </w:p>
        </w:tc>
        <w:tc>
          <w:tcPr>
            <w:tcW w:w="473" w:type="pct"/>
            <w:tcBorders>
              <w:tl2br w:val="nil"/>
              <w:tr2bl w:val="nil"/>
            </w:tcBorders>
            <w:noWrap w:val="0"/>
            <w:vAlign w:val="center"/>
          </w:tcPr>
          <w:p>
            <w:pPr>
              <w:widowControl w:val="0"/>
              <w:adjustRightInd w:val="0"/>
              <w:snapToGrid w:val="0"/>
              <w:spacing w:line="28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一级</w:t>
            </w:r>
          </w:p>
        </w:tc>
        <w:tc>
          <w:tcPr>
            <w:tcW w:w="557" w:type="pct"/>
            <w:tcBorders>
              <w:tl2br w:val="nil"/>
              <w:tr2bl w:val="nil"/>
            </w:tcBorders>
            <w:noWrap w:val="0"/>
            <w:vAlign w:val="center"/>
          </w:tcPr>
          <w:p>
            <w:pPr>
              <w:widowControl w:val="0"/>
              <w:adjustRightInd w:val="0"/>
              <w:snapToGrid w:val="0"/>
              <w:spacing w:line="28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二级</w:t>
            </w:r>
          </w:p>
        </w:tc>
        <w:tc>
          <w:tcPr>
            <w:tcW w:w="508" w:type="pct"/>
            <w:tcBorders>
              <w:tl2br w:val="nil"/>
              <w:tr2bl w:val="nil"/>
            </w:tcBorders>
            <w:noWrap w:val="0"/>
            <w:vAlign w:val="center"/>
          </w:tcPr>
          <w:p>
            <w:pPr>
              <w:widowControl w:val="0"/>
              <w:adjustRightInd w:val="0"/>
              <w:snapToGrid w:val="0"/>
              <w:spacing w:line="28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二级</w:t>
            </w:r>
          </w:p>
        </w:tc>
        <w:tc>
          <w:tcPr>
            <w:tcW w:w="445" w:type="pct"/>
            <w:tcBorders>
              <w:tl2br w:val="nil"/>
              <w:tr2bl w:val="nil"/>
            </w:tcBorders>
            <w:noWrap w:val="0"/>
            <w:vAlign w:val="center"/>
          </w:tcPr>
          <w:p>
            <w:pPr>
              <w:widowControl w:val="0"/>
              <w:adjustRightInd w:val="0"/>
              <w:snapToGrid w:val="0"/>
              <w:spacing w:line="28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二级</w:t>
            </w:r>
          </w:p>
        </w:tc>
        <w:tc>
          <w:tcPr>
            <w:tcW w:w="501" w:type="pct"/>
            <w:tcBorders>
              <w:tl2br w:val="nil"/>
              <w:tr2bl w:val="nil"/>
            </w:tcBorders>
            <w:noWrap w:val="0"/>
            <w:vAlign w:val="center"/>
          </w:tcPr>
          <w:p>
            <w:pPr>
              <w:widowControl w:val="0"/>
              <w:adjustRightInd w:val="0"/>
              <w:snapToGrid w:val="0"/>
              <w:spacing w:line="28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三级</w:t>
            </w:r>
          </w:p>
        </w:tc>
        <w:tc>
          <w:tcPr>
            <w:tcW w:w="445" w:type="pct"/>
            <w:tcBorders>
              <w:tl2br w:val="nil"/>
              <w:tr2bl w:val="nil"/>
            </w:tcBorders>
            <w:noWrap w:val="0"/>
            <w:vAlign w:val="center"/>
          </w:tcPr>
          <w:p>
            <w:pPr>
              <w:widowControl w:val="0"/>
              <w:adjustRightInd w:val="0"/>
              <w:snapToGrid w:val="0"/>
              <w:spacing w:line="28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三级</w:t>
            </w:r>
          </w:p>
        </w:tc>
        <w:tc>
          <w:tcPr>
            <w:tcW w:w="500" w:type="pct"/>
            <w:tcBorders>
              <w:tl2br w:val="nil"/>
              <w:tr2bl w:val="nil"/>
            </w:tcBorders>
            <w:noWrap w:val="0"/>
            <w:vAlign w:val="center"/>
          </w:tcPr>
          <w:p>
            <w:pPr>
              <w:widowControl w:val="0"/>
              <w:adjustRightInd w:val="0"/>
              <w:snapToGrid w:val="0"/>
              <w:spacing w:line="28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三级</w:t>
            </w:r>
          </w:p>
        </w:tc>
        <w:tc>
          <w:tcPr>
            <w:tcW w:w="500" w:type="pct"/>
            <w:tcBorders>
              <w:tl2br w:val="nil"/>
              <w:tr2bl w:val="nil"/>
            </w:tcBorders>
            <w:noWrap w:val="0"/>
            <w:vAlign w:val="center"/>
          </w:tcPr>
          <w:p>
            <w:pPr>
              <w:widowControl w:val="0"/>
              <w:adjustRightInd w:val="0"/>
              <w:snapToGrid w:val="0"/>
              <w:spacing w:line="28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602" w:type="pct"/>
            <w:tcBorders>
              <w:tl2br w:val="nil"/>
              <w:tr2bl w:val="nil"/>
            </w:tcBorders>
            <w:shd w:val="clear" w:color="auto" w:fill="auto"/>
            <w:noWrap w:val="0"/>
            <w:vAlign w:val="center"/>
          </w:tcPr>
          <w:p>
            <w:pPr>
              <w:widowControl w:val="0"/>
              <w:adjustRightInd w:val="0"/>
              <w:snapToGrid w:val="0"/>
              <w:spacing w:line="28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不敏感</w:t>
            </w:r>
          </w:p>
        </w:tc>
        <w:tc>
          <w:tcPr>
            <w:tcW w:w="466" w:type="pct"/>
            <w:tcBorders>
              <w:tl2br w:val="nil"/>
              <w:tr2bl w:val="nil"/>
            </w:tcBorders>
            <w:shd w:val="clear" w:color="auto" w:fill="auto"/>
            <w:noWrap w:val="0"/>
            <w:vAlign w:val="center"/>
          </w:tcPr>
          <w:p>
            <w:pPr>
              <w:widowControl w:val="0"/>
              <w:adjustRightInd w:val="0"/>
              <w:snapToGrid w:val="0"/>
              <w:spacing w:line="28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一级</w:t>
            </w:r>
          </w:p>
        </w:tc>
        <w:tc>
          <w:tcPr>
            <w:tcW w:w="473" w:type="pct"/>
            <w:tcBorders>
              <w:tl2br w:val="nil"/>
              <w:tr2bl w:val="nil"/>
            </w:tcBorders>
            <w:shd w:val="clear" w:color="auto" w:fill="auto"/>
            <w:noWrap w:val="0"/>
            <w:vAlign w:val="center"/>
          </w:tcPr>
          <w:p>
            <w:pPr>
              <w:widowControl w:val="0"/>
              <w:adjustRightInd w:val="0"/>
              <w:snapToGrid w:val="0"/>
              <w:spacing w:line="28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二级</w:t>
            </w:r>
          </w:p>
        </w:tc>
        <w:tc>
          <w:tcPr>
            <w:tcW w:w="557" w:type="pct"/>
            <w:tcBorders>
              <w:tl2br w:val="nil"/>
              <w:tr2bl w:val="nil"/>
            </w:tcBorders>
            <w:shd w:val="clear" w:color="auto" w:fill="auto"/>
            <w:noWrap w:val="0"/>
            <w:vAlign w:val="center"/>
          </w:tcPr>
          <w:p>
            <w:pPr>
              <w:widowControl w:val="0"/>
              <w:adjustRightInd w:val="0"/>
              <w:snapToGrid w:val="0"/>
              <w:spacing w:line="28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二级</w:t>
            </w:r>
          </w:p>
        </w:tc>
        <w:tc>
          <w:tcPr>
            <w:tcW w:w="508" w:type="pct"/>
            <w:tcBorders>
              <w:tl2br w:val="nil"/>
              <w:tr2bl w:val="nil"/>
            </w:tcBorders>
            <w:shd w:val="clear" w:color="auto" w:fill="auto"/>
            <w:noWrap w:val="0"/>
            <w:vAlign w:val="center"/>
          </w:tcPr>
          <w:p>
            <w:pPr>
              <w:widowControl w:val="0"/>
              <w:adjustRightInd w:val="0"/>
              <w:snapToGrid w:val="0"/>
              <w:spacing w:line="28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二级</w:t>
            </w:r>
          </w:p>
        </w:tc>
        <w:tc>
          <w:tcPr>
            <w:tcW w:w="445" w:type="pct"/>
            <w:tcBorders>
              <w:tl2br w:val="nil"/>
              <w:tr2bl w:val="nil"/>
            </w:tcBorders>
            <w:shd w:val="clear" w:color="auto" w:fill="auto"/>
            <w:noWrap w:val="0"/>
            <w:vAlign w:val="center"/>
          </w:tcPr>
          <w:p>
            <w:pPr>
              <w:widowControl w:val="0"/>
              <w:adjustRightInd w:val="0"/>
              <w:snapToGrid w:val="0"/>
              <w:spacing w:line="28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三级</w:t>
            </w:r>
          </w:p>
        </w:tc>
        <w:tc>
          <w:tcPr>
            <w:tcW w:w="501" w:type="pct"/>
            <w:tcBorders>
              <w:tl2br w:val="nil"/>
              <w:tr2bl w:val="nil"/>
            </w:tcBorders>
            <w:shd w:val="clear" w:color="auto" w:fill="F4B083" w:themeFill="accent2" w:themeFillTint="99"/>
            <w:noWrap w:val="0"/>
            <w:vAlign w:val="center"/>
          </w:tcPr>
          <w:p>
            <w:pPr>
              <w:widowControl w:val="0"/>
              <w:adjustRightInd w:val="0"/>
              <w:snapToGrid w:val="0"/>
              <w:spacing w:line="28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三级</w:t>
            </w:r>
          </w:p>
        </w:tc>
        <w:tc>
          <w:tcPr>
            <w:tcW w:w="445" w:type="pct"/>
            <w:tcBorders>
              <w:tl2br w:val="nil"/>
              <w:tr2bl w:val="nil"/>
            </w:tcBorders>
            <w:noWrap w:val="0"/>
            <w:vAlign w:val="center"/>
          </w:tcPr>
          <w:p>
            <w:pPr>
              <w:widowControl w:val="0"/>
              <w:adjustRightInd w:val="0"/>
              <w:snapToGrid w:val="0"/>
              <w:spacing w:line="28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三级</w:t>
            </w:r>
          </w:p>
        </w:tc>
        <w:tc>
          <w:tcPr>
            <w:tcW w:w="500" w:type="pct"/>
            <w:tcBorders>
              <w:tl2br w:val="nil"/>
              <w:tr2bl w:val="nil"/>
            </w:tcBorders>
            <w:noWrap w:val="0"/>
            <w:vAlign w:val="center"/>
          </w:tcPr>
          <w:p>
            <w:pPr>
              <w:widowControl w:val="0"/>
              <w:adjustRightInd w:val="0"/>
              <w:snapToGrid w:val="0"/>
              <w:spacing w:line="28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w:t>
            </w:r>
          </w:p>
        </w:tc>
        <w:tc>
          <w:tcPr>
            <w:tcW w:w="500" w:type="pct"/>
            <w:tcBorders>
              <w:tl2br w:val="nil"/>
              <w:tr2bl w:val="nil"/>
            </w:tcBorders>
            <w:noWrap w:val="0"/>
            <w:vAlign w:val="center"/>
          </w:tcPr>
          <w:p>
            <w:pPr>
              <w:widowControl w:val="0"/>
              <w:adjustRightInd w:val="0"/>
              <w:snapToGrid w:val="0"/>
              <w:spacing w:line="28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5000" w:type="pct"/>
            <w:gridSpan w:val="10"/>
            <w:tcBorders>
              <w:tl2br w:val="nil"/>
              <w:tr2bl w:val="nil"/>
            </w:tcBorders>
            <w:noWrap w:val="0"/>
            <w:vAlign w:val="center"/>
          </w:tcPr>
          <w:p>
            <w:pPr>
              <w:widowControl w:val="0"/>
              <w:adjustRightInd w:val="0"/>
              <w:snapToGrid w:val="0"/>
              <w:spacing w:line="28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注：“-”表示可不开展土壤环境影响评价工作</w:t>
            </w:r>
          </w:p>
        </w:tc>
      </w:tr>
    </w:tbl>
    <w:p>
      <w:pPr>
        <w:spacing w:line="360" w:lineRule="auto"/>
        <w:ind w:firstLine="424" w:firstLineChars="177"/>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根据《环境影响评价技术导则土壤环境（HJ964-2018）》表4污染影响型评价工作等级划分表，项目土壤环境影响评价工作等级为</w:t>
      </w:r>
      <w:r>
        <w:rPr>
          <w:rFonts w:hint="eastAsia" w:ascii="宋体" w:hAnsi="宋体" w:eastAsia="宋体" w:cs="宋体"/>
          <w:color w:val="000000" w:themeColor="text1"/>
          <w:lang w:eastAsia="zh-CN"/>
          <w14:textFill>
            <w14:solidFill>
              <w14:schemeClr w14:val="tx1"/>
            </w14:solidFill>
          </w14:textFill>
        </w:rPr>
        <w:t>三</w:t>
      </w:r>
      <w:r>
        <w:rPr>
          <w:rFonts w:hint="eastAsia" w:ascii="宋体" w:hAnsi="宋体" w:eastAsia="宋体" w:cs="宋体"/>
          <w:color w:val="000000" w:themeColor="text1"/>
          <w14:textFill>
            <w14:solidFill>
              <w14:schemeClr w14:val="tx1"/>
            </w14:solidFill>
          </w14:textFill>
        </w:rPr>
        <w:t>级。</w:t>
      </w:r>
    </w:p>
    <w:p>
      <w:pPr>
        <w:spacing w:line="360" w:lineRule="auto"/>
        <w:ind w:firstLine="424" w:firstLineChars="177"/>
        <w:rPr>
          <w:rFonts w:hint="eastAsia" w:ascii="宋体" w:hAnsi="宋体" w:eastAsia="宋体" w:cs="宋体"/>
          <w:color w:val="000000" w:themeColor="text1"/>
          <w:lang w:val="en-US" w:eastAsia="zh-CN"/>
          <w14:textFill>
            <w14:solidFill>
              <w14:schemeClr w14:val="tx1"/>
            </w14:solidFill>
          </w14:textFill>
        </w:rPr>
      </w:pPr>
      <w:bookmarkStart w:id="197" w:name="_Toc14627"/>
      <w:bookmarkStart w:id="198" w:name="_Toc19375"/>
      <w:bookmarkStart w:id="199" w:name="_Toc6977"/>
      <w:bookmarkStart w:id="200" w:name="_Toc0"/>
      <w:bookmarkStart w:id="201" w:name="_Toc27312"/>
      <w:bookmarkStart w:id="202" w:name="_Toc11075"/>
      <w:r>
        <w:rPr>
          <w:rFonts w:hint="eastAsia" w:ascii="宋体" w:hAnsi="宋体" w:eastAsia="宋体" w:cs="宋体"/>
          <w:color w:val="000000" w:themeColor="text1"/>
          <w:lang w:val="en-US" w:eastAsia="zh-CN"/>
          <w14:textFill>
            <w14:solidFill>
              <w14:schemeClr w14:val="tx1"/>
            </w14:solidFill>
          </w14:textFill>
        </w:rPr>
        <w:t>（7）生态评价工作等级</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根据《环境影响评价技术导则 生态影响》（HJ19-2022）中相关内容进行分析。</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 xml:space="preserve">①按以下原则确定评价等级：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 xml:space="preserve">a）涉及国家公园、自然保护区、世界自然遗产、重要生境时，评价等级为一级；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 xml:space="preserve">b）涉及自然公园时，评价等级为二级；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 xml:space="preserve">c）涉及生态保护红线时，评价等级不低于二级；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 xml:space="preserve">d）根据 HJ2.3 判断属于水文要素影响型且地表水评价等级不低于二级的建设项目， 生态影响评价等级不低于二级；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 xml:space="preserve">e）根据 HJ610、HJ964 判断地下水水位或土壤影响范围内分布有天然林、公益林、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 xml:space="preserve">湿地等生态保护目标的建设项目，生态影响评价等级不低于二级；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 xml:space="preserve">f）当工程占地规模大于 20km2 时（包括永久和临时占用陆域和水域），评价等级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 xml:space="preserve">不低于二级；改扩建项目的占地范围以新增占地（包括陆域和水域）确定；g）除本条 a）、b）、c）、d）、e）、f）以外的情况，评价等级为三级；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 xml:space="preserve">h）当评价等级判定同时符合上述多种情况时，应采用其中最高的评价等级。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 xml:space="preserve">②符合生态环境分区管控要求且位于原厂界（或永久用地）范围内的污染影响类改扩建项目，位于已批准规划环评的产业园区内且符合规划环评要求、不涉及生态敏感区的污染影响类建设项目，可不确定评价等级，直接进行生态影响简单分析。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本项目位于新马创新工业园范围内，项目已建标准厂房进行生产，占地面积较小；项目在建设、运营过程中对生态环境的影响主要局限于园区范围，对生态环境的影响较小，根据国家《环境影响评价技术导则 生态影 响》（HJ19-2022）规定，本工程影响范围远小于 2km2，且项目所在地非生态敏感区， 属一般区域，可不确定评价等级，直接进行生态影响简单分析。</w:t>
      </w:r>
    </w:p>
    <w:p>
      <w:pPr>
        <w:pStyle w:val="8"/>
        <w:keepNext w:val="0"/>
        <w:keepLines w:val="0"/>
        <w:pageBreakBefore w:val="0"/>
        <w:widowControl/>
        <w:kinsoku/>
        <w:wordWrap/>
        <w:overflowPunct/>
        <w:topLinePunct w:val="0"/>
        <w:bidi w:val="0"/>
        <w:adjustRightInd/>
        <w:snapToGrid/>
        <w:ind w:firstLine="482" w:firstLineChars="200"/>
        <w:textAlignment w:val="auto"/>
        <w:rPr>
          <w:rFonts w:hint="eastAsia" w:ascii="宋体" w:hAnsi="宋体" w:eastAsia="宋体" w:cs="宋体"/>
          <w:bCs/>
          <w:color w:val="000000" w:themeColor="text1"/>
          <w:highlight w:val="none"/>
          <w:lang w:eastAsia="zh-CN"/>
          <w14:textFill>
            <w14:solidFill>
              <w14:schemeClr w14:val="tx1"/>
            </w14:solidFill>
          </w14:textFill>
        </w:rPr>
      </w:pPr>
      <w:bookmarkStart w:id="203" w:name="_Toc27528"/>
      <w:r>
        <w:rPr>
          <w:rFonts w:hint="eastAsia" w:ascii="宋体" w:hAnsi="宋体" w:eastAsia="宋体" w:cs="宋体"/>
          <w:bCs/>
          <w:color w:val="000000" w:themeColor="text1"/>
          <w:highlight w:val="none"/>
          <w:lang w:val="en-US" w:eastAsia="zh-CN"/>
          <w14:textFill>
            <w14:solidFill>
              <w14:schemeClr w14:val="tx1"/>
            </w14:solidFill>
          </w14:textFill>
        </w:rPr>
        <w:t>2.</w:t>
      </w:r>
      <w:r>
        <w:rPr>
          <w:rFonts w:hint="eastAsia" w:ascii="宋体" w:hAnsi="宋体" w:eastAsia="宋体" w:cs="宋体"/>
          <w:bCs/>
          <w:color w:val="000000" w:themeColor="text1"/>
          <w:highlight w:val="none"/>
          <w:lang w:eastAsia="zh-CN"/>
          <w14:textFill>
            <w14:solidFill>
              <w14:schemeClr w14:val="tx1"/>
            </w14:solidFill>
          </w14:textFill>
        </w:rPr>
        <w:t>3.2评价范围</w:t>
      </w:r>
      <w:bookmarkEnd w:id="189"/>
      <w:bookmarkEnd w:id="190"/>
      <w:bookmarkEnd w:id="191"/>
      <w:bookmarkEnd w:id="192"/>
      <w:bookmarkEnd w:id="193"/>
      <w:bookmarkEnd w:id="194"/>
      <w:bookmarkEnd w:id="197"/>
      <w:bookmarkEnd w:id="198"/>
      <w:bookmarkEnd w:id="199"/>
      <w:bookmarkEnd w:id="200"/>
      <w:bookmarkEnd w:id="201"/>
      <w:bookmarkEnd w:id="202"/>
      <w:bookmarkEnd w:id="203"/>
      <w:bookmarkStart w:id="204" w:name="_Toc326841852"/>
      <w:bookmarkStart w:id="205" w:name="_Toc327774597"/>
      <w:bookmarkStart w:id="206" w:name="_Toc326604746"/>
      <w:bookmarkStart w:id="207" w:name="_Toc329596336"/>
      <w:bookmarkStart w:id="208" w:name="_Toc326605949"/>
      <w:bookmarkStart w:id="209" w:name="_Toc326604211"/>
    </w:p>
    <w:bookmarkEnd w:id="168"/>
    <w:bookmarkEnd w:id="169"/>
    <w:bookmarkEnd w:id="170"/>
    <w:bookmarkEnd w:id="171"/>
    <w:bookmarkEnd w:id="172"/>
    <w:bookmarkEnd w:id="204"/>
    <w:bookmarkEnd w:id="205"/>
    <w:bookmarkEnd w:id="206"/>
    <w:bookmarkEnd w:id="207"/>
    <w:bookmarkEnd w:id="208"/>
    <w:bookmarkEnd w:id="209"/>
    <w:p>
      <w:pPr>
        <w:keepNext w:val="0"/>
        <w:keepLines w:val="0"/>
        <w:pageBreakBefore w:val="0"/>
        <w:widowControl/>
        <w:kinsoku/>
        <w:wordWrap/>
        <w:overflowPunct/>
        <w:topLinePunct w:val="0"/>
        <w:bidi w:val="0"/>
        <w:adjustRightInd/>
        <w:snapToGrid/>
        <w:spacing w:line="360" w:lineRule="auto"/>
        <w:ind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根据各环境要素评价等级，项目污染物排放特点，以及当地的气象条件、自然环境状况，确定各环境要素评价范围见下表。</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0" w:firstLineChars="0"/>
        <w:jc w:val="center"/>
        <w:textAlignment w:val="auto"/>
        <w:rPr>
          <w:rFonts w:hint="eastAsia" w:ascii="宋体" w:hAnsi="宋体" w:eastAsia="宋体" w:cs="宋体"/>
          <w:b/>
          <w:bCs/>
          <w:color w:val="000000" w:themeColor="text1"/>
          <w:sz w:val="24"/>
          <w:szCs w:val="24"/>
          <w:highlight w:val="none"/>
          <w14:textFill>
            <w14:solidFill>
              <w14:schemeClr w14:val="tx1"/>
            </w14:solidFill>
          </w14:textFill>
        </w:rPr>
      </w:pPr>
      <w:bookmarkStart w:id="210" w:name="_Toc166570295"/>
      <w:bookmarkStart w:id="211" w:name="_Toc172111045"/>
      <w:bookmarkStart w:id="212" w:name="_Toc166483877"/>
      <w:bookmarkStart w:id="213" w:name="_Toc187050109"/>
      <w:r>
        <w:rPr>
          <w:rFonts w:hint="eastAsia" w:ascii="宋体" w:hAnsi="宋体" w:eastAsia="宋体" w:cs="宋体"/>
          <w:b/>
          <w:bCs/>
          <w:color w:val="000000" w:themeColor="text1"/>
          <w:sz w:val="24"/>
          <w:szCs w:val="24"/>
          <w:highlight w:val="none"/>
          <w14:textFill>
            <w14:solidFill>
              <w14:schemeClr w14:val="tx1"/>
            </w14:solidFill>
          </w14:textFill>
        </w:rPr>
        <w:t>表</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2.3.2-1</w:t>
      </w:r>
      <w:r>
        <w:rPr>
          <w:rFonts w:hint="eastAsia" w:ascii="宋体" w:hAnsi="宋体" w:eastAsia="宋体" w:cs="宋体"/>
          <w:b/>
          <w:bCs/>
          <w:color w:val="000000" w:themeColor="text1"/>
          <w:sz w:val="24"/>
          <w:szCs w:val="24"/>
          <w:highlight w:val="none"/>
          <w14:textFill>
            <w14:solidFill>
              <w14:schemeClr w14:val="tx1"/>
            </w14:solidFill>
          </w14:textFill>
        </w:rPr>
        <w:t>评价范围一览表</w:t>
      </w:r>
      <w:bookmarkEnd w:id="210"/>
      <w:bookmarkEnd w:id="211"/>
      <w:bookmarkEnd w:id="212"/>
      <w:bookmarkEnd w:id="213"/>
    </w:p>
    <w:tbl>
      <w:tblPr>
        <w:tblStyle w:val="30"/>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1771"/>
        <w:gridCol w:w="797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1771" w:type="dxa"/>
            <w:tcBorders>
              <w:tl2br w:val="nil"/>
              <w:tr2bl w:val="nil"/>
            </w:tcBorders>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环境要素</w:t>
            </w:r>
          </w:p>
        </w:tc>
        <w:tc>
          <w:tcPr>
            <w:tcW w:w="7970" w:type="dxa"/>
            <w:tcBorders>
              <w:tl2br w:val="nil"/>
              <w:tr2bl w:val="nil"/>
            </w:tcBorders>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评价范围</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jc w:val="center"/>
        </w:trPr>
        <w:tc>
          <w:tcPr>
            <w:tcW w:w="1771" w:type="dxa"/>
            <w:tcBorders>
              <w:tl2br w:val="nil"/>
              <w:tr2bl w:val="nil"/>
            </w:tcBorders>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环境空气</w:t>
            </w:r>
          </w:p>
        </w:tc>
        <w:tc>
          <w:tcPr>
            <w:tcW w:w="7970" w:type="dxa"/>
            <w:tcBorders>
              <w:tl2br w:val="nil"/>
              <w:tr2bl w:val="nil"/>
            </w:tcBorders>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以项目厂址为中心，</w:t>
            </w:r>
            <w:r>
              <w:rPr>
                <w:rFonts w:hint="eastAsia" w:ascii="宋体" w:hAnsi="宋体" w:eastAsia="宋体" w:cs="宋体"/>
                <w:color w:val="000000" w:themeColor="text1"/>
                <w:sz w:val="21"/>
                <w:szCs w:val="21"/>
                <w:highlight w:val="none"/>
                <w:lang w:val="en-US" w:eastAsia="zh-CN"/>
                <w14:textFill>
                  <w14:solidFill>
                    <w14:schemeClr w14:val="tx1"/>
                  </w14:solidFill>
                </w14:textFill>
              </w:rPr>
              <w:t>取边长为5km的矩形</w:t>
            </w:r>
            <w:r>
              <w:rPr>
                <w:rFonts w:hint="eastAsia" w:ascii="宋体" w:hAnsi="宋体" w:eastAsia="宋体" w:cs="宋体"/>
                <w:color w:val="000000" w:themeColor="text1"/>
                <w:sz w:val="21"/>
                <w:szCs w:val="21"/>
                <w:highlight w:val="none"/>
                <w14:textFill>
                  <w14:solidFill>
                    <w14:schemeClr w14:val="tx1"/>
                  </w14:solidFill>
                </w14:textFill>
              </w:rPr>
              <w:t>区域</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2" w:hRule="atLeast"/>
          <w:jc w:val="center"/>
        </w:trPr>
        <w:tc>
          <w:tcPr>
            <w:tcW w:w="1771" w:type="dxa"/>
            <w:tcBorders>
              <w:tl2br w:val="nil"/>
              <w:tr2bl w:val="nil"/>
            </w:tcBorders>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地表水</w:t>
            </w:r>
          </w:p>
        </w:tc>
        <w:tc>
          <w:tcPr>
            <w:tcW w:w="7970" w:type="dxa"/>
            <w:tcBorders>
              <w:tl2br w:val="nil"/>
              <w:tr2bl w:val="nil"/>
            </w:tcBorders>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河西污水处理厂</w:t>
            </w:r>
            <w:r>
              <w:rPr>
                <w:rFonts w:hint="eastAsia" w:ascii="宋体" w:hAnsi="宋体" w:eastAsia="宋体" w:cs="宋体"/>
                <w:color w:val="000000" w:themeColor="text1"/>
                <w:sz w:val="21"/>
                <w:szCs w:val="21"/>
                <w:highlight w:val="none"/>
                <w14:textFill>
                  <w14:solidFill>
                    <w14:schemeClr w14:val="tx1"/>
                  </w14:solidFill>
                </w14:textFill>
              </w:rPr>
              <w:t>排污口上游500米至下游</w:t>
            </w: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r>
              <w:rPr>
                <w:rFonts w:hint="eastAsia" w:ascii="宋体" w:hAnsi="宋体" w:eastAsia="宋体" w:cs="宋体"/>
                <w:color w:val="000000" w:themeColor="text1"/>
                <w:sz w:val="21"/>
                <w:szCs w:val="21"/>
                <w:highlight w:val="none"/>
                <w14:textFill>
                  <w14:solidFill>
                    <w14:schemeClr w14:val="tx1"/>
                  </w14:solidFill>
                </w14:textFill>
              </w:rPr>
              <w:t>000</w:t>
            </w:r>
            <w:r>
              <w:rPr>
                <w:rFonts w:hint="eastAsia" w:ascii="宋体" w:hAnsi="宋体" w:eastAsia="宋体" w:cs="宋体"/>
                <w:color w:val="000000" w:themeColor="text1"/>
                <w:sz w:val="21"/>
                <w:szCs w:val="21"/>
                <w:highlight w:val="none"/>
                <w:lang w:val="en-US" w:eastAsia="zh-CN"/>
                <w14:textFill>
                  <w14:solidFill>
                    <w14:schemeClr w14:val="tx1"/>
                  </w14:solidFill>
                </w14:textFill>
              </w:rPr>
              <w:t>m范围</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1771" w:type="dxa"/>
            <w:tcBorders>
              <w:tl2br w:val="nil"/>
              <w:tr2bl w:val="nil"/>
            </w:tcBorders>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声环境</w:t>
            </w:r>
          </w:p>
        </w:tc>
        <w:tc>
          <w:tcPr>
            <w:tcW w:w="7970" w:type="dxa"/>
            <w:tcBorders>
              <w:tl2br w:val="nil"/>
              <w:tr2bl w:val="nil"/>
            </w:tcBorders>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厂界外</w:t>
            </w:r>
            <w:r>
              <w:rPr>
                <w:rFonts w:hint="eastAsia" w:ascii="宋体" w:hAnsi="宋体" w:eastAsia="宋体" w:cs="宋体"/>
                <w:color w:val="000000" w:themeColor="text1"/>
                <w:sz w:val="21"/>
                <w:szCs w:val="21"/>
                <w:highlight w:val="none"/>
                <w:lang w:val="en-US" w:eastAsia="zh-CN"/>
                <w14:textFill>
                  <w14:solidFill>
                    <w14:schemeClr w14:val="tx1"/>
                  </w14:solidFill>
                </w14:textFill>
              </w:rPr>
              <w:t>200</w:t>
            </w:r>
            <w:r>
              <w:rPr>
                <w:rFonts w:hint="eastAsia" w:ascii="宋体" w:hAnsi="宋体" w:eastAsia="宋体" w:cs="宋体"/>
                <w:color w:val="000000" w:themeColor="text1"/>
                <w:sz w:val="21"/>
                <w:szCs w:val="21"/>
                <w:highlight w:val="none"/>
                <w14:textFill>
                  <w14:solidFill>
                    <w14:schemeClr w14:val="tx1"/>
                  </w14:solidFill>
                </w14:textFill>
              </w:rPr>
              <w:t>m</w:t>
            </w:r>
            <w:r>
              <w:rPr>
                <w:rFonts w:hint="eastAsia" w:ascii="宋体" w:hAnsi="宋体" w:eastAsia="宋体" w:cs="宋体"/>
                <w:color w:val="000000" w:themeColor="text1"/>
                <w:sz w:val="21"/>
                <w:szCs w:val="21"/>
                <w:highlight w:val="none"/>
                <w:lang w:val="en-US" w:eastAsia="zh-CN"/>
                <w14:textFill>
                  <w14:solidFill>
                    <w14:schemeClr w14:val="tx1"/>
                  </w14:solidFill>
                </w14:textFill>
              </w:rPr>
              <w:t>范围内</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1771" w:type="dxa"/>
            <w:tcBorders>
              <w:tl2br w:val="nil"/>
              <w:tr2bl w:val="nil"/>
            </w:tcBorders>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地下水环境</w:t>
            </w:r>
          </w:p>
        </w:tc>
        <w:tc>
          <w:tcPr>
            <w:tcW w:w="7970" w:type="dxa"/>
            <w:tcBorders>
              <w:tl2br w:val="nil"/>
              <w:tr2bl w:val="nil"/>
            </w:tcBorders>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无需设置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1771" w:type="dxa"/>
            <w:tcBorders>
              <w:tl2br w:val="nil"/>
              <w:tr2bl w:val="nil"/>
            </w:tcBorders>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环境风险</w:t>
            </w:r>
          </w:p>
        </w:tc>
        <w:tc>
          <w:tcPr>
            <w:tcW w:w="7970" w:type="dxa"/>
            <w:tcBorders>
              <w:tl2br w:val="nil"/>
              <w:tr2bl w:val="nil"/>
            </w:tcBorders>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不需设置环境风险评价</w:t>
            </w:r>
            <w:r>
              <w:rPr>
                <w:rFonts w:hint="eastAsia" w:ascii="宋体" w:hAnsi="宋体" w:eastAsia="宋体" w:cs="宋体"/>
                <w:color w:val="000000" w:themeColor="text1"/>
                <w:sz w:val="21"/>
                <w:szCs w:val="21"/>
                <w:highlight w:val="none"/>
                <w14:textFill>
                  <w14:solidFill>
                    <w14:schemeClr w14:val="tx1"/>
                  </w14:solidFill>
                </w14:textFill>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1771" w:type="dxa"/>
            <w:tcBorders>
              <w:tl2br w:val="nil"/>
              <w:tr2bl w:val="nil"/>
            </w:tcBorders>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土壤环境</w:t>
            </w:r>
          </w:p>
        </w:tc>
        <w:tc>
          <w:tcPr>
            <w:tcW w:w="7970" w:type="dxa"/>
            <w:tcBorders>
              <w:tl2br w:val="nil"/>
              <w:tr2bl w:val="nil"/>
            </w:tcBorders>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厂界内及厂界外200m范围</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1771" w:type="dxa"/>
            <w:tcBorders>
              <w:tl2br w:val="nil"/>
              <w:tr2bl w:val="nil"/>
            </w:tcBorders>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bookmarkStart w:id="214" w:name="_Toc20674"/>
            <w:bookmarkStart w:id="215" w:name="_Toc28010_WPSOffice_Level2"/>
            <w:bookmarkStart w:id="216" w:name="_Toc29892"/>
            <w:bookmarkStart w:id="217" w:name="_Toc11752"/>
            <w:bookmarkStart w:id="218" w:name="_Toc10728"/>
            <w:bookmarkStart w:id="219" w:name="_Toc9745_WPSOffice_Level2"/>
            <w:bookmarkStart w:id="220" w:name="_Toc4815"/>
            <w:bookmarkStart w:id="221" w:name="_Toc16501"/>
            <w:bookmarkStart w:id="222" w:name="_Toc16168"/>
            <w:bookmarkStart w:id="223" w:name="_Toc6563_WPSOffice_Level2"/>
            <w:bookmarkStart w:id="224" w:name="_Toc21397"/>
            <w:r>
              <w:rPr>
                <w:rFonts w:hint="eastAsia" w:ascii="宋体" w:hAnsi="宋体" w:eastAsia="宋体" w:cs="宋体"/>
                <w:color w:val="000000" w:themeColor="text1"/>
                <w:sz w:val="21"/>
                <w:szCs w:val="21"/>
                <w:highlight w:val="none"/>
                <w:lang w:val="en-US" w:eastAsia="zh-CN"/>
                <w14:textFill>
                  <w14:solidFill>
                    <w14:schemeClr w14:val="tx1"/>
                  </w14:solidFill>
                </w14:textFill>
              </w:rPr>
              <w:t>生态环境</w:t>
            </w:r>
          </w:p>
        </w:tc>
        <w:tc>
          <w:tcPr>
            <w:tcW w:w="7970" w:type="dxa"/>
            <w:tcBorders>
              <w:tl2br w:val="nil"/>
              <w:tr2bl w:val="nil"/>
            </w:tcBorders>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建设项目厂界周边500m范围</w:t>
            </w:r>
          </w:p>
        </w:tc>
      </w:tr>
    </w:tbl>
    <w:p>
      <w:pPr>
        <w:pStyle w:val="7"/>
        <w:keepNext/>
        <w:keepLines/>
        <w:pageBreakBefore w:val="0"/>
        <w:widowControl/>
        <w:kinsoku/>
        <w:wordWrap/>
        <w:overflowPunct/>
        <w:topLinePunct w:val="0"/>
        <w:autoSpaceDE/>
        <w:autoSpaceDN/>
        <w:bidi w:val="0"/>
        <w:adjustRightInd/>
        <w:snapToGrid/>
        <w:ind w:firstLine="482" w:firstLineChars="200"/>
        <w:textAlignment w:val="auto"/>
        <w:rPr>
          <w:rFonts w:hint="eastAsia" w:ascii="宋体" w:hAnsi="宋体" w:eastAsia="宋体" w:cs="宋体"/>
          <w:bCs/>
          <w:color w:val="000000" w:themeColor="text1"/>
          <w:sz w:val="24"/>
          <w:szCs w:val="24"/>
          <w:highlight w:val="none"/>
          <w:lang w:eastAsia="zh-CN"/>
          <w14:textFill>
            <w14:solidFill>
              <w14:schemeClr w14:val="tx1"/>
            </w14:solidFill>
          </w14:textFill>
        </w:rPr>
      </w:pPr>
      <w:bookmarkStart w:id="225" w:name="_Toc30286"/>
      <w:r>
        <w:rPr>
          <w:rFonts w:hint="eastAsia" w:ascii="宋体" w:hAnsi="宋体" w:eastAsia="宋体" w:cs="宋体"/>
          <w:bCs/>
          <w:color w:val="000000" w:themeColor="text1"/>
          <w:sz w:val="24"/>
          <w:szCs w:val="24"/>
          <w:highlight w:val="none"/>
          <w:lang w:val="en-US" w:eastAsia="zh-CN"/>
          <w14:textFill>
            <w14:solidFill>
              <w14:schemeClr w14:val="tx1"/>
            </w14:solidFill>
          </w14:textFill>
        </w:rPr>
        <w:t>2.</w:t>
      </w:r>
      <w:r>
        <w:rPr>
          <w:rFonts w:hint="eastAsia" w:ascii="宋体" w:hAnsi="宋体" w:eastAsia="宋体" w:cs="宋体"/>
          <w:bCs/>
          <w:color w:val="000000" w:themeColor="text1"/>
          <w:sz w:val="24"/>
          <w:szCs w:val="24"/>
          <w:highlight w:val="none"/>
          <w:lang w:eastAsia="zh-CN"/>
          <w14:textFill>
            <w14:solidFill>
              <w14:schemeClr w14:val="tx1"/>
            </w14:solidFill>
          </w14:textFill>
        </w:rPr>
        <w:t>4环境功能区划</w:t>
      </w:r>
      <w:bookmarkEnd w:id="214"/>
      <w:bookmarkEnd w:id="215"/>
      <w:bookmarkEnd w:id="216"/>
      <w:bookmarkEnd w:id="217"/>
      <w:bookmarkEnd w:id="218"/>
      <w:bookmarkEnd w:id="219"/>
      <w:bookmarkEnd w:id="220"/>
      <w:bookmarkEnd w:id="221"/>
      <w:bookmarkEnd w:id="222"/>
      <w:bookmarkEnd w:id="223"/>
      <w:bookmarkEnd w:id="224"/>
      <w:bookmarkEnd w:id="225"/>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000000" w:themeColor="text1"/>
          <w:sz w:val="24"/>
          <w:szCs w:val="24"/>
          <w:highlight w:val="none"/>
          <w14:textFill>
            <w14:solidFill>
              <w14:schemeClr w14:val="tx1"/>
            </w14:solidFill>
          </w14:textFill>
        </w:rPr>
      </w:pPr>
      <w:bookmarkStart w:id="226" w:name="_Toc18014"/>
      <w:bookmarkStart w:id="227" w:name="_Toc3473"/>
      <w:bookmarkStart w:id="228" w:name="_Toc7962"/>
      <w:bookmarkStart w:id="229" w:name="_Toc12804"/>
      <w:bookmarkStart w:id="230" w:name="_Toc32524"/>
      <w:r>
        <w:rPr>
          <w:rFonts w:hint="eastAsia" w:ascii="宋体" w:hAnsi="宋体" w:eastAsia="宋体" w:cs="宋体"/>
          <w:color w:val="000000" w:themeColor="text1"/>
          <w:sz w:val="24"/>
          <w:szCs w:val="24"/>
          <w:highlight w:val="none"/>
          <w14:textFill>
            <w14:solidFill>
              <w14:schemeClr w14:val="tx1"/>
            </w14:solidFill>
          </w14:textFill>
        </w:rPr>
        <w:t>（1）大气环境</w:t>
      </w:r>
      <w:bookmarkEnd w:id="226"/>
      <w:bookmarkEnd w:id="227"/>
      <w:bookmarkEnd w:id="228"/>
      <w:bookmarkEnd w:id="229"/>
      <w:bookmarkEnd w:id="230"/>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项目位于</w:t>
      </w:r>
      <w:r>
        <w:rPr>
          <w:rFonts w:hint="eastAsia" w:ascii="宋体" w:hAnsi="宋体" w:eastAsia="宋体" w:cs="宋体"/>
          <w:color w:val="000000" w:themeColor="text1"/>
          <w:sz w:val="24"/>
          <w:szCs w:val="24"/>
          <w:highlight w:val="none"/>
          <w:lang w:eastAsia="zh-CN"/>
          <w14:textFill>
            <w14:solidFill>
              <w14:schemeClr w14:val="tx1"/>
            </w14:solidFill>
          </w14:textFill>
        </w:rPr>
        <w:t>新马创新工业片区</w:t>
      </w:r>
      <w:r>
        <w:rPr>
          <w:rFonts w:hint="eastAsia" w:ascii="宋体" w:hAnsi="宋体" w:eastAsia="宋体" w:cs="宋体"/>
          <w:color w:val="000000" w:themeColor="text1"/>
          <w:sz w:val="24"/>
          <w:szCs w:val="24"/>
          <w:highlight w:val="none"/>
          <w14:textFill>
            <w14:solidFill>
              <w14:schemeClr w14:val="tx1"/>
            </w14:solidFill>
          </w14:textFill>
        </w:rPr>
        <w:t>，根据《环境空气质量标准》（GB3095-2012）及2018年修改单规定，项目所在区域的环境空气质量应符合二类区要求。</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000000" w:themeColor="text1"/>
          <w:sz w:val="24"/>
          <w:szCs w:val="24"/>
          <w:highlight w:val="none"/>
          <w14:textFill>
            <w14:solidFill>
              <w14:schemeClr w14:val="tx1"/>
            </w14:solidFill>
          </w14:textFill>
        </w:rPr>
      </w:pPr>
      <w:bookmarkStart w:id="231" w:name="_Toc29049"/>
      <w:bookmarkStart w:id="232" w:name="_Toc10050"/>
      <w:bookmarkStart w:id="233" w:name="_Toc32319"/>
      <w:bookmarkStart w:id="234" w:name="_Toc9526"/>
      <w:bookmarkStart w:id="235" w:name="_Toc7469"/>
      <w:r>
        <w:rPr>
          <w:rFonts w:hint="eastAsia" w:ascii="宋体" w:hAnsi="宋体" w:eastAsia="宋体" w:cs="宋体"/>
          <w:color w:val="000000" w:themeColor="text1"/>
          <w:sz w:val="24"/>
          <w:szCs w:val="24"/>
          <w:highlight w:val="none"/>
          <w14:textFill>
            <w14:solidFill>
              <w14:schemeClr w14:val="tx1"/>
            </w14:solidFill>
          </w14:textFill>
        </w:rPr>
        <w:t>（2）地表水环境</w:t>
      </w:r>
      <w:bookmarkEnd w:id="231"/>
      <w:bookmarkEnd w:id="232"/>
      <w:bookmarkEnd w:id="233"/>
      <w:bookmarkEnd w:id="234"/>
      <w:bookmarkEnd w:id="235"/>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项目所在区域最终纳</w:t>
      </w:r>
      <w:r>
        <w:rPr>
          <w:rFonts w:hint="eastAsia" w:ascii="宋体" w:hAnsi="宋体" w:eastAsia="宋体" w:cs="宋体"/>
          <w:color w:val="000000" w:themeColor="text1"/>
          <w:sz w:val="24"/>
          <w:szCs w:val="24"/>
          <w:highlight w:val="none"/>
          <w:lang w:eastAsia="zh-CN"/>
          <w14:textFill>
            <w14:solidFill>
              <w14:schemeClr w14:val="tx1"/>
            </w14:solidFill>
          </w14:textFill>
        </w:rPr>
        <w:t>废水</w:t>
      </w:r>
      <w:r>
        <w:rPr>
          <w:rFonts w:hint="eastAsia" w:ascii="宋体" w:hAnsi="宋体" w:eastAsia="宋体" w:cs="宋体"/>
          <w:color w:val="000000" w:themeColor="text1"/>
          <w:sz w:val="24"/>
          <w:szCs w:val="24"/>
          <w:highlight w:val="none"/>
          <w14:textFill>
            <w14:solidFill>
              <w14:schemeClr w14:val="tx1"/>
            </w14:solidFill>
          </w14:textFill>
        </w:rPr>
        <w:t>体为</w:t>
      </w:r>
      <w:r>
        <w:rPr>
          <w:rFonts w:hint="eastAsia" w:ascii="宋体" w:hAnsi="宋体" w:eastAsia="宋体" w:cs="宋体"/>
          <w:color w:val="000000" w:themeColor="text1"/>
          <w:sz w:val="24"/>
          <w:szCs w:val="24"/>
          <w:highlight w:val="none"/>
          <w:lang w:val="en-US" w:eastAsia="zh-CN"/>
          <w14:textFill>
            <w14:solidFill>
              <w14:schemeClr w14:val="tx1"/>
            </w14:solidFill>
          </w14:textFill>
        </w:rPr>
        <w:t>湘江</w:t>
      </w:r>
      <w:r>
        <w:rPr>
          <w:rFonts w:hint="eastAsia" w:ascii="宋体" w:hAnsi="宋体" w:eastAsia="宋体" w:cs="宋体"/>
          <w:color w:val="000000" w:themeColor="text1"/>
          <w:sz w:val="24"/>
          <w:szCs w:val="24"/>
          <w:highlight w:val="none"/>
          <w14:textFill>
            <w14:solidFill>
              <w14:schemeClr w14:val="tx1"/>
            </w14:solidFill>
          </w14:textFill>
        </w:rPr>
        <w:t>。根据</w:t>
      </w:r>
      <w:r>
        <w:rPr>
          <w:rFonts w:hint="eastAsia" w:ascii="宋体" w:hAnsi="宋体" w:eastAsia="宋体" w:cs="宋体"/>
          <w:color w:val="000000" w:themeColor="text1"/>
          <w:sz w:val="24"/>
          <w:szCs w:val="24"/>
          <w:highlight w:val="none"/>
          <w:lang w:val="en-US" w:eastAsia="zh-CN"/>
          <w14:textFill>
            <w14:solidFill>
              <w14:schemeClr w14:val="tx1"/>
            </w14:solidFill>
          </w14:textFill>
        </w:rPr>
        <w:t>株洲市</w:t>
      </w:r>
      <w:r>
        <w:rPr>
          <w:rFonts w:hint="eastAsia" w:ascii="宋体" w:hAnsi="宋体" w:eastAsia="宋体" w:cs="宋体"/>
          <w:color w:val="000000" w:themeColor="text1"/>
          <w:sz w:val="24"/>
          <w:szCs w:val="24"/>
          <w:highlight w:val="none"/>
          <w14:textFill>
            <w14:solidFill>
              <w14:schemeClr w14:val="tx1"/>
            </w14:solidFill>
          </w14:textFill>
        </w:rPr>
        <w:t>水环境功能区划，项目所在区域地表水环境质量应达到《地表水环境质量标准》（GB3838-2002）</w:t>
      </w:r>
      <w:r>
        <w:rPr>
          <w:rFonts w:hint="eastAsia" w:ascii="宋体" w:hAnsi="宋体" w:eastAsia="宋体" w:cs="宋体"/>
          <w:color w:val="000000" w:themeColor="text1"/>
          <w:sz w:val="24"/>
          <w:szCs w:val="24"/>
          <w:highlight w:val="none"/>
          <w:lang w:val="en-US" w:eastAsia="zh-CN"/>
          <w14:textFill>
            <w14:solidFill>
              <w14:schemeClr w14:val="tx1"/>
            </w14:solidFill>
          </w14:textFill>
        </w:rPr>
        <w:t>Ⅲ</w:t>
      </w:r>
      <w:r>
        <w:rPr>
          <w:rFonts w:hint="eastAsia" w:ascii="宋体" w:hAnsi="宋体" w:eastAsia="宋体" w:cs="宋体"/>
          <w:color w:val="000000" w:themeColor="text1"/>
          <w:sz w:val="24"/>
          <w:szCs w:val="24"/>
          <w:highlight w:val="none"/>
          <w14:textFill>
            <w14:solidFill>
              <w14:schemeClr w14:val="tx1"/>
            </w14:solidFill>
          </w14:textFill>
        </w:rPr>
        <w:t>类功能区要求。</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000000" w:themeColor="text1"/>
          <w:sz w:val="24"/>
          <w:szCs w:val="24"/>
          <w:highlight w:val="none"/>
          <w14:textFill>
            <w14:solidFill>
              <w14:schemeClr w14:val="tx1"/>
            </w14:solidFill>
          </w14:textFill>
        </w:rPr>
      </w:pPr>
      <w:bookmarkStart w:id="236" w:name="_Toc19524"/>
      <w:bookmarkStart w:id="237" w:name="_Toc16144"/>
      <w:bookmarkStart w:id="238" w:name="_Toc21057"/>
      <w:bookmarkStart w:id="239" w:name="_Toc26235"/>
      <w:bookmarkStart w:id="240" w:name="_Toc20900"/>
      <w:r>
        <w:rPr>
          <w:rFonts w:hint="eastAsia" w:ascii="宋体" w:hAnsi="宋体" w:eastAsia="宋体" w:cs="宋体"/>
          <w:color w:val="000000" w:themeColor="text1"/>
          <w:sz w:val="24"/>
          <w:szCs w:val="24"/>
          <w:highlight w:val="none"/>
          <w14:textFill>
            <w14:solidFill>
              <w14:schemeClr w14:val="tx1"/>
            </w14:solidFill>
          </w14:textFill>
        </w:rPr>
        <w:t>（3）地下水环境</w:t>
      </w:r>
      <w:bookmarkEnd w:id="236"/>
      <w:bookmarkEnd w:id="237"/>
      <w:bookmarkEnd w:id="238"/>
      <w:bookmarkEnd w:id="239"/>
      <w:bookmarkEnd w:id="240"/>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根据《地下水质量标准》（GB/T14848-2017），项目区域内地下水环境质量为Ⅲ类功能区要求。</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000000" w:themeColor="text1"/>
          <w:sz w:val="24"/>
          <w:szCs w:val="24"/>
          <w:highlight w:val="none"/>
          <w14:textFill>
            <w14:solidFill>
              <w14:schemeClr w14:val="tx1"/>
            </w14:solidFill>
          </w14:textFill>
        </w:rPr>
      </w:pPr>
      <w:bookmarkStart w:id="241" w:name="_Toc6036"/>
      <w:bookmarkStart w:id="242" w:name="_Toc14286"/>
      <w:bookmarkStart w:id="243" w:name="_Toc9184"/>
      <w:bookmarkStart w:id="244" w:name="_Toc28607"/>
      <w:bookmarkStart w:id="245" w:name="_Toc7611"/>
      <w:r>
        <w:rPr>
          <w:rFonts w:hint="eastAsia" w:ascii="宋体" w:hAnsi="宋体" w:eastAsia="宋体" w:cs="宋体"/>
          <w:color w:val="000000" w:themeColor="text1"/>
          <w:sz w:val="24"/>
          <w:szCs w:val="24"/>
          <w:highlight w:val="none"/>
          <w14:textFill>
            <w14:solidFill>
              <w14:schemeClr w14:val="tx1"/>
            </w14:solidFill>
          </w14:textFill>
        </w:rPr>
        <w:t>（4）声环境</w:t>
      </w:r>
      <w:bookmarkEnd w:id="241"/>
      <w:bookmarkEnd w:id="242"/>
      <w:bookmarkEnd w:id="243"/>
      <w:bookmarkEnd w:id="244"/>
      <w:bookmarkEnd w:id="245"/>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根据《声环境质量标准》（GB3096-2008）规定，项目所在区域以工业生产为主要功能，项目所在地厂界外声环境昼、夜间噪声均符合《声环境质量标准》(GB3096-2008)中3类标准要求。</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000000" w:themeColor="text1"/>
          <w:sz w:val="24"/>
          <w:szCs w:val="24"/>
          <w:highlight w:val="none"/>
          <w14:textFill>
            <w14:solidFill>
              <w14:schemeClr w14:val="tx1"/>
            </w14:solidFill>
          </w14:textFill>
        </w:rPr>
      </w:pPr>
      <w:bookmarkStart w:id="246" w:name="_Toc26565"/>
      <w:bookmarkStart w:id="247" w:name="_Toc30900"/>
      <w:bookmarkStart w:id="248" w:name="_Toc20327"/>
      <w:bookmarkStart w:id="249" w:name="_Toc5762"/>
      <w:bookmarkStart w:id="250" w:name="_Toc15313"/>
      <w:r>
        <w:rPr>
          <w:rFonts w:hint="eastAsia" w:ascii="宋体" w:hAnsi="宋体" w:eastAsia="宋体" w:cs="宋体"/>
          <w:color w:val="000000" w:themeColor="text1"/>
          <w:sz w:val="24"/>
          <w:szCs w:val="24"/>
          <w:highlight w:val="none"/>
          <w14:textFill>
            <w14:solidFill>
              <w14:schemeClr w14:val="tx1"/>
            </w14:solidFill>
          </w14:textFill>
        </w:rPr>
        <w:t>（5）土壤环境</w:t>
      </w:r>
      <w:bookmarkEnd w:id="246"/>
      <w:bookmarkEnd w:id="247"/>
      <w:bookmarkEnd w:id="248"/>
      <w:bookmarkEnd w:id="249"/>
      <w:bookmarkEnd w:id="250"/>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项目所在区域土壤环境质量应达到《土壤环境质量建设用地土壤污染风险管控标准（试行）》（GB36600-2018）中第二类用地筛选值标准。</w:t>
      </w:r>
    </w:p>
    <w:p>
      <w:pPr>
        <w:pStyle w:val="7"/>
        <w:keepNext w:val="0"/>
        <w:keepLines w:val="0"/>
        <w:pageBreakBefore w:val="0"/>
        <w:widowControl/>
        <w:kinsoku/>
        <w:wordWrap/>
        <w:overflowPunct/>
        <w:topLinePunct w:val="0"/>
        <w:bidi w:val="0"/>
        <w:adjustRightInd/>
        <w:snapToGrid/>
        <w:ind w:firstLine="482" w:firstLineChars="200"/>
        <w:textAlignment w:val="auto"/>
        <w:rPr>
          <w:rFonts w:hint="eastAsia" w:ascii="宋体" w:hAnsi="宋体" w:eastAsia="宋体" w:cs="宋体"/>
          <w:bCs/>
          <w:color w:val="000000" w:themeColor="text1"/>
          <w:sz w:val="24"/>
          <w:szCs w:val="24"/>
          <w:highlight w:val="none"/>
          <w:lang w:eastAsia="zh-CN"/>
          <w14:textFill>
            <w14:solidFill>
              <w14:schemeClr w14:val="tx1"/>
            </w14:solidFill>
          </w14:textFill>
        </w:rPr>
      </w:pPr>
      <w:bookmarkStart w:id="251" w:name="_Toc29351"/>
      <w:bookmarkStart w:id="252" w:name="_Toc20419"/>
      <w:bookmarkStart w:id="253" w:name="_Toc24832"/>
      <w:bookmarkStart w:id="254" w:name="_Toc9550"/>
      <w:bookmarkStart w:id="255" w:name="_Toc326604743"/>
      <w:bookmarkStart w:id="256" w:name="_Toc9800"/>
      <w:bookmarkStart w:id="257" w:name="_Toc6620_WPSOffice_Level2"/>
      <w:bookmarkStart w:id="258" w:name="_Toc24239"/>
      <w:bookmarkStart w:id="259" w:name="_Toc329596333"/>
      <w:bookmarkStart w:id="260" w:name="_Toc26254"/>
      <w:bookmarkStart w:id="261" w:name="_Toc326605946"/>
      <w:bookmarkStart w:id="262" w:name="_Toc28447"/>
      <w:bookmarkStart w:id="263" w:name="_Toc326604208"/>
      <w:bookmarkStart w:id="264" w:name="_Toc20101_WPSOffice_Level2"/>
      <w:bookmarkStart w:id="265" w:name="_Toc327774594"/>
      <w:bookmarkStart w:id="266" w:name="_Toc326841849"/>
      <w:bookmarkStart w:id="267" w:name="_Toc27710_WPSOffice_Level2"/>
      <w:bookmarkStart w:id="268" w:name="_Toc27241"/>
      <w:r>
        <w:rPr>
          <w:rFonts w:hint="eastAsia" w:ascii="宋体" w:hAnsi="宋体" w:eastAsia="宋体" w:cs="宋体"/>
          <w:bCs/>
          <w:color w:val="000000" w:themeColor="text1"/>
          <w:sz w:val="24"/>
          <w:szCs w:val="24"/>
          <w:highlight w:val="none"/>
          <w:lang w:val="en-US" w:eastAsia="zh-CN"/>
          <w14:textFill>
            <w14:solidFill>
              <w14:schemeClr w14:val="tx1"/>
            </w14:solidFill>
          </w14:textFill>
        </w:rPr>
        <w:t>2.5</w:t>
      </w:r>
      <w:r>
        <w:rPr>
          <w:rFonts w:hint="eastAsia" w:ascii="宋体" w:hAnsi="宋体" w:eastAsia="宋体" w:cs="宋体"/>
          <w:bCs/>
          <w:color w:val="000000" w:themeColor="text1"/>
          <w:sz w:val="24"/>
          <w:szCs w:val="24"/>
          <w:highlight w:val="none"/>
          <w:lang w:eastAsia="zh-CN"/>
          <w14:textFill>
            <w14:solidFill>
              <w14:schemeClr w14:val="tx1"/>
            </w14:solidFill>
          </w14:textFill>
        </w:rPr>
        <w:t>环境保护目标</w:t>
      </w:r>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000000" w:themeColor="text1"/>
          <w:sz w:val="24"/>
          <w:szCs w:val="24"/>
          <w:highlight w:val="none"/>
          <w14:textFill>
            <w14:solidFill>
              <w14:schemeClr w14:val="tx1"/>
            </w14:solidFill>
          </w14:textFill>
        </w:rPr>
      </w:pPr>
      <w:bookmarkStart w:id="269" w:name="_Toc4643"/>
      <w:bookmarkStart w:id="270" w:name="_Toc15507"/>
      <w:bookmarkStart w:id="271" w:name="_Toc11659"/>
      <w:bookmarkStart w:id="272" w:name="_Toc25283"/>
      <w:bookmarkStart w:id="273" w:name="_Toc31205"/>
      <w:bookmarkStart w:id="274" w:name="_Toc4493"/>
      <w:r>
        <w:rPr>
          <w:rFonts w:hint="eastAsia" w:ascii="宋体" w:hAnsi="宋体" w:eastAsia="宋体" w:cs="宋体"/>
          <w:color w:val="000000" w:themeColor="text1"/>
          <w:sz w:val="24"/>
          <w:szCs w:val="24"/>
          <w:highlight w:val="none"/>
          <w14:textFill>
            <w14:solidFill>
              <w14:schemeClr w14:val="tx1"/>
            </w14:solidFill>
          </w14:textFill>
        </w:rPr>
        <w:t>（1）大气环境保护目标</w:t>
      </w:r>
      <w:bookmarkEnd w:id="269"/>
      <w:bookmarkEnd w:id="270"/>
      <w:bookmarkEnd w:id="271"/>
      <w:bookmarkEnd w:id="272"/>
      <w:bookmarkEnd w:id="273"/>
      <w:bookmarkEnd w:id="274"/>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经过调查，项目评价范围内不涉及自然保护区、风景名胜区等其他需要特殊保护的地区</w:t>
      </w:r>
      <w:r>
        <w:rPr>
          <w:rFonts w:hint="eastAsia" w:ascii="宋体" w:hAnsi="宋体" w:eastAsia="宋体" w:cs="宋体"/>
          <w:color w:val="000000" w:themeColor="text1"/>
          <w:sz w:val="24"/>
          <w:szCs w:val="24"/>
          <w:highlight w:val="none"/>
          <w:lang w:val="en-US"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000000" w:themeColor="text1"/>
          <w:sz w:val="24"/>
          <w:szCs w:val="24"/>
          <w:highlight w:val="none"/>
          <w14:textFill>
            <w14:solidFill>
              <w14:schemeClr w14:val="tx1"/>
            </w14:solidFill>
          </w14:textFill>
        </w:rPr>
      </w:pPr>
      <w:bookmarkStart w:id="275" w:name="_Toc9885"/>
      <w:bookmarkStart w:id="276" w:name="_Toc30288"/>
      <w:bookmarkStart w:id="277" w:name="_Toc6352"/>
      <w:bookmarkStart w:id="278" w:name="_Toc12311"/>
      <w:bookmarkStart w:id="279" w:name="_Toc6001"/>
      <w:bookmarkStart w:id="280" w:name="_Toc2018"/>
      <w:r>
        <w:rPr>
          <w:rFonts w:hint="eastAsia" w:ascii="宋体" w:hAnsi="宋体" w:eastAsia="宋体" w:cs="宋体"/>
          <w:color w:val="000000" w:themeColor="text1"/>
          <w:sz w:val="24"/>
          <w:szCs w:val="24"/>
          <w:highlight w:val="none"/>
          <w14:textFill>
            <w14:solidFill>
              <w14:schemeClr w14:val="tx1"/>
            </w14:solidFill>
          </w14:textFill>
        </w:rPr>
        <w:t>（2）地表水环境保护目标</w:t>
      </w:r>
      <w:bookmarkEnd w:id="275"/>
      <w:bookmarkEnd w:id="276"/>
      <w:bookmarkEnd w:id="277"/>
      <w:bookmarkEnd w:id="278"/>
      <w:bookmarkEnd w:id="279"/>
      <w:bookmarkEnd w:id="280"/>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河西</w:t>
      </w:r>
      <w:r>
        <w:rPr>
          <w:rFonts w:hint="eastAsia" w:ascii="宋体" w:hAnsi="宋体" w:eastAsia="宋体" w:cs="宋体"/>
          <w:color w:val="000000" w:themeColor="text1"/>
          <w:sz w:val="24"/>
          <w:szCs w:val="24"/>
          <w:highlight w:val="none"/>
          <w:lang w:eastAsia="zh-CN"/>
          <w14:textFill>
            <w14:solidFill>
              <w14:schemeClr w14:val="tx1"/>
            </w14:solidFill>
          </w14:textFill>
        </w:rPr>
        <w:t>处理厂</w:t>
      </w:r>
      <w:r>
        <w:rPr>
          <w:rFonts w:hint="eastAsia" w:ascii="宋体" w:hAnsi="宋体" w:eastAsia="宋体" w:cs="宋体"/>
          <w:color w:val="000000" w:themeColor="text1"/>
          <w:sz w:val="24"/>
          <w:szCs w:val="24"/>
          <w:highlight w:val="none"/>
          <w14:textFill>
            <w14:solidFill>
              <w14:schemeClr w14:val="tx1"/>
            </w14:solidFill>
          </w14:textFill>
        </w:rPr>
        <w:t>排放口下游</w:t>
      </w:r>
      <w:r>
        <w:rPr>
          <w:rFonts w:hint="eastAsia" w:ascii="宋体" w:hAnsi="宋体" w:eastAsia="宋体" w:cs="宋体"/>
          <w:color w:val="000000" w:themeColor="text1"/>
          <w:sz w:val="24"/>
          <w:szCs w:val="24"/>
          <w:highlight w:val="none"/>
          <w:lang w:val="en-US" w:eastAsia="zh-CN"/>
          <w14:textFill>
            <w14:solidFill>
              <w14:schemeClr w14:val="tx1"/>
            </w14:solidFill>
          </w14:textFill>
        </w:rPr>
        <w:t>1</w:t>
      </w:r>
      <w:r>
        <w:rPr>
          <w:rFonts w:hint="eastAsia" w:ascii="宋体" w:hAnsi="宋体" w:eastAsia="宋体" w:cs="宋体"/>
          <w:color w:val="000000" w:themeColor="text1"/>
          <w:sz w:val="24"/>
          <w:szCs w:val="24"/>
          <w:highlight w:val="none"/>
          <w14:textFill>
            <w14:solidFill>
              <w14:schemeClr w14:val="tx1"/>
            </w14:solidFill>
          </w14:textFill>
        </w:rPr>
        <w:t>0km范围内无自然保护区、重要渔业水域、水源保护区等敏感区域。本项目主要保护</w:t>
      </w:r>
      <w:r>
        <w:rPr>
          <w:rFonts w:hint="eastAsia" w:ascii="宋体" w:hAnsi="宋体" w:eastAsia="宋体" w:cs="宋体"/>
          <w:color w:val="000000" w:themeColor="text1"/>
          <w:sz w:val="24"/>
          <w:szCs w:val="24"/>
          <w:highlight w:val="none"/>
          <w:lang w:val="en-US" w:eastAsia="zh-CN"/>
          <w14:textFill>
            <w14:solidFill>
              <w14:schemeClr w14:val="tx1"/>
            </w14:solidFill>
          </w14:textFill>
        </w:rPr>
        <w:t>河西污水</w:t>
      </w:r>
      <w:r>
        <w:rPr>
          <w:rFonts w:hint="eastAsia" w:ascii="宋体" w:hAnsi="宋体" w:eastAsia="宋体" w:cs="宋体"/>
          <w:color w:val="000000" w:themeColor="text1"/>
          <w:sz w:val="24"/>
          <w:szCs w:val="24"/>
          <w:highlight w:val="none"/>
          <w14:textFill>
            <w14:solidFill>
              <w14:schemeClr w14:val="tx1"/>
            </w14:solidFill>
          </w14:textFill>
        </w:rPr>
        <w:t>处理厂排放口上下游水体。</w:t>
      </w:r>
      <w:bookmarkStart w:id="281" w:name="_Toc32736"/>
      <w:bookmarkStart w:id="282" w:name="_Toc10303"/>
      <w:bookmarkStart w:id="283" w:name="_Toc14866"/>
      <w:bookmarkStart w:id="284" w:name="_Toc29267"/>
      <w:bookmarkStart w:id="285" w:name="_Toc3901"/>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000000" w:themeColor="text1"/>
          <w:sz w:val="24"/>
          <w:szCs w:val="24"/>
          <w:highlight w:val="none"/>
          <w14:textFill>
            <w14:solidFill>
              <w14:schemeClr w14:val="tx1"/>
            </w14:solidFill>
          </w14:textFill>
        </w:rPr>
      </w:pPr>
      <w:bookmarkStart w:id="286" w:name="_Toc653"/>
      <w:r>
        <w:rPr>
          <w:rFonts w:hint="eastAsia" w:ascii="宋体" w:hAnsi="宋体" w:eastAsia="宋体" w:cs="宋体"/>
          <w:color w:val="000000" w:themeColor="text1"/>
          <w:sz w:val="24"/>
          <w:szCs w:val="24"/>
          <w:highlight w:val="none"/>
          <w14:textFill>
            <w14:solidFill>
              <w14:schemeClr w14:val="tx1"/>
            </w14:solidFill>
          </w14:textFill>
        </w:rPr>
        <w:t>（3）地下水环境保护目标</w:t>
      </w:r>
      <w:bookmarkEnd w:id="281"/>
      <w:bookmarkEnd w:id="282"/>
      <w:bookmarkEnd w:id="283"/>
      <w:bookmarkEnd w:id="284"/>
      <w:bookmarkEnd w:id="285"/>
      <w:bookmarkEnd w:id="286"/>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地下水评价范围内无地下水饮用水井。</w:t>
      </w:r>
      <w:bookmarkStart w:id="287" w:name="_Toc326606436"/>
      <w:bookmarkStart w:id="288" w:name="_Toc326605947"/>
      <w:bookmarkStart w:id="289" w:name="_Toc326604209"/>
      <w:bookmarkStart w:id="290" w:name="_Toc326604744"/>
      <w:bookmarkStart w:id="291" w:name="_Toc252347643"/>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0" w:firstLineChars="0"/>
        <w:jc w:val="center"/>
        <w:textAlignment w:val="auto"/>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表2.5-1拟建项目环境保护目标一览表</w:t>
      </w:r>
    </w:p>
    <w:tbl>
      <w:tblPr>
        <w:tblStyle w:val="30"/>
        <w:tblW w:w="5004"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0" w:type="dxa"/>
          <w:bottom w:w="0" w:type="dxa"/>
          <w:right w:w="0" w:type="dxa"/>
        </w:tblCellMar>
      </w:tblPr>
      <w:tblGrid>
        <w:gridCol w:w="769"/>
        <w:gridCol w:w="1751"/>
        <w:gridCol w:w="1138"/>
        <w:gridCol w:w="1227"/>
        <w:gridCol w:w="572"/>
        <w:gridCol w:w="958"/>
        <w:gridCol w:w="1398"/>
        <w:gridCol w:w="174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2" w:hRule="atLeast"/>
        </w:trPr>
        <w:tc>
          <w:tcPr>
            <w:tcW w:w="403" w:type="pct"/>
            <w:vMerge w:val="restart"/>
            <w:tcBorders>
              <w:tl2br w:val="nil"/>
              <w:tr2bl w:val="nil"/>
            </w:tcBorders>
            <w:noWrap w:val="0"/>
            <w:vAlign w:val="center"/>
          </w:tcPr>
          <w:p>
            <w:pPr>
              <w:jc w:val="cente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pPr>
            <w: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t>大气环境</w:t>
            </w:r>
          </w:p>
        </w:tc>
        <w:tc>
          <w:tcPr>
            <w:tcW w:w="916" w:type="pct"/>
            <w:vMerge w:val="restart"/>
            <w:tcBorders>
              <w:tl2br w:val="nil"/>
              <w:tr2bl w:val="nil"/>
            </w:tcBorders>
            <w:noWrap w:val="0"/>
            <w:vAlign w:val="center"/>
          </w:tcPr>
          <w:p>
            <w:pPr>
              <w:jc w:val="center"/>
              <w:rPr>
                <w:rFonts w:hint="eastAsia" w:ascii="宋体" w:hAnsi="宋体" w:eastAsia="宋体" w:cs="宋体"/>
                <w:color w:val="000000" w:themeColor="text1"/>
                <w:sz w:val="21"/>
                <w:szCs w:val="21"/>
                <w:highlight w:val="none"/>
                <w:u w:val="single"/>
                <w14:textFill>
                  <w14:solidFill>
                    <w14:schemeClr w14:val="tx1"/>
                  </w14:solidFill>
                </w14:textFill>
              </w:rPr>
            </w:pPr>
            <w:r>
              <w:rPr>
                <w:rFonts w:hint="eastAsia" w:ascii="宋体" w:hAnsi="宋体" w:eastAsia="宋体" w:cs="宋体"/>
                <w:color w:val="000000" w:themeColor="text1"/>
                <w:sz w:val="21"/>
                <w:szCs w:val="21"/>
                <w:highlight w:val="none"/>
                <w:u w:val="single"/>
                <w14:textFill>
                  <w14:solidFill>
                    <w14:schemeClr w14:val="tx1"/>
                  </w14:solidFill>
                </w14:textFill>
              </w:rPr>
              <w:t>环境保护对象</w:t>
            </w:r>
          </w:p>
        </w:tc>
        <w:tc>
          <w:tcPr>
            <w:tcW w:w="1237" w:type="pct"/>
            <w:gridSpan w:val="2"/>
            <w:tcBorders>
              <w:tl2br w:val="nil"/>
              <w:tr2bl w:val="nil"/>
            </w:tcBorders>
            <w:noWrap w:val="0"/>
            <w:vAlign w:val="center"/>
          </w:tcPr>
          <w:p>
            <w:pPr>
              <w:jc w:val="center"/>
              <w:rPr>
                <w:rFonts w:hint="eastAsia" w:ascii="宋体" w:hAnsi="宋体" w:eastAsia="宋体" w:cs="宋体"/>
                <w:color w:val="000000" w:themeColor="text1"/>
                <w:sz w:val="21"/>
                <w:szCs w:val="21"/>
                <w:highlight w:val="none"/>
                <w:u w:val="single"/>
                <w14:textFill>
                  <w14:solidFill>
                    <w14:schemeClr w14:val="tx1"/>
                  </w14:solidFill>
                </w14:textFill>
              </w:rPr>
            </w:pPr>
            <w: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t>中心</w:t>
            </w:r>
            <w:r>
              <w:rPr>
                <w:rFonts w:hint="eastAsia" w:ascii="宋体" w:hAnsi="宋体" w:eastAsia="宋体" w:cs="宋体"/>
                <w:color w:val="000000" w:themeColor="text1"/>
                <w:sz w:val="21"/>
                <w:szCs w:val="21"/>
                <w:highlight w:val="none"/>
                <w:u w:val="single"/>
                <w14:textFill>
                  <w14:solidFill>
                    <w14:schemeClr w14:val="tx1"/>
                  </w14:solidFill>
                </w14:textFill>
              </w:rPr>
              <w:t>坐标</w:t>
            </w:r>
          </w:p>
        </w:tc>
        <w:tc>
          <w:tcPr>
            <w:tcW w:w="299" w:type="pct"/>
            <w:vMerge w:val="restart"/>
            <w:tcBorders>
              <w:tl2br w:val="nil"/>
              <w:tr2bl w:val="nil"/>
            </w:tcBorders>
            <w:noWrap w:val="0"/>
            <w:vAlign w:val="center"/>
          </w:tcPr>
          <w:p>
            <w:pPr>
              <w:jc w:val="center"/>
              <w:rPr>
                <w:rFonts w:hint="eastAsia" w:ascii="宋体" w:hAnsi="宋体" w:eastAsia="宋体" w:cs="宋体"/>
                <w:color w:val="000000" w:themeColor="text1"/>
                <w:sz w:val="21"/>
                <w:szCs w:val="21"/>
                <w:highlight w:val="none"/>
                <w:u w:val="single"/>
                <w14:textFill>
                  <w14:solidFill>
                    <w14:schemeClr w14:val="tx1"/>
                  </w14:solidFill>
                </w14:textFill>
              </w:rPr>
            </w:pPr>
            <w:r>
              <w:rPr>
                <w:rFonts w:hint="eastAsia" w:ascii="宋体" w:hAnsi="宋体" w:eastAsia="宋体" w:cs="宋体"/>
                <w:color w:val="000000" w:themeColor="text1"/>
                <w:sz w:val="21"/>
                <w:szCs w:val="21"/>
                <w:highlight w:val="none"/>
                <w:u w:val="single"/>
                <w14:textFill>
                  <w14:solidFill>
                    <w14:schemeClr w14:val="tx1"/>
                  </w14:solidFill>
                </w14:textFill>
              </w:rPr>
              <w:t>方位</w:t>
            </w:r>
          </w:p>
        </w:tc>
        <w:tc>
          <w:tcPr>
            <w:tcW w:w="501" w:type="pct"/>
            <w:vMerge w:val="restart"/>
            <w:tcBorders>
              <w:tl2br w:val="nil"/>
              <w:tr2bl w:val="nil"/>
            </w:tcBorders>
            <w:noWrap w:val="0"/>
            <w:vAlign w:val="center"/>
          </w:tcPr>
          <w:p>
            <w:pPr>
              <w:jc w:val="center"/>
              <w:rPr>
                <w:rFonts w:hint="eastAsia" w:ascii="宋体" w:hAnsi="宋体" w:eastAsia="宋体" w:cs="宋体"/>
                <w:color w:val="000000" w:themeColor="text1"/>
                <w:sz w:val="21"/>
                <w:szCs w:val="21"/>
                <w:highlight w:val="none"/>
                <w:u w:val="single"/>
                <w14:textFill>
                  <w14:solidFill>
                    <w14:schemeClr w14:val="tx1"/>
                  </w14:solidFill>
                </w14:textFill>
              </w:rPr>
            </w:pPr>
            <w:r>
              <w:rPr>
                <w:rFonts w:hint="eastAsia" w:ascii="宋体" w:hAnsi="宋体" w:eastAsia="宋体" w:cs="宋体"/>
                <w:color w:val="000000" w:themeColor="text1"/>
                <w:sz w:val="21"/>
                <w:szCs w:val="21"/>
                <w:highlight w:val="none"/>
                <w:u w:val="single"/>
                <w14:textFill>
                  <w14:solidFill>
                    <w14:schemeClr w14:val="tx1"/>
                  </w14:solidFill>
                </w14:textFill>
              </w:rPr>
              <w:t>距边界最近距离（m）</w:t>
            </w:r>
          </w:p>
        </w:tc>
        <w:tc>
          <w:tcPr>
            <w:tcW w:w="731" w:type="pct"/>
            <w:vMerge w:val="restart"/>
            <w:tcBorders>
              <w:tl2br w:val="nil"/>
              <w:tr2bl w:val="nil"/>
            </w:tcBorders>
            <w:noWrap w:val="0"/>
            <w:vAlign w:val="center"/>
          </w:tcPr>
          <w:p>
            <w:pPr>
              <w:jc w:val="center"/>
              <w:rPr>
                <w:rFonts w:hint="eastAsia" w:ascii="宋体" w:hAnsi="宋体" w:eastAsia="宋体" w:cs="宋体"/>
                <w:color w:val="000000" w:themeColor="text1"/>
                <w:sz w:val="21"/>
                <w:szCs w:val="21"/>
                <w:highlight w:val="none"/>
                <w:u w:val="single"/>
                <w14:textFill>
                  <w14:solidFill>
                    <w14:schemeClr w14:val="tx1"/>
                  </w14:solidFill>
                </w14:textFill>
              </w:rPr>
            </w:pPr>
            <w:r>
              <w:rPr>
                <w:rFonts w:hint="eastAsia" w:ascii="宋体" w:hAnsi="宋体" w:eastAsia="宋体" w:cs="宋体"/>
                <w:color w:val="000000" w:themeColor="text1"/>
                <w:sz w:val="21"/>
                <w:szCs w:val="21"/>
                <w:highlight w:val="none"/>
                <w:u w:val="single"/>
                <w14:textFill>
                  <w14:solidFill>
                    <w14:schemeClr w14:val="tx1"/>
                  </w14:solidFill>
                </w14:textFill>
              </w:rPr>
              <w:t>规模</w:t>
            </w:r>
          </w:p>
          <w:p>
            <w:pPr>
              <w:jc w:val="center"/>
              <w:rPr>
                <w:rFonts w:hint="eastAsia" w:ascii="宋体" w:hAnsi="宋体" w:eastAsia="宋体" w:cs="宋体"/>
                <w:color w:val="000000" w:themeColor="text1"/>
                <w:sz w:val="21"/>
                <w:szCs w:val="21"/>
                <w:highlight w:val="none"/>
                <w:u w:val="single"/>
                <w14:textFill>
                  <w14:solidFill>
                    <w14:schemeClr w14:val="tx1"/>
                  </w14:solidFill>
                </w14:textFill>
              </w:rPr>
            </w:pPr>
            <w:r>
              <w:rPr>
                <w:rFonts w:hint="eastAsia" w:ascii="宋体" w:hAnsi="宋体" w:eastAsia="宋体" w:cs="宋体"/>
                <w:color w:val="000000" w:themeColor="text1"/>
                <w:sz w:val="21"/>
                <w:szCs w:val="21"/>
                <w:highlight w:val="none"/>
                <w:u w:val="single"/>
                <w14:textFill>
                  <w14:solidFill>
                    <w14:schemeClr w14:val="tx1"/>
                  </w14:solidFill>
                </w14:textFill>
              </w:rPr>
              <w:t>（人口）</w:t>
            </w:r>
          </w:p>
        </w:tc>
        <w:tc>
          <w:tcPr>
            <w:tcW w:w="910" w:type="pct"/>
            <w:vMerge w:val="restart"/>
            <w:tcBorders>
              <w:tl2br w:val="nil"/>
              <w:tr2bl w:val="nil"/>
            </w:tcBorders>
            <w:noWrap w:val="0"/>
            <w:vAlign w:val="center"/>
          </w:tcPr>
          <w:p>
            <w:pPr>
              <w:jc w:val="center"/>
              <w:rPr>
                <w:rFonts w:hint="eastAsia" w:ascii="宋体" w:hAnsi="宋体" w:eastAsia="宋体" w:cs="宋体"/>
                <w:color w:val="000000" w:themeColor="text1"/>
                <w:sz w:val="21"/>
                <w:szCs w:val="21"/>
                <w:highlight w:val="none"/>
                <w:u w:val="single"/>
                <w14:textFill>
                  <w14:solidFill>
                    <w14:schemeClr w14:val="tx1"/>
                  </w14:solidFill>
                </w14:textFill>
              </w:rPr>
            </w:pPr>
            <w:r>
              <w:rPr>
                <w:rFonts w:hint="eastAsia" w:ascii="宋体" w:hAnsi="宋体" w:eastAsia="宋体" w:cs="宋体"/>
                <w:color w:val="000000" w:themeColor="text1"/>
                <w:sz w:val="21"/>
                <w:szCs w:val="21"/>
                <w:highlight w:val="none"/>
                <w:u w:val="single"/>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08" w:hRule="atLeast"/>
        </w:trPr>
        <w:tc>
          <w:tcPr>
            <w:tcW w:w="403" w:type="pct"/>
            <w:vMerge w:val="continue"/>
            <w:tcBorders>
              <w:tl2br w:val="nil"/>
              <w:tr2bl w:val="nil"/>
            </w:tcBorders>
            <w:noWrap w:val="0"/>
            <w:vAlign w:val="center"/>
          </w:tcPr>
          <w:p>
            <w:pPr>
              <w:jc w:val="center"/>
              <w:rPr>
                <w:rFonts w:hint="eastAsia" w:ascii="宋体" w:hAnsi="宋体" w:eastAsia="宋体" w:cs="宋体"/>
                <w:color w:val="000000" w:themeColor="text1"/>
                <w:sz w:val="21"/>
                <w:szCs w:val="21"/>
                <w:highlight w:val="none"/>
                <w:u w:val="single"/>
                <w14:textFill>
                  <w14:solidFill>
                    <w14:schemeClr w14:val="tx1"/>
                  </w14:solidFill>
                </w14:textFill>
              </w:rPr>
            </w:pPr>
          </w:p>
        </w:tc>
        <w:tc>
          <w:tcPr>
            <w:tcW w:w="916" w:type="pct"/>
            <w:vMerge w:val="continue"/>
            <w:tcBorders>
              <w:tl2br w:val="nil"/>
              <w:tr2bl w:val="nil"/>
            </w:tcBorders>
            <w:noWrap w:val="0"/>
            <w:vAlign w:val="center"/>
          </w:tcPr>
          <w:p>
            <w:pPr>
              <w:jc w:val="center"/>
              <w:rPr>
                <w:rFonts w:hint="eastAsia" w:ascii="宋体" w:hAnsi="宋体" w:eastAsia="宋体" w:cs="宋体"/>
                <w:color w:val="000000" w:themeColor="text1"/>
                <w:sz w:val="21"/>
                <w:szCs w:val="21"/>
                <w:highlight w:val="none"/>
                <w:u w:val="single"/>
                <w14:textFill>
                  <w14:solidFill>
                    <w14:schemeClr w14:val="tx1"/>
                  </w14:solidFill>
                </w14:textFill>
              </w:rPr>
            </w:pPr>
          </w:p>
        </w:tc>
        <w:tc>
          <w:tcPr>
            <w:tcW w:w="595" w:type="pct"/>
            <w:tcBorders>
              <w:tl2br w:val="nil"/>
              <w:tr2bl w:val="nil"/>
            </w:tcBorders>
            <w:noWrap w:val="0"/>
            <w:vAlign w:val="center"/>
          </w:tcPr>
          <w:p>
            <w:pPr>
              <w:jc w:val="center"/>
              <w:rPr>
                <w:rFonts w:hint="eastAsia" w:ascii="宋体" w:hAnsi="宋体" w:eastAsia="宋体" w:cs="宋体"/>
                <w:color w:val="000000" w:themeColor="text1"/>
                <w:sz w:val="21"/>
                <w:szCs w:val="21"/>
                <w:highlight w:val="none"/>
                <w:u w:val="single"/>
                <w:lang w:eastAsia="zh-CN"/>
                <w14:textFill>
                  <w14:solidFill>
                    <w14:schemeClr w14:val="tx1"/>
                  </w14:solidFill>
                </w14:textFill>
              </w:rPr>
            </w:pPr>
            <w: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t>E</w:t>
            </w:r>
          </w:p>
        </w:tc>
        <w:tc>
          <w:tcPr>
            <w:tcW w:w="642" w:type="pct"/>
            <w:tcBorders>
              <w:tl2br w:val="nil"/>
              <w:tr2bl w:val="nil"/>
            </w:tcBorders>
            <w:noWrap w:val="0"/>
            <w:vAlign w:val="center"/>
          </w:tcPr>
          <w:p>
            <w:pPr>
              <w:jc w:val="center"/>
              <w:rPr>
                <w:rFonts w:hint="eastAsia" w:ascii="宋体" w:hAnsi="宋体" w:eastAsia="宋体" w:cs="宋体"/>
                <w:color w:val="000000" w:themeColor="text1"/>
                <w:sz w:val="21"/>
                <w:szCs w:val="21"/>
                <w:highlight w:val="none"/>
                <w:u w:val="single"/>
                <w:lang w:eastAsia="zh-CN"/>
                <w14:textFill>
                  <w14:solidFill>
                    <w14:schemeClr w14:val="tx1"/>
                  </w14:solidFill>
                </w14:textFill>
              </w:rPr>
            </w:pPr>
            <w: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t>N</w:t>
            </w:r>
          </w:p>
        </w:tc>
        <w:tc>
          <w:tcPr>
            <w:tcW w:w="299" w:type="pct"/>
            <w:vMerge w:val="continue"/>
            <w:tcBorders>
              <w:tl2br w:val="nil"/>
              <w:tr2bl w:val="nil"/>
            </w:tcBorders>
            <w:noWrap w:val="0"/>
            <w:vAlign w:val="center"/>
          </w:tcPr>
          <w:p>
            <w:pPr>
              <w:jc w:val="center"/>
              <w:rPr>
                <w:rFonts w:hint="eastAsia" w:ascii="宋体" w:hAnsi="宋体" w:eastAsia="宋体" w:cs="宋体"/>
                <w:color w:val="000000" w:themeColor="text1"/>
                <w:sz w:val="21"/>
                <w:szCs w:val="21"/>
                <w:highlight w:val="none"/>
                <w:u w:val="single"/>
                <w14:textFill>
                  <w14:solidFill>
                    <w14:schemeClr w14:val="tx1"/>
                  </w14:solidFill>
                </w14:textFill>
              </w:rPr>
            </w:pPr>
          </w:p>
        </w:tc>
        <w:tc>
          <w:tcPr>
            <w:tcW w:w="501" w:type="pct"/>
            <w:vMerge w:val="continue"/>
            <w:tcBorders>
              <w:tl2br w:val="nil"/>
              <w:tr2bl w:val="nil"/>
            </w:tcBorders>
            <w:noWrap w:val="0"/>
            <w:vAlign w:val="center"/>
          </w:tcPr>
          <w:p>
            <w:pPr>
              <w:jc w:val="center"/>
              <w:rPr>
                <w:rFonts w:hint="eastAsia" w:ascii="宋体" w:hAnsi="宋体" w:eastAsia="宋体" w:cs="宋体"/>
                <w:color w:val="000000" w:themeColor="text1"/>
                <w:sz w:val="21"/>
                <w:szCs w:val="21"/>
                <w:highlight w:val="none"/>
                <w:u w:val="single"/>
                <w14:textFill>
                  <w14:solidFill>
                    <w14:schemeClr w14:val="tx1"/>
                  </w14:solidFill>
                </w14:textFill>
              </w:rPr>
            </w:pPr>
          </w:p>
        </w:tc>
        <w:tc>
          <w:tcPr>
            <w:tcW w:w="731" w:type="pct"/>
            <w:vMerge w:val="continue"/>
            <w:tcBorders>
              <w:tl2br w:val="nil"/>
              <w:tr2bl w:val="nil"/>
            </w:tcBorders>
            <w:noWrap w:val="0"/>
            <w:vAlign w:val="center"/>
          </w:tcPr>
          <w:p>
            <w:pPr>
              <w:jc w:val="center"/>
              <w:rPr>
                <w:rFonts w:hint="eastAsia" w:ascii="宋体" w:hAnsi="宋体" w:eastAsia="宋体" w:cs="宋体"/>
                <w:color w:val="000000" w:themeColor="text1"/>
                <w:sz w:val="21"/>
                <w:szCs w:val="21"/>
                <w:highlight w:val="none"/>
                <w:u w:val="single"/>
                <w14:textFill>
                  <w14:solidFill>
                    <w14:schemeClr w14:val="tx1"/>
                  </w14:solidFill>
                </w14:textFill>
              </w:rPr>
            </w:pPr>
          </w:p>
        </w:tc>
        <w:tc>
          <w:tcPr>
            <w:tcW w:w="910" w:type="pct"/>
            <w:vMerge w:val="continue"/>
            <w:tcBorders>
              <w:tl2br w:val="nil"/>
              <w:tr2bl w:val="nil"/>
            </w:tcBorders>
            <w:noWrap w:val="0"/>
            <w:vAlign w:val="center"/>
          </w:tcPr>
          <w:p>
            <w:pPr>
              <w:jc w:val="center"/>
              <w:rPr>
                <w:rFonts w:hint="eastAsia" w:ascii="宋体" w:hAnsi="宋体" w:eastAsia="宋体" w:cs="宋体"/>
                <w:color w:val="000000" w:themeColor="text1"/>
                <w:sz w:val="21"/>
                <w:szCs w:val="21"/>
                <w:highlight w:val="none"/>
                <w:u w:val="singl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3" w:hRule="atLeast"/>
        </w:trPr>
        <w:tc>
          <w:tcPr>
            <w:tcW w:w="403" w:type="pct"/>
            <w:vMerge w:val="continue"/>
            <w:tcBorders>
              <w:tl2br w:val="nil"/>
              <w:tr2bl w:val="nil"/>
            </w:tcBorders>
            <w:noWrap w:val="0"/>
            <w:vAlign w:val="center"/>
          </w:tcPr>
          <w:p>
            <w:pPr>
              <w:jc w:val="center"/>
              <w:rPr>
                <w:rFonts w:hint="eastAsia" w:ascii="宋体" w:hAnsi="宋体" w:eastAsia="宋体" w:cs="宋体"/>
                <w:color w:val="000000" w:themeColor="text1"/>
                <w:sz w:val="21"/>
                <w:szCs w:val="21"/>
                <w:highlight w:val="none"/>
                <w:u w:val="single"/>
                <w14:textFill>
                  <w14:solidFill>
                    <w14:schemeClr w14:val="tx1"/>
                  </w14:solidFill>
                </w14:textFill>
              </w:rPr>
            </w:pPr>
          </w:p>
        </w:tc>
        <w:tc>
          <w:tcPr>
            <w:tcW w:w="916" w:type="pct"/>
            <w:tcBorders>
              <w:tl2br w:val="nil"/>
              <w:tr2bl w:val="nil"/>
            </w:tcBorders>
            <w:noWrap w:val="0"/>
            <w:vAlign w:val="center"/>
          </w:tcPr>
          <w:p>
            <w:pPr>
              <w:jc w:val="cente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pPr>
            <w: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t>株洲市车辆管理所</w:t>
            </w:r>
          </w:p>
        </w:tc>
        <w:tc>
          <w:tcPr>
            <w:tcW w:w="595" w:type="pct"/>
            <w:tcBorders>
              <w:tl2br w:val="nil"/>
              <w:tr2bl w:val="nil"/>
            </w:tcBorders>
            <w:noWrap w:val="0"/>
            <w:vAlign w:val="center"/>
          </w:tcPr>
          <w:p>
            <w:pPr>
              <w:jc w:val="cente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pPr>
            <w: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t>113.050221</w:t>
            </w:r>
          </w:p>
        </w:tc>
        <w:tc>
          <w:tcPr>
            <w:tcW w:w="642" w:type="pct"/>
            <w:tcBorders>
              <w:tl2br w:val="nil"/>
              <w:tr2bl w:val="nil"/>
            </w:tcBorders>
            <w:noWrap w:val="0"/>
            <w:vAlign w:val="center"/>
          </w:tcPr>
          <w:p>
            <w:pPr>
              <w:jc w:val="cente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pPr>
            <w: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t>27.825506</w:t>
            </w:r>
          </w:p>
        </w:tc>
        <w:tc>
          <w:tcPr>
            <w:tcW w:w="299" w:type="pct"/>
            <w:tcBorders>
              <w:tl2br w:val="nil"/>
              <w:tr2bl w:val="nil"/>
            </w:tcBorders>
            <w:noWrap w:val="0"/>
            <w:vAlign w:val="center"/>
          </w:tcPr>
          <w:p>
            <w:pPr>
              <w:jc w:val="cente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pPr>
            <w: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t>E</w:t>
            </w:r>
          </w:p>
        </w:tc>
        <w:tc>
          <w:tcPr>
            <w:tcW w:w="501" w:type="pct"/>
            <w:tcBorders>
              <w:tl2br w:val="nil"/>
              <w:tr2bl w:val="nil"/>
            </w:tcBorders>
            <w:noWrap w:val="0"/>
            <w:vAlign w:val="center"/>
          </w:tcPr>
          <w:p>
            <w:pPr>
              <w:jc w:val="cente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pPr>
            <w: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t>388</w:t>
            </w:r>
          </w:p>
        </w:tc>
        <w:tc>
          <w:tcPr>
            <w:tcW w:w="731" w:type="pct"/>
            <w:tcBorders>
              <w:tl2br w:val="nil"/>
              <w:tr2bl w:val="nil"/>
            </w:tcBorders>
            <w:noWrap w:val="0"/>
            <w:vAlign w:val="center"/>
          </w:tcPr>
          <w:p>
            <w:pPr>
              <w:jc w:val="cente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pPr>
            <w: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t>行政单位</w:t>
            </w:r>
          </w:p>
        </w:tc>
        <w:tc>
          <w:tcPr>
            <w:tcW w:w="910" w:type="pct"/>
            <w:vMerge w:val="restart"/>
            <w:tcBorders>
              <w:tl2br w:val="nil"/>
              <w:tr2bl w:val="nil"/>
            </w:tcBorders>
            <w:noWrap w:val="0"/>
            <w:vAlign w:val="center"/>
          </w:tcPr>
          <w:p>
            <w:pPr>
              <w:jc w:val="center"/>
              <w:rPr>
                <w:rFonts w:hint="eastAsia" w:ascii="宋体" w:hAnsi="宋体" w:eastAsia="宋体" w:cs="宋体"/>
                <w:color w:val="000000" w:themeColor="text1"/>
                <w:sz w:val="21"/>
                <w:szCs w:val="21"/>
                <w:highlight w:val="none"/>
                <w:u w:val="single"/>
                <w14:textFill>
                  <w14:solidFill>
                    <w14:schemeClr w14:val="tx1"/>
                  </w14:solidFill>
                </w14:textFill>
              </w:rPr>
            </w:pPr>
            <w:r>
              <w:rPr>
                <w:rFonts w:hint="eastAsia" w:ascii="宋体" w:hAnsi="宋体" w:eastAsia="宋体" w:cs="宋体"/>
                <w:color w:val="000000" w:themeColor="text1"/>
                <w:sz w:val="21"/>
                <w:szCs w:val="21"/>
                <w:highlight w:val="none"/>
                <w:u w:val="single"/>
                <w14:textFill>
                  <w14:solidFill>
                    <w14:schemeClr w14:val="tx1"/>
                  </w14:solidFill>
                </w14:textFill>
              </w:rPr>
              <w:t>《环境空气质量标准》（GB3095-2012)中二级标准及2018年修改单要求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3" w:hRule="atLeast"/>
        </w:trPr>
        <w:tc>
          <w:tcPr>
            <w:tcW w:w="403" w:type="pct"/>
            <w:vMerge w:val="continue"/>
            <w:tcBorders>
              <w:tl2br w:val="nil"/>
              <w:tr2bl w:val="nil"/>
            </w:tcBorders>
            <w:noWrap w:val="0"/>
            <w:vAlign w:val="center"/>
          </w:tcPr>
          <w:p>
            <w:pPr>
              <w:jc w:val="center"/>
              <w:rPr>
                <w:rFonts w:hint="eastAsia" w:ascii="宋体" w:hAnsi="宋体" w:eastAsia="宋体" w:cs="宋体"/>
                <w:color w:val="000000" w:themeColor="text1"/>
                <w:sz w:val="21"/>
                <w:szCs w:val="21"/>
                <w:highlight w:val="none"/>
                <w:u w:val="single"/>
                <w14:textFill>
                  <w14:solidFill>
                    <w14:schemeClr w14:val="tx1"/>
                  </w14:solidFill>
                </w14:textFill>
              </w:rPr>
            </w:pPr>
          </w:p>
        </w:tc>
        <w:tc>
          <w:tcPr>
            <w:tcW w:w="916" w:type="pct"/>
            <w:tcBorders>
              <w:tl2br w:val="nil"/>
              <w:tr2bl w:val="nil"/>
            </w:tcBorders>
            <w:noWrap w:val="0"/>
            <w:vAlign w:val="center"/>
          </w:tcPr>
          <w:p>
            <w:pPr>
              <w:jc w:val="cente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pPr>
            <w: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t>天元区新马消防救援站</w:t>
            </w:r>
          </w:p>
        </w:tc>
        <w:tc>
          <w:tcPr>
            <w:tcW w:w="595" w:type="pct"/>
            <w:tcBorders>
              <w:tl2br w:val="nil"/>
              <w:tr2bl w:val="nil"/>
            </w:tcBorders>
            <w:noWrap w:val="0"/>
            <w:vAlign w:val="center"/>
          </w:tcPr>
          <w:p>
            <w:pPr>
              <w:jc w:val="center"/>
              <w:rPr>
                <w:rFonts w:hint="eastAsia" w:ascii="宋体" w:hAnsi="宋体" w:eastAsia="宋体" w:cs="宋体"/>
                <w:color w:val="000000" w:themeColor="text1"/>
                <w:sz w:val="21"/>
                <w:szCs w:val="21"/>
                <w:highlight w:val="none"/>
                <w:u w:val="singl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t>113.036977</w:t>
            </w:r>
          </w:p>
        </w:tc>
        <w:tc>
          <w:tcPr>
            <w:tcW w:w="642" w:type="pct"/>
            <w:tcBorders>
              <w:tl2br w:val="nil"/>
              <w:tr2bl w:val="nil"/>
            </w:tcBorders>
            <w:noWrap w:val="0"/>
            <w:vAlign w:val="center"/>
          </w:tcPr>
          <w:p>
            <w:pPr>
              <w:jc w:val="center"/>
              <w:rPr>
                <w:rFonts w:hint="eastAsia" w:ascii="宋体" w:hAnsi="宋体" w:eastAsia="宋体" w:cs="宋体"/>
                <w:color w:val="000000" w:themeColor="text1"/>
                <w:sz w:val="21"/>
                <w:szCs w:val="21"/>
                <w:highlight w:val="none"/>
                <w:u w:val="singl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t>27.820324</w:t>
            </w:r>
          </w:p>
        </w:tc>
        <w:tc>
          <w:tcPr>
            <w:tcW w:w="299" w:type="pct"/>
            <w:tcBorders>
              <w:tl2br w:val="nil"/>
              <w:tr2bl w:val="nil"/>
            </w:tcBorders>
            <w:noWrap w:val="0"/>
            <w:vAlign w:val="center"/>
          </w:tcPr>
          <w:p>
            <w:pPr>
              <w:jc w:val="cente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pPr>
            <w: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t>W</w:t>
            </w:r>
          </w:p>
        </w:tc>
        <w:tc>
          <w:tcPr>
            <w:tcW w:w="501" w:type="pct"/>
            <w:tcBorders>
              <w:tl2br w:val="nil"/>
              <w:tr2bl w:val="nil"/>
            </w:tcBorders>
            <w:noWrap w:val="0"/>
            <w:vAlign w:val="center"/>
          </w:tcPr>
          <w:p>
            <w:pPr>
              <w:jc w:val="center"/>
              <w:rPr>
                <w:rFonts w:hint="eastAsia" w:ascii="宋体" w:hAnsi="宋体" w:eastAsia="宋体" w:cs="宋体"/>
                <w:color w:val="000000" w:themeColor="text1"/>
                <w:sz w:val="21"/>
                <w:szCs w:val="21"/>
                <w:highlight w:val="none"/>
                <w:u w:val="single"/>
                <w:lang w:eastAsia="zh-CN"/>
                <w14:textFill>
                  <w14:solidFill>
                    <w14:schemeClr w14:val="tx1"/>
                  </w14:solidFill>
                </w14:textFill>
              </w:rPr>
            </w:pPr>
            <w:r>
              <w:rPr>
                <w:rFonts w:hint="eastAsia" w:ascii="宋体" w:hAnsi="宋体" w:eastAsia="宋体" w:cs="宋体"/>
                <w:color w:val="000000" w:themeColor="text1"/>
                <w:sz w:val="21"/>
                <w:szCs w:val="21"/>
                <w:highlight w:val="none"/>
                <w:u w:val="single"/>
                <w14:textFill>
                  <w14:solidFill>
                    <w14:schemeClr w14:val="tx1"/>
                  </w14:solidFill>
                </w14:textFill>
              </w:rPr>
              <w:t>85</w:t>
            </w:r>
            <w: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t>2</w:t>
            </w:r>
          </w:p>
        </w:tc>
        <w:tc>
          <w:tcPr>
            <w:tcW w:w="731" w:type="pct"/>
            <w:tcBorders>
              <w:tl2br w:val="nil"/>
              <w:tr2bl w:val="nil"/>
            </w:tcBorders>
            <w:noWrap w:val="0"/>
            <w:vAlign w:val="center"/>
          </w:tcPr>
          <w:p>
            <w:pPr>
              <w:jc w:val="cente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pPr>
            <w: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t>行政单位</w:t>
            </w:r>
          </w:p>
        </w:tc>
        <w:tc>
          <w:tcPr>
            <w:tcW w:w="910" w:type="pct"/>
            <w:vMerge w:val="continue"/>
            <w:tcBorders>
              <w:tl2br w:val="nil"/>
              <w:tr2bl w:val="nil"/>
            </w:tcBorders>
            <w:noWrap w:val="0"/>
            <w:vAlign w:val="center"/>
          </w:tcPr>
          <w:p>
            <w:pPr>
              <w:jc w:val="center"/>
              <w:rPr>
                <w:rFonts w:hint="eastAsia" w:ascii="宋体" w:hAnsi="宋体" w:eastAsia="宋体" w:cs="宋体"/>
                <w:color w:val="000000" w:themeColor="text1"/>
                <w:sz w:val="21"/>
                <w:szCs w:val="21"/>
                <w:highlight w:val="none"/>
                <w:u w:val="singl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3" w:hRule="atLeast"/>
        </w:trPr>
        <w:tc>
          <w:tcPr>
            <w:tcW w:w="403" w:type="pct"/>
            <w:vMerge w:val="continue"/>
            <w:tcBorders>
              <w:tl2br w:val="nil"/>
              <w:tr2bl w:val="nil"/>
            </w:tcBorders>
            <w:noWrap w:val="0"/>
            <w:vAlign w:val="center"/>
          </w:tcPr>
          <w:p>
            <w:pPr>
              <w:jc w:val="center"/>
              <w:rPr>
                <w:rFonts w:hint="eastAsia" w:ascii="宋体" w:hAnsi="宋体" w:eastAsia="宋体" w:cs="宋体"/>
                <w:color w:val="000000" w:themeColor="text1"/>
                <w:sz w:val="21"/>
                <w:szCs w:val="21"/>
                <w:highlight w:val="none"/>
                <w:u w:val="single"/>
                <w14:textFill>
                  <w14:solidFill>
                    <w14:schemeClr w14:val="tx1"/>
                  </w14:solidFill>
                </w14:textFill>
              </w:rPr>
            </w:pPr>
          </w:p>
        </w:tc>
        <w:tc>
          <w:tcPr>
            <w:tcW w:w="916" w:type="pct"/>
            <w:tcBorders>
              <w:tl2br w:val="nil"/>
              <w:tr2bl w:val="nil"/>
            </w:tcBorders>
            <w:noWrap w:val="0"/>
            <w:vAlign w:val="center"/>
          </w:tcPr>
          <w:p>
            <w:pPr>
              <w:jc w:val="cente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pPr>
            <w: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t>恒大御景小区</w:t>
            </w:r>
          </w:p>
        </w:tc>
        <w:tc>
          <w:tcPr>
            <w:tcW w:w="595" w:type="pct"/>
            <w:tcBorders>
              <w:tl2br w:val="nil"/>
              <w:tr2bl w:val="nil"/>
            </w:tcBorders>
            <w:noWrap w:val="0"/>
            <w:vAlign w:val="center"/>
          </w:tcPr>
          <w:p>
            <w:pPr>
              <w:jc w:val="cente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pPr>
            <w: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t>113.038827</w:t>
            </w:r>
          </w:p>
        </w:tc>
        <w:tc>
          <w:tcPr>
            <w:tcW w:w="642" w:type="pct"/>
            <w:tcBorders>
              <w:tl2br w:val="nil"/>
              <w:tr2bl w:val="nil"/>
            </w:tcBorders>
            <w:noWrap w:val="0"/>
            <w:vAlign w:val="center"/>
          </w:tcPr>
          <w:p>
            <w:pPr>
              <w:jc w:val="cente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pPr>
            <w: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t>27.817781</w:t>
            </w:r>
          </w:p>
        </w:tc>
        <w:tc>
          <w:tcPr>
            <w:tcW w:w="299" w:type="pct"/>
            <w:tcBorders>
              <w:tl2br w:val="nil"/>
              <w:tr2bl w:val="nil"/>
            </w:tcBorders>
            <w:noWrap w:val="0"/>
            <w:vAlign w:val="center"/>
          </w:tcPr>
          <w:p>
            <w:pPr>
              <w:jc w:val="cente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pPr>
            <w: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t>SW</w:t>
            </w:r>
          </w:p>
        </w:tc>
        <w:tc>
          <w:tcPr>
            <w:tcW w:w="501" w:type="pct"/>
            <w:tcBorders>
              <w:tl2br w:val="nil"/>
              <w:tr2bl w:val="nil"/>
            </w:tcBorders>
            <w:noWrap w:val="0"/>
            <w:vAlign w:val="center"/>
          </w:tcPr>
          <w:p>
            <w:pPr>
              <w:jc w:val="cente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pPr>
            <w: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t>701</w:t>
            </w:r>
          </w:p>
        </w:tc>
        <w:tc>
          <w:tcPr>
            <w:tcW w:w="731" w:type="pct"/>
            <w:tcBorders>
              <w:tl2br w:val="nil"/>
              <w:tr2bl w:val="nil"/>
            </w:tcBorders>
            <w:noWrap w:val="0"/>
            <w:vAlign w:val="center"/>
          </w:tcPr>
          <w:p>
            <w:pPr>
              <w:jc w:val="cente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pPr>
            <w: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t>住宅，约2500户</w:t>
            </w:r>
          </w:p>
        </w:tc>
        <w:tc>
          <w:tcPr>
            <w:tcW w:w="910" w:type="pct"/>
            <w:vMerge w:val="continue"/>
            <w:tcBorders>
              <w:tl2br w:val="nil"/>
              <w:tr2bl w:val="nil"/>
            </w:tcBorders>
            <w:noWrap w:val="0"/>
            <w:vAlign w:val="center"/>
          </w:tcPr>
          <w:p>
            <w:pPr>
              <w:jc w:val="center"/>
              <w:rPr>
                <w:rFonts w:hint="eastAsia" w:ascii="宋体" w:hAnsi="宋体" w:eastAsia="宋体" w:cs="宋体"/>
                <w:color w:val="000000" w:themeColor="text1"/>
                <w:sz w:val="21"/>
                <w:szCs w:val="21"/>
                <w:highlight w:val="none"/>
                <w:u w:val="singl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3" w:hRule="atLeast"/>
        </w:trPr>
        <w:tc>
          <w:tcPr>
            <w:tcW w:w="403" w:type="pct"/>
            <w:vMerge w:val="continue"/>
            <w:tcBorders>
              <w:tl2br w:val="nil"/>
              <w:tr2bl w:val="nil"/>
            </w:tcBorders>
            <w:noWrap w:val="0"/>
            <w:vAlign w:val="center"/>
          </w:tcPr>
          <w:p>
            <w:pPr>
              <w:jc w:val="center"/>
              <w:rPr>
                <w:rFonts w:hint="eastAsia" w:ascii="宋体" w:hAnsi="宋体" w:eastAsia="宋体" w:cs="宋体"/>
                <w:color w:val="000000" w:themeColor="text1"/>
                <w:sz w:val="21"/>
                <w:szCs w:val="21"/>
                <w:highlight w:val="none"/>
                <w:u w:val="single"/>
                <w14:textFill>
                  <w14:solidFill>
                    <w14:schemeClr w14:val="tx1"/>
                  </w14:solidFill>
                </w14:textFill>
              </w:rPr>
            </w:pPr>
          </w:p>
        </w:tc>
        <w:tc>
          <w:tcPr>
            <w:tcW w:w="916" w:type="pct"/>
            <w:tcBorders>
              <w:tl2br w:val="nil"/>
              <w:tr2bl w:val="nil"/>
            </w:tcBorders>
            <w:noWrap w:val="0"/>
            <w:vAlign w:val="center"/>
          </w:tcPr>
          <w:p>
            <w:pPr>
              <w:jc w:val="cente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pPr>
            <w: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t>仙岭安置小区</w:t>
            </w:r>
          </w:p>
        </w:tc>
        <w:tc>
          <w:tcPr>
            <w:tcW w:w="595" w:type="pct"/>
            <w:tcBorders>
              <w:tl2br w:val="nil"/>
              <w:tr2bl w:val="nil"/>
            </w:tcBorders>
            <w:noWrap w:val="0"/>
            <w:vAlign w:val="center"/>
          </w:tcPr>
          <w:p>
            <w:pPr>
              <w:jc w:val="cente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pPr>
            <w: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t>113.042078</w:t>
            </w:r>
          </w:p>
        </w:tc>
        <w:tc>
          <w:tcPr>
            <w:tcW w:w="642" w:type="pct"/>
            <w:tcBorders>
              <w:tl2br w:val="nil"/>
              <w:tr2bl w:val="nil"/>
            </w:tcBorders>
            <w:noWrap w:val="0"/>
            <w:vAlign w:val="center"/>
          </w:tcPr>
          <w:p>
            <w:pPr>
              <w:jc w:val="cente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pPr>
            <w: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t>27.813280</w:t>
            </w:r>
          </w:p>
        </w:tc>
        <w:tc>
          <w:tcPr>
            <w:tcW w:w="299" w:type="pct"/>
            <w:tcBorders>
              <w:tl2br w:val="nil"/>
              <w:tr2bl w:val="nil"/>
            </w:tcBorders>
            <w:noWrap w:val="0"/>
            <w:vAlign w:val="center"/>
          </w:tcPr>
          <w:p>
            <w:pPr>
              <w:jc w:val="cente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pPr>
            <w: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t>SW</w:t>
            </w:r>
          </w:p>
        </w:tc>
        <w:tc>
          <w:tcPr>
            <w:tcW w:w="501" w:type="pct"/>
            <w:tcBorders>
              <w:tl2br w:val="nil"/>
              <w:tr2bl w:val="nil"/>
            </w:tcBorders>
            <w:noWrap w:val="0"/>
            <w:vAlign w:val="center"/>
          </w:tcPr>
          <w:p>
            <w:pPr>
              <w:jc w:val="cente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pPr>
            <w: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t>1100</w:t>
            </w:r>
          </w:p>
        </w:tc>
        <w:tc>
          <w:tcPr>
            <w:tcW w:w="731" w:type="pct"/>
            <w:tcBorders>
              <w:tl2br w:val="nil"/>
              <w:tr2bl w:val="nil"/>
            </w:tcBorders>
            <w:noWrap w:val="0"/>
            <w:vAlign w:val="center"/>
          </w:tcPr>
          <w:p>
            <w:pPr>
              <w:jc w:val="cente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pPr>
            <w: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t>住宅，约1000户</w:t>
            </w:r>
          </w:p>
        </w:tc>
        <w:tc>
          <w:tcPr>
            <w:tcW w:w="910" w:type="pct"/>
            <w:vMerge w:val="continue"/>
            <w:tcBorders>
              <w:tl2br w:val="nil"/>
              <w:tr2bl w:val="nil"/>
            </w:tcBorders>
            <w:noWrap w:val="0"/>
            <w:vAlign w:val="center"/>
          </w:tcPr>
          <w:p>
            <w:pPr>
              <w:jc w:val="center"/>
              <w:rPr>
                <w:rFonts w:hint="eastAsia" w:ascii="宋体" w:hAnsi="宋体" w:eastAsia="宋体" w:cs="宋体"/>
                <w:color w:val="000000" w:themeColor="text1"/>
                <w:sz w:val="21"/>
                <w:szCs w:val="21"/>
                <w:highlight w:val="none"/>
                <w:u w:val="singl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3" w:hRule="atLeast"/>
        </w:trPr>
        <w:tc>
          <w:tcPr>
            <w:tcW w:w="403" w:type="pct"/>
            <w:vMerge w:val="continue"/>
            <w:tcBorders>
              <w:tl2br w:val="nil"/>
              <w:tr2bl w:val="nil"/>
            </w:tcBorders>
            <w:noWrap w:val="0"/>
            <w:vAlign w:val="center"/>
          </w:tcPr>
          <w:p>
            <w:pPr>
              <w:jc w:val="center"/>
              <w:rPr>
                <w:rFonts w:hint="eastAsia" w:ascii="宋体" w:hAnsi="宋体" w:eastAsia="宋体" w:cs="宋体"/>
                <w:color w:val="000000" w:themeColor="text1"/>
                <w:sz w:val="21"/>
                <w:szCs w:val="21"/>
                <w:highlight w:val="none"/>
                <w:u w:val="single"/>
                <w14:textFill>
                  <w14:solidFill>
                    <w14:schemeClr w14:val="tx1"/>
                  </w14:solidFill>
                </w14:textFill>
              </w:rPr>
            </w:pPr>
          </w:p>
        </w:tc>
        <w:tc>
          <w:tcPr>
            <w:tcW w:w="916" w:type="pct"/>
            <w:tcBorders>
              <w:tl2br w:val="nil"/>
              <w:tr2bl w:val="nil"/>
            </w:tcBorders>
            <w:noWrap w:val="0"/>
            <w:vAlign w:val="center"/>
          </w:tcPr>
          <w:p>
            <w:pPr>
              <w:jc w:val="cente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pPr>
            <w: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t>新马安置房</w:t>
            </w:r>
          </w:p>
        </w:tc>
        <w:tc>
          <w:tcPr>
            <w:tcW w:w="595" w:type="pct"/>
            <w:tcBorders>
              <w:tl2br w:val="nil"/>
              <w:tr2bl w:val="nil"/>
            </w:tcBorders>
            <w:noWrap w:val="0"/>
            <w:vAlign w:val="center"/>
          </w:tcPr>
          <w:p>
            <w:pPr>
              <w:jc w:val="center"/>
              <w:rPr>
                <w:rFonts w:hint="eastAsia" w:ascii="宋体" w:hAnsi="宋体" w:eastAsia="宋体" w:cs="宋体"/>
                <w:color w:val="000000" w:themeColor="text1"/>
                <w:sz w:val="21"/>
                <w:szCs w:val="21"/>
                <w:highlight w:val="none"/>
                <w:u w:val="singl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t>113.028474</w:t>
            </w:r>
          </w:p>
        </w:tc>
        <w:tc>
          <w:tcPr>
            <w:tcW w:w="642" w:type="pct"/>
            <w:tcBorders>
              <w:tl2br w:val="nil"/>
              <w:tr2bl w:val="nil"/>
            </w:tcBorders>
            <w:noWrap w:val="0"/>
            <w:vAlign w:val="center"/>
          </w:tcPr>
          <w:p>
            <w:pPr>
              <w:jc w:val="center"/>
              <w:rPr>
                <w:rFonts w:hint="eastAsia" w:ascii="宋体" w:hAnsi="宋体" w:eastAsia="宋体" w:cs="宋体"/>
                <w:color w:val="000000" w:themeColor="text1"/>
                <w:sz w:val="21"/>
                <w:szCs w:val="21"/>
                <w:highlight w:val="none"/>
                <w:u w:val="singl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t>27.826906</w:t>
            </w:r>
          </w:p>
        </w:tc>
        <w:tc>
          <w:tcPr>
            <w:tcW w:w="299" w:type="pct"/>
            <w:tcBorders>
              <w:tl2br w:val="nil"/>
              <w:tr2bl w:val="nil"/>
            </w:tcBorders>
            <w:noWrap w:val="0"/>
            <w:vAlign w:val="center"/>
          </w:tcPr>
          <w:p>
            <w:pPr>
              <w:jc w:val="cente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pPr>
            <w: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t>NW</w:t>
            </w:r>
          </w:p>
        </w:tc>
        <w:tc>
          <w:tcPr>
            <w:tcW w:w="501" w:type="pct"/>
            <w:tcBorders>
              <w:tl2br w:val="nil"/>
              <w:tr2bl w:val="nil"/>
            </w:tcBorders>
            <w:noWrap w:val="0"/>
            <w:vAlign w:val="center"/>
          </w:tcPr>
          <w:p>
            <w:pPr>
              <w:jc w:val="cente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pPr>
            <w: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t>1600</w:t>
            </w:r>
          </w:p>
        </w:tc>
        <w:tc>
          <w:tcPr>
            <w:tcW w:w="731" w:type="pct"/>
            <w:tcBorders>
              <w:tl2br w:val="nil"/>
              <w:tr2bl w:val="nil"/>
            </w:tcBorders>
            <w:noWrap w:val="0"/>
            <w:vAlign w:val="center"/>
          </w:tcPr>
          <w:p>
            <w:pPr>
              <w:jc w:val="center"/>
              <w:rPr>
                <w:rFonts w:hint="eastAsia" w:ascii="宋体" w:hAnsi="宋体" w:eastAsia="宋体" w:cs="宋体"/>
                <w:color w:val="000000" w:themeColor="text1"/>
                <w:sz w:val="21"/>
                <w:szCs w:val="21"/>
                <w:highlight w:val="none"/>
                <w:u w:val="single"/>
                <w14:textFill>
                  <w14:solidFill>
                    <w14:schemeClr w14:val="tx1"/>
                  </w14:solidFill>
                </w14:textFill>
              </w:rPr>
            </w:pPr>
            <w: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t>住宅，约144户</w:t>
            </w:r>
          </w:p>
        </w:tc>
        <w:tc>
          <w:tcPr>
            <w:tcW w:w="910" w:type="pct"/>
            <w:vMerge w:val="continue"/>
            <w:tcBorders>
              <w:tl2br w:val="nil"/>
              <w:tr2bl w:val="nil"/>
            </w:tcBorders>
            <w:noWrap w:val="0"/>
            <w:vAlign w:val="center"/>
          </w:tcPr>
          <w:p>
            <w:pPr>
              <w:jc w:val="center"/>
              <w:rPr>
                <w:rFonts w:hint="eastAsia" w:ascii="宋体" w:hAnsi="宋体" w:eastAsia="宋体" w:cs="宋体"/>
                <w:color w:val="000000" w:themeColor="text1"/>
                <w:sz w:val="21"/>
                <w:szCs w:val="21"/>
                <w:highlight w:val="none"/>
                <w:u w:val="singl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3" w:hRule="atLeast"/>
        </w:trPr>
        <w:tc>
          <w:tcPr>
            <w:tcW w:w="403" w:type="pct"/>
            <w:vMerge w:val="continue"/>
            <w:tcBorders>
              <w:tl2br w:val="nil"/>
              <w:tr2bl w:val="nil"/>
            </w:tcBorders>
            <w:noWrap w:val="0"/>
            <w:vAlign w:val="center"/>
          </w:tcPr>
          <w:p>
            <w:pPr>
              <w:jc w:val="center"/>
              <w:rPr>
                <w:rFonts w:hint="eastAsia" w:ascii="宋体" w:hAnsi="宋体" w:eastAsia="宋体" w:cs="宋体"/>
                <w:color w:val="000000" w:themeColor="text1"/>
                <w:sz w:val="21"/>
                <w:szCs w:val="21"/>
                <w:highlight w:val="none"/>
                <w:u w:val="single"/>
                <w14:textFill>
                  <w14:solidFill>
                    <w14:schemeClr w14:val="tx1"/>
                  </w14:solidFill>
                </w14:textFill>
              </w:rPr>
            </w:pPr>
          </w:p>
        </w:tc>
        <w:tc>
          <w:tcPr>
            <w:tcW w:w="916" w:type="pct"/>
            <w:tcBorders>
              <w:tl2br w:val="nil"/>
              <w:tr2bl w:val="nil"/>
            </w:tcBorders>
            <w:noWrap w:val="0"/>
            <w:vAlign w:val="center"/>
          </w:tcPr>
          <w:p>
            <w:pPr>
              <w:jc w:val="cente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pPr>
            <w: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t>天元区月塘小学</w:t>
            </w:r>
          </w:p>
        </w:tc>
        <w:tc>
          <w:tcPr>
            <w:tcW w:w="595" w:type="pct"/>
            <w:tcBorders>
              <w:tl2br w:val="nil"/>
              <w:tr2bl w:val="nil"/>
            </w:tcBorders>
            <w:noWrap w:val="0"/>
            <w:vAlign w:val="center"/>
          </w:tcPr>
          <w:p>
            <w:pPr>
              <w:jc w:val="cente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pPr>
            <w: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t>113.055119</w:t>
            </w:r>
          </w:p>
        </w:tc>
        <w:tc>
          <w:tcPr>
            <w:tcW w:w="642" w:type="pct"/>
            <w:tcBorders>
              <w:tl2br w:val="nil"/>
              <w:tr2bl w:val="nil"/>
            </w:tcBorders>
            <w:noWrap w:val="0"/>
            <w:vAlign w:val="center"/>
          </w:tcPr>
          <w:p>
            <w:pPr>
              <w:jc w:val="cente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pPr>
            <w: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t>27.815871</w:t>
            </w:r>
          </w:p>
        </w:tc>
        <w:tc>
          <w:tcPr>
            <w:tcW w:w="299" w:type="pct"/>
            <w:tcBorders>
              <w:tl2br w:val="nil"/>
              <w:tr2bl w:val="nil"/>
            </w:tcBorders>
            <w:noWrap w:val="0"/>
            <w:vAlign w:val="center"/>
          </w:tcPr>
          <w:p>
            <w:pPr>
              <w:jc w:val="cente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pPr>
            <w: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t>SE</w:t>
            </w:r>
          </w:p>
        </w:tc>
        <w:tc>
          <w:tcPr>
            <w:tcW w:w="501" w:type="pct"/>
            <w:tcBorders>
              <w:tl2br w:val="nil"/>
              <w:tr2bl w:val="nil"/>
            </w:tcBorders>
            <w:noWrap w:val="0"/>
            <w:vAlign w:val="center"/>
          </w:tcPr>
          <w:p>
            <w:pPr>
              <w:jc w:val="cente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pPr>
            <w: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t>1300</w:t>
            </w:r>
          </w:p>
        </w:tc>
        <w:tc>
          <w:tcPr>
            <w:tcW w:w="731" w:type="pct"/>
            <w:tcBorders>
              <w:tl2br w:val="nil"/>
              <w:tr2bl w:val="nil"/>
            </w:tcBorders>
            <w:noWrap w:val="0"/>
            <w:vAlign w:val="center"/>
          </w:tcPr>
          <w:p>
            <w:pPr>
              <w:jc w:val="cente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pPr>
            <w: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t>小学，约有师生800人</w:t>
            </w:r>
          </w:p>
        </w:tc>
        <w:tc>
          <w:tcPr>
            <w:tcW w:w="910" w:type="pct"/>
            <w:vMerge w:val="continue"/>
            <w:tcBorders>
              <w:tl2br w:val="nil"/>
              <w:tr2bl w:val="nil"/>
            </w:tcBorders>
            <w:noWrap w:val="0"/>
            <w:vAlign w:val="center"/>
          </w:tcPr>
          <w:p>
            <w:pPr>
              <w:jc w:val="center"/>
              <w:rPr>
                <w:rFonts w:hint="eastAsia" w:ascii="宋体" w:hAnsi="宋体" w:eastAsia="宋体" w:cs="宋体"/>
                <w:color w:val="000000" w:themeColor="text1"/>
                <w:sz w:val="21"/>
                <w:szCs w:val="21"/>
                <w:highlight w:val="none"/>
                <w:u w:val="singl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97" w:hRule="atLeast"/>
        </w:trPr>
        <w:tc>
          <w:tcPr>
            <w:tcW w:w="403" w:type="pct"/>
            <w:vMerge w:val="restart"/>
            <w:tcBorders>
              <w:tl2br w:val="nil"/>
              <w:tr2bl w:val="nil"/>
            </w:tcBorders>
            <w:noWrap w:val="0"/>
            <w:vAlign w:val="center"/>
          </w:tcPr>
          <w:p>
            <w:pPr>
              <w:pStyle w:val="46"/>
              <w:ind w:left="201" w:right="99" w:hanging="92"/>
              <w:rPr>
                <w:rFonts w:hint="eastAsia" w:ascii="宋体" w:hAnsi="宋体" w:eastAsia="宋体" w:cs="宋体"/>
                <w:color w:val="000000" w:themeColor="text1"/>
                <w:sz w:val="21"/>
                <w:szCs w:val="21"/>
                <w:highlight w:val="none"/>
                <w:u w:val="single"/>
                <w:lang w:val="en-US" w:bidi="ar-SA"/>
                <w14:textFill>
                  <w14:solidFill>
                    <w14:schemeClr w14:val="tx1"/>
                  </w14:solidFill>
                </w14:textFill>
              </w:rPr>
            </w:pPr>
            <w:r>
              <w:rPr>
                <w:rFonts w:hint="eastAsia" w:ascii="宋体" w:hAnsi="宋体" w:eastAsia="宋体" w:cs="宋体"/>
                <w:color w:val="000000" w:themeColor="text1"/>
                <w:sz w:val="21"/>
                <w:szCs w:val="21"/>
                <w:highlight w:val="none"/>
                <w:u w:val="single"/>
                <w:lang w:val="en-US" w:bidi="ar-SA"/>
                <w14:textFill>
                  <w14:solidFill>
                    <w14:schemeClr w14:val="tx1"/>
                  </w14:solidFill>
                </w14:textFill>
              </w:rPr>
              <w:t>水环境</w:t>
            </w:r>
          </w:p>
        </w:tc>
        <w:tc>
          <w:tcPr>
            <w:tcW w:w="916" w:type="pct"/>
            <w:tcBorders>
              <w:tl2br w:val="nil"/>
              <w:tr2bl w:val="nil"/>
            </w:tcBorders>
            <w:noWrap w:val="0"/>
            <w:vAlign w:val="center"/>
          </w:tcPr>
          <w:p>
            <w:pPr>
              <w:pStyle w:val="46"/>
              <w:spacing w:before="26"/>
              <w:ind w:left="112" w:right="104"/>
              <w:rPr>
                <w:rFonts w:hint="eastAsia" w:ascii="宋体" w:hAnsi="宋体" w:eastAsia="宋体" w:cs="宋体"/>
                <w:color w:val="000000" w:themeColor="text1"/>
                <w:sz w:val="21"/>
                <w:szCs w:val="21"/>
                <w:highlight w:val="none"/>
                <w:u w:val="singl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u w:val="single"/>
                <w:lang w:val="en-US" w:eastAsia="zh-CN" w:bidi="ar-SA"/>
                <w14:textFill>
                  <w14:solidFill>
                    <w14:schemeClr w14:val="tx1"/>
                  </w14:solidFill>
                </w14:textFill>
              </w:rPr>
              <w:t>湘江霞湾断面至马家河断面</w:t>
            </w:r>
          </w:p>
        </w:tc>
        <w:tc>
          <w:tcPr>
            <w:tcW w:w="595" w:type="pct"/>
            <w:tcBorders>
              <w:tl2br w:val="nil"/>
              <w:tr2bl w:val="nil"/>
            </w:tcBorders>
            <w:noWrap w:val="0"/>
            <w:vAlign w:val="center"/>
          </w:tcPr>
          <w:p>
            <w:pPr>
              <w:pStyle w:val="46"/>
              <w:spacing w:before="38"/>
              <w:ind w:left="9"/>
              <w:rPr>
                <w:rFonts w:hint="eastAsia" w:ascii="宋体" w:hAnsi="宋体" w:eastAsia="宋体" w:cs="宋体"/>
                <w:color w:val="000000" w:themeColor="text1"/>
                <w:sz w:val="21"/>
                <w:szCs w:val="21"/>
                <w:highlight w:val="none"/>
                <w:u w:val="single"/>
                <w:lang w:val="en-US" w:bidi="ar-SA"/>
                <w14:textFill>
                  <w14:solidFill>
                    <w14:schemeClr w14:val="tx1"/>
                  </w14:solidFill>
                </w14:textFill>
              </w:rPr>
            </w:pPr>
            <w:r>
              <w:rPr>
                <w:rFonts w:hint="eastAsia" w:ascii="宋体" w:hAnsi="宋体" w:eastAsia="宋体" w:cs="宋体"/>
                <w:color w:val="000000" w:themeColor="text1"/>
                <w:sz w:val="21"/>
                <w:szCs w:val="21"/>
                <w:highlight w:val="none"/>
                <w:u w:val="single"/>
                <w:lang w:val="en-US" w:bidi="ar-SA"/>
                <w14:textFill>
                  <w14:solidFill>
                    <w14:schemeClr w14:val="tx1"/>
                  </w14:solidFill>
                </w14:textFill>
              </w:rPr>
              <w:t>/</w:t>
            </w:r>
          </w:p>
        </w:tc>
        <w:tc>
          <w:tcPr>
            <w:tcW w:w="642" w:type="pct"/>
            <w:tcBorders>
              <w:tl2br w:val="nil"/>
              <w:tr2bl w:val="nil"/>
            </w:tcBorders>
            <w:noWrap w:val="0"/>
            <w:vAlign w:val="center"/>
          </w:tcPr>
          <w:p>
            <w:pPr>
              <w:pStyle w:val="46"/>
              <w:spacing w:before="38"/>
              <w:ind w:left="9"/>
              <w:rPr>
                <w:rFonts w:hint="eastAsia" w:ascii="宋体" w:hAnsi="宋体" w:eastAsia="宋体" w:cs="宋体"/>
                <w:color w:val="000000" w:themeColor="text1"/>
                <w:sz w:val="21"/>
                <w:szCs w:val="21"/>
                <w:highlight w:val="none"/>
                <w:u w:val="single"/>
                <w:lang w:val="en-US" w:bidi="ar-SA"/>
                <w14:textFill>
                  <w14:solidFill>
                    <w14:schemeClr w14:val="tx1"/>
                  </w14:solidFill>
                </w14:textFill>
              </w:rPr>
            </w:pPr>
            <w:r>
              <w:rPr>
                <w:rFonts w:hint="eastAsia" w:ascii="宋体" w:hAnsi="宋体" w:eastAsia="宋体" w:cs="宋体"/>
                <w:color w:val="000000" w:themeColor="text1"/>
                <w:sz w:val="21"/>
                <w:szCs w:val="21"/>
                <w:highlight w:val="none"/>
                <w:u w:val="single"/>
                <w:lang w:val="en-US" w:bidi="ar-SA"/>
                <w14:textFill>
                  <w14:solidFill>
                    <w14:schemeClr w14:val="tx1"/>
                  </w14:solidFill>
                </w14:textFill>
              </w:rPr>
              <w:t>/</w:t>
            </w:r>
          </w:p>
        </w:tc>
        <w:tc>
          <w:tcPr>
            <w:tcW w:w="299" w:type="pct"/>
            <w:tcBorders>
              <w:tl2br w:val="nil"/>
              <w:tr2bl w:val="nil"/>
            </w:tcBorders>
            <w:noWrap w:val="0"/>
            <w:vAlign w:val="center"/>
          </w:tcPr>
          <w:p>
            <w:pPr>
              <w:pStyle w:val="46"/>
              <w:spacing w:before="38"/>
              <w:ind w:left="8"/>
              <w:rPr>
                <w:rFonts w:hint="eastAsia" w:ascii="宋体" w:hAnsi="宋体" w:eastAsia="宋体" w:cs="宋体"/>
                <w:color w:val="000000" w:themeColor="text1"/>
                <w:sz w:val="21"/>
                <w:szCs w:val="21"/>
                <w:highlight w:val="none"/>
                <w:u w:val="single"/>
                <w:lang w:val="en-US" w:bidi="ar-SA"/>
                <w14:textFill>
                  <w14:solidFill>
                    <w14:schemeClr w14:val="tx1"/>
                  </w14:solidFill>
                </w14:textFill>
              </w:rPr>
            </w:pPr>
            <w:r>
              <w:rPr>
                <w:rFonts w:hint="eastAsia" w:ascii="宋体" w:hAnsi="宋体" w:eastAsia="宋体" w:cs="宋体"/>
                <w:color w:val="000000" w:themeColor="text1"/>
                <w:sz w:val="21"/>
                <w:szCs w:val="21"/>
                <w:highlight w:val="none"/>
                <w:u w:val="single"/>
                <w:lang w:val="en-US" w:eastAsia="zh-CN" w:bidi="ar-SA"/>
                <w14:textFill>
                  <w14:solidFill>
                    <w14:schemeClr w14:val="tx1"/>
                  </w14:solidFill>
                </w14:textFill>
              </w:rPr>
              <w:t>N</w:t>
            </w:r>
            <w:r>
              <w:rPr>
                <w:rFonts w:hint="eastAsia" w:ascii="宋体" w:hAnsi="宋体" w:eastAsia="宋体" w:cs="宋体"/>
                <w:color w:val="000000" w:themeColor="text1"/>
                <w:sz w:val="21"/>
                <w:szCs w:val="21"/>
                <w:highlight w:val="none"/>
                <w:u w:val="single"/>
                <w:lang w:val="en-US" w:bidi="ar-SA"/>
                <w14:textFill>
                  <w14:solidFill>
                    <w14:schemeClr w14:val="tx1"/>
                  </w14:solidFill>
                </w14:textFill>
              </w:rPr>
              <w:t>W</w:t>
            </w:r>
          </w:p>
        </w:tc>
        <w:tc>
          <w:tcPr>
            <w:tcW w:w="501" w:type="pct"/>
            <w:tcBorders>
              <w:tl2br w:val="nil"/>
              <w:tr2bl w:val="nil"/>
            </w:tcBorders>
            <w:noWrap w:val="0"/>
            <w:vAlign w:val="center"/>
          </w:tcPr>
          <w:p>
            <w:pPr>
              <w:pStyle w:val="46"/>
              <w:spacing w:before="38"/>
              <w:ind w:left="244" w:right="237"/>
              <w:rPr>
                <w:rFonts w:hint="eastAsia" w:ascii="宋体" w:hAnsi="宋体" w:eastAsia="宋体" w:cs="宋体"/>
                <w:color w:val="000000" w:themeColor="text1"/>
                <w:sz w:val="21"/>
                <w:szCs w:val="21"/>
                <w:highlight w:val="none"/>
                <w:u w:val="single"/>
                <w:lang w:val="en-US" w:bidi="ar-SA"/>
                <w14:textFill>
                  <w14:solidFill>
                    <w14:schemeClr w14:val="tx1"/>
                  </w14:solidFill>
                </w14:textFill>
              </w:rPr>
            </w:pPr>
            <w:r>
              <w:rPr>
                <w:rFonts w:hint="eastAsia" w:ascii="宋体" w:hAnsi="宋体" w:eastAsia="宋体" w:cs="宋体"/>
                <w:color w:val="000000" w:themeColor="text1"/>
                <w:sz w:val="21"/>
                <w:szCs w:val="21"/>
                <w:highlight w:val="none"/>
                <w:u w:val="single"/>
                <w:lang w:val="en-US" w:eastAsia="zh-CN" w:bidi="ar-SA"/>
                <w14:textFill>
                  <w14:solidFill>
                    <w14:schemeClr w14:val="tx1"/>
                  </w14:solidFill>
                </w14:textFill>
              </w:rPr>
              <w:t>8</w:t>
            </w:r>
            <w:r>
              <w:rPr>
                <w:rFonts w:hint="eastAsia" w:ascii="宋体" w:hAnsi="宋体" w:eastAsia="宋体" w:cs="宋体"/>
                <w:color w:val="000000" w:themeColor="text1"/>
                <w:sz w:val="21"/>
                <w:szCs w:val="21"/>
                <w:highlight w:val="none"/>
                <w:u w:val="single"/>
                <w:lang w:val="en-US" w:bidi="ar-SA"/>
                <w14:textFill>
                  <w14:solidFill>
                    <w14:schemeClr w14:val="tx1"/>
                  </w14:solidFill>
                </w14:textFill>
              </w:rPr>
              <w:t>00</w:t>
            </w:r>
          </w:p>
        </w:tc>
        <w:tc>
          <w:tcPr>
            <w:tcW w:w="731" w:type="pct"/>
            <w:tcBorders>
              <w:tl2br w:val="nil"/>
              <w:tr2bl w:val="nil"/>
            </w:tcBorders>
            <w:noWrap w:val="0"/>
            <w:vAlign w:val="center"/>
          </w:tcPr>
          <w:p>
            <w:pPr>
              <w:pStyle w:val="46"/>
              <w:spacing w:before="26"/>
              <w:ind w:left="218"/>
              <w:rPr>
                <w:rFonts w:hint="eastAsia" w:ascii="宋体" w:hAnsi="宋体" w:eastAsia="宋体" w:cs="宋体"/>
                <w:color w:val="000000" w:themeColor="text1"/>
                <w:sz w:val="21"/>
                <w:szCs w:val="21"/>
                <w:highlight w:val="none"/>
                <w:u w:val="singl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u w:val="single"/>
                <w:lang w:val="en-US" w:eastAsia="zh-CN" w:bidi="ar-SA"/>
                <w14:textFill>
                  <w14:solidFill>
                    <w14:schemeClr w14:val="tx1"/>
                  </w14:solidFill>
                </w14:textFill>
              </w:rPr>
              <w:t>景观娱乐用水、大河</w:t>
            </w:r>
          </w:p>
        </w:tc>
        <w:tc>
          <w:tcPr>
            <w:tcW w:w="910" w:type="pct"/>
            <w:tcBorders>
              <w:tl2br w:val="nil"/>
              <w:tr2bl w:val="nil"/>
            </w:tcBorders>
            <w:noWrap w:val="0"/>
            <w:vAlign w:val="center"/>
          </w:tcPr>
          <w:p>
            <w:pPr>
              <w:pStyle w:val="46"/>
              <w:ind w:left="93" w:right="81"/>
              <w:rPr>
                <w:rFonts w:hint="eastAsia" w:ascii="宋体" w:hAnsi="宋体" w:eastAsia="宋体" w:cs="宋体"/>
                <w:color w:val="000000" w:themeColor="text1"/>
                <w:sz w:val="21"/>
                <w:szCs w:val="21"/>
                <w:highlight w:val="none"/>
                <w:u w:val="single"/>
                <w:lang w:val="en-US" w:bidi="ar-SA"/>
                <w14:textFill>
                  <w14:solidFill>
                    <w14:schemeClr w14:val="tx1"/>
                  </w14:solidFill>
                </w14:textFill>
              </w:rPr>
            </w:pPr>
            <w:r>
              <w:rPr>
                <w:rFonts w:hint="eastAsia" w:ascii="宋体" w:hAnsi="宋体" w:eastAsia="宋体" w:cs="宋体"/>
                <w:color w:val="000000" w:themeColor="text1"/>
                <w:sz w:val="21"/>
                <w:szCs w:val="21"/>
                <w:highlight w:val="none"/>
                <w:u w:val="single"/>
                <w:lang w:val="en-US" w:bidi="ar-SA"/>
                <w14:textFill>
                  <w14:solidFill>
                    <w14:schemeClr w14:val="tx1"/>
                  </w14:solidFill>
                </w14:textFill>
              </w:rPr>
              <w:t>GB3838-2002中Ⅴ类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97" w:hRule="atLeast"/>
        </w:trPr>
        <w:tc>
          <w:tcPr>
            <w:tcW w:w="403" w:type="pct"/>
            <w:vMerge w:val="continue"/>
            <w:tcBorders>
              <w:tl2br w:val="nil"/>
              <w:tr2bl w:val="nil"/>
            </w:tcBorders>
            <w:noWrap w:val="0"/>
            <w:vAlign w:val="center"/>
          </w:tcPr>
          <w:p>
            <w:pPr>
              <w:pStyle w:val="46"/>
              <w:ind w:left="201" w:right="99" w:hanging="92"/>
              <w:rPr>
                <w:rFonts w:hint="eastAsia" w:ascii="宋体" w:hAnsi="宋体" w:eastAsia="宋体" w:cs="宋体"/>
                <w:color w:val="000000" w:themeColor="text1"/>
                <w:sz w:val="21"/>
                <w:szCs w:val="21"/>
                <w:highlight w:val="none"/>
                <w:u w:val="single"/>
                <w:lang w:val="en-US" w:bidi="ar-SA"/>
                <w14:textFill>
                  <w14:solidFill>
                    <w14:schemeClr w14:val="tx1"/>
                  </w14:solidFill>
                </w14:textFill>
              </w:rPr>
            </w:pPr>
          </w:p>
        </w:tc>
        <w:tc>
          <w:tcPr>
            <w:tcW w:w="916" w:type="pct"/>
            <w:tcBorders>
              <w:tl2br w:val="nil"/>
              <w:tr2bl w:val="nil"/>
            </w:tcBorders>
            <w:noWrap w:val="0"/>
            <w:vAlign w:val="center"/>
          </w:tcPr>
          <w:p>
            <w:pPr>
              <w:pStyle w:val="46"/>
              <w:spacing w:before="26"/>
              <w:ind w:left="112" w:right="104"/>
              <w:rPr>
                <w:rFonts w:hint="eastAsia" w:ascii="宋体" w:hAnsi="宋体" w:eastAsia="宋体" w:cs="宋体"/>
                <w:color w:val="000000" w:themeColor="text1"/>
                <w:sz w:val="21"/>
                <w:szCs w:val="21"/>
                <w:highlight w:val="none"/>
                <w:u w:val="singl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u w:val="single"/>
                <w:lang w:val="en-US" w:eastAsia="zh-CN" w:bidi="ar-SA"/>
                <w14:textFill>
                  <w14:solidFill>
                    <w14:schemeClr w14:val="tx1"/>
                  </w14:solidFill>
                </w14:textFill>
              </w:rPr>
              <w:t>河西污水处理厂</w:t>
            </w:r>
          </w:p>
        </w:tc>
        <w:tc>
          <w:tcPr>
            <w:tcW w:w="595" w:type="pct"/>
            <w:tcBorders>
              <w:tl2br w:val="nil"/>
              <w:tr2bl w:val="nil"/>
            </w:tcBorders>
            <w:noWrap w:val="0"/>
            <w:vAlign w:val="center"/>
          </w:tcPr>
          <w:p>
            <w:pPr>
              <w:jc w:val="center"/>
              <w:rPr>
                <w:rFonts w:hint="eastAsia" w:ascii="宋体" w:hAnsi="宋体" w:eastAsia="宋体" w:cs="宋体"/>
                <w:color w:val="000000" w:themeColor="text1"/>
                <w:sz w:val="21"/>
                <w:szCs w:val="21"/>
                <w:highlight w:val="none"/>
                <w:u w:val="singl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t>113.050077</w:t>
            </w:r>
          </w:p>
        </w:tc>
        <w:tc>
          <w:tcPr>
            <w:tcW w:w="642" w:type="pct"/>
            <w:tcBorders>
              <w:tl2br w:val="nil"/>
              <w:tr2bl w:val="nil"/>
            </w:tcBorders>
            <w:noWrap w:val="0"/>
            <w:vAlign w:val="center"/>
          </w:tcPr>
          <w:p>
            <w:pPr>
              <w:jc w:val="center"/>
              <w:rPr>
                <w:rFonts w:hint="eastAsia" w:ascii="宋体" w:hAnsi="宋体" w:eastAsia="宋体" w:cs="宋体"/>
                <w:color w:val="000000" w:themeColor="text1"/>
                <w:sz w:val="21"/>
                <w:szCs w:val="21"/>
                <w:highlight w:val="none"/>
                <w:u w:val="singl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t>27.847022</w:t>
            </w:r>
          </w:p>
        </w:tc>
        <w:tc>
          <w:tcPr>
            <w:tcW w:w="299" w:type="pct"/>
            <w:tcBorders>
              <w:tl2br w:val="nil"/>
              <w:tr2bl w:val="nil"/>
            </w:tcBorders>
            <w:noWrap w:val="0"/>
            <w:vAlign w:val="center"/>
          </w:tcPr>
          <w:p>
            <w:pPr>
              <w:pStyle w:val="46"/>
              <w:spacing w:before="38"/>
              <w:ind w:left="8"/>
              <w:rPr>
                <w:rFonts w:hint="eastAsia" w:ascii="宋体" w:hAnsi="宋体" w:eastAsia="宋体" w:cs="宋体"/>
                <w:color w:val="000000" w:themeColor="text1"/>
                <w:sz w:val="21"/>
                <w:szCs w:val="21"/>
                <w:highlight w:val="none"/>
                <w:u w:val="singl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u w:val="single"/>
                <w:lang w:val="en-US" w:eastAsia="zh-CN" w:bidi="ar-SA"/>
                <w14:textFill>
                  <w14:solidFill>
                    <w14:schemeClr w14:val="tx1"/>
                  </w14:solidFill>
                </w14:textFill>
              </w:rPr>
              <w:t>NE</w:t>
            </w:r>
          </w:p>
        </w:tc>
        <w:tc>
          <w:tcPr>
            <w:tcW w:w="501" w:type="pct"/>
            <w:tcBorders>
              <w:tl2br w:val="nil"/>
              <w:tr2bl w:val="nil"/>
            </w:tcBorders>
            <w:noWrap w:val="0"/>
            <w:vAlign w:val="center"/>
          </w:tcPr>
          <w:p>
            <w:pPr>
              <w:pStyle w:val="46"/>
              <w:spacing w:before="38"/>
              <w:ind w:left="244" w:right="237"/>
              <w:rPr>
                <w:rFonts w:hint="eastAsia" w:ascii="宋体" w:hAnsi="宋体" w:eastAsia="宋体" w:cs="宋体"/>
                <w:color w:val="000000" w:themeColor="text1"/>
                <w:sz w:val="21"/>
                <w:szCs w:val="21"/>
                <w:highlight w:val="none"/>
                <w:u w:val="singl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u w:val="single"/>
                <w:lang w:val="en-US" w:eastAsia="zh-CN" w:bidi="ar-SA"/>
                <w14:textFill>
                  <w14:solidFill>
                    <w14:schemeClr w14:val="tx1"/>
                  </w14:solidFill>
                </w14:textFill>
              </w:rPr>
              <w:t>2500</w:t>
            </w:r>
          </w:p>
        </w:tc>
        <w:tc>
          <w:tcPr>
            <w:tcW w:w="731" w:type="pct"/>
            <w:tcBorders>
              <w:tl2br w:val="nil"/>
              <w:tr2bl w:val="nil"/>
            </w:tcBorders>
            <w:noWrap w:val="0"/>
            <w:vAlign w:val="center"/>
          </w:tcPr>
          <w:p>
            <w:pPr>
              <w:pStyle w:val="46"/>
              <w:spacing w:before="26"/>
              <w:ind w:left="218"/>
              <w:rPr>
                <w:rFonts w:hint="eastAsia" w:ascii="宋体" w:hAnsi="宋体" w:eastAsia="宋体" w:cs="宋体"/>
                <w:color w:val="000000" w:themeColor="text1"/>
                <w:sz w:val="21"/>
                <w:szCs w:val="21"/>
                <w:highlight w:val="none"/>
                <w:u w:val="singl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u w:val="single"/>
                <w:lang w:val="en-US" w:eastAsia="zh-CN" w:bidi="ar-SA"/>
                <w14:textFill>
                  <w14:solidFill>
                    <w14:schemeClr w14:val="tx1"/>
                  </w14:solidFill>
                </w14:textFill>
              </w:rPr>
              <w:t>城市污水处理厂</w:t>
            </w:r>
          </w:p>
        </w:tc>
        <w:tc>
          <w:tcPr>
            <w:tcW w:w="910" w:type="pct"/>
            <w:tcBorders>
              <w:tl2br w:val="nil"/>
              <w:tr2bl w:val="nil"/>
            </w:tcBorders>
            <w:noWrap w:val="0"/>
            <w:vAlign w:val="center"/>
          </w:tcPr>
          <w:p>
            <w:pPr>
              <w:pStyle w:val="46"/>
              <w:ind w:left="93" w:right="81"/>
              <w:rPr>
                <w:rFonts w:hint="eastAsia" w:ascii="宋体" w:hAnsi="宋体" w:eastAsia="宋体" w:cs="宋体"/>
                <w:color w:val="000000" w:themeColor="text1"/>
                <w:sz w:val="21"/>
                <w:szCs w:val="21"/>
                <w:highlight w:val="none"/>
                <w:u w:val="singl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u w:val="single"/>
                <w:lang w:val="en-US" w:eastAsia="zh-CN" w:bidi="ar-SA"/>
                <w14:textFill>
                  <w14:solidFill>
                    <w14:schemeClr w14:val="tx1"/>
                  </w14:solidFill>
                </w14:textFill>
              </w:rPr>
              <w:t>满足进水水质要求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3" w:hRule="atLeast"/>
        </w:trPr>
        <w:tc>
          <w:tcPr>
            <w:tcW w:w="403" w:type="pct"/>
            <w:tcBorders>
              <w:tl2br w:val="nil"/>
              <w:tr2bl w:val="nil"/>
            </w:tcBorders>
            <w:noWrap w:val="0"/>
            <w:vAlign w:val="center"/>
          </w:tcPr>
          <w:p>
            <w:pPr>
              <w:jc w:val="center"/>
              <w:rPr>
                <w:rFonts w:hint="eastAsia" w:ascii="宋体" w:hAnsi="宋体" w:eastAsia="宋体" w:cs="宋体"/>
                <w:color w:val="000000" w:themeColor="text1"/>
                <w:sz w:val="21"/>
                <w:szCs w:val="21"/>
                <w:highlight w:val="none"/>
                <w:u w:val="single"/>
                <w14:textFill>
                  <w14:solidFill>
                    <w14:schemeClr w14:val="tx1"/>
                  </w14:solidFill>
                </w14:textFill>
              </w:rPr>
            </w:pPr>
            <w:r>
              <w:rPr>
                <w:rFonts w:hint="eastAsia" w:ascii="宋体" w:hAnsi="宋体" w:eastAsia="宋体" w:cs="宋体"/>
                <w:color w:val="000000" w:themeColor="text1"/>
                <w:sz w:val="21"/>
                <w:szCs w:val="21"/>
                <w:highlight w:val="none"/>
                <w:u w:val="single"/>
                <w14:textFill>
                  <w14:solidFill>
                    <w14:schemeClr w14:val="tx1"/>
                  </w14:solidFill>
                </w14:textFill>
              </w:rPr>
              <w:t>声环境</w:t>
            </w:r>
          </w:p>
        </w:tc>
        <w:tc>
          <w:tcPr>
            <w:tcW w:w="2153" w:type="pct"/>
            <w:gridSpan w:val="3"/>
            <w:tcBorders>
              <w:tl2br w:val="nil"/>
              <w:tr2bl w:val="nil"/>
            </w:tcBorders>
            <w:noWrap w:val="0"/>
            <w:vAlign w:val="center"/>
          </w:tcPr>
          <w:p>
            <w:pPr>
              <w:jc w:val="center"/>
              <w:rPr>
                <w:rFonts w:hint="eastAsia" w:ascii="宋体" w:hAnsi="宋体" w:eastAsia="宋体" w:cs="宋体"/>
                <w:color w:val="000000" w:themeColor="text1"/>
                <w:sz w:val="21"/>
                <w:szCs w:val="21"/>
                <w:highlight w:val="none"/>
                <w:u w:val="single"/>
                <w14:textFill>
                  <w14:solidFill>
                    <w14:schemeClr w14:val="tx1"/>
                  </w14:solidFill>
                </w14:textFill>
              </w:rPr>
            </w:pPr>
            <w:r>
              <w:rPr>
                <w:rFonts w:hint="eastAsia" w:ascii="宋体" w:hAnsi="宋体" w:eastAsia="宋体" w:cs="宋体"/>
                <w:color w:val="000000" w:themeColor="text1"/>
                <w:sz w:val="21"/>
                <w:szCs w:val="21"/>
                <w:highlight w:val="none"/>
                <w:u w:val="single"/>
                <w14:textFill>
                  <w14:solidFill>
                    <w14:schemeClr w14:val="tx1"/>
                  </w14:solidFill>
                </w14:textFill>
              </w:rPr>
              <w:t>厂址周围200m范围内无环境敏感点</w:t>
            </w:r>
          </w:p>
        </w:tc>
        <w:tc>
          <w:tcPr>
            <w:tcW w:w="299" w:type="pct"/>
            <w:tcBorders>
              <w:tl2br w:val="nil"/>
              <w:tr2bl w:val="nil"/>
            </w:tcBorders>
            <w:noWrap w:val="0"/>
            <w:vAlign w:val="center"/>
          </w:tcPr>
          <w:p>
            <w:pPr>
              <w:jc w:val="center"/>
              <w:rPr>
                <w:rFonts w:hint="eastAsia" w:ascii="宋体" w:hAnsi="宋体" w:eastAsia="宋体" w:cs="宋体"/>
                <w:color w:val="000000" w:themeColor="text1"/>
                <w:sz w:val="21"/>
                <w:szCs w:val="21"/>
                <w:highlight w:val="none"/>
                <w:u w:val="single"/>
                <w14:textFill>
                  <w14:solidFill>
                    <w14:schemeClr w14:val="tx1"/>
                  </w14:solidFill>
                </w14:textFill>
              </w:rPr>
            </w:pPr>
            <w:r>
              <w:rPr>
                <w:rFonts w:hint="eastAsia" w:ascii="宋体" w:hAnsi="宋体" w:eastAsia="宋体" w:cs="宋体"/>
                <w:color w:val="000000" w:themeColor="text1"/>
                <w:sz w:val="21"/>
                <w:szCs w:val="21"/>
                <w:highlight w:val="none"/>
                <w:u w:val="single"/>
                <w14:textFill>
                  <w14:solidFill>
                    <w14:schemeClr w14:val="tx1"/>
                  </w14:solidFill>
                </w14:textFill>
              </w:rPr>
              <w:t>/</w:t>
            </w:r>
          </w:p>
        </w:tc>
        <w:tc>
          <w:tcPr>
            <w:tcW w:w="501" w:type="pct"/>
            <w:tcBorders>
              <w:tl2br w:val="nil"/>
              <w:tr2bl w:val="nil"/>
            </w:tcBorders>
            <w:noWrap w:val="0"/>
            <w:vAlign w:val="center"/>
          </w:tcPr>
          <w:p>
            <w:pPr>
              <w:jc w:val="center"/>
              <w:rPr>
                <w:rFonts w:hint="eastAsia" w:ascii="宋体" w:hAnsi="宋体" w:eastAsia="宋体" w:cs="宋体"/>
                <w:color w:val="000000" w:themeColor="text1"/>
                <w:sz w:val="21"/>
                <w:szCs w:val="21"/>
                <w:highlight w:val="none"/>
                <w:u w:val="single"/>
                <w14:textFill>
                  <w14:solidFill>
                    <w14:schemeClr w14:val="tx1"/>
                  </w14:solidFill>
                </w14:textFill>
              </w:rPr>
            </w:pPr>
            <w:r>
              <w:rPr>
                <w:rFonts w:hint="eastAsia" w:ascii="宋体" w:hAnsi="宋体" w:eastAsia="宋体" w:cs="宋体"/>
                <w:color w:val="000000" w:themeColor="text1"/>
                <w:sz w:val="21"/>
                <w:szCs w:val="21"/>
                <w:highlight w:val="none"/>
                <w:u w:val="single"/>
                <w14:textFill>
                  <w14:solidFill>
                    <w14:schemeClr w14:val="tx1"/>
                  </w14:solidFill>
                </w14:textFill>
              </w:rPr>
              <w:t>/</w:t>
            </w:r>
          </w:p>
        </w:tc>
        <w:tc>
          <w:tcPr>
            <w:tcW w:w="731" w:type="pct"/>
            <w:tcBorders>
              <w:tl2br w:val="nil"/>
              <w:tr2bl w:val="nil"/>
            </w:tcBorders>
            <w:noWrap w:val="0"/>
            <w:vAlign w:val="center"/>
          </w:tcPr>
          <w:p>
            <w:pPr>
              <w:jc w:val="center"/>
              <w:rPr>
                <w:rFonts w:hint="eastAsia" w:ascii="宋体" w:hAnsi="宋体" w:eastAsia="宋体" w:cs="宋体"/>
                <w:color w:val="000000" w:themeColor="text1"/>
                <w:sz w:val="21"/>
                <w:szCs w:val="21"/>
                <w:highlight w:val="none"/>
                <w:u w:val="single"/>
                <w14:textFill>
                  <w14:solidFill>
                    <w14:schemeClr w14:val="tx1"/>
                  </w14:solidFill>
                </w14:textFill>
              </w:rPr>
            </w:pPr>
            <w:r>
              <w:rPr>
                <w:rFonts w:hint="eastAsia" w:ascii="宋体" w:hAnsi="宋体" w:eastAsia="宋体" w:cs="宋体"/>
                <w:color w:val="000000" w:themeColor="text1"/>
                <w:sz w:val="21"/>
                <w:szCs w:val="21"/>
                <w:highlight w:val="none"/>
                <w:u w:val="single"/>
                <w14:textFill>
                  <w14:solidFill>
                    <w14:schemeClr w14:val="tx1"/>
                  </w14:solidFill>
                </w14:textFill>
              </w:rPr>
              <w:t>/</w:t>
            </w:r>
          </w:p>
        </w:tc>
        <w:tc>
          <w:tcPr>
            <w:tcW w:w="910" w:type="pct"/>
            <w:tcBorders>
              <w:tl2br w:val="nil"/>
              <w:tr2bl w:val="nil"/>
            </w:tcBorders>
            <w:noWrap w:val="0"/>
            <w:vAlign w:val="center"/>
          </w:tcPr>
          <w:p>
            <w:pPr>
              <w:jc w:val="center"/>
              <w:rPr>
                <w:rFonts w:hint="eastAsia" w:ascii="宋体" w:hAnsi="宋体" w:eastAsia="宋体" w:cs="宋体"/>
                <w:color w:val="000000" w:themeColor="text1"/>
                <w:sz w:val="21"/>
                <w:szCs w:val="21"/>
                <w:highlight w:val="none"/>
                <w:u w:val="single"/>
                <w14:textFill>
                  <w14:solidFill>
                    <w14:schemeClr w14:val="tx1"/>
                  </w14:solidFill>
                </w14:textFill>
              </w:rPr>
            </w:pPr>
            <w:r>
              <w:rPr>
                <w:rFonts w:hint="eastAsia" w:ascii="宋体" w:hAnsi="宋体" w:eastAsia="宋体" w:cs="宋体"/>
                <w:color w:val="000000" w:themeColor="text1"/>
                <w:sz w:val="21"/>
                <w:szCs w:val="21"/>
                <w:highlight w:val="none"/>
                <w:u w:val="single"/>
                <w14:textFill>
                  <w14:solidFill>
                    <w14:schemeClr w14:val="tx1"/>
                  </w14:solidFill>
                </w14:textFill>
              </w:rPr>
              <w:t>GB3096-2008中</w:t>
            </w:r>
          </w:p>
          <w:p>
            <w:pPr>
              <w:jc w:val="center"/>
              <w:rPr>
                <w:rFonts w:hint="eastAsia" w:ascii="宋体" w:hAnsi="宋体" w:eastAsia="宋体" w:cs="宋体"/>
                <w:color w:val="000000" w:themeColor="text1"/>
                <w:sz w:val="21"/>
                <w:szCs w:val="21"/>
                <w:highlight w:val="none"/>
                <w:u w:val="single"/>
                <w14:textFill>
                  <w14:solidFill>
                    <w14:schemeClr w14:val="tx1"/>
                  </w14:solidFill>
                </w14:textFill>
              </w:rPr>
            </w:pPr>
            <w:r>
              <w:rPr>
                <w:rFonts w:hint="eastAsia" w:ascii="宋体" w:hAnsi="宋体" w:eastAsia="宋体" w:cs="宋体"/>
                <w:color w:val="000000" w:themeColor="text1"/>
                <w:sz w:val="21"/>
                <w:szCs w:val="21"/>
                <w:highlight w:val="none"/>
                <w:u w:val="single"/>
                <w14:textFill>
                  <w14:solidFill>
                    <w14:schemeClr w14:val="tx1"/>
                  </w14:solidFill>
                </w14:textFill>
              </w:rPr>
              <w:t>3类标准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3" w:hRule="atLeast"/>
        </w:trPr>
        <w:tc>
          <w:tcPr>
            <w:tcW w:w="403" w:type="pct"/>
            <w:tcBorders>
              <w:tl2br w:val="nil"/>
              <w:tr2bl w:val="nil"/>
            </w:tcBorders>
            <w:noWrap w:val="0"/>
            <w:vAlign w:val="center"/>
          </w:tcPr>
          <w:p>
            <w:pPr>
              <w:jc w:val="center"/>
              <w:rPr>
                <w:rFonts w:hint="eastAsia" w:ascii="宋体" w:hAnsi="宋体" w:eastAsia="宋体" w:cs="宋体"/>
                <w:color w:val="000000" w:themeColor="text1"/>
                <w:sz w:val="21"/>
                <w:szCs w:val="21"/>
                <w:highlight w:val="none"/>
                <w:u w:val="single"/>
                <w14:textFill>
                  <w14:solidFill>
                    <w14:schemeClr w14:val="tx1"/>
                  </w14:solidFill>
                </w14:textFill>
              </w:rPr>
            </w:pPr>
            <w:r>
              <w:rPr>
                <w:rFonts w:hint="eastAsia" w:ascii="宋体" w:hAnsi="宋体" w:eastAsia="宋体" w:cs="宋体"/>
                <w:color w:val="000000" w:themeColor="text1"/>
                <w:sz w:val="21"/>
                <w:szCs w:val="21"/>
                <w:highlight w:val="none"/>
                <w:u w:val="single"/>
                <w14:textFill>
                  <w14:solidFill>
                    <w14:schemeClr w14:val="tx1"/>
                  </w14:solidFill>
                </w14:textFill>
              </w:rPr>
              <w:t>地下水环境</w:t>
            </w:r>
          </w:p>
        </w:tc>
        <w:tc>
          <w:tcPr>
            <w:tcW w:w="2153" w:type="pct"/>
            <w:gridSpan w:val="3"/>
            <w:tcBorders>
              <w:tl2br w:val="nil"/>
              <w:tr2bl w:val="nil"/>
            </w:tcBorders>
            <w:noWrap w:val="0"/>
            <w:vAlign w:val="center"/>
          </w:tcPr>
          <w:p>
            <w:pPr>
              <w:jc w:val="cente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pPr>
            <w: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t>/</w:t>
            </w:r>
          </w:p>
        </w:tc>
        <w:tc>
          <w:tcPr>
            <w:tcW w:w="299" w:type="pct"/>
            <w:tcBorders>
              <w:tl2br w:val="nil"/>
              <w:tr2bl w:val="nil"/>
            </w:tcBorders>
            <w:noWrap w:val="0"/>
            <w:vAlign w:val="center"/>
          </w:tcPr>
          <w:p>
            <w:pPr>
              <w:jc w:val="center"/>
              <w:rPr>
                <w:rFonts w:hint="eastAsia" w:ascii="宋体" w:hAnsi="宋体" w:eastAsia="宋体" w:cs="宋体"/>
                <w:color w:val="000000" w:themeColor="text1"/>
                <w:sz w:val="21"/>
                <w:szCs w:val="21"/>
                <w:highlight w:val="none"/>
                <w:u w:val="single"/>
                <w14:textFill>
                  <w14:solidFill>
                    <w14:schemeClr w14:val="tx1"/>
                  </w14:solidFill>
                </w14:textFill>
              </w:rPr>
            </w:pPr>
            <w:r>
              <w:rPr>
                <w:rFonts w:hint="eastAsia" w:ascii="宋体" w:hAnsi="宋体" w:eastAsia="宋体" w:cs="宋体"/>
                <w:color w:val="000000" w:themeColor="text1"/>
                <w:sz w:val="21"/>
                <w:szCs w:val="21"/>
                <w:highlight w:val="none"/>
                <w:u w:val="single"/>
                <w14:textFill>
                  <w14:solidFill>
                    <w14:schemeClr w14:val="tx1"/>
                  </w14:solidFill>
                </w14:textFill>
              </w:rPr>
              <w:t>/</w:t>
            </w:r>
          </w:p>
        </w:tc>
        <w:tc>
          <w:tcPr>
            <w:tcW w:w="501" w:type="pct"/>
            <w:tcBorders>
              <w:tl2br w:val="nil"/>
              <w:tr2bl w:val="nil"/>
            </w:tcBorders>
            <w:noWrap w:val="0"/>
            <w:vAlign w:val="center"/>
          </w:tcPr>
          <w:p>
            <w:pPr>
              <w:jc w:val="center"/>
              <w:rPr>
                <w:rFonts w:hint="eastAsia" w:ascii="宋体" w:hAnsi="宋体" w:eastAsia="宋体" w:cs="宋体"/>
                <w:color w:val="000000" w:themeColor="text1"/>
                <w:sz w:val="21"/>
                <w:szCs w:val="21"/>
                <w:highlight w:val="none"/>
                <w:u w:val="single"/>
                <w14:textFill>
                  <w14:solidFill>
                    <w14:schemeClr w14:val="tx1"/>
                  </w14:solidFill>
                </w14:textFill>
              </w:rPr>
            </w:pPr>
            <w:r>
              <w:rPr>
                <w:rFonts w:hint="eastAsia" w:ascii="宋体" w:hAnsi="宋体" w:eastAsia="宋体" w:cs="宋体"/>
                <w:color w:val="000000" w:themeColor="text1"/>
                <w:sz w:val="21"/>
                <w:szCs w:val="21"/>
                <w:highlight w:val="none"/>
                <w:u w:val="single"/>
                <w14:textFill>
                  <w14:solidFill>
                    <w14:schemeClr w14:val="tx1"/>
                  </w14:solidFill>
                </w14:textFill>
              </w:rPr>
              <w:t>/</w:t>
            </w:r>
          </w:p>
        </w:tc>
        <w:tc>
          <w:tcPr>
            <w:tcW w:w="731" w:type="pct"/>
            <w:tcBorders>
              <w:tl2br w:val="nil"/>
              <w:tr2bl w:val="nil"/>
            </w:tcBorders>
            <w:noWrap w:val="0"/>
            <w:vAlign w:val="center"/>
          </w:tcPr>
          <w:p>
            <w:pPr>
              <w:jc w:val="center"/>
              <w:rPr>
                <w:rFonts w:hint="eastAsia" w:ascii="宋体" w:hAnsi="宋体" w:eastAsia="宋体" w:cs="宋体"/>
                <w:color w:val="000000" w:themeColor="text1"/>
                <w:sz w:val="21"/>
                <w:szCs w:val="21"/>
                <w:highlight w:val="none"/>
                <w:u w:val="single"/>
                <w14:textFill>
                  <w14:solidFill>
                    <w14:schemeClr w14:val="tx1"/>
                  </w14:solidFill>
                </w14:textFill>
              </w:rPr>
            </w:pPr>
            <w:r>
              <w:rPr>
                <w:rFonts w:hint="eastAsia" w:ascii="宋体" w:hAnsi="宋体" w:eastAsia="宋体" w:cs="宋体"/>
                <w:color w:val="000000" w:themeColor="text1"/>
                <w:sz w:val="21"/>
                <w:szCs w:val="21"/>
                <w:highlight w:val="none"/>
                <w:u w:val="single"/>
                <w14:textFill>
                  <w14:solidFill>
                    <w14:schemeClr w14:val="tx1"/>
                  </w14:solidFill>
                </w14:textFill>
              </w:rPr>
              <w:t>/</w:t>
            </w:r>
          </w:p>
        </w:tc>
        <w:tc>
          <w:tcPr>
            <w:tcW w:w="910" w:type="pct"/>
            <w:tcBorders>
              <w:tl2br w:val="nil"/>
              <w:tr2bl w:val="nil"/>
            </w:tcBorders>
            <w:noWrap w:val="0"/>
            <w:vAlign w:val="center"/>
          </w:tcPr>
          <w:p>
            <w:pPr>
              <w:jc w:val="center"/>
              <w:rPr>
                <w:rFonts w:hint="eastAsia" w:ascii="宋体" w:hAnsi="宋体" w:eastAsia="宋体" w:cs="宋体"/>
                <w:color w:val="000000" w:themeColor="text1"/>
                <w:sz w:val="21"/>
                <w:szCs w:val="21"/>
                <w:highlight w:val="none"/>
                <w:u w:val="single"/>
                <w14:textFill>
                  <w14:solidFill>
                    <w14:schemeClr w14:val="tx1"/>
                  </w14:solidFill>
                </w14:textFill>
              </w:rPr>
            </w:pPr>
            <w:r>
              <w:rPr>
                <w:rFonts w:hint="eastAsia" w:ascii="宋体" w:hAnsi="宋体" w:eastAsia="宋体" w:cs="宋体"/>
                <w:color w:val="000000" w:themeColor="text1"/>
                <w:sz w:val="21"/>
                <w:szCs w:val="21"/>
                <w:highlight w:val="none"/>
                <w:u w:val="single"/>
                <w14:textFill>
                  <w14:solidFill>
                    <w14:schemeClr w14:val="tx1"/>
                  </w14:solidFill>
                </w14:textFill>
              </w:rPr>
              <w:t>GB/T14848-2017《地下水质量标准》中Ⅲ类水质标准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3" w:hRule="atLeast"/>
        </w:trPr>
        <w:tc>
          <w:tcPr>
            <w:tcW w:w="403" w:type="pct"/>
            <w:tcBorders>
              <w:tl2br w:val="nil"/>
              <w:tr2bl w:val="nil"/>
            </w:tcBorders>
            <w:noWrap w:val="0"/>
            <w:vAlign w:val="center"/>
          </w:tcPr>
          <w:p>
            <w:pPr>
              <w:jc w:val="center"/>
              <w:rPr>
                <w:rFonts w:hint="eastAsia" w:ascii="宋体" w:hAnsi="宋体" w:eastAsia="宋体" w:cs="宋体"/>
                <w:color w:val="000000" w:themeColor="text1"/>
                <w:sz w:val="21"/>
                <w:szCs w:val="21"/>
                <w:highlight w:val="none"/>
                <w:u w:val="single"/>
                <w14:textFill>
                  <w14:solidFill>
                    <w14:schemeClr w14:val="tx1"/>
                  </w14:solidFill>
                </w14:textFill>
              </w:rPr>
            </w:pPr>
            <w:r>
              <w:rPr>
                <w:rFonts w:hint="eastAsia" w:ascii="宋体" w:hAnsi="宋体" w:eastAsia="宋体" w:cs="宋体"/>
                <w:color w:val="000000" w:themeColor="text1"/>
                <w:sz w:val="21"/>
                <w:szCs w:val="21"/>
                <w:highlight w:val="none"/>
                <w:u w:val="single"/>
                <w14:textFill>
                  <w14:solidFill>
                    <w14:schemeClr w14:val="tx1"/>
                  </w14:solidFill>
                </w14:textFill>
              </w:rPr>
              <w:t>土壤环境</w:t>
            </w:r>
          </w:p>
        </w:tc>
        <w:tc>
          <w:tcPr>
            <w:tcW w:w="2153" w:type="pct"/>
            <w:gridSpan w:val="3"/>
            <w:tcBorders>
              <w:tl2br w:val="nil"/>
              <w:tr2bl w:val="nil"/>
            </w:tcBorders>
            <w:noWrap w:val="0"/>
            <w:vAlign w:val="center"/>
          </w:tcPr>
          <w:p>
            <w:pPr>
              <w:jc w:val="center"/>
              <w:rPr>
                <w:rFonts w:hint="eastAsia" w:ascii="宋体" w:hAnsi="宋体" w:eastAsia="宋体" w:cs="宋体"/>
                <w:color w:val="000000" w:themeColor="text1"/>
                <w:sz w:val="21"/>
                <w:szCs w:val="21"/>
                <w:highlight w:val="none"/>
                <w:u w:val="single"/>
                <w14:textFill>
                  <w14:solidFill>
                    <w14:schemeClr w14:val="tx1"/>
                  </w14:solidFill>
                </w14:textFill>
              </w:rPr>
            </w:pPr>
            <w:r>
              <w:rPr>
                <w:rFonts w:hint="eastAsia" w:ascii="宋体" w:hAnsi="宋体" w:eastAsia="宋体" w:cs="宋体"/>
                <w:color w:val="000000" w:themeColor="text1"/>
                <w:sz w:val="21"/>
                <w:szCs w:val="21"/>
                <w:highlight w:val="none"/>
                <w:u w:val="single"/>
                <w14:textFill>
                  <w14:solidFill>
                    <w14:schemeClr w14:val="tx1"/>
                  </w14:solidFill>
                </w14:textFill>
              </w:rPr>
              <w:t>厂界内及厂界外200m范围</w:t>
            </w:r>
          </w:p>
        </w:tc>
        <w:tc>
          <w:tcPr>
            <w:tcW w:w="299" w:type="pct"/>
            <w:tcBorders>
              <w:tl2br w:val="nil"/>
              <w:tr2bl w:val="nil"/>
            </w:tcBorders>
            <w:noWrap w:val="0"/>
            <w:vAlign w:val="center"/>
          </w:tcPr>
          <w:p>
            <w:pPr>
              <w:jc w:val="center"/>
              <w:rPr>
                <w:rFonts w:hint="eastAsia" w:ascii="宋体" w:hAnsi="宋体" w:eastAsia="宋体" w:cs="宋体"/>
                <w:color w:val="000000" w:themeColor="text1"/>
                <w:sz w:val="21"/>
                <w:szCs w:val="21"/>
                <w:highlight w:val="none"/>
                <w:u w:val="single"/>
                <w:lang w:val="zh-CN"/>
                <w14:textFill>
                  <w14:solidFill>
                    <w14:schemeClr w14:val="tx1"/>
                  </w14:solidFill>
                </w14:textFill>
              </w:rPr>
            </w:pPr>
            <w:r>
              <w:rPr>
                <w:rFonts w:hint="eastAsia" w:ascii="宋体" w:hAnsi="宋体" w:eastAsia="宋体" w:cs="宋体"/>
                <w:color w:val="000000" w:themeColor="text1"/>
                <w:sz w:val="21"/>
                <w:szCs w:val="21"/>
                <w:highlight w:val="none"/>
                <w:u w:val="single"/>
                <w14:textFill>
                  <w14:solidFill>
                    <w14:schemeClr w14:val="tx1"/>
                  </w14:solidFill>
                </w14:textFill>
              </w:rPr>
              <w:t>/</w:t>
            </w:r>
          </w:p>
        </w:tc>
        <w:tc>
          <w:tcPr>
            <w:tcW w:w="501" w:type="pct"/>
            <w:tcBorders>
              <w:tl2br w:val="nil"/>
              <w:tr2bl w:val="nil"/>
            </w:tcBorders>
            <w:noWrap w:val="0"/>
            <w:vAlign w:val="center"/>
          </w:tcPr>
          <w:p>
            <w:pPr>
              <w:jc w:val="center"/>
              <w:rPr>
                <w:rFonts w:hint="eastAsia" w:ascii="宋体" w:hAnsi="宋体" w:eastAsia="宋体" w:cs="宋体"/>
                <w:color w:val="000000" w:themeColor="text1"/>
                <w:sz w:val="21"/>
                <w:szCs w:val="21"/>
                <w:highlight w:val="none"/>
                <w:u w:val="single"/>
                <w14:textFill>
                  <w14:solidFill>
                    <w14:schemeClr w14:val="tx1"/>
                  </w14:solidFill>
                </w14:textFill>
              </w:rPr>
            </w:pPr>
            <w:r>
              <w:rPr>
                <w:rFonts w:hint="eastAsia" w:ascii="宋体" w:hAnsi="宋体" w:eastAsia="宋体" w:cs="宋体"/>
                <w:color w:val="000000" w:themeColor="text1"/>
                <w:sz w:val="21"/>
                <w:szCs w:val="21"/>
                <w:highlight w:val="none"/>
                <w:u w:val="single"/>
                <w14:textFill>
                  <w14:solidFill>
                    <w14:schemeClr w14:val="tx1"/>
                  </w14:solidFill>
                </w14:textFill>
              </w:rPr>
              <w:t>/</w:t>
            </w:r>
          </w:p>
        </w:tc>
        <w:tc>
          <w:tcPr>
            <w:tcW w:w="731" w:type="pct"/>
            <w:tcBorders>
              <w:tl2br w:val="nil"/>
              <w:tr2bl w:val="nil"/>
            </w:tcBorders>
            <w:noWrap w:val="0"/>
            <w:vAlign w:val="center"/>
          </w:tcPr>
          <w:p>
            <w:pPr>
              <w:jc w:val="center"/>
              <w:rPr>
                <w:rFonts w:hint="eastAsia" w:ascii="宋体" w:hAnsi="宋体" w:eastAsia="宋体" w:cs="宋体"/>
                <w:color w:val="000000" w:themeColor="text1"/>
                <w:sz w:val="21"/>
                <w:szCs w:val="21"/>
                <w:highlight w:val="none"/>
                <w:u w:val="single"/>
                <w14:textFill>
                  <w14:solidFill>
                    <w14:schemeClr w14:val="tx1"/>
                  </w14:solidFill>
                </w14:textFill>
              </w:rPr>
            </w:pPr>
            <w:r>
              <w:rPr>
                <w:rFonts w:hint="eastAsia" w:ascii="宋体" w:hAnsi="宋体" w:eastAsia="宋体" w:cs="宋体"/>
                <w:color w:val="000000" w:themeColor="text1"/>
                <w:sz w:val="21"/>
                <w:szCs w:val="21"/>
                <w:highlight w:val="none"/>
                <w:u w:val="single"/>
                <w14:textFill>
                  <w14:solidFill>
                    <w14:schemeClr w14:val="tx1"/>
                  </w14:solidFill>
                </w14:textFill>
              </w:rPr>
              <w:t>/</w:t>
            </w:r>
          </w:p>
        </w:tc>
        <w:tc>
          <w:tcPr>
            <w:tcW w:w="910" w:type="pct"/>
            <w:tcBorders>
              <w:tl2br w:val="nil"/>
              <w:tr2bl w:val="nil"/>
            </w:tcBorders>
            <w:noWrap w:val="0"/>
            <w:vAlign w:val="center"/>
          </w:tcPr>
          <w:p>
            <w:pPr>
              <w:jc w:val="center"/>
              <w:rPr>
                <w:rFonts w:hint="eastAsia" w:ascii="宋体" w:hAnsi="宋体" w:eastAsia="宋体" w:cs="宋体"/>
                <w:color w:val="000000" w:themeColor="text1"/>
                <w:sz w:val="21"/>
                <w:szCs w:val="21"/>
                <w:highlight w:val="none"/>
                <w:u w:val="single"/>
                <w14:textFill>
                  <w14:solidFill>
                    <w14:schemeClr w14:val="tx1"/>
                  </w14:solidFill>
                </w14:textFill>
              </w:rPr>
            </w:pPr>
            <w:r>
              <w:rPr>
                <w:rFonts w:hint="eastAsia" w:ascii="宋体" w:hAnsi="宋体" w:eastAsia="宋体" w:cs="宋体"/>
                <w:color w:val="000000" w:themeColor="text1"/>
                <w:sz w:val="21"/>
                <w:szCs w:val="21"/>
                <w:highlight w:val="none"/>
                <w:u w:val="single"/>
                <w14:textFill>
                  <w14:solidFill>
                    <w14:schemeClr w14:val="tx1"/>
                  </w14:solidFill>
                </w14:textFill>
              </w:rPr>
              <w:t>《土壤环境质量建设用地土壤污染风险管控标准（试行）》（GB36600-2018）中第二类用地筛选值</w:t>
            </w:r>
          </w:p>
        </w:tc>
      </w:tr>
    </w:tbl>
    <w:p>
      <w:pPr>
        <w:spacing w:line="240" w:lineRule="auto"/>
        <w:jc w:val="center"/>
        <w:rPr>
          <w:rFonts w:hint="eastAsia" w:ascii="宋体" w:hAnsi="宋体" w:eastAsia="宋体" w:cs="宋体"/>
          <w:bCs/>
          <w:color w:val="000000" w:themeColor="text1"/>
          <w:szCs w:val="21"/>
          <w:highlight w:val="none"/>
          <w14:textFill>
            <w14:solidFill>
              <w14:schemeClr w14:val="tx1"/>
            </w14:solidFill>
          </w14:textFill>
        </w:rPr>
      </w:pPr>
    </w:p>
    <w:p>
      <w:pPr>
        <w:pStyle w:val="5"/>
        <w:rPr>
          <w:rFonts w:hint="eastAsia" w:ascii="宋体" w:hAnsi="宋体" w:eastAsia="宋体" w:cs="宋体"/>
          <w:color w:val="000000" w:themeColor="text1"/>
          <w14:textFill>
            <w14:solidFill>
              <w14:schemeClr w14:val="tx1"/>
            </w14:solidFill>
          </w14:textFill>
        </w:rPr>
        <w:sectPr>
          <w:pgSz w:w="11906" w:h="16838"/>
          <w:pgMar w:top="1247" w:right="1134" w:bottom="1134" w:left="1247" w:header="680" w:footer="680" w:gutter="0"/>
          <w:pgBorders w:offsetFrom="page">
            <w:top w:val="none" w:sz="0" w:space="0"/>
            <w:left w:val="none" w:sz="0" w:space="0"/>
            <w:bottom w:val="none" w:sz="0" w:space="0"/>
            <w:right w:val="none" w:sz="0" w:space="0"/>
          </w:pgBorders>
          <w:pgNumType w:fmt="decimal"/>
          <w:cols w:space="720" w:num="1"/>
          <w:docGrid w:linePitch="312" w:charSpace="0"/>
        </w:sectPr>
      </w:pPr>
    </w:p>
    <w:bookmarkEnd w:id="287"/>
    <w:bookmarkEnd w:id="288"/>
    <w:bookmarkEnd w:id="289"/>
    <w:bookmarkEnd w:id="290"/>
    <w:bookmarkEnd w:id="291"/>
    <w:p>
      <w:pPr>
        <w:pStyle w:val="6"/>
        <w:numPr>
          <w:ilvl w:val="0"/>
          <w:numId w:val="3"/>
        </w:numPr>
        <w:bidi w:val="0"/>
        <w:ind w:left="240" w:leftChars="0" w:firstLineChars="0"/>
        <w:rPr>
          <w:rFonts w:hint="eastAsia" w:ascii="宋体" w:hAnsi="宋体" w:eastAsia="宋体" w:cs="宋体"/>
          <w:color w:val="000000" w:themeColor="text1"/>
          <w:lang w:eastAsia="zh-CN"/>
          <w14:textFill>
            <w14:solidFill>
              <w14:schemeClr w14:val="tx1"/>
            </w14:solidFill>
          </w14:textFill>
        </w:rPr>
      </w:pPr>
      <w:bookmarkStart w:id="292" w:name="_Toc22277"/>
      <w:r>
        <w:rPr>
          <w:rFonts w:hint="eastAsia" w:ascii="宋体" w:hAnsi="宋体" w:eastAsia="宋体" w:cs="宋体"/>
          <w:color w:val="000000" w:themeColor="text1"/>
          <w:lang w:val="en-US" w:eastAsia="zh-CN"/>
          <w14:textFill>
            <w14:solidFill>
              <w14:schemeClr w14:val="tx1"/>
            </w14:solidFill>
          </w14:textFill>
        </w:rPr>
        <w:t>工程分析</w:t>
      </w:r>
      <w:bookmarkEnd w:id="292"/>
    </w:p>
    <w:p>
      <w:pPr>
        <w:pStyle w:val="7"/>
        <w:keepNext w:val="0"/>
        <w:keepLines w:val="0"/>
        <w:pageBreakBefore w:val="0"/>
        <w:widowControl/>
        <w:numPr>
          <w:ilvl w:val="0"/>
          <w:numId w:val="0"/>
        </w:numPr>
        <w:kinsoku/>
        <w:wordWrap/>
        <w:overflowPunct/>
        <w:topLinePunct w:val="0"/>
        <w:bidi w:val="0"/>
        <w:adjustRightInd/>
        <w:snapToGrid/>
        <w:ind w:leftChars="200"/>
        <w:textAlignment w:val="auto"/>
        <w:rPr>
          <w:rFonts w:hint="eastAsia" w:ascii="宋体" w:hAnsi="宋体" w:eastAsia="宋体" w:cs="宋体"/>
          <w:bCs/>
          <w:color w:val="000000" w:themeColor="text1"/>
          <w:sz w:val="24"/>
          <w:szCs w:val="24"/>
          <w:highlight w:val="none"/>
          <w:lang w:val="en-US" w:eastAsia="zh-CN"/>
          <w14:textFill>
            <w14:solidFill>
              <w14:schemeClr w14:val="tx1"/>
            </w14:solidFill>
          </w14:textFill>
        </w:rPr>
      </w:pPr>
      <w:bookmarkStart w:id="293" w:name="_Toc25562"/>
      <w:r>
        <w:rPr>
          <w:rFonts w:hint="eastAsia" w:ascii="宋体" w:hAnsi="宋体" w:eastAsia="宋体" w:cs="宋体"/>
          <w:bCs/>
          <w:color w:val="000000" w:themeColor="text1"/>
          <w:sz w:val="24"/>
          <w:szCs w:val="24"/>
          <w:highlight w:val="none"/>
          <w:lang w:val="en-US" w:eastAsia="zh-CN"/>
          <w14:textFill>
            <w14:solidFill>
              <w14:schemeClr w14:val="tx1"/>
            </w14:solidFill>
          </w14:textFill>
        </w:rPr>
        <w:t>3.1现有工程</w:t>
      </w:r>
      <w:bookmarkEnd w:id="293"/>
    </w:p>
    <w:p>
      <w:pPr>
        <w:pStyle w:val="8"/>
        <w:keepNext w:val="0"/>
        <w:keepLines w:val="0"/>
        <w:pageBreakBefore w:val="0"/>
        <w:widowControl/>
        <w:kinsoku/>
        <w:wordWrap/>
        <w:overflowPunct/>
        <w:topLinePunct w:val="0"/>
        <w:bidi w:val="0"/>
        <w:adjustRightInd/>
        <w:snapToGrid/>
        <w:ind w:firstLine="482" w:firstLineChars="200"/>
        <w:textAlignment w:val="auto"/>
        <w:rPr>
          <w:rFonts w:hint="eastAsia" w:ascii="宋体" w:hAnsi="宋体" w:eastAsia="宋体" w:cs="宋体"/>
          <w:color w:val="000000" w:themeColor="text1"/>
          <w:highlight w:val="none"/>
          <w:lang w:val="en-US" w:eastAsia="zh-CN"/>
          <w14:textFill>
            <w14:solidFill>
              <w14:schemeClr w14:val="tx1"/>
            </w14:solidFill>
          </w14:textFill>
        </w:rPr>
      </w:pPr>
      <w:bookmarkStart w:id="294" w:name="_Toc32013"/>
      <w:r>
        <w:rPr>
          <w:rFonts w:hint="eastAsia" w:ascii="宋体" w:hAnsi="宋体" w:eastAsia="宋体" w:cs="宋体"/>
          <w:color w:val="000000" w:themeColor="text1"/>
          <w:highlight w:val="none"/>
          <w:lang w:val="en-US" w:eastAsia="zh-CN"/>
          <w14:textFill>
            <w14:solidFill>
              <w14:schemeClr w14:val="tx1"/>
            </w14:solidFill>
          </w14:textFill>
        </w:rPr>
        <w:t>3.1.1在建项目概况</w:t>
      </w:r>
      <w:bookmarkEnd w:id="294"/>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2021年4月，株洲市绝缘材料有限责任公司成立于2006年6月，注册资本1180万元，经营范围包括：绝缘制品、电动机械制造、铁路机车车辆配件制造等。为满足轨道交通产业发展需求，株洲市绝缘材料有限责任公司拟在株洲市天元区新马工业园投资建设“轨道交通装备新材料项目”，2021年8月31日，取得了株洲市生态环境局天元分局</w:t>
      </w:r>
      <w:r>
        <w:rPr>
          <w:rFonts w:hint="eastAsia" w:ascii="宋体" w:hAnsi="宋体" w:eastAsia="宋体" w:cs="宋体"/>
          <w:color w:val="000000" w:themeColor="text1"/>
          <w:highlight w:val="none"/>
          <w:lang w:eastAsia="zh-CN"/>
          <w14:textFill>
            <w14:solidFill>
              <w14:schemeClr w14:val="tx1"/>
            </w14:solidFill>
          </w14:textFill>
        </w:rPr>
        <w:t>的批复，文号为</w:t>
      </w:r>
      <w:r>
        <w:rPr>
          <w:rFonts w:hint="eastAsia" w:ascii="宋体" w:hAnsi="宋体" w:eastAsia="宋体" w:cs="宋体"/>
          <w:color w:val="000000" w:themeColor="text1"/>
          <w:highlight w:val="none"/>
          <w:lang w:val="en-US" w:eastAsia="zh-CN"/>
          <w14:textFill>
            <w14:solidFill>
              <w14:schemeClr w14:val="tx1"/>
            </w14:solidFill>
          </w14:textFill>
        </w:rPr>
        <w:t>株环天环评表[2020]47号，</w:t>
      </w:r>
      <w:r>
        <w:rPr>
          <w:rFonts w:hint="eastAsia" w:ascii="宋体" w:hAnsi="宋体" w:eastAsia="宋体" w:cs="宋体"/>
          <w:color w:val="000000" w:themeColor="text1"/>
          <w:highlight w:val="none"/>
          <w14:textFill>
            <w14:solidFill>
              <w14:schemeClr w14:val="tx1"/>
            </w14:solidFill>
          </w14:textFill>
        </w:rPr>
        <w:t>公司</w:t>
      </w:r>
      <w:r>
        <w:rPr>
          <w:rFonts w:hint="eastAsia" w:ascii="宋体" w:hAnsi="宋体" w:eastAsia="宋体" w:cs="宋体"/>
          <w:color w:val="000000" w:themeColor="text1"/>
          <w:highlight w:val="none"/>
          <w:lang w:eastAsia="zh-CN"/>
          <w14:textFill>
            <w14:solidFill>
              <w14:schemeClr w14:val="tx1"/>
            </w14:solidFill>
          </w14:textFill>
        </w:rPr>
        <w:t>于同年开始建设“</w:t>
      </w:r>
      <w:r>
        <w:rPr>
          <w:rFonts w:hint="eastAsia" w:ascii="宋体" w:hAnsi="宋体" w:eastAsia="宋体" w:cs="宋体"/>
          <w:color w:val="000000" w:themeColor="text1"/>
          <w:highlight w:val="none"/>
          <w:lang w:val="en-US" w:eastAsia="zh-CN"/>
          <w14:textFill>
            <w14:solidFill>
              <w14:schemeClr w14:val="tx1"/>
            </w14:solidFill>
          </w14:textFill>
        </w:rPr>
        <w:t>轨道交通装备新材料项目</w:t>
      </w:r>
      <w:r>
        <w:rPr>
          <w:rFonts w:hint="eastAsia" w:ascii="宋体" w:hAnsi="宋体" w:eastAsia="宋体" w:cs="宋体"/>
          <w:color w:val="000000" w:themeColor="text1"/>
          <w:highlight w:val="none"/>
          <w:lang w:eastAsia="zh-CN"/>
          <w14:textFill>
            <w14:solidFill>
              <w14:schemeClr w14:val="tx1"/>
            </w14:solidFill>
          </w14:textFill>
        </w:rPr>
        <w:t>”，该项目正在建设中，</w:t>
      </w:r>
      <w:r>
        <w:rPr>
          <w:rFonts w:hint="eastAsia" w:ascii="宋体" w:hAnsi="宋体" w:eastAsia="宋体" w:cs="宋体"/>
          <w:color w:val="000000" w:themeColor="text1"/>
          <w:highlight w:val="none"/>
          <w:lang w:val="en-US" w:eastAsia="zh-CN"/>
          <w14:textFill>
            <w14:solidFill>
              <w14:schemeClr w14:val="tx1"/>
            </w14:solidFill>
          </w14:textFill>
        </w:rPr>
        <w:t>暂未投产</w:t>
      </w:r>
      <w:r>
        <w:rPr>
          <w:rFonts w:hint="eastAsia" w:ascii="宋体" w:hAnsi="宋体" w:eastAsia="宋体" w:cs="宋体"/>
          <w:color w:val="000000" w:themeColor="text1"/>
          <w:highlight w:val="none"/>
          <w14:textFill>
            <w14:solidFill>
              <w14:schemeClr w14:val="tx1"/>
            </w14:solidFill>
          </w14:textFill>
        </w:rPr>
        <w:t>。</w:t>
      </w:r>
    </w:p>
    <w:p>
      <w:pPr>
        <w:pStyle w:val="8"/>
        <w:keepNext w:val="0"/>
        <w:keepLines w:val="0"/>
        <w:pageBreakBefore w:val="0"/>
        <w:widowControl/>
        <w:kinsoku/>
        <w:wordWrap/>
        <w:overflowPunct/>
        <w:topLinePunct w:val="0"/>
        <w:bidi w:val="0"/>
        <w:adjustRightInd/>
        <w:snapToGrid/>
        <w:ind w:firstLine="482" w:firstLineChars="200"/>
        <w:textAlignment w:val="auto"/>
        <w:rPr>
          <w:rFonts w:hint="eastAsia" w:ascii="宋体" w:hAnsi="宋体" w:eastAsia="宋体" w:cs="宋体"/>
          <w:color w:val="000000" w:themeColor="text1"/>
          <w:highlight w:val="none"/>
          <w:lang w:val="en-US" w:eastAsia="zh-CN"/>
          <w14:textFill>
            <w14:solidFill>
              <w14:schemeClr w14:val="tx1"/>
            </w14:solidFill>
          </w14:textFill>
        </w:rPr>
      </w:pPr>
      <w:bookmarkStart w:id="295" w:name="_Toc20747"/>
      <w:bookmarkStart w:id="296" w:name="_Toc2896"/>
      <w:r>
        <w:rPr>
          <w:rFonts w:hint="eastAsia" w:ascii="宋体" w:hAnsi="宋体" w:eastAsia="宋体" w:cs="宋体"/>
          <w:color w:val="000000" w:themeColor="text1"/>
          <w:highlight w:val="none"/>
          <w:lang w:val="en-US" w:eastAsia="zh-CN"/>
          <w14:textFill>
            <w14:solidFill>
              <w14:schemeClr w14:val="tx1"/>
            </w14:solidFill>
          </w14:textFill>
        </w:rPr>
        <w:t>3.1.2总平面设计</w:t>
      </w:r>
      <w:bookmarkEnd w:id="295"/>
      <w:bookmarkEnd w:id="296"/>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总平面设计按5栋工业厂房(1#、2#、3#、4#、5#)、1栋办公楼(5F)和1栋宿舍楼(地上5F+地下1F)布置，出入口临仙月环路设置。</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0" w:firstLineChars="0"/>
        <w:jc w:val="center"/>
        <w:textAlignment w:val="auto"/>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表3.1.2-1主要技术经济指标一览表</w:t>
      </w:r>
    </w:p>
    <w:tbl>
      <w:tblPr>
        <w:tblStyle w:val="77"/>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874"/>
        <w:gridCol w:w="2885"/>
        <w:gridCol w:w="1140"/>
        <w:gridCol w:w="1944"/>
        <w:gridCol w:w="279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453"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序号</w:t>
            </w:r>
          </w:p>
        </w:tc>
        <w:tc>
          <w:tcPr>
            <w:tcW w:w="1496"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项目</w:t>
            </w:r>
          </w:p>
        </w:tc>
        <w:tc>
          <w:tcPr>
            <w:tcW w:w="591"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单位</w:t>
            </w:r>
          </w:p>
        </w:tc>
        <w:tc>
          <w:tcPr>
            <w:tcW w:w="1008"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数值</w:t>
            </w:r>
          </w:p>
        </w:tc>
        <w:tc>
          <w:tcPr>
            <w:tcW w:w="1450"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453"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p>
        </w:tc>
        <w:tc>
          <w:tcPr>
            <w:tcW w:w="1496"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代征道路面积</w:t>
            </w:r>
          </w:p>
        </w:tc>
        <w:tc>
          <w:tcPr>
            <w:tcW w:w="591"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c>
          <w:tcPr>
            <w:tcW w:w="1008"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1790.21</w:t>
            </w:r>
          </w:p>
        </w:tc>
        <w:tc>
          <w:tcPr>
            <w:tcW w:w="1450"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2.99亩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453"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c>
          <w:tcPr>
            <w:tcW w:w="1496"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净用地面积</w:t>
            </w:r>
          </w:p>
        </w:tc>
        <w:tc>
          <w:tcPr>
            <w:tcW w:w="591"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c>
          <w:tcPr>
            <w:tcW w:w="1008"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33215.86</w:t>
            </w:r>
          </w:p>
        </w:tc>
        <w:tc>
          <w:tcPr>
            <w:tcW w:w="1450"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49.82亩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453"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p>
        </w:tc>
        <w:tc>
          <w:tcPr>
            <w:tcW w:w="1496"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总建筑面积</w:t>
            </w:r>
          </w:p>
        </w:tc>
        <w:tc>
          <w:tcPr>
            <w:tcW w:w="591"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c>
          <w:tcPr>
            <w:tcW w:w="1008"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67515.74</w:t>
            </w:r>
          </w:p>
        </w:tc>
        <w:tc>
          <w:tcPr>
            <w:tcW w:w="1450"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453"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4</w:t>
            </w:r>
          </w:p>
        </w:tc>
        <w:tc>
          <w:tcPr>
            <w:tcW w:w="1496"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地上总建筑面积</w:t>
            </w:r>
          </w:p>
        </w:tc>
        <w:tc>
          <w:tcPr>
            <w:tcW w:w="591"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c>
          <w:tcPr>
            <w:tcW w:w="1008"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65297.04</w:t>
            </w:r>
          </w:p>
        </w:tc>
        <w:tc>
          <w:tcPr>
            <w:tcW w:w="1450"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453"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5</w:t>
            </w:r>
          </w:p>
        </w:tc>
        <w:tc>
          <w:tcPr>
            <w:tcW w:w="1496"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地下总建筑面积</w:t>
            </w:r>
          </w:p>
        </w:tc>
        <w:tc>
          <w:tcPr>
            <w:tcW w:w="591"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c>
          <w:tcPr>
            <w:tcW w:w="1008"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2218.70</w:t>
            </w:r>
          </w:p>
        </w:tc>
        <w:tc>
          <w:tcPr>
            <w:tcW w:w="1450"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453"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6</w:t>
            </w:r>
          </w:p>
        </w:tc>
        <w:tc>
          <w:tcPr>
            <w:tcW w:w="1496"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计容建筑面积</w:t>
            </w:r>
          </w:p>
        </w:tc>
        <w:tc>
          <w:tcPr>
            <w:tcW w:w="591"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c>
          <w:tcPr>
            <w:tcW w:w="1008"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66349.76</w:t>
            </w:r>
          </w:p>
        </w:tc>
        <w:tc>
          <w:tcPr>
            <w:tcW w:w="1450"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5" w:hRule="atLeast"/>
        </w:trPr>
        <w:tc>
          <w:tcPr>
            <w:tcW w:w="453"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7</w:t>
            </w:r>
          </w:p>
        </w:tc>
        <w:tc>
          <w:tcPr>
            <w:tcW w:w="1496"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容积率</w:t>
            </w:r>
          </w:p>
        </w:tc>
        <w:tc>
          <w:tcPr>
            <w:tcW w:w="591"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w:t>
            </w:r>
          </w:p>
        </w:tc>
        <w:tc>
          <w:tcPr>
            <w:tcW w:w="1008"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2.0</w:t>
            </w:r>
          </w:p>
        </w:tc>
        <w:tc>
          <w:tcPr>
            <w:tcW w:w="1450"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453"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8</w:t>
            </w:r>
          </w:p>
        </w:tc>
        <w:tc>
          <w:tcPr>
            <w:tcW w:w="1496"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建筑密度</w:t>
            </w:r>
          </w:p>
        </w:tc>
        <w:tc>
          <w:tcPr>
            <w:tcW w:w="591"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w:t>
            </w:r>
          </w:p>
        </w:tc>
        <w:tc>
          <w:tcPr>
            <w:tcW w:w="1008"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46.97</w:t>
            </w:r>
          </w:p>
        </w:tc>
        <w:tc>
          <w:tcPr>
            <w:tcW w:w="1450"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453"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9</w:t>
            </w:r>
          </w:p>
        </w:tc>
        <w:tc>
          <w:tcPr>
            <w:tcW w:w="1496"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绿地率</w:t>
            </w:r>
          </w:p>
        </w:tc>
        <w:tc>
          <w:tcPr>
            <w:tcW w:w="591"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w:t>
            </w:r>
          </w:p>
        </w:tc>
        <w:tc>
          <w:tcPr>
            <w:tcW w:w="1008"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10.76</w:t>
            </w:r>
          </w:p>
        </w:tc>
        <w:tc>
          <w:tcPr>
            <w:tcW w:w="1450"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453"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10</w:t>
            </w:r>
          </w:p>
        </w:tc>
        <w:tc>
          <w:tcPr>
            <w:tcW w:w="1496"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停车位</w:t>
            </w:r>
          </w:p>
        </w:tc>
        <w:tc>
          <w:tcPr>
            <w:tcW w:w="591"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个</w:t>
            </w:r>
          </w:p>
        </w:tc>
        <w:tc>
          <w:tcPr>
            <w:tcW w:w="1008"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193</w:t>
            </w:r>
          </w:p>
        </w:tc>
        <w:tc>
          <w:tcPr>
            <w:tcW w:w="1450"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地面64个，地下129个</w:t>
            </w:r>
          </w:p>
        </w:tc>
      </w:tr>
    </w:tbl>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0" w:firstLineChars="0"/>
        <w:jc w:val="center"/>
        <w:textAlignment w:val="auto"/>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表3.1.2-2工业厂房功能布局规划一览表</w:t>
      </w:r>
    </w:p>
    <w:p>
      <w:pPr>
        <w:spacing w:line="18" w:lineRule="exact"/>
        <w:rPr>
          <w:rFonts w:hint="eastAsia" w:ascii="宋体" w:hAnsi="宋体" w:eastAsia="宋体" w:cs="宋体"/>
          <w:color w:val="000000" w:themeColor="text1"/>
          <w14:textFill>
            <w14:solidFill>
              <w14:schemeClr w14:val="tx1"/>
            </w14:solidFill>
          </w14:textFill>
        </w:rPr>
      </w:pPr>
    </w:p>
    <w:tbl>
      <w:tblPr>
        <w:tblStyle w:val="77"/>
        <w:tblW w:w="499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747"/>
        <w:gridCol w:w="1831"/>
        <w:gridCol w:w="1372"/>
        <w:gridCol w:w="569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388"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序号</w:t>
            </w:r>
          </w:p>
        </w:tc>
        <w:tc>
          <w:tcPr>
            <w:tcW w:w="949"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厂房名称</w:t>
            </w:r>
          </w:p>
        </w:tc>
        <w:tc>
          <w:tcPr>
            <w:tcW w:w="711"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厂房层数</w:t>
            </w:r>
          </w:p>
        </w:tc>
        <w:tc>
          <w:tcPr>
            <w:tcW w:w="2950"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功能布局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388"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p>
        </w:tc>
        <w:tc>
          <w:tcPr>
            <w:tcW w:w="949"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1#工业厂房</w:t>
            </w:r>
          </w:p>
        </w:tc>
        <w:tc>
          <w:tcPr>
            <w:tcW w:w="711"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4层</w:t>
            </w:r>
          </w:p>
        </w:tc>
        <w:tc>
          <w:tcPr>
            <w:tcW w:w="2950"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1层钎焊铝蜂窝板产品生产车间，2-4层预留。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388"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c>
          <w:tcPr>
            <w:tcW w:w="949"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2#工业厂房</w:t>
            </w:r>
          </w:p>
        </w:tc>
        <w:tc>
          <w:tcPr>
            <w:tcW w:w="711"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4层</w:t>
            </w:r>
          </w:p>
        </w:tc>
        <w:tc>
          <w:tcPr>
            <w:tcW w:w="2950"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1层钎焊铝蜂窝板产品机加工车间，2层轨道交通高压电缆总成，3-4层预留。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388"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p>
        </w:tc>
        <w:tc>
          <w:tcPr>
            <w:tcW w:w="949"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3#工业厂房</w:t>
            </w:r>
          </w:p>
        </w:tc>
        <w:tc>
          <w:tcPr>
            <w:tcW w:w="711"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4层</w:t>
            </w:r>
          </w:p>
        </w:tc>
        <w:tc>
          <w:tcPr>
            <w:tcW w:w="2950"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1层电机及变压器绝缘件产品，2层仓库，3层柔性复合绝缘材料，4层引拔系列产品。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388"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4</w:t>
            </w:r>
          </w:p>
        </w:tc>
        <w:tc>
          <w:tcPr>
            <w:tcW w:w="949"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4#工业厂房</w:t>
            </w:r>
          </w:p>
        </w:tc>
        <w:tc>
          <w:tcPr>
            <w:tcW w:w="711"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4层</w:t>
            </w:r>
          </w:p>
        </w:tc>
        <w:tc>
          <w:tcPr>
            <w:tcW w:w="2950"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1层南部布置危险化学品贮存间、矿物油贮存间、</w:t>
            </w: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危险废物贮存间，其他预留。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388"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5</w:t>
            </w:r>
          </w:p>
        </w:tc>
        <w:tc>
          <w:tcPr>
            <w:tcW w:w="949"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5#工业厂房</w:t>
            </w:r>
          </w:p>
        </w:tc>
        <w:tc>
          <w:tcPr>
            <w:tcW w:w="711"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4层</w:t>
            </w:r>
          </w:p>
        </w:tc>
        <w:tc>
          <w:tcPr>
            <w:tcW w:w="2950"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预留</w:t>
            </w:r>
          </w:p>
        </w:tc>
      </w:tr>
    </w:tbl>
    <w:p>
      <w:pPr>
        <w:pStyle w:val="8"/>
        <w:keepNext w:val="0"/>
        <w:keepLines w:val="0"/>
        <w:pageBreakBefore w:val="0"/>
        <w:widowControl/>
        <w:kinsoku/>
        <w:wordWrap/>
        <w:overflowPunct/>
        <w:topLinePunct w:val="0"/>
        <w:bidi w:val="0"/>
        <w:adjustRightInd/>
        <w:snapToGrid/>
        <w:ind w:firstLine="482" w:firstLineChars="200"/>
        <w:textAlignment w:val="auto"/>
        <w:rPr>
          <w:rFonts w:hint="eastAsia" w:ascii="宋体" w:hAnsi="宋体" w:eastAsia="宋体" w:cs="宋体"/>
          <w:color w:val="000000" w:themeColor="text1"/>
          <w:highlight w:val="none"/>
          <w:lang w:val="en-US" w:eastAsia="zh-CN"/>
          <w14:textFill>
            <w14:solidFill>
              <w14:schemeClr w14:val="tx1"/>
            </w14:solidFill>
          </w14:textFill>
        </w:rPr>
      </w:pPr>
      <w:bookmarkStart w:id="297" w:name="_Toc18468"/>
      <w:bookmarkStart w:id="298" w:name="_Toc5789"/>
      <w:r>
        <w:rPr>
          <w:rFonts w:hint="eastAsia" w:ascii="宋体" w:hAnsi="宋体" w:eastAsia="宋体" w:cs="宋体"/>
          <w:color w:val="000000" w:themeColor="text1"/>
          <w:highlight w:val="none"/>
          <w:lang w:val="en-US" w:eastAsia="zh-CN"/>
          <w14:textFill>
            <w14:solidFill>
              <w14:schemeClr w14:val="tx1"/>
            </w14:solidFill>
          </w14:textFill>
        </w:rPr>
        <w:t>3.1.3在建项目产品方案及主要建设内容</w:t>
      </w:r>
      <w:bookmarkEnd w:id="297"/>
      <w:bookmarkEnd w:id="298"/>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在建项目产品方案表3.1.3-1：</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0" w:firstLineChars="0"/>
        <w:jc w:val="center"/>
        <w:textAlignment w:val="auto"/>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表3.1.3-1在建项目产品方案一览表</w:t>
      </w:r>
    </w:p>
    <w:tbl>
      <w:tblPr>
        <w:tblStyle w:val="77"/>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91"/>
        <w:gridCol w:w="718"/>
        <w:gridCol w:w="2189"/>
        <w:gridCol w:w="1024"/>
        <w:gridCol w:w="1144"/>
        <w:gridCol w:w="387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358"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序号</w:t>
            </w:r>
          </w:p>
        </w:tc>
        <w:tc>
          <w:tcPr>
            <w:tcW w:w="1507" w:type="pct"/>
            <w:gridSpan w:val="2"/>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产品名称</w:t>
            </w:r>
          </w:p>
        </w:tc>
        <w:tc>
          <w:tcPr>
            <w:tcW w:w="531"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单位</w:t>
            </w:r>
          </w:p>
        </w:tc>
        <w:tc>
          <w:tcPr>
            <w:tcW w:w="593"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生产能力</w:t>
            </w:r>
          </w:p>
        </w:tc>
        <w:tc>
          <w:tcPr>
            <w:tcW w:w="2008"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主要规格型号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4" w:hRule="atLeast"/>
        </w:trPr>
        <w:tc>
          <w:tcPr>
            <w:tcW w:w="358"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p>
        </w:tc>
        <w:tc>
          <w:tcPr>
            <w:tcW w:w="1507" w:type="pct"/>
            <w:gridSpan w:val="2"/>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钎焊铝蜂窝板</w:t>
            </w:r>
          </w:p>
        </w:tc>
        <w:tc>
          <w:tcPr>
            <w:tcW w:w="531"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万m²/年</w:t>
            </w:r>
          </w:p>
        </w:tc>
        <w:tc>
          <w:tcPr>
            <w:tcW w:w="593"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5</w:t>
            </w:r>
          </w:p>
        </w:tc>
        <w:tc>
          <w:tcPr>
            <w:tcW w:w="2008"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地板(4m²/件)；顶板(1.5m²/件)；隔</w:t>
            </w: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墙(3m²/件)；电器柜(3m²/件)等。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4" w:hRule="atLeast"/>
        </w:trPr>
        <w:tc>
          <w:tcPr>
            <w:tcW w:w="358"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c>
          <w:tcPr>
            <w:tcW w:w="1507" w:type="pct"/>
            <w:gridSpan w:val="2"/>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轨道交通高压电缆总成</w:t>
            </w:r>
          </w:p>
        </w:tc>
        <w:tc>
          <w:tcPr>
            <w:tcW w:w="531"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套/年</w:t>
            </w:r>
          </w:p>
        </w:tc>
        <w:tc>
          <w:tcPr>
            <w:tcW w:w="593"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5000</w:t>
            </w:r>
          </w:p>
        </w:tc>
        <w:tc>
          <w:tcPr>
            <w:tcW w:w="2008"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刚性户外终端+特种电缆+T型接头；刚性户外终端+特种电缆+柔性户外终端；</w:t>
            </w: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柔性户外终端+特种电缆+T型接头。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358" w:type="pct"/>
            <w:vMerge w:val="restart"/>
            <w:tcBorders>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p>
        </w:tc>
        <w:tc>
          <w:tcPr>
            <w:tcW w:w="372" w:type="pct"/>
            <w:vMerge w:val="restart"/>
            <w:tcBorders>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绝缘</w:t>
            </w: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材料</w:t>
            </w: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制品</w:t>
            </w:r>
          </w:p>
        </w:tc>
        <w:tc>
          <w:tcPr>
            <w:tcW w:w="1135"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电机及变压器绝缘件</w:t>
            </w:r>
          </w:p>
        </w:tc>
        <w:tc>
          <w:tcPr>
            <w:tcW w:w="531"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吨/年</w:t>
            </w:r>
          </w:p>
        </w:tc>
        <w:tc>
          <w:tcPr>
            <w:tcW w:w="593"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350</w:t>
            </w:r>
          </w:p>
        </w:tc>
        <w:tc>
          <w:tcPr>
            <w:tcW w:w="2008"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端圈、槽楔、支撑件、绝缘筒等。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358" w:type="pct"/>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372" w:type="pct"/>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135"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引拔系列产品</w:t>
            </w:r>
          </w:p>
        </w:tc>
        <w:tc>
          <w:tcPr>
            <w:tcW w:w="531"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吨/年</w:t>
            </w:r>
          </w:p>
        </w:tc>
        <w:tc>
          <w:tcPr>
            <w:tcW w:w="593"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250</w:t>
            </w:r>
          </w:p>
        </w:tc>
        <w:tc>
          <w:tcPr>
            <w:tcW w:w="2008"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引拔垫条、引拔槽楔、工字撑条等。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358" w:type="pct"/>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372" w:type="pct"/>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135"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柔性复合绝缘材料</w:t>
            </w:r>
          </w:p>
        </w:tc>
        <w:tc>
          <w:tcPr>
            <w:tcW w:w="531"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吨/年</w:t>
            </w:r>
          </w:p>
        </w:tc>
        <w:tc>
          <w:tcPr>
            <w:tcW w:w="593"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200</w:t>
            </w:r>
          </w:p>
        </w:tc>
        <w:tc>
          <w:tcPr>
            <w:tcW w:w="2008"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DMD预浸布、NMN/NHN复合箔等。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358" w:type="pct"/>
            <w:vMerge w:val="continue"/>
            <w:tcBorders>
              <w:top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372" w:type="pct"/>
            <w:vMerge w:val="continue"/>
            <w:tcBorders>
              <w:top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135"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合计</w:t>
            </w:r>
          </w:p>
        </w:tc>
        <w:tc>
          <w:tcPr>
            <w:tcW w:w="531"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吨/年</w:t>
            </w:r>
          </w:p>
        </w:tc>
        <w:tc>
          <w:tcPr>
            <w:tcW w:w="593"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800</w:t>
            </w:r>
          </w:p>
        </w:tc>
        <w:tc>
          <w:tcPr>
            <w:tcW w:w="2008"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w:t>
            </w:r>
          </w:p>
        </w:tc>
      </w:tr>
    </w:tbl>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0" w:firstLineChars="0"/>
        <w:jc w:val="center"/>
        <w:textAlignment w:val="auto"/>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表3.1.3-2项目组成一览表</w:t>
      </w:r>
    </w:p>
    <w:tbl>
      <w:tblPr>
        <w:tblStyle w:val="77"/>
        <w:tblW w:w="499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748"/>
        <w:gridCol w:w="837"/>
        <w:gridCol w:w="1632"/>
        <w:gridCol w:w="1188"/>
        <w:gridCol w:w="825"/>
        <w:gridCol w:w="1227"/>
        <w:gridCol w:w="1817"/>
        <w:gridCol w:w="136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388"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类别</w:t>
            </w:r>
          </w:p>
        </w:tc>
        <w:tc>
          <w:tcPr>
            <w:tcW w:w="1280" w:type="pct"/>
            <w:gridSpan w:val="2"/>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工程名称</w:t>
            </w:r>
          </w:p>
        </w:tc>
        <w:tc>
          <w:tcPr>
            <w:tcW w:w="3331" w:type="pct"/>
            <w:gridSpan w:val="5"/>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工程内容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388" w:type="pct"/>
            <w:vMerge w:val="restart"/>
            <w:tcBorders>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主体工程</w:t>
            </w:r>
          </w:p>
        </w:tc>
        <w:tc>
          <w:tcPr>
            <w:tcW w:w="1280" w:type="pct"/>
            <w:gridSpan w:val="2"/>
            <w:vMerge w:val="restart"/>
            <w:tcBorders>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工业厂房</w:t>
            </w: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ab/>
            </w:r>
            <w:r>
              <w:rPr>
                <w:rFonts w:hint="eastAsia" w:ascii="宋体" w:hAnsi="宋体" w:eastAsia="宋体" w:cs="宋体"/>
                <w:color w:val="000000" w:themeColor="text1"/>
                <w:sz w:val="21"/>
                <w:szCs w:val="21"/>
                <w:highlight w:val="none"/>
                <w:lang w:val="en-US" w:eastAsia="zh-CN"/>
                <w14:textFill>
                  <w14:solidFill>
                    <w14:schemeClr w14:val="tx1"/>
                  </w14:solidFill>
                </w14:textFill>
              </w:rPr>
              <w:t>(建筑面积</w:t>
            </w: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57867.36m²)</w:t>
            </w:r>
          </w:p>
        </w:tc>
        <w:tc>
          <w:tcPr>
            <w:tcW w:w="616"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厂房名称</w:t>
            </w:r>
          </w:p>
        </w:tc>
        <w:tc>
          <w:tcPr>
            <w:tcW w:w="428"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层数</w:t>
            </w:r>
          </w:p>
        </w:tc>
        <w:tc>
          <w:tcPr>
            <w:tcW w:w="636"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结构</w:t>
            </w:r>
          </w:p>
        </w:tc>
        <w:tc>
          <w:tcPr>
            <w:tcW w:w="942"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建筑面积(m²)</w:t>
            </w:r>
          </w:p>
        </w:tc>
        <w:tc>
          <w:tcPr>
            <w:tcW w:w="706"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高度(m)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388" w:type="pct"/>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280" w:type="pct"/>
            <w:gridSpan w:val="2"/>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616"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1#厂房</w:t>
            </w:r>
          </w:p>
        </w:tc>
        <w:tc>
          <w:tcPr>
            <w:tcW w:w="428"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4</w:t>
            </w:r>
          </w:p>
        </w:tc>
        <w:tc>
          <w:tcPr>
            <w:tcW w:w="636"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钢混</w:t>
            </w:r>
          </w:p>
        </w:tc>
        <w:tc>
          <w:tcPr>
            <w:tcW w:w="942"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21657.36</w:t>
            </w:r>
          </w:p>
        </w:tc>
        <w:tc>
          <w:tcPr>
            <w:tcW w:w="706"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388" w:type="pct"/>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280" w:type="pct"/>
            <w:gridSpan w:val="2"/>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616"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2#厂房</w:t>
            </w:r>
          </w:p>
        </w:tc>
        <w:tc>
          <w:tcPr>
            <w:tcW w:w="428"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4</w:t>
            </w:r>
          </w:p>
        </w:tc>
        <w:tc>
          <w:tcPr>
            <w:tcW w:w="636"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钢混</w:t>
            </w:r>
          </w:p>
        </w:tc>
        <w:tc>
          <w:tcPr>
            <w:tcW w:w="942"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8844.06</w:t>
            </w:r>
          </w:p>
        </w:tc>
        <w:tc>
          <w:tcPr>
            <w:tcW w:w="706"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388" w:type="pct"/>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280" w:type="pct"/>
            <w:gridSpan w:val="2"/>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616"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3#厂房</w:t>
            </w:r>
          </w:p>
        </w:tc>
        <w:tc>
          <w:tcPr>
            <w:tcW w:w="428"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4</w:t>
            </w:r>
          </w:p>
        </w:tc>
        <w:tc>
          <w:tcPr>
            <w:tcW w:w="636"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钢混</w:t>
            </w:r>
          </w:p>
        </w:tc>
        <w:tc>
          <w:tcPr>
            <w:tcW w:w="942"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9386.16</w:t>
            </w:r>
          </w:p>
        </w:tc>
        <w:tc>
          <w:tcPr>
            <w:tcW w:w="706"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388" w:type="pct"/>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280" w:type="pct"/>
            <w:gridSpan w:val="2"/>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616"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4#厂房</w:t>
            </w:r>
          </w:p>
        </w:tc>
        <w:tc>
          <w:tcPr>
            <w:tcW w:w="428"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4</w:t>
            </w:r>
          </w:p>
        </w:tc>
        <w:tc>
          <w:tcPr>
            <w:tcW w:w="636"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钢混</w:t>
            </w:r>
          </w:p>
        </w:tc>
        <w:tc>
          <w:tcPr>
            <w:tcW w:w="942"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9335.49</w:t>
            </w:r>
          </w:p>
        </w:tc>
        <w:tc>
          <w:tcPr>
            <w:tcW w:w="706"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388" w:type="pct"/>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280" w:type="pct"/>
            <w:gridSpan w:val="2"/>
            <w:vMerge w:val="continue"/>
            <w:tcBorders>
              <w:top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616"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5#厂房</w:t>
            </w:r>
          </w:p>
        </w:tc>
        <w:tc>
          <w:tcPr>
            <w:tcW w:w="428"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4</w:t>
            </w:r>
          </w:p>
        </w:tc>
        <w:tc>
          <w:tcPr>
            <w:tcW w:w="636"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钢混</w:t>
            </w:r>
          </w:p>
        </w:tc>
        <w:tc>
          <w:tcPr>
            <w:tcW w:w="942"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8644.29</w:t>
            </w:r>
          </w:p>
        </w:tc>
        <w:tc>
          <w:tcPr>
            <w:tcW w:w="706"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5" w:hRule="atLeast"/>
        </w:trPr>
        <w:tc>
          <w:tcPr>
            <w:tcW w:w="388" w:type="pct"/>
            <w:vMerge w:val="continue"/>
            <w:tcBorders>
              <w:top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280" w:type="pct"/>
            <w:gridSpan w:val="2"/>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生产设备</w:t>
            </w:r>
          </w:p>
        </w:tc>
        <w:tc>
          <w:tcPr>
            <w:tcW w:w="3331" w:type="pct"/>
            <w:gridSpan w:val="5"/>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安装钎焊铝蜂窝板主要生产设备35台、轨道交通高压电缆总</w:t>
            </w: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成主要生产设备18台、绝缘材料制品主要生产设备108台。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388" w:type="pct"/>
            <w:vMerge w:val="restart"/>
            <w:tcBorders>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公用工程</w:t>
            </w:r>
          </w:p>
        </w:tc>
        <w:tc>
          <w:tcPr>
            <w:tcW w:w="1280" w:type="pct"/>
            <w:gridSpan w:val="2"/>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办公楼</w:t>
            </w:r>
          </w:p>
        </w:tc>
        <w:tc>
          <w:tcPr>
            <w:tcW w:w="3331" w:type="pct"/>
            <w:gridSpan w:val="5"/>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1栋，5层，钢混结构，建筑面积3588.92m²。</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388" w:type="pct"/>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280" w:type="pct"/>
            <w:gridSpan w:val="2"/>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宿舍楼</w:t>
            </w:r>
          </w:p>
        </w:tc>
        <w:tc>
          <w:tcPr>
            <w:tcW w:w="3331" w:type="pct"/>
            <w:gridSpan w:val="5"/>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1栋，地上5F+地下1F，钢混结构，建筑面积3769.16m²。</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388" w:type="pct"/>
            <w:vMerge w:val="continue"/>
            <w:tcBorders>
              <w:top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280" w:type="pct"/>
            <w:gridSpan w:val="2"/>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门卫</w:t>
            </w:r>
          </w:p>
        </w:tc>
        <w:tc>
          <w:tcPr>
            <w:tcW w:w="3331" w:type="pct"/>
            <w:gridSpan w:val="5"/>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1间，1层，砖混结构，建筑面积24m²。</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388" w:type="pct"/>
            <w:vMerge w:val="restart"/>
            <w:tcBorders>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公用工程</w:t>
            </w:r>
          </w:p>
        </w:tc>
        <w:tc>
          <w:tcPr>
            <w:tcW w:w="1280" w:type="pct"/>
            <w:gridSpan w:val="2"/>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供水</w:t>
            </w:r>
          </w:p>
        </w:tc>
        <w:tc>
          <w:tcPr>
            <w:tcW w:w="3331" w:type="pct"/>
            <w:gridSpan w:val="5"/>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自来水来源于园区供水管网，仙月环路接入DN200供水管。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388" w:type="pct"/>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280" w:type="pct"/>
            <w:gridSpan w:val="2"/>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排水</w:t>
            </w:r>
          </w:p>
        </w:tc>
        <w:tc>
          <w:tcPr>
            <w:tcW w:w="3331" w:type="pct"/>
            <w:gridSpan w:val="5"/>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雨污分流，雨水就近排入仙月环路城市雨水管网，车间保洁</w:t>
            </w: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废水和生活污水排入仙月环路城市污水管网。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388" w:type="pct"/>
            <w:vMerge w:val="continue"/>
            <w:tcBorders>
              <w:top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280" w:type="pct"/>
            <w:gridSpan w:val="2"/>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供电</w:t>
            </w:r>
          </w:p>
        </w:tc>
        <w:tc>
          <w:tcPr>
            <w:tcW w:w="3331" w:type="pct"/>
            <w:gridSpan w:val="5"/>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仙月环路园区供电网引入，设配电间，2500KVA变压器1台。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388" w:type="pct"/>
            <w:vMerge w:val="restart"/>
            <w:tcBorders>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环保工程</w:t>
            </w:r>
          </w:p>
        </w:tc>
        <w:tc>
          <w:tcPr>
            <w:tcW w:w="1280" w:type="pct"/>
            <w:gridSpan w:val="2"/>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废水</w:t>
            </w:r>
          </w:p>
        </w:tc>
        <w:tc>
          <w:tcPr>
            <w:tcW w:w="3331" w:type="pct"/>
            <w:gridSpan w:val="5"/>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车间保洁废水和生活污水进化粪池处理系统。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388" w:type="pct"/>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434" w:type="pct"/>
            <w:vMerge w:val="restart"/>
            <w:tcBorders>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废气</w:t>
            </w:r>
          </w:p>
        </w:tc>
        <w:tc>
          <w:tcPr>
            <w:tcW w:w="845"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铝板表面清洁</w:t>
            </w:r>
          </w:p>
        </w:tc>
        <w:tc>
          <w:tcPr>
            <w:tcW w:w="3331" w:type="pct"/>
            <w:gridSpan w:val="5"/>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建设1套5000m3/h“操作间密闭+抽风机+UV光氧+二级活性</w:t>
            </w: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炭吸附+室外排放”处理装置。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388" w:type="pct"/>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434" w:type="pct"/>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845"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钎焊烟气</w:t>
            </w:r>
          </w:p>
        </w:tc>
        <w:tc>
          <w:tcPr>
            <w:tcW w:w="3331" w:type="pct"/>
            <w:gridSpan w:val="5"/>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建设1套1500m3/h和2套3000m3/h“活性氧化铝滤芯过滤+</w:t>
            </w: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排气筒楼顶排放(高20m)”装置。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388" w:type="pct"/>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434" w:type="pct"/>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845"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引拔系列产品</w:t>
            </w: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有机废气</w:t>
            </w:r>
          </w:p>
        </w:tc>
        <w:tc>
          <w:tcPr>
            <w:tcW w:w="3331" w:type="pct"/>
            <w:gridSpan w:val="5"/>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建设1套15000m3/h“操作间密闭+抽风机+UV光氧+二级二</w:t>
            </w: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级活性炭吸附+排气筒楼顶排放(高20m)”处理装置。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0" w:hRule="atLeast"/>
        </w:trPr>
        <w:tc>
          <w:tcPr>
            <w:tcW w:w="388" w:type="pct"/>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434" w:type="pct"/>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845"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柔性复合绝缘</w:t>
            </w: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材料有机废气</w:t>
            </w:r>
          </w:p>
        </w:tc>
        <w:tc>
          <w:tcPr>
            <w:tcW w:w="3331" w:type="pct"/>
            <w:gridSpan w:val="5"/>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建设1套15000m3/h“操作间密闭+抽风机+UV光氧+二级活</w:t>
            </w: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性炭吸附+排气筒楼顶排放(高20m)”处理装置。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388" w:type="pct"/>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434" w:type="pct"/>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845"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电机及变压器绝</w:t>
            </w: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缘件加工粉尘</w:t>
            </w:r>
          </w:p>
        </w:tc>
        <w:tc>
          <w:tcPr>
            <w:tcW w:w="3331" w:type="pct"/>
            <w:gridSpan w:val="5"/>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作业工序封闭，配套3套袋式收尘设施。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0" w:hRule="atLeast"/>
        </w:trPr>
        <w:tc>
          <w:tcPr>
            <w:tcW w:w="388" w:type="pct"/>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434" w:type="pct"/>
            <w:vMerge w:val="continue"/>
            <w:tcBorders>
              <w:top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845"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食堂油烟</w:t>
            </w:r>
          </w:p>
        </w:tc>
        <w:tc>
          <w:tcPr>
            <w:tcW w:w="3331" w:type="pct"/>
            <w:gridSpan w:val="5"/>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建设1套10000m3/h“集气罩+抽风机+油烟净化器+排气筒</w:t>
            </w: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楼顶排放”处理装置。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trPr>
        <w:tc>
          <w:tcPr>
            <w:tcW w:w="388" w:type="pct"/>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434" w:type="pct"/>
            <w:vMerge w:val="restart"/>
            <w:tcBorders>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固体</w:t>
            </w: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废物</w:t>
            </w:r>
          </w:p>
        </w:tc>
        <w:tc>
          <w:tcPr>
            <w:tcW w:w="845"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危险废物</w:t>
            </w:r>
          </w:p>
        </w:tc>
        <w:tc>
          <w:tcPr>
            <w:tcW w:w="3331" w:type="pct"/>
            <w:gridSpan w:val="5"/>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设置危险废物贮存间面积50m²</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388" w:type="pct"/>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434" w:type="pct"/>
            <w:vMerge w:val="continue"/>
            <w:tcBorders>
              <w:top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845"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一般工业固废</w:t>
            </w:r>
          </w:p>
        </w:tc>
        <w:tc>
          <w:tcPr>
            <w:tcW w:w="3331" w:type="pct"/>
            <w:gridSpan w:val="5"/>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设置一般工业固废贮存间面积50m²</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7" w:hRule="atLeast"/>
        </w:trPr>
        <w:tc>
          <w:tcPr>
            <w:tcW w:w="388" w:type="pct"/>
            <w:vMerge w:val="continue"/>
            <w:tcBorders>
              <w:top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280" w:type="pct"/>
            <w:gridSpan w:val="2"/>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噪声</w:t>
            </w:r>
          </w:p>
        </w:tc>
        <w:tc>
          <w:tcPr>
            <w:tcW w:w="3331" w:type="pct"/>
            <w:gridSpan w:val="5"/>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低噪设备，基础减振，室内安装，厂区周边绿化。</w:t>
            </w:r>
          </w:p>
        </w:tc>
      </w:tr>
    </w:tbl>
    <w:p>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outlineLvl w:val="2"/>
        <w:rPr>
          <w:rFonts w:hint="eastAsia" w:ascii="宋体" w:hAnsi="宋体" w:eastAsia="宋体" w:cs="宋体"/>
          <w:b/>
          <w:color w:val="000000" w:themeColor="text1"/>
          <w:kern w:val="0"/>
          <w:sz w:val="24"/>
          <w:szCs w:val="26"/>
          <w:highlight w:val="none"/>
          <w:lang w:val="en-US" w:eastAsia="zh-CN" w:bidi="ar-SA"/>
          <w14:textFill>
            <w14:solidFill>
              <w14:schemeClr w14:val="tx1"/>
            </w14:solidFill>
          </w14:textFill>
        </w:rPr>
      </w:pPr>
      <w:bookmarkStart w:id="299" w:name="_Toc15168"/>
      <w:bookmarkStart w:id="300" w:name="_Toc11732"/>
      <w:r>
        <w:rPr>
          <w:rFonts w:hint="eastAsia" w:ascii="宋体" w:hAnsi="宋体" w:eastAsia="宋体" w:cs="宋体"/>
          <w:b/>
          <w:color w:val="000000" w:themeColor="text1"/>
          <w:kern w:val="0"/>
          <w:sz w:val="24"/>
          <w:szCs w:val="26"/>
          <w:highlight w:val="none"/>
          <w:lang w:val="en-US" w:eastAsia="zh-CN" w:bidi="ar-SA"/>
          <w14:textFill>
            <w14:solidFill>
              <w14:schemeClr w14:val="tx1"/>
            </w14:solidFill>
          </w14:textFill>
        </w:rPr>
        <w:t>3.1.4现有工程主要生产设备</w:t>
      </w:r>
      <w:bookmarkEnd w:id="299"/>
      <w:bookmarkEnd w:id="300"/>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现有项目主要设备见表3.1.4-1所示。</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0" w:firstLineChars="0"/>
        <w:jc w:val="center"/>
        <w:textAlignment w:val="auto"/>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表3.1.4-1绝缘材料制品主要设备一览表</w:t>
      </w:r>
    </w:p>
    <w:tbl>
      <w:tblPr>
        <w:tblStyle w:val="77"/>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154"/>
        <w:gridCol w:w="1586"/>
        <w:gridCol w:w="2729"/>
        <w:gridCol w:w="2080"/>
        <w:gridCol w:w="1071"/>
        <w:gridCol w:w="102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598"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序号</w:t>
            </w:r>
          </w:p>
        </w:tc>
        <w:tc>
          <w:tcPr>
            <w:tcW w:w="822"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产品名称</w:t>
            </w:r>
          </w:p>
        </w:tc>
        <w:tc>
          <w:tcPr>
            <w:tcW w:w="1414"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设备名称</w:t>
            </w:r>
          </w:p>
        </w:tc>
        <w:tc>
          <w:tcPr>
            <w:tcW w:w="1078"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规格型号</w:t>
            </w:r>
          </w:p>
        </w:tc>
        <w:tc>
          <w:tcPr>
            <w:tcW w:w="555"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单位</w:t>
            </w:r>
          </w:p>
        </w:tc>
        <w:tc>
          <w:tcPr>
            <w:tcW w:w="530"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数量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598"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p>
        </w:tc>
        <w:tc>
          <w:tcPr>
            <w:tcW w:w="822" w:type="pct"/>
            <w:vMerge w:val="restart"/>
            <w:tcBorders>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引拔系</w:t>
            </w: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列产品</w:t>
            </w:r>
          </w:p>
        </w:tc>
        <w:tc>
          <w:tcPr>
            <w:tcW w:w="1414"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搅拌磨机</w:t>
            </w:r>
          </w:p>
        </w:tc>
        <w:tc>
          <w:tcPr>
            <w:tcW w:w="1078"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555"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台</w:t>
            </w:r>
          </w:p>
        </w:tc>
        <w:tc>
          <w:tcPr>
            <w:tcW w:w="530"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598"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c>
          <w:tcPr>
            <w:tcW w:w="822" w:type="pct"/>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414"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电热加热箱</w:t>
            </w:r>
          </w:p>
        </w:tc>
        <w:tc>
          <w:tcPr>
            <w:tcW w:w="1078"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555"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台</w:t>
            </w:r>
          </w:p>
        </w:tc>
        <w:tc>
          <w:tcPr>
            <w:tcW w:w="530"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598"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p>
        </w:tc>
        <w:tc>
          <w:tcPr>
            <w:tcW w:w="822" w:type="pct"/>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414"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气压引拔机</w:t>
            </w:r>
          </w:p>
        </w:tc>
        <w:tc>
          <w:tcPr>
            <w:tcW w:w="1078"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3t</w:t>
            </w:r>
          </w:p>
        </w:tc>
        <w:tc>
          <w:tcPr>
            <w:tcW w:w="555"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台</w:t>
            </w:r>
          </w:p>
        </w:tc>
        <w:tc>
          <w:tcPr>
            <w:tcW w:w="530"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598"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4</w:t>
            </w:r>
          </w:p>
        </w:tc>
        <w:tc>
          <w:tcPr>
            <w:tcW w:w="822" w:type="pct"/>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414"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气压引拔机</w:t>
            </w:r>
          </w:p>
        </w:tc>
        <w:tc>
          <w:tcPr>
            <w:tcW w:w="1078"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5t</w:t>
            </w:r>
          </w:p>
        </w:tc>
        <w:tc>
          <w:tcPr>
            <w:tcW w:w="555"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台</w:t>
            </w:r>
          </w:p>
        </w:tc>
        <w:tc>
          <w:tcPr>
            <w:tcW w:w="530"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598"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5</w:t>
            </w:r>
          </w:p>
        </w:tc>
        <w:tc>
          <w:tcPr>
            <w:tcW w:w="822" w:type="pct"/>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414"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液压引拔机</w:t>
            </w:r>
          </w:p>
        </w:tc>
        <w:tc>
          <w:tcPr>
            <w:tcW w:w="1078"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10t</w:t>
            </w:r>
          </w:p>
        </w:tc>
        <w:tc>
          <w:tcPr>
            <w:tcW w:w="555"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台</w:t>
            </w:r>
          </w:p>
        </w:tc>
        <w:tc>
          <w:tcPr>
            <w:tcW w:w="530"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598"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6</w:t>
            </w:r>
          </w:p>
        </w:tc>
        <w:tc>
          <w:tcPr>
            <w:tcW w:w="822" w:type="pct"/>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414"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槽楔切割机</w:t>
            </w:r>
          </w:p>
        </w:tc>
        <w:tc>
          <w:tcPr>
            <w:tcW w:w="1078"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555"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台</w:t>
            </w:r>
          </w:p>
        </w:tc>
        <w:tc>
          <w:tcPr>
            <w:tcW w:w="530"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598"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7</w:t>
            </w:r>
          </w:p>
        </w:tc>
        <w:tc>
          <w:tcPr>
            <w:tcW w:w="822" w:type="pct"/>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414"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垫条切割机</w:t>
            </w:r>
          </w:p>
        </w:tc>
        <w:tc>
          <w:tcPr>
            <w:tcW w:w="1078"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555"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台</w:t>
            </w:r>
          </w:p>
        </w:tc>
        <w:tc>
          <w:tcPr>
            <w:tcW w:w="530"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598"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8</w:t>
            </w:r>
          </w:p>
        </w:tc>
        <w:tc>
          <w:tcPr>
            <w:tcW w:w="822" w:type="pct"/>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414"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倒角机</w:t>
            </w:r>
          </w:p>
        </w:tc>
        <w:tc>
          <w:tcPr>
            <w:tcW w:w="1078"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555"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台</w:t>
            </w:r>
          </w:p>
        </w:tc>
        <w:tc>
          <w:tcPr>
            <w:tcW w:w="530"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598"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9</w:t>
            </w:r>
          </w:p>
        </w:tc>
        <w:tc>
          <w:tcPr>
            <w:tcW w:w="822" w:type="pct"/>
            <w:vMerge w:val="continue"/>
            <w:tcBorders>
              <w:top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414"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打包机</w:t>
            </w:r>
          </w:p>
        </w:tc>
        <w:tc>
          <w:tcPr>
            <w:tcW w:w="1078"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555"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台</w:t>
            </w:r>
          </w:p>
        </w:tc>
        <w:tc>
          <w:tcPr>
            <w:tcW w:w="530"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598"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10</w:t>
            </w:r>
          </w:p>
        </w:tc>
        <w:tc>
          <w:tcPr>
            <w:tcW w:w="822" w:type="pct"/>
            <w:vMerge w:val="restart"/>
            <w:tcBorders>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电机及</w:t>
            </w: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变压器</w:t>
            </w: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绝缘件</w:t>
            </w:r>
          </w:p>
        </w:tc>
        <w:tc>
          <w:tcPr>
            <w:tcW w:w="1414"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精密板材锯</w:t>
            </w:r>
          </w:p>
        </w:tc>
        <w:tc>
          <w:tcPr>
            <w:tcW w:w="1078"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w:t>
            </w:r>
          </w:p>
        </w:tc>
        <w:tc>
          <w:tcPr>
            <w:tcW w:w="555"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台</w:t>
            </w:r>
          </w:p>
        </w:tc>
        <w:tc>
          <w:tcPr>
            <w:tcW w:w="530"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598"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11</w:t>
            </w:r>
          </w:p>
        </w:tc>
        <w:tc>
          <w:tcPr>
            <w:tcW w:w="822" w:type="pct"/>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414"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精密剪板机</w:t>
            </w:r>
          </w:p>
        </w:tc>
        <w:tc>
          <w:tcPr>
            <w:tcW w:w="1078"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w:t>
            </w:r>
          </w:p>
        </w:tc>
        <w:tc>
          <w:tcPr>
            <w:tcW w:w="555"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台</w:t>
            </w:r>
          </w:p>
        </w:tc>
        <w:tc>
          <w:tcPr>
            <w:tcW w:w="530"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598"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12</w:t>
            </w:r>
          </w:p>
        </w:tc>
        <w:tc>
          <w:tcPr>
            <w:tcW w:w="822" w:type="pct"/>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414"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卧式锯床</w:t>
            </w:r>
          </w:p>
        </w:tc>
        <w:tc>
          <w:tcPr>
            <w:tcW w:w="1078"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w:t>
            </w:r>
          </w:p>
        </w:tc>
        <w:tc>
          <w:tcPr>
            <w:tcW w:w="555"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台</w:t>
            </w:r>
          </w:p>
        </w:tc>
        <w:tc>
          <w:tcPr>
            <w:tcW w:w="530"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598"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13</w:t>
            </w:r>
          </w:p>
        </w:tc>
        <w:tc>
          <w:tcPr>
            <w:tcW w:w="822" w:type="pct"/>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414"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剪板机</w:t>
            </w:r>
          </w:p>
        </w:tc>
        <w:tc>
          <w:tcPr>
            <w:tcW w:w="1078"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HGA25/6</w:t>
            </w:r>
          </w:p>
        </w:tc>
        <w:tc>
          <w:tcPr>
            <w:tcW w:w="555"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台</w:t>
            </w:r>
          </w:p>
        </w:tc>
        <w:tc>
          <w:tcPr>
            <w:tcW w:w="530"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598"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14</w:t>
            </w:r>
          </w:p>
        </w:tc>
        <w:tc>
          <w:tcPr>
            <w:tcW w:w="822" w:type="pct"/>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414"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精密推台锯</w:t>
            </w:r>
          </w:p>
        </w:tc>
        <w:tc>
          <w:tcPr>
            <w:tcW w:w="1078"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w:t>
            </w:r>
          </w:p>
        </w:tc>
        <w:tc>
          <w:tcPr>
            <w:tcW w:w="555"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台</w:t>
            </w:r>
          </w:p>
        </w:tc>
        <w:tc>
          <w:tcPr>
            <w:tcW w:w="530"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598"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15</w:t>
            </w:r>
          </w:p>
        </w:tc>
        <w:tc>
          <w:tcPr>
            <w:tcW w:w="822" w:type="pct"/>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414"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细木工带锯床</w:t>
            </w:r>
          </w:p>
        </w:tc>
        <w:tc>
          <w:tcPr>
            <w:tcW w:w="1078"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w:t>
            </w:r>
          </w:p>
        </w:tc>
        <w:tc>
          <w:tcPr>
            <w:tcW w:w="555"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台</w:t>
            </w:r>
          </w:p>
        </w:tc>
        <w:tc>
          <w:tcPr>
            <w:tcW w:w="530"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598"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16</w:t>
            </w:r>
          </w:p>
        </w:tc>
        <w:tc>
          <w:tcPr>
            <w:tcW w:w="822" w:type="pct"/>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414"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塔式铣床</w:t>
            </w:r>
          </w:p>
        </w:tc>
        <w:tc>
          <w:tcPr>
            <w:tcW w:w="1078"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M3</w:t>
            </w:r>
          </w:p>
        </w:tc>
        <w:tc>
          <w:tcPr>
            <w:tcW w:w="555"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台</w:t>
            </w:r>
          </w:p>
        </w:tc>
        <w:tc>
          <w:tcPr>
            <w:tcW w:w="530"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598"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17</w:t>
            </w:r>
          </w:p>
        </w:tc>
        <w:tc>
          <w:tcPr>
            <w:tcW w:w="822" w:type="pct"/>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414"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木工镂铣机</w:t>
            </w:r>
          </w:p>
        </w:tc>
        <w:tc>
          <w:tcPr>
            <w:tcW w:w="1078"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MX5068</w:t>
            </w:r>
          </w:p>
        </w:tc>
        <w:tc>
          <w:tcPr>
            <w:tcW w:w="555"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台</w:t>
            </w:r>
          </w:p>
        </w:tc>
        <w:tc>
          <w:tcPr>
            <w:tcW w:w="530"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598"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18</w:t>
            </w:r>
          </w:p>
        </w:tc>
        <w:tc>
          <w:tcPr>
            <w:tcW w:w="822" w:type="pct"/>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414"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台式钻床</w:t>
            </w:r>
          </w:p>
        </w:tc>
        <w:tc>
          <w:tcPr>
            <w:tcW w:w="1078"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ST-16J</w:t>
            </w:r>
          </w:p>
        </w:tc>
        <w:tc>
          <w:tcPr>
            <w:tcW w:w="555"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台</w:t>
            </w:r>
          </w:p>
        </w:tc>
        <w:tc>
          <w:tcPr>
            <w:tcW w:w="530"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598"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19</w:t>
            </w:r>
          </w:p>
        </w:tc>
        <w:tc>
          <w:tcPr>
            <w:tcW w:w="822" w:type="pct"/>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414"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雕刻机</w:t>
            </w:r>
          </w:p>
        </w:tc>
        <w:tc>
          <w:tcPr>
            <w:tcW w:w="1078"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NRT1325</w:t>
            </w:r>
          </w:p>
        </w:tc>
        <w:tc>
          <w:tcPr>
            <w:tcW w:w="555"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台</w:t>
            </w:r>
          </w:p>
        </w:tc>
        <w:tc>
          <w:tcPr>
            <w:tcW w:w="530"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598"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20</w:t>
            </w:r>
          </w:p>
        </w:tc>
        <w:tc>
          <w:tcPr>
            <w:tcW w:w="822" w:type="pct"/>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414"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雕刻机</w:t>
            </w:r>
          </w:p>
        </w:tc>
        <w:tc>
          <w:tcPr>
            <w:tcW w:w="1078"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SD-1318-2D</w:t>
            </w:r>
          </w:p>
        </w:tc>
        <w:tc>
          <w:tcPr>
            <w:tcW w:w="555"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台</w:t>
            </w:r>
          </w:p>
        </w:tc>
        <w:tc>
          <w:tcPr>
            <w:tcW w:w="530"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598"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21</w:t>
            </w:r>
          </w:p>
        </w:tc>
        <w:tc>
          <w:tcPr>
            <w:tcW w:w="822" w:type="pct"/>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414"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雕刻机</w:t>
            </w:r>
          </w:p>
        </w:tc>
        <w:tc>
          <w:tcPr>
            <w:tcW w:w="1078"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MT103LTC</w:t>
            </w:r>
          </w:p>
        </w:tc>
        <w:tc>
          <w:tcPr>
            <w:tcW w:w="555"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台</w:t>
            </w:r>
          </w:p>
        </w:tc>
        <w:tc>
          <w:tcPr>
            <w:tcW w:w="530"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598"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22</w:t>
            </w:r>
          </w:p>
        </w:tc>
        <w:tc>
          <w:tcPr>
            <w:tcW w:w="822" w:type="pct"/>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414"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雕刻机</w:t>
            </w:r>
          </w:p>
        </w:tc>
        <w:tc>
          <w:tcPr>
            <w:tcW w:w="1078"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麦迪克</w:t>
            </w:r>
          </w:p>
        </w:tc>
        <w:tc>
          <w:tcPr>
            <w:tcW w:w="555"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台</w:t>
            </w:r>
          </w:p>
        </w:tc>
        <w:tc>
          <w:tcPr>
            <w:tcW w:w="530"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598"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23</w:t>
            </w:r>
          </w:p>
        </w:tc>
        <w:tc>
          <w:tcPr>
            <w:tcW w:w="822" w:type="pct"/>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414"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加工中心</w:t>
            </w:r>
          </w:p>
        </w:tc>
        <w:tc>
          <w:tcPr>
            <w:tcW w:w="1078"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T-8L</w:t>
            </w:r>
          </w:p>
        </w:tc>
        <w:tc>
          <w:tcPr>
            <w:tcW w:w="555"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台</w:t>
            </w:r>
          </w:p>
        </w:tc>
        <w:tc>
          <w:tcPr>
            <w:tcW w:w="530"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598"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24</w:t>
            </w:r>
          </w:p>
        </w:tc>
        <w:tc>
          <w:tcPr>
            <w:tcW w:w="822" w:type="pct"/>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414"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机加槽楔设备</w:t>
            </w:r>
          </w:p>
        </w:tc>
        <w:tc>
          <w:tcPr>
            <w:tcW w:w="1078"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w:t>
            </w:r>
          </w:p>
        </w:tc>
        <w:tc>
          <w:tcPr>
            <w:tcW w:w="555"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台</w:t>
            </w:r>
          </w:p>
        </w:tc>
        <w:tc>
          <w:tcPr>
            <w:tcW w:w="530"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598"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25</w:t>
            </w:r>
          </w:p>
        </w:tc>
        <w:tc>
          <w:tcPr>
            <w:tcW w:w="822" w:type="pct"/>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414"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万能工具磨床</w:t>
            </w:r>
          </w:p>
        </w:tc>
        <w:tc>
          <w:tcPr>
            <w:tcW w:w="1078"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w:t>
            </w:r>
          </w:p>
        </w:tc>
        <w:tc>
          <w:tcPr>
            <w:tcW w:w="555"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台</w:t>
            </w:r>
          </w:p>
        </w:tc>
        <w:tc>
          <w:tcPr>
            <w:tcW w:w="530"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598"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26</w:t>
            </w:r>
          </w:p>
        </w:tc>
        <w:tc>
          <w:tcPr>
            <w:tcW w:w="822" w:type="pct"/>
            <w:vMerge w:val="continue"/>
            <w:tcBorders>
              <w:top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414"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气磨机台</w:t>
            </w:r>
          </w:p>
        </w:tc>
        <w:tc>
          <w:tcPr>
            <w:tcW w:w="1078"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w:t>
            </w:r>
          </w:p>
        </w:tc>
        <w:tc>
          <w:tcPr>
            <w:tcW w:w="555"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台</w:t>
            </w:r>
          </w:p>
        </w:tc>
        <w:tc>
          <w:tcPr>
            <w:tcW w:w="530"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598"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27</w:t>
            </w:r>
          </w:p>
        </w:tc>
        <w:tc>
          <w:tcPr>
            <w:tcW w:w="822" w:type="pct"/>
            <w:vMerge w:val="restart"/>
            <w:tcBorders>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柔性复合</w:t>
            </w: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绝缘材料</w:t>
            </w:r>
          </w:p>
        </w:tc>
        <w:tc>
          <w:tcPr>
            <w:tcW w:w="1414"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复合机</w:t>
            </w:r>
          </w:p>
        </w:tc>
        <w:tc>
          <w:tcPr>
            <w:tcW w:w="1078"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555"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台</w:t>
            </w:r>
          </w:p>
        </w:tc>
        <w:tc>
          <w:tcPr>
            <w:tcW w:w="530"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598"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28</w:t>
            </w:r>
          </w:p>
        </w:tc>
        <w:tc>
          <w:tcPr>
            <w:tcW w:w="822" w:type="pct"/>
            <w:vMerge w:val="continue"/>
            <w:tcBorders>
              <w:top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414"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分切机</w:t>
            </w:r>
          </w:p>
        </w:tc>
        <w:tc>
          <w:tcPr>
            <w:tcW w:w="1078"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555"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台</w:t>
            </w:r>
          </w:p>
        </w:tc>
        <w:tc>
          <w:tcPr>
            <w:tcW w:w="530"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4</w:t>
            </w:r>
          </w:p>
        </w:tc>
      </w:tr>
    </w:tbl>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0" w:firstLineChars="0"/>
        <w:jc w:val="center"/>
        <w:textAlignment w:val="auto"/>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表3.1.4-2钎焊铝蜂窝板主要设备一览表</w:t>
      </w:r>
    </w:p>
    <w:tbl>
      <w:tblPr>
        <w:tblStyle w:val="77"/>
        <w:tblW w:w="4997"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055"/>
        <w:gridCol w:w="3232"/>
        <w:gridCol w:w="1967"/>
        <w:gridCol w:w="787"/>
        <w:gridCol w:w="868"/>
        <w:gridCol w:w="17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547"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序号</w:t>
            </w:r>
          </w:p>
        </w:tc>
        <w:tc>
          <w:tcPr>
            <w:tcW w:w="1676"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设备名称</w:t>
            </w:r>
          </w:p>
        </w:tc>
        <w:tc>
          <w:tcPr>
            <w:tcW w:w="1020"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规格型号</w:t>
            </w:r>
          </w:p>
        </w:tc>
        <w:tc>
          <w:tcPr>
            <w:tcW w:w="408"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单位</w:t>
            </w:r>
          </w:p>
        </w:tc>
        <w:tc>
          <w:tcPr>
            <w:tcW w:w="450"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数量</w:t>
            </w:r>
          </w:p>
        </w:tc>
        <w:tc>
          <w:tcPr>
            <w:tcW w:w="896"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547"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p>
        </w:tc>
        <w:tc>
          <w:tcPr>
            <w:tcW w:w="1676"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型材切割机</w:t>
            </w:r>
          </w:p>
        </w:tc>
        <w:tc>
          <w:tcPr>
            <w:tcW w:w="1020"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408"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台</w:t>
            </w:r>
          </w:p>
        </w:tc>
        <w:tc>
          <w:tcPr>
            <w:tcW w:w="450"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p>
        </w:tc>
        <w:tc>
          <w:tcPr>
            <w:tcW w:w="896"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547"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c>
          <w:tcPr>
            <w:tcW w:w="1676"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板材切割机</w:t>
            </w:r>
          </w:p>
        </w:tc>
        <w:tc>
          <w:tcPr>
            <w:tcW w:w="1020"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408"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台</w:t>
            </w:r>
          </w:p>
        </w:tc>
        <w:tc>
          <w:tcPr>
            <w:tcW w:w="450"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c>
          <w:tcPr>
            <w:tcW w:w="896"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547"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p>
        </w:tc>
        <w:tc>
          <w:tcPr>
            <w:tcW w:w="1676"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型材铣床</w:t>
            </w:r>
          </w:p>
        </w:tc>
        <w:tc>
          <w:tcPr>
            <w:tcW w:w="1020"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408"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台</w:t>
            </w:r>
          </w:p>
        </w:tc>
        <w:tc>
          <w:tcPr>
            <w:tcW w:w="450"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8</w:t>
            </w:r>
          </w:p>
        </w:tc>
        <w:tc>
          <w:tcPr>
            <w:tcW w:w="896"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547"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4</w:t>
            </w:r>
          </w:p>
        </w:tc>
        <w:tc>
          <w:tcPr>
            <w:tcW w:w="1676"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板材铣床</w:t>
            </w:r>
          </w:p>
        </w:tc>
        <w:tc>
          <w:tcPr>
            <w:tcW w:w="1020"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408"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台</w:t>
            </w:r>
          </w:p>
        </w:tc>
        <w:tc>
          <w:tcPr>
            <w:tcW w:w="450"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6</w:t>
            </w:r>
          </w:p>
        </w:tc>
        <w:tc>
          <w:tcPr>
            <w:tcW w:w="896"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547"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5</w:t>
            </w:r>
          </w:p>
        </w:tc>
        <w:tc>
          <w:tcPr>
            <w:tcW w:w="1676"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四辊弯圆机</w:t>
            </w:r>
          </w:p>
        </w:tc>
        <w:tc>
          <w:tcPr>
            <w:tcW w:w="1020"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定制</w:t>
            </w:r>
          </w:p>
        </w:tc>
        <w:tc>
          <w:tcPr>
            <w:tcW w:w="408"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台</w:t>
            </w:r>
          </w:p>
        </w:tc>
        <w:tc>
          <w:tcPr>
            <w:tcW w:w="450"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p>
        </w:tc>
        <w:tc>
          <w:tcPr>
            <w:tcW w:w="896"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547"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6</w:t>
            </w:r>
          </w:p>
        </w:tc>
        <w:tc>
          <w:tcPr>
            <w:tcW w:w="1676"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铝蜂窝芯拉伸机</w:t>
            </w:r>
          </w:p>
        </w:tc>
        <w:tc>
          <w:tcPr>
            <w:tcW w:w="1020"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定制</w:t>
            </w:r>
          </w:p>
        </w:tc>
        <w:tc>
          <w:tcPr>
            <w:tcW w:w="408"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台</w:t>
            </w:r>
          </w:p>
        </w:tc>
        <w:tc>
          <w:tcPr>
            <w:tcW w:w="450"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p>
        </w:tc>
        <w:tc>
          <w:tcPr>
            <w:tcW w:w="896"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547"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7</w:t>
            </w:r>
          </w:p>
        </w:tc>
        <w:tc>
          <w:tcPr>
            <w:tcW w:w="1676"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氩弧焊接机</w:t>
            </w:r>
          </w:p>
        </w:tc>
        <w:tc>
          <w:tcPr>
            <w:tcW w:w="1020"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408"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台</w:t>
            </w:r>
          </w:p>
        </w:tc>
        <w:tc>
          <w:tcPr>
            <w:tcW w:w="450"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4</w:t>
            </w:r>
          </w:p>
        </w:tc>
        <w:tc>
          <w:tcPr>
            <w:tcW w:w="896"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547"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8</w:t>
            </w:r>
          </w:p>
        </w:tc>
        <w:tc>
          <w:tcPr>
            <w:tcW w:w="1676"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钎剂涂</w:t>
            </w:r>
          </w:p>
        </w:tc>
        <w:tc>
          <w:tcPr>
            <w:tcW w:w="1020"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AB-4220</w:t>
            </w:r>
          </w:p>
        </w:tc>
        <w:tc>
          <w:tcPr>
            <w:tcW w:w="408"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台</w:t>
            </w:r>
          </w:p>
        </w:tc>
        <w:tc>
          <w:tcPr>
            <w:tcW w:w="450"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p>
        </w:tc>
        <w:tc>
          <w:tcPr>
            <w:tcW w:w="896"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547"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9</w:t>
            </w:r>
          </w:p>
        </w:tc>
        <w:tc>
          <w:tcPr>
            <w:tcW w:w="1676"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连续式焊接生产线</w:t>
            </w:r>
          </w:p>
        </w:tc>
        <w:tc>
          <w:tcPr>
            <w:tcW w:w="1020"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定制</w:t>
            </w:r>
          </w:p>
        </w:tc>
        <w:tc>
          <w:tcPr>
            <w:tcW w:w="408"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台</w:t>
            </w:r>
          </w:p>
        </w:tc>
        <w:tc>
          <w:tcPr>
            <w:tcW w:w="450"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p>
        </w:tc>
        <w:tc>
          <w:tcPr>
            <w:tcW w:w="896"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547"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10</w:t>
            </w:r>
          </w:p>
        </w:tc>
        <w:tc>
          <w:tcPr>
            <w:tcW w:w="1676"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自动校平机</w:t>
            </w:r>
          </w:p>
        </w:tc>
        <w:tc>
          <w:tcPr>
            <w:tcW w:w="1020"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WB43M-40*1800</w:t>
            </w:r>
          </w:p>
        </w:tc>
        <w:tc>
          <w:tcPr>
            <w:tcW w:w="408"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台</w:t>
            </w:r>
          </w:p>
        </w:tc>
        <w:tc>
          <w:tcPr>
            <w:tcW w:w="450"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c>
          <w:tcPr>
            <w:tcW w:w="896"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547"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11</w:t>
            </w:r>
          </w:p>
        </w:tc>
        <w:tc>
          <w:tcPr>
            <w:tcW w:w="1676"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氮气罐</w:t>
            </w:r>
          </w:p>
        </w:tc>
        <w:tc>
          <w:tcPr>
            <w:tcW w:w="1020"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30m3</w:t>
            </w:r>
          </w:p>
        </w:tc>
        <w:tc>
          <w:tcPr>
            <w:tcW w:w="408"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台</w:t>
            </w:r>
          </w:p>
        </w:tc>
        <w:tc>
          <w:tcPr>
            <w:tcW w:w="450"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c>
          <w:tcPr>
            <w:tcW w:w="896"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547"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12</w:t>
            </w:r>
          </w:p>
        </w:tc>
        <w:tc>
          <w:tcPr>
            <w:tcW w:w="1676"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超声波自动探伤设备</w:t>
            </w:r>
          </w:p>
        </w:tc>
        <w:tc>
          <w:tcPr>
            <w:tcW w:w="1020"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定制</w:t>
            </w:r>
          </w:p>
        </w:tc>
        <w:tc>
          <w:tcPr>
            <w:tcW w:w="408"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台</w:t>
            </w:r>
          </w:p>
        </w:tc>
        <w:tc>
          <w:tcPr>
            <w:tcW w:w="450"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p>
        </w:tc>
        <w:tc>
          <w:tcPr>
            <w:tcW w:w="896"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547"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13</w:t>
            </w:r>
          </w:p>
        </w:tc>
        <w:tc>
          <w:tcPr>
            <w:tcW w:w="1676"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行车</w:t>
            </w:r>
          </w:p>
        </w:tc>
        <w:tc>
          <w:tcPr>
            <w:tcW w:w="1020"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10t</w:t>
            </w:r>
          </w:p>
        </w:tc>
        <w:tc>
          <w:tcPr>
            <w:tcW w:w="408"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台</w:t>
            </w:r>
          </w:p>
        </w:tc>
        <w:tc>
          <w:tcPr>
            <w:tcW w:w="450"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p>
        </w:tc>
        <w:tc>
          <w:tcPr>
            <w:tcW w:w="896"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0" w:firstLineChars="0"/>
        <w:jc w:val="center"/>
        <w:textAlignment w:val="auto"/>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表3.1.4-3轨道交通高压电缆总成主要设备一览表</w:t>
      </w:r>
    </w:p>
    <w:p>
      <w:pPr>
        <w:spacing w:line="17" w:lineRule="exact"/>
        <w:rPr>
          <w:rFonts w:hint="eastAsia" w:ascii="宋体" w:hAnsi="宋体" w:eastAsia="宋体" w:cs="宋体"/>
          <w:color w:val="000000" w:themeColor="text1"/>
          <w14:textFill>
            <w14:solidFill>
              <w14:schemeClr w14:val="tx1"/>
            </w14:solidFill>
          </w14:textFill>
        </w:rPr>
      </w:pPr>
    </w:p>
    <w:tbl>
      <w:tblPr>
        <w:tblStyle w:val="77"/>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986"/>
        <w:gridCol w:w="3233"/>
        <w:gridCol w:w="2020"/>
        <w:gridCol w:w="777"/>
        <w:gridCol w:w="858"/>
        <w:gridCol w:w="176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511"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序号</w:t>
            </w:r>
          </w:p>
        </w:tc>
        <w:tc>
          <w:tcPr>
            <w:tcW w:w="1676"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设备名称</w:t>
            </w:r>
          </w:p>
        </w:tc>
        <w:tc>
          <w:tcPr>
            <w:tcW w:w="1047"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规格型号</w:t>
            </w:r>
          </w:p>
        </w:tc>
        <w:tc>
          <w:tcPr>
            <w:tcW w:w="403"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单位</w:t>
            </w:r>
          </w:p>
        </w:tc>
        <w:tc>
          <w:tcPr>
            <w:tcW w:w="445"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数量</w:t>
            </w:r>
          </w:p>
        </w:tc>
        <w:tc>
          <w:tcPr>
            <w:tcW w:w="915"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511"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p>
        </w:tc>
        <w:tc>
          <w:tcPr>
            <w:tcW w:w="1676"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双工位立式合模机</w:t>
            </w:r>
          </w:p>
        </w:tc>
        <w:tc>
          <w:tcPr>
            <w:tcW w:w="1047"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250T</w:t>
            </w:r>
          </w:p>
        </w:tc>
        <w:tc>
          <w:tcPr>
            <w:tcW w:w="403"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台</w:t>
            </w:r>
          </w:p>
        </w:tc>
        <w:tc>
          <w:tcPr>
            <w:tcW w:w="445"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c>
          <w:tcPr>
            <w:tcW w:w="915"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511"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c>
          <w:tcPr>
            <w:tcW w:w="1676"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单工位立式合模机</w:t>
            </w:r>
          </w:p>
        </w:tc>
        <w:tc>
          <w:tcPr>
            <w:tcW w:w="1047"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100T</w:t>
            </w:r>
          </w:p>
        </w:tc>
        <w:tc>
          <w:tcPr>
            <w:tcW w:w="403"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台</w:t>
            </w:r>
          </w:p>
        </w:tc>
        <w:tc>
          <w:tcPr>
            <w:tcW w:w="445"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p>
        </w:tc>
        <w:tc>
          <w:tcPr>
            <w:tcW w:w="915"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511"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p>
        </w:tc>
        <w:tc>
          <w:tcPr>
            <w:tcW w:w="1676"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高精度注料机</w:t>
            </w:r>
          </w:p>
        </w:tc>
        <w:tc>
          <w:tcPr>
            <w:tcW w:w="1047"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E523</w:t>
            </w:r>
          </w:p>
        </w:tc>
        <w:tc>
          <w:tcPr>
            <w:tcW w:w="403"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台</w:t>
            </w:r>
          </w:p>
        </w:tc>
        <w:tc>
          <w:tcPr>
            <w:tcW w:w="445"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p>
        </w:tc>
        <w:tc>
          <w:tcPr>
            <w:tcW w:w="915"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511"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4</w:t>
            </w:r>
          </w:p>
        </w:tc>
        <w:tc>
          <w:tcPr>
            <w:tcW w:w="1676"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扩张机</w:t>
            </w:r>
          </w:p>
        </w:tc>
        <w:tc>
          <w:tcPr>
            <w:tcW w:w="1047"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600MM</w:t>
            </w:r>
          </w:p>
        </w:tc>
        <w:tc>
          <w:tcPr>
            <w:tcW w:w="403"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台</w:t>
            </w:r>
          </w:p>
        </w:tc>
        <w:tc>
          <w:tcPr>
            <w:tcW w:w="445"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p>
        </w:tc>
        <w:tc>
          <w:tcPr>
            <w:tcW w:w="915"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511"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5</w:t>
            </w:r>
          </w:p>
        </w:tc>
        <w:tc>
          <w:tcPr>
            <w:tcW w:w="1676"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烘箱</w:t>
            </w:r>
          </w:p>
        </w:tc>
        <w:tc>
          <w:tcPr>
            <w:tcW w:w="1047"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1.6M*1M*1M</w:t>
            </w:r>
          </w:p>
        </w:tc>
        <w:tc>
          <w:tcPr>
            <w:tcW w:w="403"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台</w:t>
            </w:r>
          </w:p>
        </w:tc>
        <w:tc>
          <w:tcPr>
            <w:tcW w:w="445"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p>
        </w:tc>
        <w:tc>
          <w:tcPr>
            <w:tcW w:w="915"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511"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6</w:t>
            </w:r>
          </w:p>
        </w:tc>
        <w:tc>
          <w:tcPr>
            <w:tcW w:w="1676"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卷管机</w:t>
            </w:r>
          </w:p>
        </w:tc>
        <w:tc>
          <w:tcPr>
            <w:tcW w:w="1047"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卷管机</w:t>
            </w:r>
          </w:p>
        </w:tc>
        <w:tc>
          <w:tcPr>
            <w:tcW w:w="403"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台</w:t>
            </w:r>
          </w:p>
        </w:tc>
        <w:tc>
          <w:tcPr>
            <w:tcW w:w="445"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p>
        </w:tc>
        <w:tc>
          <w:tcPr>
            <w:tcW w:w="915"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511"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7</w:t>
            </w:r>
          </w:p>
        </w:tc>
        <w:tc>
          <w:tcPr>
            <w:tcW w:w="1676"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脱模机</w:t>
            </w:r>
          </w:p>
        </w:tc>
        <w:tc>
          <w:tcPr>
            <w:tcW w:w="1047"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w:t>
            </w:r>
          </w:p>
        </w:tc>
        <w:tc>
          <w:tcPr>
            <w:tcW w:w="403"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台</w:t>
            </w:r>
          </w:p>
        </w:tc>
        <w:tc>
          <w:tcPr>
            <w:tcW w:w="445"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c>
          <w:tcPr>
            <w:tcW w:w="915"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511"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8</w:t>
            </w:r>
          </w:p>
        </w:tc>
        <w:tc>
          <w:tcPr>
            <w:tcW w:w="1676"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打磨机</w:t>
            </w:r>
          </w:p>
        </w:tc>
        <w:tc>
          <w:tcPr>
            <w:tcW w:w="1047"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w:t>
            </w:r>
          </w:p>
        </w:tc>
        <w:tc>
          <w:tcPr>
            <w:tcW w:w="403"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台</w:t>
            </w:r>
          </w:p>
        </w:tc>
        <w:tc>
          <w:tcPr>
            <w:tcW w:w="445"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c>
          <w:tcPr>
            <w:tcW w:w="915"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511"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9</w:t>
            </w:r>
          </w:p>
        </w:tc>
        <w:tc>
          <w:tcPr>
            <w:tcW w:w="1676"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加热机</w:t>
            </w:r>
          </w:p>
        </w:tc>
        <w:tc>
          <w:tcPr>
            <w:tcW w:w="1047"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20KV</w:t>
            </w:r>
          </w:p>
        </w:tc>
        <w:tc>
          <w:tcPr>
            <w:tcW w:w="403"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台</w:t>
            </w:r>
          </w:p>
        </w:tc>
        <w:tc>
          <w:tcPr>
            <w:tcW w:w="445"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p>
        </w:tc>
        <w:tc>
          <w:tcPr>
            <w:tcW w:w="915"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511"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10</w:t>
            </w:r>
          </w:p>
        </w:tc>
        <w:tc>
          <w:tcPr>
            <w:tcW w:w="1676"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激光机</w:t>
            </w:r>
          </w:p>
        </w:tc>
        <w:tc>
          <w:tcPr>
            <w:tcW w:w="1047"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优创激光机</w:t>
            </w:r>
          </w:p>
        </w:tc>
        <w:tc>
          <w:tcPr>
            <w:tcW w:w="403"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台</w:t>
            </w:r>
          </w:p>
        </w:tc>
        <w:tc>
          <w:tcPr>
            <w:tcW w:w="445"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p>
        </w:tc>
        <w:tc>
          <w:tcPr>
            <w:tcW w:w="915"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511"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11</w:t>
            </w:r>
          </w:p>
        </w:tc>
        <w:tc>
          <w:tcPr>
            <w:tcW w:w="1676"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试验机</w:t>
            </w:r>
          </w:p>
        </w:tc>
        <w:tc>
          <w:tcPr>
            <w:tcW w:w="1047"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TH-5000/2000N</w:t>
            </w:r>
          </w:p>
        </w:tc>
        <w:tc>
          <w:tcPr>
            <w:tcW w:w="403"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台</w:t>
            </w:r>
          </w:p>
        </w:tc>
        <w:tc>
          <w:tcPr>
            <w:tcW w:w="445"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p>
        </w:tc>
        <w:tc>
          <w:tcPr>
            <w:tcW w:w="915"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511"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12</w:t>
            </w:r>
          </w:p>
        </w:tc>
        <w:tc>
          <w:tcPr>
            <w:tcW w:w="1676"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变压器</w:t>
            </w:r>
          </w:p>
        </w:tc>
        <w:tc>
          <w:tcPr>
            <w:tcW w:w="1047"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YDTW-150/150</w:t>
            </w:r>
          </w:p>
        </w:tc>
        <w:tc>
          <w:tcPr>
            <w:tcW w:w="403"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台</w:t>
            </w:r>
          </w:p>
        </w:tc>
        <w:tc>
          <w:tcPr>
            <w:tcW w:w="445"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p>
        </w:tc>
        <w:tc>
          <w:tcPr>
            <w:tcW w:w="915"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511"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13</w:t>
            </w:r>
          </w:p>
        </w:tc>
        <w:tc>
          <w:tcPr>
            <w:tcW w:w="1676"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雷电冲击试验系统</w:t>
            </w:r>
          </w:p>
        </w:tc>
        <w:tc>
          <w:tcPr>
            <w:tcW w:w="1047"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HRHG-400KV/20</w:t>
            </w:r>
          </w:p>
        </w:tc>
        <w:tc>
          <w:tcPr>
            <w:tcW w:w="403"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台</w:t>
            </w:r>
          </w:p>
        </w:tc>
        <w:tc>
          <w:tcPr>
            <w:tcW w:w="445"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p>
        </w:tc>
        <w:tc>
          <w:tcPr>
            <w:tcW w:w="915"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r>
    </w:tbl>
    <w:p>
      <w:pPr>
        <w:pStyle w:val="8"/>
        <w:keepNext w:val="0"/>
        <w:keepLines w:val="0"/>
        <w:pageBreakBefore w:val="0"/>
        <w:widowControl/>
        <w:kinsoku/>
        <w:wordWrap/>
        <w:overflowPunct/>
        <w:topLinePunct w:val="0"/>
        <w:bidi w:val="0"/>
        <w:adjustRightInd/>
        <w:snapToGrid/>
        <w:ind w:firstLine="482" w:firstLineChars="200"/>
        <w:textAlignment w:val="auto"/>
        <w:rPr>
          <w:rFonts w:hint="eastAsia" w:ascii="宋体" w:hAnsi="宋体" w:eastAsia="宋体" w:cs="宋体"/>
          <w:color w:val="000000" w:themeColor="text1"/>
          <w:highlight w:val="none"/>
          <w:lang w:val="en-US" w:eastAsia="zh-CN"/>
          <w14:textFill>
            <w14:solidFill>
              <w14:schemeClr w14:val="tx1"/>
            </w14:solidFill>
          </w14:textFill>
        </w:rPr>
      </w:pPr>
      <w:bookmarkStart w:id="301" w:name="_Toc23326"/>
      <w:bookmarkStart w:id="302" w:name="_Toc979"/>
      <w:r>
        <w:rPr>
          <w:rFonts w:hint="eastAsia" w:ascii="宋体" w:hAnsi="宋体" w:eastAsia="宋体" w:cs="宋体"/>
          <w:color w:val="000000" w:themeColor="text1"/>
          <w:highlight w:val="none"/>
          <w:lang w:val="en-US" w:eastAsia="zh-CN"/>
          <w14:textFill>
            <w14:solidFill>
              <w14:schemeClr w14:val="tx1"/>
            </w14:solidFill>
          </w14:textFill>
        </w:rPr>
        <w:t>3.1.5现有工程原辅材料</w:t>
      </w:r>
      <w:bookmarkEnd w:id="301"/>
      <w:bookmarkEnd w:id="302"/>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现有工程主要原辅材料消耗见表3.1.5-1所示。</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0" w:firstLineChars="0"/>
        <w:jc w:val="center"/>
        <w:textAlignment w:val="auto"/>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表3.1.5-1主要原辅材料消耗一览表</w:t>
      </w:r>
    </w:p>
    <w:tbl>
      <w:tblPr>
        <w:tblStyle w:val="77"/>
        <w:tblW w:w="4997"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049"/>
        <w:gridCol w:w="1174"/>
        <w:gridCol w:w="1462"/>
        <w:gridCol w:w="3392"/>
        <w:gridCol w:w="1199"/>
        <w:gridCol w:w="136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544"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序号</w:t>
            </w:r>
          </w:p>
        </w:tc>
        <w:tc>
          <w:tcPr>
            <w:tcW w:w="609"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产品</w:t>
            </w:r>
          </w:p>
        </w:tc>
        <w:tc>
          <w:tcPr>
            <w:tcW w:w="2517" w:type="pct"/>
            <w:gridSpan w:val="2"/>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主要原辅材料名称</w:t>
            </w:r>
          </w:p>
        </w:tc>
        <w:tc>
          <w:tcPr>
            <w:tcW w:w="622"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单位</w:t>
            </w:r>
          </w:p>
        </w:tc>
        <w:tc>
          <w:tcPr>
            <w:tcW w:w="706"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数量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44"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p>
        </w:tc>
        <w:tc>
          <w:tcPr>
            <w:tcW w:w="609" w:type="pct"/>
            <w:vMerge w:val="restart"/>
            <w:tcBorders>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钎焊铝蜂窝板</w:t>
            </w:r>
          </w:p>
        </w:tc>
        <w:tc>
          <w:tcPr>
            <w:tcW w:w="2517" w:type="pct"/>
            <w:gridSpan w:val="2"/>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钎焊复合铝板</w:t>
            </w:r>
          </w:p>
        </w:tc>
        <w:tc>
          <w:tcPr>
            <w:tcW w:w="622"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t/a</w:t>
            </w:r>
          </w:p>
        </w:tc>
        <w:tc>
          <w:tcPr>
            <w:tcW w:w="706"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600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44"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c>
          <w:tcPr>
            <w:tcW w:w="609" w:type="pct"/>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2517" w:type="pct"/>
            <w:gridSpan w:val="2"/>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焊接铝蜂窝芯</w:t>
            </w:r>
          </w:p>
        </w:tc>
        <w:tc>
          <w:tcPr>
            <w:tcW w:w="622"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t/a</w:t>
            </w:r>
          </w:p>
        </w:tc>
        <w:tc>
          <w:tcPr>
            <w:tcW w:w="706"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544"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p>
        </w:tc>
        <w:tc>
          <w:tcPr>
            <w:tcW w:w="609" w:type="pct"/>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2517" w:type="pct"/>
            <w:gridSpan w:val="2"/>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铝型材</w:t>
            </w:r>
          </w:p>
        </w:tc>
        <w:tc>
          <w:tcPr>
            <w:tcW w:w="622"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t/a</w:t>
            </w:r>
          </w:p>
        </w:tc>
        <w:tc>
          <w:tcPr>
            <w:tcW w:w="706"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500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544"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4</w:t>
            </w:r>
          </w:p>
        </w:tc>
        <w:tc>
          <w:tcPr>
            <w:tcW w:w="609" w:type="pct"/>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2517" w:type="pct"/>
            <w:gridSpan w:val="2"/>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铝焊剂</w:t>
            </w:r>
          </w:p>
        </w:tc>
        <w:tc>
          <w:tcPr>
            <w:tcW w:w="622"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t/a</w:t>
            </w:r>
          </w:p>
        </w:tc>
        <w:tc>
          <w:tcPr>
            <w:tcW w:w="706"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544"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5</w:t>
            </w:r>
          </w:p>
        </w:tc>
        <w:tc>
          <w:tcPr>
            <w:tcW w:w="609" w:type="pct"/>
            <w:vMerge w:val="continue"/>
            <w:tcBorders>
              <w:top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2517" w:type="pct"/>
            <w:gridSpan w:val="2"/>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铝板清洗剂(酒精)</w:t>
            </w:r>
          </w:p>
        </w:tc>
        <w:tc>
          <w:tcPr>
            <w:tcW w:w="622"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t/a</w:t>
            </w:r>
          </w:p>
        </w:tc>
        <w:tc>
          <w:tcPr>
            <w:tcW w:w="706"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544"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6</w:t>
            </w:r>
          </w:p>
        </w:tc>
        <w:tc>
          <w:tcPr>
            <w:tcW w:w="609" w:type="pct"/>
            <w:vMerge w:val="restart"/>
            <w:tcBorders>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轨道交</w:t>
            </w: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通高压</w:t>
            </w: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电缆</w:t>
            </w: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总成</w:t>
            </w:r>
          </w:p>
        </w:tc>
        <w:tc>
          <w:tcPr>
            <w:tcW w:w="2517" w:type="pct"/>
            <w:gridSpan w:val="2"/>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液体硅橡胶(A剂、B剂)</w:t>
            </w:r>
          </w:p>
        </w:tc>
        <w:tc>
          <w:tcPr>
            <w:tcW w:w="622"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t/a</w:t>
            </w:r>
          </w:p>
        </w:tc>
        <w:tc>
          <w:tcPr>
            <w:tcW w:w="706"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544"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7</w:t>
            </w:r>
          </w:p>
        </w:tc>
        <w:tc>
          <w:tcPr>
            <w:tcW w:w="609" w:type="pct"/>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2517" w:type="pct"/>
            <w:gridSpan w:val="2"/>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铜端子</w:t>
            </w:r>
          </w:p>
        </w:tc>
        <w:tc>
          <w:tcPr>
            <w:tcW w:w="622"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个/a</w:t>
            </w:r>
          </w:p>
        </w:tc>
        <w:tc>
          <w:tcPr>
            <w:tcW w:w="706"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10000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544"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8</w:t>
            </w:r>
          </w:p>
        </w:tc>
        <w:tc>
          <w:tcPr>
            <w:tcW w:w="609" w:type="pct"/>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2517" w:type="pct"/>
            <w:gridSpan w:val="2"/>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支撑管</w:t>
            </w:r>
          </w:p>
        </w:tc>
        <w:tc>
          <w:tcPr>
            <w:tcW w:w="622"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根/a</w:t>
            </w:r>
          </w:p>
        </w:tc>
        <w:tc>
          <w:tcPr>
            <w:tcW w:w="706"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10000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544"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9</w:t>
            </w:r>
          </w:p>
        </w:tc>
        <w:tc>
          <w:tcPr>
            <w:tcW w:w="609" w:type="pct"/>
            <w:vMerge w:val="continue"/>
            <w:tcBorders>
              <w:top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2517" w:type="pct"/>
            <w:gridSpan w:val="2"/>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弹簧</w:t>
            </w:r>
          </w:p>
        </w:tc>
        <w:tc>
          <w:tcPr>
            <w:tcW w:w="622"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个/a</w:t>
            </w:r>
          </w:p>
        </w:tc>
        <w:tc>
          <w:tcPr>
            <w:tcW w:w="706"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5000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544"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10</w:t>
            </w:r>
          </w:p>
        </w:tc>
        <w:tc>
          <w:tcPr>
            <w:tcW w:w="609" w:type="pct"/>
            <w:vMerge w:val="restart"/>
            <w:tcBorders>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绝缘材料制品</w:t>
            </w:r>
          </w:p>
        </w:tc>
        <w:tc>
          <w:tcPr>
            <w:tcW w:w="758" w:type="pct"/>
            <w:vMerge w:val="restart"/>
            <w:tcBorders>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引拔系</w:t>
            </w: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列产品</w:t>
            </w:r>
          </w:p>
        </w:tc>
        <w:tc>
          <w:tcPr>
            <w:tcW w:w="1759"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环氧树脂</w:t>
            </w:r>
          </w:p>
        </w:tc>
        <w:tc>
          <w:tcPr>
            <w:tcW w:w="622"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t/a</w:t>
            </w:r>
          </w:p>
        </w:tc>
        <w:tc>
          <w:tcPr>
            <w:tcW w:w="706"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544"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11</w:t>
            </w:r>
          </w:p>
        </w:tc>
        <w:tc>
          <w:tcPr>
            <w:tcW w:w="609" w:type="pct"/>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758" w:type="pct"/>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759"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碳酸钙</w:t>
            </w:r>
          </w:p>
        </w:tc>
        <w:tc>
          <w:tcPr>
            <w:tcW w:w="622"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t/a</w:t>
            </w:r>
          </w:p>
        </w:tc>
        <w:tc>
          <w:tcPr>
            <w:tcW w:w="706"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544"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12</w:t>
            </w:r>
          </w:p>
        </w:tc>
        <w:tc>
          <w:tcPr>
            <w:tcW w:w="609" w:type="pct"/>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758" w:type="pct"/>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759"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氢氧化铝</w:t>
            </w:r>
          </w:p>
        </w:tc>
        <w:tc>
          <w:tcPr>
            <w:tcW w:w="622"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t/a</w:t>
            </w:r>
          </w:p>
        </w:tc>
        <w:tc>
          <w:tcPr>
            <w:tcW w:w="706"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544"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13</w:t>
            </w:r>
          </w:p>
        </w:tc>
        <w:tc>
          <w:tcPr>
            <w:tcW w:w="609" w:type="pct"/>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758" w:type="pct"/>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759"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脱模剂</w:t>
            </w:r>
          </w:p>
        </w:tc>
        <w:tc>
          <w:tcPr>
            <w:tcW w:w="622"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t/a</w:t>
            </w:r>
          </w:p>
        </w:tc>
        <w:tc>
          <w:tcPr>
            <w:tcW w:w="706"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544"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14</w:t>
            </w:r>
          </w:p>
        </w:tc>
        <w:tc>
          <w:tcPr>
            <w:tcW w:w="609" w:type="pct"/>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758" w:type="pct"/>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759"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不饱和聚酯树脂</w:t>
            </w:r>
          </w:p>
        </w:tc>
        <w:tc>
          <w:tcPr>
            <w:tcW w:w="622"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t/a</w:t>
            </w:r>
          </w:p>
        </w:tc>
        <w:tc>
          <w:tcPr>
            <w:tcW w:w="706"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544"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15</w:t>
            </w:r>
          </w:p>
        </w:tc>
        <w:tc>
          <w:tcPr>
            <w:tcW w:w="609" w:type="pct"/>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758" w:type="pct"/>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759"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无碱玻璃纤维纱</w:t>
            </w:r>
          </w:p>
        </w:tc>
        <w:tc>
          <w:tcPr>
            <w:tcW w:w="622"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t/a</w:t>
            </w:r>
          </w:p>
        </w:tc>
        <w:tc>
          <w:tcPr>
            <w:tcW w:w="706"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44"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16</w:t>
            </w:r>
          </w:p>
        </w:tc>
        <w:tc>
          <w:tcPr>
            <w:tcW w:w="609" w:type="pct"/>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758" w:type="pct"/>
            <w:vMerge w:val="continue"/>
            <w:tcBorders>
              <w:top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759"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无碱玻璃纤维带</w:t>
            </w:r>
          </w:p>
        </w:tc>
        <w:tc>
          <w:tcPr>
            <w:tcW w:w="622"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t/a</w:t>
            </w:r>
          </w:p>
        </w:tc>
        <w:tc>
          <w:tcPr>
            <w:tcW w:w="706"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544"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17</w:t>
            </w:r>
          </w:p>
        </w:tc>
        <w:tc>
          <w:tcPr>
            <w:tcW w:w="609" w:type="pct"/>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758" w:type="pct"/>
            <w:vMerge w:val="restart"/>
            <w:tcBorders>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电机及</w:t>
            </w: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变压器</w:t>
            </w: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绝缘件</w:t>
            </w:r>
          </w:p>
        </w:tc>
        <w:tc>
          <w:tcPr>
            <w:tcW w:w="1759"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热高强度层压玻璃布板(341)</w:t>
            </w:r>
          </w:p>
        </w:tc>
        <w:tc>
          <w:tcPr>
            <w:tcW w:w="622"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t/a</w:t>
            </w:r>
          </w:p>
        </w:tc>
        <w:tc>
          <w:tcPr>
            <w:tcW w:w="706"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55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544"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18</w:t>
            </w:r>
          </w:p>
        </w:tc>
        <w:tc>
          <w:tcPr>
            <w:tcW w:w="609" w:type="pct"/>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758" w:type="pct"/>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759"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环氧玻璃纤维布板(EPGC203)</w:t>
            </w:r>
          </w:p>
        </w:tc>
        <w:tc>
          <w:tcPr>
            <w:tcW w:w="622"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t/a</w:t>
            </w:r>
          </w:p>
        </w:tc>
        <w:tc>
          <w:tcPr>
            <w:tcW w:w="706"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544"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20</w:t>
            </w:r>
          </w:p>
        </w:tc>
        <w:tc>
          <w:tcPr>
            <w:tcW w:w="609" w:type="pct"/>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758" w:type="pct"/>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759"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环氧玻璃层压布板(3240)</w:t>
            </w:r>
          </w:p>
        </w:tc>
        <w:tc>
          <w:tcPr>
            <w:tcW w:w="622"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t/a</w:t>
            </w:r>
          </w:p>
        </w:tc>
        <w:tc>
          <w:tcPr>
            <w:tcW w:w="706"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544"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21</w:t>
            </w:r>
          </w:p>
        </w:tc>
        <w:tc>
          <w:tcPr>
            <w:tcW w:w="609" w:type="pct"/>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758" w:type="pct"/>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759"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芳香族聚酰胺(A板)</w:t>
            </w:r>
          </w:p>
        </w:tc>
        <w:tc>
          <w:tcPr>
            <w:tcW w:w="622"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t/a</w:t>
            </w:r>
          </w:p>
        </w:tc>
        <w:tc>
          <w:tcPr>
            <w:tcW w:w="706"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544"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22</w:t>
            </w:r>
          </w:p>
        </w:tc>
        <w:tc>
          <w:tcPr>
            <w:tcW w:w="609" w:type="pct"/>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758" w:type="pct"/>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759"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环氧玻璃纤维布板(308)</w:t>
            </w:r>
          </w:p>
        </w:tc>
        <w:tc>
          <w:tcPr>
            <w:tcW w:w="622"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t/a</w:t>
            </w:r>
          </w:p>
        </w:tc>
        <w:tc>
          <w:tcPr>
            <w:tcW w:w="706"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544"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23</w:t>
            </w:r>
          </w:p>
        </w:tc>
        <w:tc>
          <w:tcPr>
            <w:tcW w:w="609" w:type="pct"/>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758" w:type="pct"/>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759"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纤维压板(NOMEX994)</w:t>
            </w:r>
          </w:p>
        </w:tc>
        <w:tc>
          <w:tcPr>
            <w:tcW w:w="622"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t/a</w:t>
            </w:r>
          </w:p>
        </w:tc>
        <w:tc>
          <w:tcPr>
            <w:tcW w:w="706"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544"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24</w:t>
            </w:r>
          </w:p>
        </w:tc>
        <w:tc>
          <w:tcPr>
            <w:tcW w:w="609" w:type="pct"/>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758" w:type="pct"/>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759"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高密度纸板(T4)</w:t>
            </w:r>
          </w:p>
        </w:tc>
        <w:tc>
          <w:tcPr>
            <w:tcW w:w="622"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t/a</w:t>
            </w:r>
          </w:p>
        </w:tc>
        <w:tc>
          <w:tcPr>
            <w:tcW w:w="706"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544"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25</w:t>
            </w:r>
          </w:p>
        </w:tc>
        <w:tc>
          <w:tcPr>
            <w:tcW w:w="609" w:type="pct"/>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758" w:type="pct"/>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759"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电工层压木</w:t>
            </w:r>
          </w:p>
        </w:tc>
        <w:tc>
          <w:tcPr>
            <w:tcW w:w="622"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t/a</w:t>
            </w:r>
          </w:p>
        </w:tc>
        <w:tc>
          <w:tcPr>
            <w:tcW w:w="706"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544"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26</w:t>
            </w:r>
          </w:p>
        </w:tc>
        <w:tc>
          <w:tcPr>
            <w:tcW w:w="609" w:type="pct"/>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758" w:type="pct"/>
            <w:vMerge w:val="continue"/>
            <w:tcBorders>
              <w:top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759"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二苯醚层压板(350)</w:t>
            </w:r>
          </w:p>
        </w:tc>
        <w:tc>
          <w:tcPr>
            <w:tcW w:w="622"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t/a</w:t>
            </w:r>
          </w:p>
        </w:tc>
        <w:tc>
          <w:tcPr>
            <w:tcW w:w="706"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544"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27</w:t>
            </w:r>
          </w:p>
        </w:tc>
        <w:tc>
          <w:tcPr>
            <w:tcW w:w="609" w:type="pct"/>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758" w:type="pct"/>
            <w:vMerge w:val="restart"/>
            <w:tcBorders>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柔性复合绝缘材料</w:t>
            </w:r>
          </w:p>
        </w:tc>
        <w:tc>
          <w:tcPr>
            <w:tcW w:w="1759"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聚氨酯胶</w:t>
            </w:r>
          </w:p>
        </w:tc>
        <w:tc>
          <w:tcPr>
            <w:tcW w:w="622"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t/a</w:t>
            </w:r>
          </w:p>
        </w:tc>
        <w:tc>
          <w:tcPr>
            <w:tcW w:w="706"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544"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28</w:t>
            </w:r>
          </w:p>
        </w:tc>
        <w:tc>
          <w:tcPr>
            <w:tcW w:w="609" w:type="pct"/>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758" w:type="pct"/>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759"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环氧树脂</w:t>
            </w:r>
          </w:p>
        </w:tc>
        <w:tc>
          <w:tcPr>
            <w:tcW w:w="622"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t/a</w:t>
            </w:r>
          </w:p>
        </w:tc>
        <w:tc>
          <w:tcPr>
            <w:tcW w:w="706"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544"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29</w:t>
            </w:r>
          </w:p>
        </w:tc>
        <w:tc>
          <w:tcPr>
            <w:tcW w:w="609" w:type="pct"/>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758" w:type="pct"/>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759"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乙酸乙酯</w:t>
            </w:r>
          </w:p>
        </w:tc>
        <w:tc>
          <w:tcPr>
            <w:tcW w:w="622"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t/a</w:t>
            </w:r>
          </w:p>
        </w:tc>
        <w:tc>
          <w:tcPr>
            <w:tcW w:w="706"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544"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30</w:t>
            </w:r>
          </w:p>
        </w:tc>
        <w:tc>
          <w:tcPr>
            <w:tcW w:w="609" w:type="pct"/>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758" w:type="pct"/>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759"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薄膜</w:t>
            </w:r>
          </w:p>
        </w:tc>
        <w:tc>
          <w:tcPr>
            <w:tcW w:w="622"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t/a</w:t>
            </w:r>
          </w:p>
        </w:tc>
        <w:tc>
          <w:tcPr>
            <w:tcW w:w="706"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544"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31</w:t>
            </w:r>
          </w:p>
        </w:tc>
        <w:tc>
          <w:tcPr>
            <w:tcW w:w="609" w:type="pct"/>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758" w:type="pct"/>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759"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绝缘纸和布</w:t>
            </w:r>
          </w:p>
        </w:tc>
        <w:tc>
          <w:tcPr>
            <w:tcW w:w="622"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t/a</w:t>
            </w:r>
          </w:p>
        </w:tc>
        <w:tc>
          <w:tcPr>
            <w:tcW w:w="706"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65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544"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32</w:t>
            </w:r>
          </w:p>
        </w:tc>
        <w:tc>
          <w:tcPr>
            <w:tcW w:w="609" w:type="pct"/>
            <w:vMerge w:val="continue"/>
            <w:tcBorders>
              <w:top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758" w:type="pct"/>
            <w:vMerge w:val="continue"/>
            <w:tcBorders>
              <w:top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759"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无碱玻璃布</w:t>
            </w:r>
          </w:p>
        </w:tc>
        <w:tc>
          <w:tcPr>
            <w:tcW w:w="622"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t/a</w:t>
            </w:r>
          </w:p>
        </w:tc>
        <w:tc>
          <w:tcPr>
            <w:tcW w:w="706"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44"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33</w:t>
            </w:r>
          </w:p>
        </w:tc>
        <w:tc>
          <w:tcPr>
            <w:tcW w:w="609" w:type="pct"/>
            <w:vMerge w:val="restart"/>
            <w:tcBorders>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全厂</w:t>
            </w:r>
          </w:p>
        </w:tc>
        <w:tc>
          <w:tcPr>
            <w:tcW w:w="2517" w:type="pct"/>
            <w:gridSpan w:val="2"/>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活性炭</w:t>
            </w:r>
          </w:p>
        </w:tc>
        <w:tc>
          <w:tcPr>
            <w:tcW w:w="622"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t/a</w:t>
            </w:r>
          </w:p>
        </w:tc>
        <w:tc>
          <w:tcPr>
            <w:tcW w:w="706"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50.12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544"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34</w:t>
            </w:r>
          </w:p>
        </w:tc>
        <w:tc>
          <w:tcPr>
            <w:tcW w:w="609" w:type="pct"/>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2517" w:type="pct"/>
            <w:gridSpan w:val="2"/>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自来水</w:t>
            </w:r>
          </w:p>
        </w:tc>
        <w:tc>
          <w:tcPr>
            <w:tcW w:w="622"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吨/a</w:t>
            </w:r>
          </w:p>
        </w:tc>
        <w:tc>
          <w:tcPr>
            <w:tcW w:w="706"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6000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544"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35</w:t>
            </w:r>
          </w:p>
        </w:tc>
        <w:tc>
          <w:tcPr>
            <w:tcW w:w="609" w:type="pct"/>
            <w:vMerge w:val="continue"/>
            <w:tcBorders>
              <w:top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2517" w:type="pct"/>
            <w:gridSpan w:val="2"/>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电</w:t>
            </w:r>
          </w:p>
        </w:tc>
        <w:tc>
          <w:tcPr>
            <w:tcW w:w="622"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万kwh/a</w:t>
            </w:r>
          </w:p>
        </w:tc>
        <w:tc>
          <w:tcPr>
            <w:tcW w:w="706"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200</w:t>
            </w:r>
          </w:p>
        </w:tc>
      </w:tr>
    </w:tbl>
    <w:p>
      <w:pPr>
        <w:spacing w:line="227" w:lineRule="auto"/>
        <w:ind w:left="588"/>
        <w:rPr>
          <w:rFonts w:hint="eastAsia" w:ascii="宋体" w:hAnsi="宋体" w:eastAsia="宋体" w:cs="宋体"/>
          <w:color w:val="000000" w:themeColor="text1"/>
          <w:sz w:val="23"/>
          <w:szCs w:val="23"/>
          <w14:textFill>
            <w14:solidFill>
              <w14:schemeClr w14:val="tx1"/>
            </w14:solidFill>
          </w14:textFill>
        </w:rPr>
      </w:pPr>
      <w:r>
        <w:rPr>
          <w:rFonts w:hint="eastAsia" w:ascii="宋体" w:hAnsi="宋体" w:eastAsia="宋体" w:cs="宋体"/>
          <w:color w:val="000000" w:themeColor="text1"/>
          <w:spacing w:val="10"/>
          <w:sz w:val="23"/>
          <w:szCs w:val="23"/>
          <w14:textFill>
            <w14:solidFill>
              <w14:schemeClr w14:val="tx1"/>
            </w14:solidFill>
          </w14:textFill>
        </w:rPr>
        <w:t>主要</w:t>
      </w:r>
      <w:r>
        <w:rPr>
          <w:rFonts w:hint="eastAsia" w:ascii="宋体" w:hAnsi="宋体" w:eastAsia="宋体" w:cs="宋体"/>
          <w:color w:val="000000" w:themeColor="text1"/>
          <w:spacing w:val="8"/>
          <w:sz w:val="23"/>
          <w:szCs w:val="23"/>
          <w14:textFill>
            <w14:solidFill>
              <w14:schemeClr w14:val="tx1"/>
            </w14:solidFill>
          </w14:textFill>
        </w:rPr>
        <w:t>有</w:t>
      </w:r>
      <w:r>
        <w:rPr>
          <w:rFonts w:hint="eastAsia" w:ascii="宋体" w:hAnsi="宋体" w:eastAsia="宋体" w:cs="宋体"/>
          <w:color w:val="000000" w:themeColor="text1"/>
          <w:spacing w:val="5"/>
          <w:sz w:val="23"/>
          <w:szCs w:val="23"/>
          <w14:textFill>
            <w14:solidFill>
              <w14:schemeClr w14:val="tx1"/>
            </w14:solidFill>
          </w14:textFill>
        </w:rPr>
        <w:t>毒有害原辅材料贮存情况见表</w:t>
      </w:r>
      <w:r>
        <w:rPr>
          <w:rFonts w:hint="eastAsia" w:ascii="宋体" w:hAnsi="宋体" w:eastAsia="宋体" w:cs="宋体"/>
          <w:color w:val="000000" w:themeColor="text1"/>
          <w:spacing w:val="5"/>
          <w:sz w:val="23"/>
          <w:szCs w:val="23"/>
          <w:lang w:val="en-US" w:eastAsia="zh-CN"/>
          <w14:textFill>
            <w14:solidFill>
              <w14:schemeClr w14:val="tx1"/>
            </w14:solidFill>
          </w14:textFill>
        </w:rPr>
        <w:t>3.1.5-2</w:t>
      </w:r>
      <w:r>
        <w:rPr>
          <w:rFonts w:hint="eastAsia" w:ascii="宋体" w:hAnsi="宋体" w:eastAsia="宋体" w:cs="宋体"/>
          <w:color w:val="000000" w:themeColor="text1"/>
          <w:spacing w:val="5"/>
          <w:sz w:val="23"/>
          <w:szCs w:val="23"/>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0" w:firstLineChars="0"/>
        <w:jc w:val="center"/>
        <w:textAlignment w:val="auto"/>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表3.1.5-2主要有毒有害原辅材料贮存情况一览表</w:t>
      </w:r>
    </w:p>
    <w:p>
      <w:pPr>
        <w:spacing w:line="17" w:lineRule="exact"/>
        <w:rPr>
          <w:rFonts w:hint="eastAsia" w:ascii="宋体" w:hAnsi="宋体" w:eastAsia="宋体" w:cs="宋体"/>
          <w:color w:val="000000" w:themeColor="text1"/>
          <w14:textFill>
            <w14:solidFill>
              <w14:schemeClr w14:val="tx1"/>
            </w14:solidFill>
          </w14:textFill>
        </w:rPr>
      </w:pPr>
    </w:p>
    <w:tbl>
      <w:tblPr>
        <w:tblStyle w:val="77"/>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747"/>
        <w:gridCol w:w="2222"/>
        <w:gridCol w:w="793"/>
        <w:gridCol w:w="1830"/>
        <w:gridCol w:w="2064"/>
        <w:gridCol w:w="198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388"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序号</w:t>
            </w:r>
          </w:p>
        </w:tc>
        <w:tc>
          <w:tcPr>
            <w:tcW w:w="1152"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物料名称</w:t>
            </w:r>
          </w:p>
        </w:tc>
        <w:tc>
          <w:tcPr>
            <w:tcW w:w="411"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形态</w:t>
            </w:r>
          </w:p>
        </w:tc>
        <w:tc>
          <w:tcPr>
            <w:tcW w:w="949"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最大贮量(t)</w:t>
            </w:r>
          </w:p>
        </w:tc>
        <w:tc>
          <w:tcPr>
            <w:tcW w:w="1070"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包装方式</w:t>
            </w:r>
          </w:p>
        </w:tc>
        <w:tc>
          <w:tcPr>
            <w:tcW w:w="1028"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贮存地点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388"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p>
        </w:tc>
        <w:tc>
          <w:tcPr>
            <w:tcW w:w="1152"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酒精</w:t>
            </w:r>
          </w:p>
        </w:tc>
        <w:tc>
          <w:tcPr>
            <w:tcW w:w="411"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液态</w:t>
            </w:r>
          </w:p>
        </w:tc>
        <w:tc>
          <w:tcPr>
            <w:tcW w:w="949"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0.2</w:t>
            </w:r>
          </w:p>
        </w:tc>
        <w:tc>
          <w:tcPr>
            <w:tcW w:w="1070"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桶装,20kg/桶</w:t>
            </w:r>
          </w:p>
        </w:tc>
        <w:tc>
          <w:tcPr>
            <w:tcW w:w="1028" w:type="pct"/>
            <w:vMerge w:val="restart"/>
            <w:tcBorders>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危险化学品贮存间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388"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c>
          <w:tcPr>
            <w:tcW w:w="1152"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氟铝酸钾</w:t>
            </w:r>
          </w:p>
        </w:tc>
        <w:tc>
          <w:tcPr>
            <w:tcW w:w="411"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固态</w:t>
            </w:r>
          </w:p>
        </w:tc>
        <w:tc>
          <w:tcPr>
            <w:tcW w:w="949"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2.0</w:t>
            </w:r>
          </w:p>
        </w:tc>
        <w:tc>
          <w:tcPr>
            <w:tcW w:w="1070"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袋装,25kg/袋</w:t>
            </w:r>
          </w:p>
        </w:tc>
        <w:tc>
          <w:tcPr>
            <w:tcW w:w="1028" w:type="pct"/>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388"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p>
        </w:tc>
        <w:tc>
          <w:tcPr>
            <w:tcW w:w="1152"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液体硅橡胶</w:t>
            </w:r>
          </w:p>
        </w:tc>
        <w:tc>
          <w:tcPr>
            <w:tcW w:w="411"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液态</w:t>
            </w:r>
          </w:p>
        </w:tc>
        <w:tc>
          <w:tcPr>
            <w:tcW w:w="949"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2.0</w:t>
            </w:r>
          </w:p>
        </w:tc>
        <w:tc>
          <w:tcPr>
            <w:tcW w:w="1070"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桶装,200kg/桶</w:t>
            </w:r>
          </w:p>
        </w:tc>
        <w:tc>
          <w:tcPr>
            <w:tcW w:w="1028" w:type="pct"/>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388"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4</w:t>
            </w:r>
          </w:p>
        </w:tc>
        <w:tc>
          <w:tcPr>
            <w:tcW w:w="1152"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环氧树脂</w:t>
            </w:r>
          </w:p>
        </w:tc>
        <w:tc>
          <w:tcPr>
            <w:tcW w:w="411"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液态</w:t>
            </w:r>
          </w:p>
        </w:tc>
        <w:tc>
          <w:tcPr>
            <w:tcW w:w="949"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0.8</w:t>
            </w:r>
          </w:p>
        </w:tc>
        <w:tc>
          <w:tcPr>
            <w:tcW w:w="1070"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桶装,200kg/桶</w:t>
            </w:r>
          </w:p>
        </w:tc>
        <w:tc>
          <w:tcPr>
            <w:tcW w:w="1028" w:type="pct"/>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388"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5</w:t>
            </w:r>
          </w:p>
        </w:tc>
        <w:tc>
          <w:tcPr>
            <w:tcW w:w="1152"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不饱和聚酯树脂</w:t>
            </w:r>
          </w:p>
        </w:tc>
        <w:tc>
          <w:tcPr>
            <w:tcW w:w="411"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液态</w:t>
            </w:r>
          </w:p>
        </w:tc>
        <w:tc>
          <w:tcPr>
            <w:tcW w:w="949"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4.0</w:t>
            </w:r>
          </w:p>
        </w:tc>
        <w:tc>
          <w:tcPr>
            <w:tcW w:w="1070"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桶装,200kg/桶</w:t>
            </w:r>
          </w:p>
        </w:tc>
        <w:tc>
          <w:tcPr>
            <w:tcW w:w="1028" w:type="pct"/>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388"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6</w:t>
            </w:r>
          </w:p>
        </w:tc>
        <w:tc>
          <w:tcPr>
            <w:tcW w:w="1152"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聚氨酯胶</w:t>
            </w:r>
          </w:p>
        </w:tc>
        <w:tc>
          <w:tcPr>
            <w:tcW w:w="411"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液态</w:t>
            </w:r>
          </w:p>
        </w:tc>
        <w:tc>
          <w:tcPr>
            <w:tcW w:w="949"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0.4</w:t>
            </w:r>
          </w:p>
        </w:tc>
        <w:tc>
          <w:tcPr>
            <w:tcW w:w="1070"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桶装,200kg/桶</w:t>
            </w:r>
          </w:p>
        </w:tc>
        <w:tc>
          <w:tcPr>
            <w:tcW w:w="1028" w:type="pct"/>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388"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7</w:t>
            </w:r>
          </w:p>
        </w:tc>
        <w:tc>
          <w:tcPr>
            <w:tcW w:w="1152"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乙酸乙酯</w:t>
            </w:r>
          </w:p>
        </w:tc>
        <w:tc>
          <w:tcPr>
            <w:tcW w:w="411"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液态</w:t>
            </w:r>
          </w:p>
        </w:tc>
        <w:tc>
          <w:tcPr>
            <w:tcW w:w="949"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0.6</w:t>
            </w:r>
          </w:p>
        </w:tc>
        <w:tc>
          <w:tcPr>
            <w:tcW w:w="1070"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桶装,200kg/桶</w:t>
            </w:r>
          </w:p>
        </w:tc>
        <w:tc>
          <w:tcPr>
            <w:tcW w:w="1028" w:type="pct"/>
            <w:vMerge w:val="continue"/>
            <w:tcBorders>
              <w:top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388"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8</w:t>
            </w:r>
          </w:p>
        </w:tc>
        <w:tc>
          <w:tcPr>
            <w:tcW w:w="1152"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脱模剂</w:t>
            </w:r>
          </w:p>
        </w:tc>
        <w:tc>
          <w:tcPr>
            <w:tcW w:w="411"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液态</w:t>
            </w:r>
          </w:p>
        </w:tc>
        <w:tc>
          <w:tcPr>
            <w:tcW w:w="949"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0.2</w:t>
            </w:r>
          </w:p>
        </w:tc>
        <w:tc>
          <w:tcPr>
            <w:tcW w:w="1070"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桶装,20kg/桶</w:t>
            </w:r>
          </w:p>
        </w:tc>
        <w:tc>
          <w:tcPr>
            <w:tcW w:w="1028" w:type="pct"/>
            <w:vMerge w:val="restart"/>
            <w:tcBorders>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矿物油</w:t>
            </w: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贮存间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388"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9</w:t>
            </w:r>
          </w:p>
        </w:tc>
        <w:tc>
          <w:tcPr>
            <w:tcW w:w="1152"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切削液</w:t>
            </w:r>
          </w:p>
        </w:tc>
        <w:tc>
          <w:tcPr>
            <w:tcW w:w="411"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液态</w:t>
            </w:r>
          </w:p>
        </w:tc>
        <w:tc>
          <w:tcPr>
            <w:tcW w:w="949"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0.4</w:t>
            </w:r>
          </w:p>
        </w:tc>
        <w:tc>
          <w:tcPr>
            <w:tcW w:w="1070"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桶装,20kg/桶</w:t>
            </w:r>
          </w:p>
        </w:tc>
        <w:tc>
          <w:tcPr>
            <w:tcW w:w="1028" w:type="pct"/>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388"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10</w:t>
            </w:r>
          </w:p>
        </w:tc>
        <w:tc>
          <w:tcPr>
            <w:tcW w:w="1152"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机油</w:t>
            </w:r>
          </w:p>
        </w:tc>
        <w:tc>
          <w:tcPr>
            <w:tcW w:w="411"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液态</w:t>
            </w:r>
          </w:p>
        </w:tc>
        <w:tc>
          <w:tcPr>
            <w:tcW w:w="949"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0.4</w:t>
            </w:r>
          </w:p>
        </w:tc>
        <w:tc>
          <w:tcPr>
            <w:tcW w:w="1070"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桶装,200kg/桶</w:t>
            </w:r>
          </w:p>
        </w:tc>
        <w:tc>
          <w:tcPr>
            <w:tcW w:w="1028" w:type="pct"/>
            <w:vMerge w:val="continue"/>
            <w:tcBorders>
              <w:top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r>
    </w:tbl>
    <w:p>
      <w:pPr>
        <w:pStyle w:val="8"/>
        <w:keepNext w:val="0"/>
        <w:keepLines w:val="0"/>
        <w:pageBreakBefore w:val="0"/>
        <w:widowControl/>
        <w:kinsoku/>
        <w:wordWrap/>
        <w:overflowPunct/>
        <w:topLinePunct w:val="0"/>
        <w:bidi w:val="0"/>
        <w:adjustRightInd/>
        <w:snapToGrid/>
        <w:spacing w:line="360" w:lineRule="auto"/>
        <w:ind w:left="0" w:firstLine="482" w:firstLineChars="200"/>
        <w:textAlignment w:val="auto"/>
        <w:rPr>
          <w:rFonts w:hint="eastAsia" w:ascii="宋体" w:hAnsi="宋体" w:eastAsia="宋体" w:cs="宋体"/>
          <w:color w:val="000000" w:themeColor="text1"/>
          <w:highlight w:val="none"/>
          <w:lang w:val="en-US" w:eastAsia="zh-CN"/>
          <w14:textFill>
            <w14:solidFill>
              <w14:schemeClr w14:val="tx1"/>
            </w14:solidFill>
          </w14:textFill>
        </w:rPr>
      </w:pPr>
      <w:bookmarkStart w:id="303" w:name="_Toc14946"/>
      <w:bookmarkStart w:id="304" w:name="_Toc10322"/>
      <w:r>
        <w:rPr>
          <w:rFonts w:hint="eastAsia" w:ascii="宋体" w:hAnsi="宋体" w:eastAsia="宋体" w:cs="宋体"/>
          <w:color w:val="000000" w:themeColor="text1"/>
          <w:highlight w:val="none"/>
          <w:lang w:val="en-US" w:eastAsia="zh-CN"/>
          <w14:textFill>
            <w14:solidFill>
              <w14:schemeClr w14:val="tx1"/>
            </w14:solidFill>
          </w14:textFill>
        </w:rPr>
        <w:t>3.1.6现有工程生产工艺流程</w:t>
      </w:r>
      <w:bookmarkEnd w:id="303"/>
      <w:bookmarkEnd w:id="304"/>
    </w:p>
    <w:p>
      <w:pPr>
        <w:keepNext w:val="0"/>
        <w:keepLines w:val="0"/>
        <w:pageBreakBefore w:val="0"/>
        <w:widowControl/>
        <w:kinsoku/>
        <w:wordWrap/>
        <w:overflowPunct/>
        <w:topLinePunct w:val="0"/>
        <w:bidi w:val="0"/>
        <w:adjustRightInd/>
        <w:snapToGrid/>
        <w:spacing w:line="360" w:lineRule="auto"/>
        <w:ind w:left="0" w:firstLine="484" w:firstLineChars="200"/>
        <w:textAlignment w:val="auto"/>
        <w:rPr>
          <w:rFonts w:hint="eastAsia" w:ascii="宋体" w:hAnsi="宋体" w:eastAsia="宋体" w:cs="宋体"/>
          <w:color w:val="000000" w:themeColor="text1"/>
          <w:sz w:val="23"/>
          <w:szCs w:val="23"/>
          <w14:textFill>
            <w14:solidFill>
              <w14:schemeClr w14:val="tx1"/>
            </w14:solidFill>
          </w14:textFill>
        </w:rPr>
      </w:pPr>
      <w:r>
        <w:rPr>
          <w:rFonts w:hint="eastAsia" w:ascii="宋体" w:hAnsi="宋体" w:eastAsia="宋体" w:cs="宋体"/>
          <w:color w:val="000000" w:themeColor="text1"/>
          <w:spacing w:val="6"/>
          <w:position w:val="1"/>
          <w:sz w:val="23"/>
          <w:szCs w:val="23"/>
          <w14:textFill>
            <w14:solidFill>
              <w14:schemeClr w14:val="tx1"/>
            </w14:solidFill>
          </w14:textFill>
        </w:rPr>
        <w:t>1、钎焊铝蜂窝</w:t>
      </w:r>
      <w:r>
        <w:rPr>
          <w:rFonts w:hint="eastAsia" w:ascii="宋体" w:hAnsi="宋体" w:eastAsia="宋体" w:cs="宋体"/>
          <w:color w:val="000000" w:themeColor="text1"/>
          <w:spacing w:val="5"/>
          <w:position w:val="1"/>
          <w:sz w:val="23"/>
          <w:szCs w:val="23"/>
          <w14:textFill>
            <w14:solidFill>
              <w14:schemeClr w14:val="tx1"/>
            </w14:solidFill>
          </w14:textFill>
        </w:rPr>
        <w:t>板</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14:textFill>
            <w14:solidFill>
              <w14:schemeClr w14:val="tx1"/>
            </w14:solidFill>
          </w14:textFill>
        </w:rPr>
        <mc:AlternateContent>
          <mc:Choice Requires="wpg">
            <w:drawing>
              <wp:inline distT="0" distB="0" distL="114300" distR="114300">
                <wp:extent cx="5587365" cy="3890645"/>
                <wp:effectExtent l="0" t="0" r="13335" b="14605"/>
                <wp:docPr id="5" name="组合 5"/>
                <wp:cNvGraphicFramePr/>
                <a:graphic xmlns:a="http://schemas.openxmlformats.org/drawingml/2006/main">
                  <a:graphicData uri="http://schemas.microsoft.com/office/word/2010/wordprocessingGroup">
                    <wpg:wgp>
                      <wpg:cNvGrpSpPr/>
                      <wpg:grpSpPr>
                        <a:xfrm>
                          <a:off x="0" y="0"/>
                          <a:ext cx="5587365" cy="3890645"/>
                          <a:chOff x="0" y="0"/>
                          <a:chExt cx="8799" cy="6685"/>
                        </a:xfrm>
                      </wpg:grpSpPr>
                      <pic:pic xmlns:pic="http://schemas.openxmlformats.org/drawingml/2006/picture">
                        <pic:nvPicPr>
                          <pic:cNvPr id="6" name="图片 3"/>
                          <pic:cNvPicPr>
                            <a:picLocks noChangeAspect="1"/>
                          </pic:cNvPicPr>
                        </pic:nvPicPr>
                        <pic:blipFill>
                          <a:blip r:embed="rId13"/>
                          <a:stretch>
                            <a:fillRect/>
                          </a:stretch>
                        </pic:blipFill>
                        <pic:spPr>
                          <a:xfrm>
                            <a:off x="0" y="0"/>
                            <a:ext cx="8799" cy="6685"/>
                          </a:xfrm>
                          <a:prstGeom prst="rect">
                            <a:avLst/>
                          </a:prstGeom>
                          <a:noFill/>
                          <a:ln>
                            <a:noFill/>
                          </a:ln>
                        </pic:spPr>
                      </pic:pic>
                      <wps:wsp>
                        <wps:cNvPr id="7" name="文本框 3"/>
                        <wps:cNvSpPr txBox="1"/>
                        <wps:spPr>
                          <a:xfrm>
                            <a:off x="5035" y="952"/>
                            <a:ext cx="1303" cy="430"/>
                          </a:xfrm>
                          <a:prstGeom prst="rect">
                            <a:avLst/>
                          </a:prstGeom>
                          <a:noFill/>
                          <a:ln>
                            <a:noFill/>
                          </a:ln>
                        </wps:spPr>
                        <wps:txbx>
                          <w:txbxContent>
                            <w:p>
                              <w:pPr>
                                <w:spacing w:line="20" w:lineRule="exact"/>
                              </w:pPr>
                            </w:p>
                            <w:tbl>
                              <w:tblPr>
                                <w:tblStyle w:val="77"/>
                                <w:tblW w:w="1237" w:type="dxa"/>
                                <w:tblInd w:w="32"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1237"/>
                              </w:tblGrid>
                              <w:tr>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339" w:hRule="atLeast"/>
                                </w:trPr>
                                <w:tc>
                                  <w:tcPr>
                                    <w:tcW w:w="1237" w:type="dxa"/>
                                    <w:shd w:val="clear" w:color="auto" w:fill="FFFFFF"/>
                                    <w:vAlign w:val="top"/>
                                  </w:tcPr>
                                  <w:p>
                                    <w:pPr>
                                      <w:spacing w:before="96" w:line="231" w:lineRule="auto"/>
                                      <w:ind w:left="136"/>
                                      <w:rPr>
                                        <w:rFonts w:ascii="宋体" w:hAnsi="宋体" w:eastAsia="宋体" w:cs="宋体"/>
                                        <w:sz w:val="17"/>
                                        <w:szCs w:val="17"/>
                                      </w:rPr>
                                    </w:pPr>
                                    <w:r>
                                      <w:rPr>
                                        <w:rFonts w:ascii="宋体" w:hAnsi="宋体" w:eastAsia="宋体" w:cs="宋体"/>
                                        <w:spacing w:val="9"/>
                                        <w:sz w:val="17"/>
                                        <w:szCs w:val="17"/>
                                      </w:rPr>
                                      <w:t>骨</w:t>
                                    </w:r>
                                    <w:r>
                                      <w:rPr>
                                        <w:rFonts w:ascii="宋体" w:hAnsi="宋体" w:eastAsia="宋体" w:cs="宋体"/>
                                        <w:spacing w:val="8"/>
                                        <w:sz w:val="17"/>
                                        <w:szCs w:val="17"/>
                                      </w:rPr>
                                      <w:t>架焊接</w:t>
                                    </w:r>
                                  </w:p>
                                </w:tc>
                              </w:tr>
                            </w:tbl>
                            <w:p>
                              <w:pPr>
                                <w:rPr>
                                  <w:rFonts w:ascii="Arial"/>
                                  <w:sz w:val="21"/>
                                </w:rPr>
                              </w:pPr>
                            </w:p>
                          </w:txbxContent>
                        </wps:txbx>
                        <wps:bodyPr lIns="0" tIns="0" rIns="0" bIns="0" upright="1"/>
                      </wps:wsp>
                    </wpg:wgp>
                  </a:graphicData>
                </a:graphic>
              </wp:inline>
            </w:drawing>
          </mc:Choice>
          <mc:Fallback>
            <w:pict>
              <v:group id="_x0000_s1026" o:spid="_x0000_s1026" o:spt="203" style="height:306.35pt;width:439.95pt;" coordsize="8799,6685" o:gfxdata="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">
                <o:lock v:ext="edit" aspectratio="f"/>
                <v:shape id="图片 3" o:spid="_x0000_s1026" o:spt="75" type="#_x0000_t75" style="position:absolute;left:0;top:0;height:6685;width:8799;" filled="f" o:preferrelative="t" stroked="f" coordsize="21600,21600" o:gfxdata="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XvD8u8AAAA&#10;2gAAAA8AAAAAAAAAAQAgAAAAIgAAAGRycy9kb3ducmV2LnhtbFBLAQIUABQAAAAIAIdO4kAzLwWe&#10;OwAAADkAAAAQAAAAAAAAAAEAIAAAAAsBAABkcnMvc2hhcGV4bWwueG1sUEsFBgAAAAAGAAYAWwEA&#10;ALUDAAAAAA==&#10;">
                  <v:fill on="f" focussize="0,0"/>
                  <v:stroke on="f"/>
                  <v:imagedata r:id="rId13" o:title=""/>
                  <o:lock v:ext="edit" aspectratio="t"/>
                </v:shape>
                <v:shape id="文本框 3" o:spid="_x0000_s1026" o:spt="202" type="#_x0000_t202" style="position:absolute;left:5035;top:952;height:430;width:1303;" filled="f" stroked="f" coordsize="21600,21600" o:gfxdata="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dL+kL4A&#10;AADa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0" w:lineRule="exact"/>
                        </w:pPr>
                      </w:p>
                      <w:tbl>
                        <w:tblPr>
                          <w:tblStyle w:val="77"/>
                          <w:tblW w:w="1237" w:type="dxa"/>
                          <w:tblInd w:w="32"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1237"/>
                        </w:tblGrid>
                        <w:tr>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339" w:hRule="atLeast"/>
                          </w:trPr>
                          <w:tc>
                            <w:tcPr>
                              <w:tcW w:w="1237" w:type="dxa"/>
                              <w:shd w:val="clear" w:color="auto" w:fill="FFFFFF"/>
                              <w:vAlign w:val="top"/>
                            </w:tcPr>
                            <w:p>
                              <w:pPr>
                                <w:spacing w:before="96" w:line="231" w:lineRule="auto"/>
                                <w:ind w:left="136"/>
                                <w:rPr>
                                  <w:rFonts w:ascii="宋体" w:hAnsi="宋体" w:eastAsia="宋体" w:cs="宋体"/>
                                  <w:sz w:val="17"/>
                                  <w:szCs w:val="17"/>
                                </w:rPr>
                              </w:pPr>
                              <w:r>
                                <w:rPr>
                                  <w:rFonts w:ascii="宋体" w:hAnsi="宋体" w:eastAsia="宋体" w:cs="宋体"/>
                                  <w:spacing w:val="9"/>
                                  <w:sz w:val="17"/>
                                  <w:szCs w:val="17"/>
                                </w:rPr>
                                <w:t>骨</w:t>
                              </w:r>
                              <w:r>
                                <w:rPr>
                                  <w:rFonts w:ascii="宋体" w:hAnsi="宋体" w:eastAsia="宋体" w:cs="宋体"/>
                                  <w:spacing w:val="8"/>
                                  <w:sz w:val="17"/>
                                  <w:szCs w:val="17"/>
                                </w:rPr>
                                <w:t>架焊接</w:t>
                              </w:r>
                            </w:p>
                          </w:tc>
                        </w:tr>
                      </w:tbl>
                      <w:p>
                        <w:pPr>
                          <w:rPr>
                            <w:rFonts w:ascii="Arial"/>
                            <w:sz w:val="21"/>
                          </w:rPr>
                        </w:pPr>
                      </w:p>
                    </w:txbxContent>
                  </v:textbox>
                </v:shape>
                <w10:wrap type="none"/>
                <w10:anchorlock/>
              </v:group>
            </w:pict>
          </mc:Fallback>
        </mc:AlternateContent>
      </w:r>
    </w:p>
    <w:p>
      <w:pPr>
        <w:spacing w:before="188" w:line="311" w:lineRule="exact"/>
        <w:ind w:left="588"/>
        <w:jc w:val="center"/>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图3.1.6-1钎焊铝蜂窝板生产工艺流程和产排污节点图</w:t>
      </w:r>
    </w:p>
    <w:p>
      <w:pPr>
        <w:spacing w:before="188" w:line="311" w:lineRule="exact"/>
        <w:ind w:left="588"/>
        <w:jc w:val="both"/>
        <w:rPr>
          <w:rFonts w:hint="eastAsia" w:ascii="宋体" w:hAnsi="宋体" w:eastAsia="宋体" w:cs="宋体"/>
          <w:color w:val="000000" w:themeColor="text1"/>
          <w:sz w:val="23"/>
          <w:szCs w:val="23"/>
          <w14:textFill>
            <w14:solidFill>
              <w14:schemeClr w14:val="tx1"/>
            </w14:solidFill>
          </w14:textFill>
        </w:rPr>
      </w:pPr>
      <w:r>
        <w:rPr>
          <w:rFonts w:hint="eastAsia" w:ascii="宋体" w:hAnsi="宋体" w:eastAsia="宋体" w:cs="宋体"/>
          <w:color w:val="000000" w:themeColor="text1"/>
          <w:spacing w:val="6"/>
          <w:position w:val="1"/>
          <w:sz w:val="23"/>
          <w:szCs w:val="23"/>
          <w14:textFill>
            <w14:solidFill>
              <w14:schemeClr w14:val="tx1"/>
            </w14:solidFill>
          </w14:textFill>
        </w:rPr>
        <w:t>2、轨道交通高压电缆总成</w:t>
      </w:r>
    </w:p>
    <w:p>
      <w:pPr>
        <w:spacing w:line="271" w:lineRule="auto"/>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drawing>
          <wp:inline distT="0" distB="0" distL="114300" distR="114300">
            <wp:extent cx="5812155" cy="2248535"/>
            <wp:effectExtent l="0" t="0" r="17145" b="18415"/>
            <wp:docPr id="1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pic:cNvPicPr>
                      <a:picLocks noChangeAspect="1"/>
                    </pic:cNvPicPr>
                  </pic:nvPicPr>
                  <pic:blipFill>
                    <a:blip r:embed="rId14"/>
                    <a:stretch>
                      <a:fillRect/>
                    </a:stretch>
                  </pic:blipFill>
                  <pic:spPr>
                    <a:xfrm>
                      <a:off x="0" y="0"/>
                      <a:ext cx="5812155" cy="224853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before="167" w:beforeLines="50" w:after="167" w:afterLines="50" w:line="360" w:lineRule="auto"/>
        <w:ind w:left="0"/>
        <w:jc w:val="center"/>
        <w:textAlignment w:val="auto"/>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图3.1.6-2轨道交通高压电缆总成生产工艺流程和产排污节点图</w:t>
      </w:r>
    </w:p>
    <w:p>
      <w:pPr>
        <w:rPr>
          <w:rFonts w:hint="eastAsia" w:ascii="宋体" w:hAnsi="宋体" w:eastAsia="宋体" w:cs="宋体"/>
          <w:bCs/>
          <w:color w:val="000000" w:themeColor="text1"/>
          <w:sz w:val="24"/>
          <w:szCs w:val="24"/>
          <w:highlight w:val="none"/>
          <w:lang w:val="en-US" w:eastAsia="zh-CN"/>
          <w14:textFill>
            <w14:solidFill>
              <w14:schemeClr w14:val="tx1"/>
            </w14:solidFill>
          </w14:textFill>
        </w:rPr>
      </w:pPr>
    </w:p>
    <w:p>
      <w:pPr>
        <w:spacing w:line="309" w:lineRule="exact"/>
        <w:ind w:left="590"/>
        <w:rPr>
          <w:rFonts w:hint="eastAsia" w:ascii="宋体" w:hAnsi="宋体" w:eastAsia="宋体" w:cs="宋体"/>
          <w:color w:val="000000" w:themeColor="text1"/>
          <w:sz w:val="23"/>
          <w:szCs w:val="23"/>
          <w14:textFill>
            <w14:solidFill>
              <w14:schemeClr w14:val="tx1"/>
            </w14:solidFill>
          </w14:textFill>
        </w:rPr>
      </w:pPr>
      <w:r>
        <w:rPr>
          <w:rFonts w:hint="eastAsia" w:ascii="宋体" w:hAnsi="宋体" w:eastAsia="宋体" w:cs="宋体"/>
          <w:color w:val="000000" w:themeColor="text1"/>
          <w:spacing w:val="11"/>
          <w:position w:val="1"/>
          <w:sz w:val="23"/>
          <w:szCs w:val="23"/>
          <w14:textFill>
            <w14:solidFill>
              <w14:schemeClr w14:val="tx1"/>
            </w14:solidFill>
          </w14:textFill>
        </w:rPr>
        <w:t>3</w:t>
      </w:r>
      <w:r>
        <w:rPr>
          <w:rFonts w:hint="eastAsia" w:ascii="宋体" w:hAnsi="宋体" w:eastAsia="宋体" w:cs="宋体"/>
          <w:color w:val="000000" w:themeColor="text1"/>
          <w:spacing w:val="7"/>
          <w:position w:val="1"/>
          <w:sz w:val="23"/>
          <w:szCs w:val="23"/>
          <w14:textFill>
            <w14:solidFill>
              <w14:schemeClr w14:val="tx1"/>
            </w14:solidFill>
          </w14:textFill>
        </w:rPr>
        <w:t>、绝缘材料制品</w:t>
      </w:r>
    </w:p>
    <w:p>
      <w:pPr>
        <w:spacing w:before="190" w:line="227" w:lineRule="auto"/>
        <w:ind w:left="597"/>
        <w:rPr>
          <w:rFonts w:hint="eastAsia" w:ascii="宋体" w:hAnsi="宋体" w:eastAsia="宋体" w:cs="宋体"/>
          <w:color w:val="000000" w:themeColor="text1"/>
          <w:sz w:val="23"/>
          <w:szCs w:val="23"/>
          <w14:textFill>
            <w14:solidFill>
              <w14:schemeClr w14:val="tx1"/>
            </w14:solidFill>
          </w14:textFill>
        </w:rPr>
      </w:pPr>
      <w:r>
        <w:rPr>
          <w:rFonts w:hint="eastAsia" w:ascii="宋体" w:hAnsi="宋体" w:eastAsia="宋体" w:cs="宋体"/>
          <w:color w:val="000000" w:themeColor="text1"/>
          <w:spacing w:val="17"/>
          <w:sz w:val="23"/>
          <w:szCs w:val="23"/>
          <w14:textFill>
            <w14:solidFill>
              <w14:schemeClr w14:val="tx1"/>
            </w14:solidFill>
          </w14:textFill>
        </w:rPr>
        <w:t>(</w:t>
      </w:r>
      <w:r>
        <w:rPr>
          <w:rFonts w:hint="eastAsia" w:ascii="宋体" w:hAnsi="宋体" w:eastAsia="宋体" w:cs="宋体"/>
          <w:color w:val="000000" w:themeColor="text1"/>
          <w:spacing w:val="16"/>
          <w:sz w:val="23"/>
          <w:szCs w:val="23"/>
          <w14:textFill>
            <w14:solidFill>
              <w14:schemeClr w14:val="tx1"/>
            </w14:solidFill>
          </w14:textFill>
        </w:rPr>
        <w:t>1)电机及变压器绝缘件</w:t>
      </w:r>
    </w:p>
    <w:p>
      <w:pPr>
        <w:rPr>
          <w:rFonts w:hint="eastAsia" w:ascii="宋体" w:hAnsi="宋体" w:eastAsia="宋体" w:cs="宋体"/>
          <w:color w:val="000000" w:themeColor="text1"/>
          <w14:textFill>
            <w14:solidFill>
              <w14:schemeClr w14:val="tx1"/>
            </w14:solidFill>
          </w14:textFill>
        </w:rPr>
      </w:pPr>
    </w:p>
    <w:p>
      <w:pPr>
        <w:rPr>
          <w:rFonts w:hint="eastAsia" w:ascii="宋体" w:hAnsi="宋体" w:eastAsia="宋体" w:cs="宋体"/>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drawing>
          <wp:inline distT="0" distB="0" distL="114300" distR="114300">
            <wp:extent cx="5972175" cy="2295525"/>
            <wp:effectExtent l="0" t="0" r="9525" b="9525"/>
            <wp:docPr id="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pic:cNvPicPr>
                      <a:picLocks noChangeAspect="1"/>
                    </pic:cNvPicPr>
                  </pic:nvPicPr>
                  <pic:blipFill>
                    <a:blip r:embed="rId15"/>
                    <a:stretch>
                      <a:fillRect/>
                    </a:stretch>
                  </pic:blipFill>
                  <pic:spPr>
                    <a:xfrm>
                      <a:off x="0" y="0"/>
                      <a:ext cx="5972175" cy="229552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before="167" w:beforeLines="50" w:after="167" w:afterLines="50" w:line="360" w:lineRule="auto"/>
        <w:ind w:left="0"/>
        <w:jc w:val="center"/>
        <w:textAlignment w:val="auto"/>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图3.1.6-3电机及变压器绝缘件生产工艺流程及产排污节点图</w:t>
      </w:r>
    </w:p>
    <w:p>
      <w:pPr>
        <w:spacing w:line="309" w:lineRule="exact"/>
        <w:ind w:left="590"/>
        <w:rPr>
          <w:rFonts w:hint="eastAsia" w:ascii="宋体" w:hAnsi="宋体" w:eastAsia="宋体" w:cs="宋体"/>
          <w:color w:val="000000" w:themeColor="text1"/>
          <w:spacing w:val="11"/>
          <w:position w:val="1"/>
          <w:sz w:val="23"/>
          <w:szCs w:val="23"/>
          <w14:textFill>
            <w14:solidFill>
              <w14:schemeClr w14:val="tx1"/>
            </w14:solidFill>
          </w14:textFill>
        </w:rPr>
      </w:pPr>
      <w:r>
        <w:rPr>
          <w:rFonts w:hint="eastAsia" w:ascii="宋体" w:hAnsi="宋体" w:eastAsia="宋体" w:cs="宋体"/>
          <w:color w:val="000000" w:themeColor="text1"/>
          <w:spacing w:val="11"/>
          <w:position w:val="1"/>
          <w:sz w:val="23"/>
          <w:szCs w:val="23"/>
          <w:lang w:eastAsia="zh-CN"/>
          <w14:textFill>
            <w14:solidFill>
              <w14:schemeClr w14:val="tx1"/>
            </w14:solidFill>
          </w14:textFill>
        </w:rPr>
        <w:t>（</w:t>
      </w:r>
      <w:r>
        <w:rPr>
          <w:rFonts w:hint="eastAsia" w:ascii="宋体" w:hAnsi="宋体" w:eastAsia="宋体" w:cs="宋体"/>
          <w:color w:val="000000" w:themeColor="text1"/>
          <w:spacing w:val="11"/>
          <w:position w:val="1"/>
          <w:sz w:val="23"/>
          <w:szCs w:val="23"/>
          <w:lang w:val="en-US" w:eastAsia="zh-CN"/>
          <w14:textFill>
            <w14:solidFill>
              <w14:schemeClr w14:val="tx1"/>
            </w14:solidFill>
          </w14:textFill>
        </w:rPr>
        <w:t>2</w:t>
      </w:r>
      <w:r>
        <w:rPr>
          <w:rFonts w:hint="eastAsia" w:ascii="宋体" w:hAnsi="宋体" w:eastAsia="宋体" w:cs="宋体"/>
          <w:color w:val="000000" w:themeColor="text1"/>
          <w:spacing w:val="11"/>
          <w:position w:val="1"/>
          <w:sz w:val="23"/>
          <w:szCs w:val="23"/>
          <w:lang w:eastAsia="zh-CN"/>
          <w14:textFill>
            <w14:solidFill>
              <w14:schemeClr w14:val="tx1"/>
            </w14:solidFill>
          </w14:textFill>
        </w:rPr>
        <w:t>）</w:t>
      </w:r>
      <w:r>
        <w:rPr>
          <w:rFonts w:hint="eastAsia" w:ascii="宋体" w:hAnsi="宋体" w:eastAsia="宋体" w:cs="宋体"/>
          <w:color w:val="000000" w:themeColor="text1"/>
          <w:spacing w:val="11"/>
          <w:position w:val="1"/>
          <w:sz w:val="23"/>
          <w:szCs w:val="23"/>
          <w14:textFill>
            <w14:solidFill>
              <w14:schemeClr w14:val="tx1"/>
            </w14:solidFill>
          </w14:textFill>
        </w:rPr>
        <w:t>引拔系列产品</w:t>
      </w:r>
    </w:p>
    <w:p>
      <w:pPr>
        <w:jc w:val="center"/>
        <w:rPr>
          <w:rFonts w:hint="eastAsia" w:ascii="宋体" w:hAnsi="宋体" w:eastAsia="宋体" w:cs="宋体"/>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drawing>
          <wp:inline distT="0" distB="0" distL="0" distR="0">
            <wp:extent cx="5588000" cy="2773680"/>
            <wp:effectExtent l="0" t="0" r="12700" b="7620"/>
            <wp:docPr id="18" name="IM 44"/>
            <wp:cNvGraphicFramePr/>
            <a:graphic xmlns:a="http://schemas.openxmlformats.org/drawingml/2006/main">
              <a:graphicData uri="http://schemas.openxmlformats.org/drawingml/2006/picture">
                <pic:pic xmlns:pic="http://schemas.openxmlformats.org/drawingml/2006/picture">
                  <pic:nvPicPr>
                    <pic:cNvPr id="18" name="IM 44"/>
                    <pic:cNvPicPr/>
                  </pic:nvPicPr>
                  <pic:blipFill>
                    <a:blip r:embed="rId16"/>
                    <a:stretch>
                      <a:fillRect/>
                    </a:stretch>
                  </pic:blipFill>
                  <pic:spPr>
                    <a:xfrm>
                      <a:off x="0" y="0"/>
                      <a:ext cx="5588508" cy="277368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67" w:beforeLines="50" w:after="167" w:afterLines="50" w:line="360" w:lineRule="auto"/>
        <w:ind w:left="0"/>
        <w:jc w:val="center"/>
        <w:textAlignment w:val="auto"/>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图3.1.6-4引拔系列产品生产工艺流程及产排污节点图</w:t>
      </w:r>
    </w:p>
    <w:p>
      <w:pPr>
        <w:spacing w:line="309" w:lineRule="exact"/>
        <w:ind w:left="590"/>
        <w:rPr>
          <w:rFonts w:hint="eastAsia" w:ascii="宋体" w:hAnsi="宋体" w:eastAsia="宋体" w:cs="宋体"/>
          <w:color w:val="000000" w:themeColor="text1"/>
          <w:spacing w:val="11"/>
          <w:position w:val="1"/>
          <w:sz w:val="23"/>
          <w:szCs w:val="23"/>
          <w:lang w:eastAsia="zh-CN"/>
          <w14:textFill>
            <w14:solidFill>
              <w14:schemeClr w14:val="tx1"/>
            </w14:solidFill>
          </w14:textFill>
        </w:rPr>
      </w:pPr>
      <w:r>
        <w:rPr>
          <w:rFonts w:hint="eastAsia" w:ascii="宋体" w:hAnsi="宋体" w:eastAsia="宋体" w:cs="宋体"/>
          <w:color w:val="000000" w:themeColor="text1"/>
          <w:spacing w:val="11"/>
          <w:position w:val="1"/>
          <w:sz w:val="23"/>
          <w:szCs w:val="23"/>
          <w:lang w:eastAsia="zh-CN"/>
          <w14:textFill>
            <w14:solidFill>
              <w14:schemeClr w14:val="tx1"/>
            </w14:solidFill>
          </w14:textFill>
        </w:rPr>
        <w:t>（</w:t>
      </w:r>
      <w:r>
        <w:rPr>
          <w:rFonts w:hint="eastAsia" w:ascii="宋体" w:hAnsi="宋体" w:eastAsia="宋体" w:cs="宋体"/>
          <w:color w:val="000000" w:themeColor="text1"/>
          <w:spacing w:val="11"/>
          <w:position w:val="1"/>
          <w:sz w:val="23"/>
          <w:szCs w:val="23"/>
          <w:lang w:val="en-US" w:eastAsia="zh-CN"/>
          <w14:textFill>
            <w14:solidFill>
              <w14:schemeClr w14:val="tx1"/>
            </w14:solidFill>
          </w14:textFill>
        </w:rPr>
        <w:t>3</w:t>
      </w:r>
      <w:r>
        <w:rPr>
          <w:rFonts w:hint="eastAsia" w:ascii="宋体" w:hAnsi="宋体" w:eastAsia="宋体" w:cs="宋体"/>
          <w:color w:val="000000" w:themeColor="text1"/>
          <w:spacing w:val="11"/>
          <w:position w:val="1"/>
          <w:sz w:val="23"/>
          <w:szCs w:val="23"/>
          <w:lang w:eastAsia="zh-CN"/>
          <w14:textFill>
            <w14:solidFill>
              <w14:schemeClr w14:val="tx1"/>
            </w14:solidFill>
          </w14:textFill>
        </w:rPr>
        <w:t>）柔性复合绝缘材料</w:t>
      </w:r>
    </w:p>
    <w:p>
      <w:pPr>
        <w:pStyle w:val="15"/>
        <w:numPr>
          <w:ilvl w:val="0"/>
          <w:numId w:val="0"/>
        </w:numPr>
        <w:rPr>
          <w:rFonts w:hint="eastAsia" w:ascii="宋体" w:hAnsi="宋体" w:eastAsia="宋体" w:cs="宋体"/>
          <w:color w:val="000000" w:themeColor="text1"/>
          <w14:textFill>
            <w14:solidFill>
              <w14:schemeClr w14:val="tx1"/>
            </w14:solidFill>
          </w14:textFill>
        </w:rPr>
      </w:pPr>
    </w:p>
    <w:p>
      <w:pPr>
        <w:keepNext w:val="0"/>
        <w:keepLines w:val="0"/>
        <w:pageBreakBefore w:val="0"/>
        <w:widowControl/>
        <w:kinsoku/>
        <w:wordWrap/>
        <w:overflowPunct/>
        <w:topLinePunct w:val="0"/>
        <w:autoSpaceDE/>
        <w:autoSpaceDN/>
        <w:bidi w:val="0"/>
        <w:adjustRightInd/>
        <w:snapToGrid/>
        <w:spacing w:before="167" w:beforeLines="50" w:after="167" w:afterLines="50" w:line="360" w:lineRule="auto"/>
        <w:ind w:left="0"/>
        <w:jc w:val="center"/>
        <w:textAlignment w:val="auto"/>
        <w:rPr>
          <w:rFonts w:hint="eastAsia" w:ascii="宋体" w:hAnsi="宋体" w:eastAsia="宋体" w:cs="宋体"/>
          <w:color w:val="000000" w:themeColor="text1"/>
          <w:sz w:val="23"/>
          <w:szCs w:val="23"/>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drawing>
          <wp:inline distT="0" distB="0" distL="114300" distR="114300">
            <wp:extent cx="6038850" cy="2752725"/>
            <wp:effectExtent l="0" t="0" r="0" b="9525"/>
            <wp:docPr id="2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4"/>
                    <pic:cNvPicPr>
                      <a:picLocks noChangeAspect="1"/>
                    </pic:cNvPicPr>
                  </pic:nvPicPr>
                  <pic:blipFill>
                    <a:blip r:embed="rId17"/>
                    <a:stretch>
                      <a:fillRect/>
                    </a:stretch>
                  </pic:blipFill>
                  <pic:spPr>
                    <a:xfrm>
                      <a:off x="0" y="0"/>
                      <a:ext cx="6038850" cy="2752725"/>
                    </a:xfrm>
                    <a:prstGeom prst="rect">
                      <a:avLst/>
                    </a:prstGeom>
                    <a:noFill/>
                    <a:ln>
                      <a:noFill/>
                    </a:ln>
                  </pic:spPr>
                </pic:pic>
              </a:graphicData>
            </a:graphic>
          </wp:inline>
        </w:drawing>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图3.1.6-5柔性复合绝缘材料生产工艺流程及产排污节点图</w:t>
      </w:r>
    </w:p>
    <w:p>
      <w:pPr>
        <w:pStyle w:val="8"/>
        <w:keepNext w:val="0"/>
        <w:keepLines w:val="0"/>
        <w:pageBreakBefore w:val="0"/>
        <w:widowControl/>
        <w:kinsoku/>
        <w:wordWrap/>
        <w:overflowPunct/>
        <w:topLinePunct w:val="0"/>
        <w:bidi w:val="0"/>
        <w:adjustRightInd/>
        <w:snapToGrid/>
        <w:spacing w:line="360" w:lineRule="auto"/>
        <w:ind w:left="0" w:firstLine="482" w:firstLineChars="200"/>
        <w:textAlignment w:val="auto"/>
        <w:rPr>
          <w:rFonts w:hint="eastAsia" w:ascii="宋体" w:hAnsi="宋体" w:eastAsia="宋体" w:cs="宋体"/>
          <w:color w:val="000000" w:themeColor="text1"/>
          <w:highlight w:val="none"/>
          <w:lang w:val="en-US" w:eastAsia="zh-CN"/>
          <w14:textFill>
            <w14:solidFill>
              <w14:schemeClr w14:val="tx1"/>
            </w14:solidFill>
          </w14:textFill>
        </w:rPr>
      </w:pPr>
      <w:bookmarkStart w:id="305" w:name="_Toc21599"/>
      <w:bookmarkStart w:id="306" w:name="_Toc26462"/>
      <w:r>
        <w:rPr>
          <w:rFonts w:hint="eastAsia" w:ascii="宋体" w:hAnsi="宋体" w:eastAsia="宋体" w:cs="宋体"/>
          <w:color w:val="000000" w:themeColor="text1"/>
          <w:highlight w:val="none"/>
          <w:lang w:val="en-US" w:eastAsia="zh-CN"/>
          <w14:textFill>
            <w14:solidFill>
              <w14:schemeClr w14:val="tx1"/>
            </w14:solidFill>
          </w14:textFill>
        </w:rPr>
        <w:t>3.1.7现有工程污染源分析</w:t>
      </w:r>
      <w:bookmarkEnd w:id="305"/>
      <w:bookmarkEnd w:id="306"/>
    </w:p>
    <w:p>
      <w:pPr>
        <w:keepNext w:val="0"/>
        <w:keepLines w:val="0"/>
        <w:pageBreakBefore w:val="0"/>
        <w:widowControl/>
        <w:kinsoku/>
        <w:wordWrap/>
        <w:overflowPunct/>
        <w:topLinePunct w:val="0"/>
        <w:bidi w:val="0"/>
        <w:adjustRightInd/>
        <w:snapToGrid/>
        <w:spacing w:line="360" w:lineRule="auto"/>
        <w:ind w:left="0" w:firstLine="480" w:firstLineChars="200"/>
        <w:textAlignment w:val="auto"/>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因现有工程正在建设期，现有工程污染源引用《株洲市绝缘材料有限责任公司轨道交通装备新材料项目环境影响报告表》中相应内容。</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0" w:firstLineChars="0"/>
        <w:jc w:val="center"/>
        <w:textAlignment w:val="auto"/>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表3.1.7-1产排污环节及主要污染因子一览表</w:t>
      </w:r>
    </w:p>
    <w:tbl>
      <w:tblPr>
        <w:tblStyle w:val="77"/>
        <w:tblW w:w="499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363"/>
        <w:gridCol w:w="1227"/>
        <w:gridCol w:w="2641"/>
        <w:gridCol w:w="1931"/>
        <w:gridCol w:w="247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9" w:hRule="atLeast"/>
        </w:trPr>
        <w:tc>
          <w:tcPr>
            <w:tcW w:w="707"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产品名称</w:t>
            </w:r>
          </w:p>
        </w:tc>
        <w:tc>
          <w:tcPr>
            <w:tcW w:w="636"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污染类别</w:t>
            </w:r>
          </w:p>
        </w:tc>
        <w:tc>
          <w:tcPr>
            <w:tcW w:w="1369"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污染源名称</w:t>
            </w:r>
          </w:p>
        </w:tc>
        <w:tc>
          <w:tcPr>
            <w:tcW w:w="1001"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产污环节</w:t>
            </w:r>
          </w:p>
        </w:tc>
        <w:tc>
          <w:tcPr>
            <w:tcW w:w="1285"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主要污染因子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707" w:type="pct"/>
            <w:vMerge w:val="restart"/>
            <w:tcBorders>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钎焊铝</w:t>
            </w: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蜂窝板</w:t>
            </w:r>
          </w:p>
        </w:tc>
        <w:tc>
          <w:tcPr>
            <w:tcW w:w="636" w:type="pct"/>
            <w:vMerge w:val="restart"/>
            <w:tcBorders>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废气</w:t>
            </w:r>
          </w:p>
        </w:tc>
        <w:tc>
          <w:tcPr>
            <w:tcW w:w="1369"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氩弧焊接烟气</w:t>
            </w:r>
          </w:p>
        </w:tc>
        <w:tc>
          <w:tcPr>
            <w:tcW w:w="1001"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氩弧焊接</w:t>
            </w:r>
          </w:p>
        </w:tc>
        <w:tc>
          <w:tcPr>
            <w:tcW w:w="1285"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颗粒物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707" w:type="pct"/>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636" w:type="pct"/>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369"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有机废气</w:t>
            </w:r>
          </w:p>
        </w:tc>
        <w:tc>
          <w:tcPr>
            <w:tcW w:w="1001"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铝板表面清洁</w:t>
            </w:r>
          </w:p>
        </w:tc>
        <w:tc>
          <w:tcPr>
            <w:tcW w:w="1285"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VOC</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707" w:type="pct"/>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636" w:type="pct"/>
            <w:vMerge w:val="continue"/>
            <w:tcBorders>
              <w:top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369"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钎焊烟气</w:t>
            </w:r>
          </w:p>
        </w:tc>
        <w:tc>
          <w:tcPr>
            <w:tcW w:w="1001"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钎焊</w:t>
            </w:r>
          </w:p>
        </w:tc>
        <w:tc>
          <w:tcPr>
            <w:tcW w:w="1285"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颗粒物、氟化物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707" w:type="pct"/>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636"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噪声</w:t>
            </w:r>
          </w:p>
        </w:tc>
        <w:tc>
          <w:tcPr>
            <w:tcW w:w="1369"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设备噪声</w:t>
            </w:r>
          </w:p>
        </w:tc>
        <w:tc>
          <w:tcPr>
            <w:tcW w:w="1001"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生产过程</w:t>
            </w:r>
          </w:p>
        </w:tc>
        <w:tc>
          <w:tcPr>
            <w:tcW w:w="1285"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Leq</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707" w:type="pct"/>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636" w:type="pct"/>
            <w:vMerge w:val="restart"/>
            <w:tcBorders>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固废</w:t>
            </w:r>
          </w:p>
        </w:tc>
        <w:tc>
          <w:tcPr>
            <w:tcW w:w="1369"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铝材边角废料</w:t>
            </w:r>
          </w:p>
        </w:tc>
        <w:tc>
          <w:tcPr>
            <w:tcW w:w="1001"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下料、机加</w:t>
            </w:r>
          </w:p>
        </w:tc>
        <w:tc>
          <w:tcPr>
            <w:tcW w:w="1285"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一般工业固体废物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707" w:type="pct"/>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636" w:type="pct"/>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369"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废UV灯管</w:t>
            </w:r>
          </w:p>
        </w:tc>
        <w:tc>
          <w:tcPr>
            <w:tcW w:w="1001"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有机废气处理</w:t>
            </w:r>
          </w:p>
        </w:tc>
        <w:tc>
          <w:tcPr>
            <w:tcW w:w="1285"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危险废物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707" w:type="pct"/>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636" w:type="pct"/>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369"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废活性炭</w:t>
            </w:r>
          </w:p>
        </w:tc>
        <w:tc>
          <w:tcPr>
            <w:tcW w:w="1001"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有机废气处理</w:t>
            </w:r>
          </w:p>
        </w:tc>
        <w:tc>
          <w:tcPr>
            <w:tcW w:w="1285"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危险废物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707" w:type="pct"/>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636" w:type="pct"/>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369"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废活性氧化铝</w:t>
            </w:r>
          </w:p>
        </w:tc>
        <w:tc>
          <w:tcPr>
            <w:tcW w:w="1001"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钎焊烟气处理</w:t>
            </w:r>
          </w:p>
        </w:tc>
        <w:tc>
          <w:tcPr>
            <w:tcW w:w="1285"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危险废物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707" w:type="pct"/>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636" w:type="pct"/>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369"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废矿物油</w:t>
            </w:r>
          </w:p>
        </w:tc>
        <w:tc>
          <w:tcPr>
            <w:tcW w:w="1001"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机械设备</w:t>
            </w:r>
          </w:p>
        </w:tc>
        <w:tc>
          <w:tcPr>
            <w:tcW w:w="1285"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危险废物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707" w:type="pct"/>
            <w:vMerge w:val="continue"/>
            <w:tcBorders>
              <w:top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636" w:type="pct"/>
            <w:vMerge w:val="continue"/>
            <w:tcBorders>
              <w:top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369"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废油抹布废手套</w:t>
            </w:r>
          </w:p>
        </w:tc>
        <w:tc>
          <w:tcPr>
            <w:tcW w:w="1001"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机械设备维护</w:t>
            </w:r>
          </w:p>
        </w:tc>
        <w:tc>
          <w:tcPr>
            <w:tcW w:w="1285"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危险废物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707" w:type="pct"/>
            <w:vMerge w:val="restart"/>
            <w:tcBorders>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轨道交通</w:t>
            </w: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高压电缆</w:t>
            </w: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总成</w:t>
            </w:r>
          </w:p>
        </w:tc>
        <w:tc>
          <w:tcPr>
            <w:tcW w:w="636"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废气</w:t>
            </w:r>
          </w:p>
        </w:tc>
        <w:tc>
          <w:tcPr>
            <w:tcW w:w="1369"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注料加热固化废气</w:t>
            </w:r>
          </w:p>
        </w:tc>
        <w:tc>
          <w:tcPr>
            <w:tcW w:w="1001"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注料加热固化</w:t>
            </w:r>
          </w:p>
        </w:tc>
        <w:tc>
          <w:tcPr>
            <w:tcW w:w="1285"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VOC</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707" w:type="pct"/>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636"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噪声</w:t>
            </w:r>
          </w:p>
        </w:tc>
        <w:tc>
          <w:tcPr>
            <w:tcW w:w="1369"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设备噪声</w:t>
            </w:r>
          </w:p>
        </w:tc>
        <w:tc>
          <w:tcPr>
            <w:tcW w:w="1001"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生产过程</w:t>
            </w:r>
          </w:p>
        </w:tc>
        <w:tc>
          <w:tcPr>
            <w:tcW w:w="1285"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Leq</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707" w:type="pct"/>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636" w:type="pct"/>
            <w:vMerge w:val="restart"/>
            <w:tcBorders>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固废</w:t>
            </w:r>
          </w:p>
        </w:tc>
        <w:tc>
          <w:tcPr>
            <w:tcW w:w="1369"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橡塑废次品及边角废料</w:t>
            </w:r>
          </w:p>
        </w:tc>
        <w:tc>
          <w:tcPr>
            <w:tcW w:w="1001"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下料、机加</w:t>
            </w:r>
          </w:p>
        </w:tc>
        <w:tc>
          <w:tcPr>
            <w:tcW w:w="1285"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一般工业固体废物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707" w:type="pct"/>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636" w:type="pct"/>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369"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硅橡胶废包装桶</w:t>
            </w:r>
          </w:p>
        </w:tc>
        <w:tc>
          <w:tcPr>
            <w:tcW w:w="1001"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原料包装</w:t>
            </w:r>
          </w:p>
        </w:tc>
        <w:tc>
          <w:tcPr>
            <w:tcW w:w="1285"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危险废物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707" w:type="pct"/>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636" w:type="pct"/>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369"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废矿物油</w:t>
            </w:r>
          </w:p>
        </w:tc>
        <w:tc>
          <w:tcPr>
            <w:tcW w:w="1001"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机械设备</w:t>
            </w:r>
          </w:p>
        </w:tc>
        <w:tc>
          <w:tcPr>
            <w:tcW w:w="1285"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危险废物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707" w:type="pct"/>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636" w:type="pct"/>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369"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废乳化液</w:t>
            </w:r>
          </w:p>
        </w:tc>
        <w:tc>
          <w:tcPr>
            <w:tcW w:w="1001"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机械设备</w:t>
            </w:r>
          </w:p>
        </w:tc>
        <w:tc>
          <w:tcPr>
            <w:tcW w:w="1285"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危险废物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707" w:type="pct"/>
            <w:vMerge w:val="continue"/>
            <w:tcBorders>
              <w:top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636" w:type="pct"/>
            <w:vMerge w:val="continue"/>
            <w:tcBorders>
              <w:top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369"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废油抹布废手套</w:t>
            </w:r>
          </w:p>
        </w:tc>
        <w:tc>
          <w:tcPr>
            <w:tcW w:w="1001"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机械设备维护</w:t>
            </w:r>
          </w:p>
        </w:tc>
        <w:tc>
          <w:tcPr>
            <w:tcW w:w="1285"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危险废物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4" w:hRule="atLeast"/>
        </w:trPr>
        <w:tc>
          <w:tcPr>
            <w:tcW w:w="707" w:type="pct"/>
            <w:vMerge w:val="restart"/>
            <w:tcBorders>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绝缘材</w:t>
            </w: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料制品</w:t>
            </w:r>
          </w:p>
        </w:tc>
        <w:tc>
          <w:tcPr>
            <w:tcW w:w="636" w:type="pct"/>
            <w:vMerge w:val="restart"/>
            <w:tcBorders>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废气</w:t>
            </w:r>
          </w:p>
        </w:tc>
        <w:tc>
          <w:tcPr>
            <w:tcW w:w="1369"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电机及变压器绝缘件生产粉尘</w:t>
            </w:r>
          </w:p>
        </w:tc>
        <w:tc>
          <w:tcPr>
            <w:tcW w:w="1001"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切割下料、机加工、飞边倒角</w:t>
            </w:r>
          </w:p>
        </w:tc>
        <w:tc>
          <w:tcPr>
            <w:tcW w:w="1285"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颗粒物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4" w:hRule="atLeast"/>
        </w:trPr>
        <w:tc>
          <w:tcPr>
            <w:tcW w:w="707" w:type="pct"/>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636" w:type="pct"/>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369"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引拔系列产品</w:t>
            </w: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有机废气</w:t>
            </w:r>
          </w:p>
        </w:tc>
        <w:tc>
          <w:tcPr>
            <w:tcW w:w="1001"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调胶、浸胶、预成型、模塑固化</w:t>
            </w:r>
          </w:p>
        </w:tc>
        <w:tc>
          <w:tcPr>
            <w:tcW w:w="1285"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VOC</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4" w:hRule="atLeast"/>
        </w:trPr>
        <w:tc>
          <w:tcPr>
            <w:tcW w:w="707" w:type="pct"/>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636" w:type="pct"/>
            <w:vMerge w:val="continue"/>
            <w:tcBorders>
              <w:top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369"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柔性复合绝缘</w:t>
            </w: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材料有机废气</w:t>
            </w:r>
          </w:p>
        </w:tc>
        <w:tc>
          <w:tcPr>
            <w:tcW w:w="1001"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胶槽浸胶、电热烘干、复合</w:t>
            </w:r>
          </w:p>
        </w:tc>
        <w:tc>
          <w:tcPr>
            <w:tcW w:w="1285"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VOC</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707" w:type="pct"/>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636"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噪声</w:t>
            </w:r>
          </w:p>
        </w:tc>
        <w:tc>
          <w:tcPr>
            <w:tcW w:w="1369"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设备噪声</w:t>
            </w:r>
          </w:p>
        </w:tc>
        <w:tc>
          <w:tcPr>
            <w:tcW w:w="1001"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生产过程</w:t>
            </w:r>
          </w:p>
        </w:tc>
        <w:tc>
          <w:tcPr>
            <w:tcW w:w="1285"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Leq</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707" w:type="pct"/>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636" w:type="pct"/>
            <w:vMerge w:val="restart"/>
            <w:tcBorders>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固废</w:t>
            </w:r>
          </w:p>
        </w:tc>
        <w:tc>
          <w:tcPr>
            <w:tcW w:w="1369"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边角废料</w:t>
            </w:r>
          </w:p>
        </w:tc>
        <w:tc>
          <w:tcPr>
            <w:tcW w:w="1001"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下料、机加</w:t>
            </w:r>
          </w:p>
        </w:tc>
        <w:tc>
          <w:tcPr>
            <w:tcW w:w="1285"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一般工业固体废物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4" w:hRule="atLeast"/>
        </w:trPr>
        <w:tc>
          <w:tcPr>
            <w:tcW w:w="707" w:type="pct"/>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636" w:type="pct"/>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369"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聚氨酯胶、环氧树脂、</w:t>
            </w: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乙酸乙酯、不饱和树脂等废包装桶</w:t>
            </w:r>
          </w:p>
        </w:tc>
        <w:tc>
          <w:tcPr>
            <w:tcW w:w="1001"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原料包装</w:t>
            </w:r>
          </w:p>
        </w:tc>
        <w:tc>
          <w:tcPr>
            <w:tcW w:w="1285"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危险废物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707" w:type="pct"/>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636" w:type="pct"/>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369"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废UV灯管</w:t>
            </w:r>
          </w:p>
        </w:tc>
        <w:tc>
          <w:tcPr>
            <w:tcW w:w="1001"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有机废气处理</w:t>
            </w:r>
          </w:p>
        </w:tc>
        <w:tc>
          <w:tcPr>
            <w:tcW w:w="1285"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危险废物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707" w:type="pct"/>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636" w:type="pct"/>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369"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废活性炭</w:t>
            </w:r>
          </w:p>
        </w:tc>
        <w:tc>
          <w:tcPr>
            <w:tcW w:w="1001"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有机废气处理</w:t>
            </w:r>
          </w:p>
        </w:tc>
        <w:tc>
          <w:tcPr>
            <w:tcW w:w="1285"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危险废物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707" w:type="pct"/>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636" w:type="pct"/>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369"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废矿物油</w:t>
            </w:r>
          </w:p>
        </w:tc>
        <w:tc>
          <w:tcPr>
            <w:tcW w:w="1001"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机械设备</w:t>
            </w:r>
          </w:p>
        </w:tc>
        <w:tc>
          <w:tcPr>
            <w:tcW w:w="1285"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危险废物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707" w:type="pct"/>
            <w:vMerge w:val="continue"/>
            <w:tcBorders>
              <w:top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636" w:type="pct"/>
            <w:vMerge w:val="continue"/>
            <w:tcBorders>
              <w:top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369"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废油抹布废手套</w:t>
            </w:r>
          </w:p>
        </w:tc>
        <w:tc>
          <w:tcPr>
            <w:tcW w:w="1001"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机械设备维护</w:t>
            </w:r>
          </w:p>
        </w:tc>
        <w:tc>
          <w:tcPr>
            <w:tcW w:w="1285"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危险废物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707" w:type="pct"/>
            <w:vMerge w:val="restart"/>
            <w:tcBorders>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其他</w:t>
            </w:r>
          </w:p>
        </w:tc>
        <w:tc>
          <w:tcPr>
            <w:tcW w:w="636" w:type="pct"/>
            <w:vMerge w:val="restart"/>
            <w:tcBorders>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废水</w:t>
            </w:r>
          </w:p>
        </w:tc>
        <w:tc>
          <w:tcPr>
            <w:tcW w:w="1369"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生活污水</w:t>
            </w:r>
          </w:p>
        </w:tc>
        <w:tc>
          <w:tcPr>
            <w:tcW w:w="1001"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员工日常生活</w:t>
            </w:r>
          </w:p>
        </w:tc>
        <w:tc>
          <w:tcPr>
            <w:tcW w:w="1285"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COD、NH3-N、动植物油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707" w:type="pct"/>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636" w:type="pct"/>
            <w:vMerge w:val="continue"/>
            <w:tcBorders>
              <w:top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369"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车间保洁废水</w:t>
            </w:r>
          </w:p>
        </w:tc>
        <w:tc>
          <w:tcPr>
            <w:tcW w:w="1001"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地面清洁</w:t>
            </w:r>
          </w:p>
        </w:tc>
        <w:tc>
          <w:tcPr>
            <w:tcW w:w="1285"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SS、COD</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707" w:type="pct"/>
            <w:vMerge w:val="continue"/>
            <w:tcBorders>
              <w:top w:val="nil"/>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636"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废气</w:t>
            </w:r>
          </w:p>
        </w:tc>
        <w:tc>
          <w:tcPr>
            <w:tcW w:w="1369"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食堂油烟</w:t>
            </w:r>
          </w:p>
        </w:tc>
        <w:tc>
          <w:tcPr>
            <w:tcW w:w="1001"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厨房烹饪</w:t>
            </w:r>
          </w:p>
        </w:tc>
        <w:tc>
          <w:tcPr>
            <w:tcW w:w="1285"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油烟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9" w:hRule="atLeast"/>
        </w:trPr>
        <w:tc>
          <w:tcPr>
            <w:tcW w:w="707" w:type="pct"/>
            <w:vMerge w:val="continue"/>
            <w:tcBorders>
              <w:top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636"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固废</w:t>
            </w:r>
          </w:p>
        </w:tc>
        <w:tc>
          <w:tcPr>
            <w:tcW w:w="1369"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生活垃圾</w:t>
            </w:r>
          </w:p>
        </w:tc>
        <w:tc>
          <w:tcPr>
            <w:tcW w:w="1001"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员工日常生活</w:t>
            </w:r>
          </w:p>
        </w:tc>
        <w:tc>
          <w:tcPr>
            <w:tcW w:w="1285"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一般固体废物</w:t>
            </w:r>
          </w:p>
        </w:tc>
      </w:tr>
    </w:tbl>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0" w:firstLineChars="0"/>
        <w:jc w:val="center"/>
        <w:textAlignment w:val="auto"/>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表3.1.7-2采取的防治措施及预期治理效果</w:t>
      </w:r>
    </w:p>
    <w:tbl>
      <w:tblPr>
        <w:tblStyle w:val="77"/>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960"/>
        <w:gridCol w:w="1772"/>
        <w:gridCol w:w="2362"/>
        <w:gridCol w:w="3077"/>
        <w:gridCol w:w="148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97" w:type="pct"/>
            <w:tcBorders>
              <w:left w:val="single" w:color="000000" w:sz="10" w:space="0"/>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内容类型</w:t>
            </w:r>
          </w:p>
        </w:tc>
        <w:tc>
          <w:tcPr>
            <w:tcW w:w="917"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排放源(编号)</w:t>
            </w:r>
          </w:p>
        </w:tc>
        <w:tc>
          <w:tcPr>
            <w:tcW w:w="1222"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污染物名称</w:t>
            </w:r>
          </w:p>
        </w:tc>
        <w:tc>
          <w:tcPr>
            <w:tcW w:w="1592"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防治措施</w:t>
            </w:r>
          </w:p>
        </w:tc>
        <w:tc>
          <w:tcPr>
            <w:tcW w:w="770" w:type="pct"/>
            <w:tcBorders>
              <w:right w:val="single" w:color="000000" w:sz="10" w:space="0"/>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预期治理效果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497" w:type="pct"/>
            <w:vMerge w:val="restart"/>
            <w:tcBorders>
              <w:left w:val="single" w:color="000000" w:sz="10" w:space="0"/>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废水</w:t>
            </w:r>
          </w:p>
        </w:tc>
        <w:tc>
          <w:tcPr>
            <w:tcW w:w="917"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排水体制</w:t>
            </w:r>
          </w:p>
        </w:tc>
        <w:tc>
          <w:tcPr>
            <w:tcW w:w="1222"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w:t>
            </w:r>
          </w:p>
        </w:tc>
        <w:tc>
          <w:tcPr>
            <w:tcW w:w="1592"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雨污分流</w:t>
            </w:r>
          </w:p>
        </w:tc>
        <w:tc>
          <w:tcPr>
            <w:tcW w:w="770" w:type="pct"/>
            <w:tcBorders>
              <w:right w:val="single" w:color="000000" w:sz="10" w:space="0"/>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排水体制完善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497" w:type="pct"/>
            <w:vMerge w:val="continue"/>
            <w:tcBorders>
              <w:top w:val="nil"/>
              <w:left w:val="single" w:color="000000" w:sz="10" w:space="0"/>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917"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生活污水</w:t>
            </w:r>
          </w:p>
        </w:tc>
        <w:tc>
          <w:tcPr>
            <w:tcW w:w="1222"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动植物油，COD，NH3-N</w:t>
            </w:r>
          </w:p>
        </w:tc>
        <w:tc>
          <w:tcPr>
            <w:tcW w:w="1592"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食堂废水隔油池，生活污水化粪池预处理</w:t>
            </w:r>
          </w:p>
        </w:tc>
        <w:tc>
          <w:tcPr>
            <w:tcW w:w="770" w:type="pct"/>
            <w:tcBorders>
              <w:right w:val="single" w:color="000000" w:sz="10" w:space="0"/>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达标排放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497" w:type="pct"/>
            <w:vMerge w:val="restart"/>
            <w:tcBorders>
              <w:left w:val="single" w:color="000000" w:sz="10" w:space="0"/>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废气</w:t>
            </w:r>
          </w:p>
        </w:tc>
        <w:tc>
          <w:tcPr>
            <w:tcW w:w="917"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铝板表面清洁有机废气</w:t>
            </w:r>
          </w:p>
        </w:tc>
        <w:tc>
          <w:tcPr>
            <w:tcW w:w="1222"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VOC</w:t>
            </w:r>
          </w:p>
        </w:tc>
        <w:tc>
          <w:tcPr>
            <w:tcW w:w="1592"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操作间密闭+抽风机+UV光氧+二级活性炭吸附+室外排放</w:t>
            </w:r>
          </w:p>
        </w:tc>
        <w:tc>
          <w:tcPr>
            <w:tcW w:w="770" w:type="pct"/>
            <w:tcBorders>
              <w:right w:val="single" w:color="000000" w:sz="10" w:space="0"/>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达标排放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497" w:type="pct"/>
            <w:vMerge w:val="continue"/>
            <w:tcBorders>
              <w:top w:val="nil"/>
              <w:left w:val="single" w:color="000000" w:sz="10" w:space="0"/>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917"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1#钎焊炉烟气</w:t>
            </w:r>
          </w:p>
        </w:tc>
        <w:tc>
          <w:tcPr>
            <w:tcW w:w="1222"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颗粒物，氟化物</w:t>
            </w:r>
          </w:p>
        </w:tc>
        <w:tc>
          <w:tcPr>
            <w:tcW w:w="1592"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抽风机+活性氧化铝滤芯过滤+排气筒楼顶排放(高20m)</w:t>
            </w:r>
          </w:p>
        </w:tc>
        <w:tc>
          <w:tcPr>
            <w:tcW w:w="770" w:type="pct"/>
            <w:tcBorders>
              <w:right w:val="single" w:color="000000" w:sz="10" w:space="0"/>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达标排放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497" w:type="pct"/>
            <w:vMerge w:val="continue"/>
            <w:tcBorders>
              <w:top w:val="nil"/>
              <w:left w:val="single" w:color="000000" w:sz="10" w:space="0"/>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917"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2#钎焊炉烟气</w:t>
            </w:r>
          </w:p>
        </w:tc>
        <w:tc>
          <w:tcPr>
            <w:tcW w:w="1222"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颗粒物，氟化物</w:t>
            </w:r>
          </w:p>
        </w:tc>
        <w:tc>
          <w:tcPr>
            <w:tcW w:w="1592"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抽风机+活性氧化铝滤芯过滤+排气筒楼顶排放(高20m)</w:t>
            </w:r>
          </w:p>
        </w:tc>
        <w:tc>
          <w:tcPr>
            <w:tcW w:w="770" w:type="pct"/>
            <w:tcBorders>
              <w:right w:val="single" w:color="000000" w:sz="10" w:space="0"/>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达标排放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497" w:type="pct"/>
            <w:vMerge w:val="continue"/>
            <w:tcBorders>
              <w:top w:val="nil"/>
              <w:left w:val="single" w:color="000000" w:sz="10" w:space="0"/>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917"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3#钎焊炉烟气</w:t>
            </w:r>
          </w:p>
        </w:tc>
        <w:tc>
          <w:tcPr>
            <w:tcW w:w="1222"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颗粒物，氟化物</w:t>
            </w:r>
          </w:p>
        </w:tc>
        <w:tc>
          <w:tcPr>
            <w:tcW w:w="1592"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抽风机+活性氧化铝滤芯过滤+排气筒楼顶排放(高20m)</w:t>
            </w:r>
          </w:p>
        </w:tc>
        <w:tc>
          <w:tcPr>
            <w:tcW w:w="770" w:type="pct"/>
            <w:tcBorders>
              <w:right w:val="single" w:color="000000" w:sz="10" w:space="0"/>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达标排放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497" w:type="pct"/>
            <w:vMerge w:val="continue"/>
            <w:tcBorders>
              <w:top w:val="nil"/>
              <w:left w:val="single" w:color="000000" w:sz="10" w:space="0"/>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917"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4#引拔系列产品有机废气</w:t>
            </w:r>
          </w:p>
        </w:tc>
        <w:tc>
          <w:tcPr>
            <w:tcW w:w="1222"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VOC</w:t>
            </w:r>
          </w:p>
        </w:tc>
        <w:tc>
          <w:tcPr>
            <w:tcW w:w="1592"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操作间密闭+抽风机+UV光氧+二级活性炭吸附+排气筒楼顶排放(高20m)</w:t>
            </w:r>
          </w:p>
        </w:tc>
        <w:tc>
          <w:tcPr>
            <w:tcW w:w="770" w:type="pct"/>
            <w:tcBorders>
              <w:right w:val="single" w:color="000000" w:sz="10" w:space="0"/>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达标排放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497" w:type="pct"/>
            <w:vMerge w:val="continue"/>
            <w:tcBorders>
              <w:top w:val="nil"/>
              <w:left w:val="single" w:color="000000" w:sz="10" w:space="0"/>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917"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5#柔性复合绝缘材料有机废气</w:t>
            </w:r>
          </w:p>
        </w:tc>
        <w:tc>
          <w:tcPr>
            <w:tcW w:w="1222"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VOC</w:t>
            </w:r>
          </w:p>
        </w:tc>
        <w:tc>
          <w:tcPr>
            <w:tcW w:w="1592"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操作间密闭+抽风机+UV光氧+二级活性炭</w:t>
            </w: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吸附+排气筒楼顶排放(高20m)</w:t>
            </w:r>
          </w:p>
        </w:tc>
        <w:tc>
          <w:tcPr>
            <w:tcW w:w="770" w:type="pct"/>
            <w:tcBorders>
              <w:right w:val="single" w:color="000000" w:sz="10" w:space="0"/>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达标排放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497" w:type="pct"/>
            <w:vMerge w:val="continue"/>
            <w:tcBorders>
              <w:top w:val="nil"/>
              <w:left w:val="single" w:color="000000" w:sz="10" w:space="0"/>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917"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电机及变压器绝缘件加工粉尘</w:t>
            </w:r>
          </w:p>
        </w:tc>
        <w:tc>
          <w:tcPr>
            <w:tcW w:w="1222"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颗粒物</w:t>
            </w:r>
          </w:p>
        </w:tc>
        <w:tc>
          <w:tcPr>
            <w:tcW w:w="1592"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密闭作业+袋式收尘器</w:t>
            </w:r>
          </w:p>
        </w:tc>
        <w:tc>
          <w:tcPr>
            <w:tcW w:w="770" w:type="pct"/>
            <w:tcBorders>
              <w:right w:val="single" w:color="000000" w:sz="10" w:space="0"/>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达标排放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97" w:type="pct"/>
            <w:vMerge w:val="continue"/>
            <w:tcBorders>
              <w:top w:val="nil"/>
              <w:left w:val="single" w:color="000000" w:sz="10" w:space="0"/>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917"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食堂油烟</w:t>
            </w:r>
          </w:p>
        </w:tc>
        <w:tc>
          <w:tcPr>
            <w:tcW w:w="1222"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油烟</w:t>
            </w:r>
          </w:p>
        </w:tc>
        <w:tc>
          <w:tcPr>
            <w:tcW w:w="1592"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集气罩+油烟净化器</w:t>
            </w: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+食堂楼顶排放</w:t>
            </w:r>
          </w:p>
        </w:tc>
        <w:tc>
          <w:tcPr>
            <w:tcW w:w="770" w:type="pct"/>
            <w:tcBorders>
              <w:right w:val="single" w:color="000000" w:sz="10" w:space="0"/>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达标排放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4" w:hRule="atLeast"/>
        </w:trPr>
        <w:tc>
          <w:tcPr>
            <w:tcW w:w="497" w:type="pct"/>
            <w:vMerge w:val="restart"/>
            <w:tcBorders>
              <w:left w:val="single" w:color="000000" w:sz="10" w:space="0"/>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固体</w:t>
            </w: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废物</w:t>
            </w:r>
          </w:p>
        </w:tc>
        <w:tc>
          <w:tcPr>
            <w:tcW w:w="917"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一般工业</w:t>
            </w: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固体废物</w:t>
            </w:r>
          </w:p>
        </w:tc>
        <w:tc>
          <w:tcPr>
            <w:tcW w:w="1222"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铝材边角废料、橡塑废次</w:t>
            </w: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品及边角废料、绝缘材料</w:t>
            </w: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类废次品及边角废料</w:t>
            </w:r>
          </w:p>
        </w:tc>
        <w:tc>
          <w:tcPr>
            <w:tcW w:w="1592"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贮存间50m²，分类</w:t>
            </w: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收集，回收外销。</w:t>
            </w:r>
          </w:p>
        </w:tc>
        <w:tc>
          <w:tcPr>
            <w:tcW w:w="770" w:type="pct"/>
            <w:tcBorders>
              <w:right w:val="single" w:color="000000" w:sz="10" w:space="0"/>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安全处置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497" w:type="pct"/>
            <w:vMerge w:val="continue"/>
            <w:tcBorders>
              <w:top w:val="nil"/>
              <w:left w:val="single" w:color="000000" w:sz="10" w:space="0"/>
              <w:bottom w:val="nil"/>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917"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危险废物</w:t>
            </w:r>
          </w:p>
        </w:tc>
        <w:tc>
          <w:tcPr>
            <w:tcW w:w="1222"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废氧化铝滤芯、废活性炭、</w:t>
            </w: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沾染性废包装桶、废矿物</w:t>
            </w: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油、废乳化液、废UV灯管、</w:t>
            </w: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废油抹布废手套</w:t>
            </w:r>
          </w:p>
        </w:tc>
        <w:tc>
          <w:tcPr>
            <w:tcW w:w="1592"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贮存间50m²，分类收集，</w:t>
            </w: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交有危废资质单位。</w:t>
            </w:r>
          </w:p>
        </w:tc>
        <w:tc>
          <w:tcPr>
            <w:tcW w:w="770" w:type="pct"/>
            <w:tcBorders>
              <w:right w:val="single" w:color="000000" w:sz="10" w:space="0"/>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安全处置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497" w:type="pct"/>
            <w:vMerge w:val="continue"/>
            <w:tcBorders>
              <w:top w:val="nil"/>
              <w:left w:val="single" w:color="000000" w:sz="10" w:space="0"/>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917"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员工生活</w:t>
            </w:r>
          </w:p>
        </w:tc>
        <w:tc>
          <w:tcPr>
            <w:tcW w:w="1222"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生活垃圾</w:t>
            </w:r>
          </w:p>
        </w:tc>
        <w:tc>
          <w:tcPr>
            <w:tcW w:w="1592"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交城市环卫部门集中处置</w:t>
            </w:r>
          </w:p>
        </w:tc>
        <w:tc>
          <w:tcPr>
            <w:tcW w:w="770" w:type="pct"/>
            <w:tcBorders>
              <w:right w:val="single" w:color="000000" w:sz="10" w:space="0"/>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安全处置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trPr>
        <w:tc>
          <w:tcPr>
            <w:tcW w:w="497" w:type="pct"/>
            <w:tcBorders>
              <w:left w:val="single" w:color="000000" w:sz="10" w:space="0"/>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噪声</w:t>
            </w:r>
          </w:p>
        </w:tc>
        <w:tc>
          <w:tcPr>
            <w:tcW w:w="917"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机械设备</w:t>
            </w:r>
          </w:p>
        </w:tc>
        <w:tc>
          <w:tcPr>
            <w:tcW w:w="1222"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Leq</w:t>
            </w:r>
          </w:p>
        </w:tc>
        <w:tc>
          <w:tcPr>
            <w:tcW w:w="1592" w:type="pct"/>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770" w:type="pct"/>
            <w:tcBorders>
              <w:right w:val="single" w:color="000000" w:sz="10" w:space="0"/>
            </w:tcBorders>
            <w:vAlign w:val="top"/>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达标排放</w:t>
            </w:r>
          </w:p>
        </w:tc>
      </w:tr>
    </w:tbl>
    <w:p>
      <w:pPr>
        <w:pStyle w:val="8"/>
        <w:keepNext w:val="0"/>
        <w:keepLines w:val="0"/>
        <w:pageBreakBefore w:val="0"/>
        <w:widowControl/>
        <w:kinsoku/>
        <w:wordWrap/>
        <w:overflowPunct/>
        <w:topLinePunct w:val="0"/>
        <w:bidi w:val="0"/>
        <w:adjustRightInd/>
        <w:snapToGrid/>
        <w:ind w:firstLine="482" w:firstLineChars="200"/>
        <w:textAlignment w:val="auto"/>
        <w:rPr>
          <w:rFonts w:hint="eastAsia" w:ascii="宋体" w:hAnsi="宋体" w:eastAsia="宋体" w:cs="宋体"/>
          <w:color w:val="000000" w:themeColor="text1"/>
          <w:highlight w:val="none"/>
          <w:lang w:val="en-US" w:eastAsia="zh-CN"/>
          <w14:textFill>
            <w14:solidFill>
              <w14:schemeClr w14:val="tx1"/>
            </w14:solidFill>
          </w14:textFill>
        </w:rPr>
      </w:pPr>
      <w:bookmarkStart w:id="307" w:name="_Toc1803"/>
      <w:bookmarkStart w:id="308" w:name="_Toc16256"/>
      <w:r>
        <w:rPr>
          <w:rFonts w:hint="eastAsia" w:ascii="宋体" w:hAnsi="宋体" w:eastAsia="宋体" w:cs="宋体"/>
          <w:color w:val="000000" w:themeColor="text1"/>
          <w:highlight w:val="none"/>
          <w:lang w:val="en-US" w:eastAsia="zh-CN"/>
          <w14:textFill>
            <w14:solidFill>
              <w14:schemeClr w14:val="tx1"/>
            </w14:solidFill>
          </w14:textFill>
        </w:rPr>
        <w:t>3.1.9现有工程总量控制</w:t>
      </w:r>
      <w:bookmarkEnd w:id="307"/>
      <w:bookmarkEnd w:id="308"/>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根据现有工程总量核定表，现有工程核定的主要污染物为VOCs，烟（粉）尘，SO2、NO</w:t>
      </w:r>
      <w:r>
        <w:rPr>
          <w:rFonts w:hint="eastAsia" w:ascii="宋体" w:hAnsi="宋体" w:eastAsia="宋体" w:cs="宋体"/>
          <w:color w:val="000000" w:themeColor="text1"/>
          <w:kern w:val="0"/>
          <w:sz w:val="24"/>
          <w:szCs w:val="24"/>
          <w:vertAlign w:val="subscript"/>
          <w:lang w:val="en-US" w:eastAsia="zh-CN" w:bidi="ar"/>
          <w14:textFill>
            <w14:solidFill>
              <w14:schemeClr w14:val="tx1"/>
            </w14:solidFill>
          </w14:textFill>
        </w:rPr>
        <w:t>X</w:t>
      </w:r>
      <w:r>
        <w:rPr>
          <w:rFonts w:hint="eastAsia" w:ascii="宋体" w:hAnsi="宋体" w:eastAsia="宋体" w:cs="宋体"/>
          <w:color w:val="000000" w:themeColor="text1"/>
          <w:kern w:val="0"/>
          <w:sz w:val="24"/>
          <w:szCs w:val="24"/>
          <w:lang w:val="en-US" w:eastAsia="zh-CN" w:bidi="ar"/>
          <w14:textFill>
            <w14:solidFill>
              <w14:schemeClr w14:val="tx1"/>
            </w14:solidFill>
          </w14:textFill>
        </w:rPr>
        <w:t>。各主要污染物允许排放总量详见下：</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60" w:firstLineChars="200"/>
        <w:jc w:val="left"/>
        <w:textAlignment w:val="auto"/>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sz w:val="23"/>
          <w:szCs w:val="23"/>
          <w14:textFill>
            <w14:solidFill>
              <w14:schemeClr w14:val="tx1"/>
            </w14:solidFill>
          </w14:textFill>
        </w:rPr>
        <w:t>COD</w:t>
      </w:r>
      <w:r>
        <w:rPr>
          <w:rFonts w:hint="eastAsia" w:ascii="宋体" w:hAnsi="宋体" w:eastAsia="宋体" w:cs="宋体"/>
          <w:color w:val="000000" w:themeColor="text1"/>
          <w:spacing w:val="4"/>
          <w:sz w:val="23"/>
          <w:szCs w:val="23"/>
          <w14:textFill>
            <w14:solidFill>
              <w14:schemeClr w14:val="tx1"/>
            </w14:solidFill>
          </w14:textFill>
        </w:rPr>
        <w:t>1.08</w:t>
      </w:r>
      <w:r>
        <w:rPr>
          <w:rFonts w:hint="eastAsia" w:ascii="宋体" w:hAnsi="宋体" w:eastAsia="宋体" w:cs="宋体"/>
          <w:color w:val="000000" w:themeColor="text1"/>
          <w:sz w:val="23"/>
          <w:szCs w:val="23"/>
          <w14:textFill>
            <w14:solidFill>
              <w14:schemeClr w14:val="tx1"/>
            </w14:solidFill>
          </w14:textFill>
        </w:rPr>
        <w:t>t</w:t>
      </w:r>
      <w:r>
        <w:rPr>
          <w:rFonts w:hint="eastAsia" w:ascii="宋体" w:hAnsi="宋体" w:eastAsia="宋体" w:cs="宋体"/>
          <w:color w:val="000000" w:themeColor="text1"/>
          <w:spacing w:val="4"/>
          <w:sz w:val="23"/>
          <w:szCs w:val="23"/>
          <w14:textFill>
            <w14:solidFill>
              <w14:schemeClr w14:val="tx1"/>
            </w14:solidFill>
          </w14:textFill>
        </w:rPr>
        <w:t>/</w:t>
      </w:r>
      <w:r>
        <w:rPr>
          <w:rFonts w:hint="eastAsia" w:ascii="宋体" w:hAnsi="宋体" w:eastAsia="宋体" w:cs="宋体"/>
          <w:color w:val="000000" w:themeColor="text1"/>
          <w:sz w:val="23"/>
          <w:szCs w:val="23"/>
          <w14:textFill>
            <w14:solidFill>
              <w14:schemeClr w14:val="tx1"/>
            </w14:solidFill>
          </w14:textFill>
        </w:rPr>
        <w:t>a</w:t>
      </w:r>
      <w:r>
        <w:rPr>
          <w:rFonts w:hint="eastAsia" w:ascii="宋体" w:hAnsi="宋体" w:eastAsia="宋体" w:cs="宋体"/>
          <w:color w:val="000000" w:themeColor="text1"/>
          <w:spacing w:val="4"/>
          <w:sz w:val="23"/>
          <w:szCs w:val="23"/>
          <w14:textFill>
            <w14:solidFill>
              <w14:schemeClr w14:val="tx1"/>
            </w14:solidFill>
          </w14:textFill>
        </w:rPr>
        <w:t>、</w:t>
      </w:r>
      <w:r>
        <w:rPr>
          <w:rFonts w:hint="eastAsia" w:ascii="宋体" w:hAnsi="宋体" w:eastAsia="宋体" w:cs="宋体"/>
          <w:color w:val="000000" w:themeColor="text1"/>
          <w:sz w:val="23"/>
          <w:szCs w:val="23"/>
          <w14:textFill>
            <w14:solidFill>
              <w14:schemeClr w14:val="tx1"/>
            </w14:solidFill>
          </w14:textFill>
        </w:rPr>
        <w:t>NH</w:t>
      </w:r>
      <w:r>
        <w:rPr>
          <w:rFonts w:hint="eastAsia" w:ascii="宋体" w:hAnsi="宋体" w:eastAsia="宋体" w:cs="宋体"/>
          <w:color w:val="000000" w:themeColor="text1"/>
          <w:spacing w:val="4"/>
          <w:position w:val="-3"/>
          <w:sz w:val="11"/>
          <w:szCs w:val="11"/>
          <w14:textFill>
            <w14:solidFill>
              <w14:schemeClr w14:val="tx1"/>
            </w14:solidFill>
          </w14:textFill>
        </w:rPr>
        <w:t>3</w:t>
      </w:r>
      <w:r>
        <w:rPr>
          <w:rFonts w:hint="eastAsia" w:ascii="宋体" w:hAnsi="宋体" w:eastAsia="宋体" w:cs="宋体"/>
          <w:color w:val="000000" w:themeColor="text1"/>
          <w:spacing w:val="4"/>
          <w:sz w:val="23"/>
          <w:szCs w:val="23"/>
          <w14:textFill>
            <w14:solidFill>
              <w14:schemeClr w14:val="tx1"/>
            </w14:solidFill>
          </w14:textFill>
        </w:rPr>
        <w:t>-</w:t>
      </w:r>
      <w:r>
        <w:rPr>
          <w:rFonts w:hint="eastAsia" w:ascii="宋体" w:hAnsi="宋体" w:eastAsia="宋体" w:cs="宋体"/>
          <w:color w:val="000000" w:themeColor="text1"/>
          <w:sz w:val="23"/>
          <w:szCs w:val="23"/>
          <w14:textFill>
            <w14:solidFill>
              <w14:schemeClr w14:val="tx1"/>
            </w14:solidFill>
          </w14:textFill>
        </w:rPr>
        <w:t>N</w:t>
      </w:r>
      <w:r>
        <w:rPr>
          <w:rFonts w:hint="eastAsia" w:ascii="宋体" w:hAnsi="宋体" w:eastAsia="宋体" w:cs="宋体"/>
          <w:color w:val="000000" w:themeColor="text1"/>
          <w:spacing w:val="4"/>
          <w:sz w:val="23"/>
          <w:szCs w:val="23"/>
          <w14:textFill>
            <w14:solidFill>
              <w14:schemeClr w14:val="tx1"/>
            </w14:solidFill>
          </w14:textFill>
        </w:rPr>
        <w:t>0</w:t>
      </w:r>
      <w:r>
        <w:rPr>
          <w:rFonts w:hint="eastAsia" w:ascii="宋体" w:hAnsi="宋体" w:eastAsia="宋体" w:cs="宋体"/>
          <w:color w:val="000000" w:themeColor="text1"/>
          <w:spacing w:val="3"/>
          <w:sz w:val="23"/>
          <w:szCs w:val="23"/>
          <w14:textFill>
            <w14:solidFill>
              <w14:schemeClr w14:val="tx1"/>
            </w14:solidFill>
          </w14:textFill>
        </w:rPr>
        <w:t>.</w:t>
      </w:r>
      <w:r>
        <w:rPr>
          <w:rFonts w:hint="eastAsia" w:ascii="宋体" w:hAnsi="宋体" w:eastAsia="宋体" w:cs="宋体"/>
          <w:color w:val="000000" w:themeColor="text1"/>
          <w:spacing w:val="2"/>
          <w:sz w:val="23"/>
          <w:szCs w:val="23"/>
          <w14:textFill>
            <w14:solidFill>
              <w14:schemeClr w14:val="tx1"/>
            </w14:solidFill>
          </w14:textFill>
        </w:rPr>
        <w:t>108</w:t>
      </w:r>
      <w:r>
        <w:rPr>
          <w:rFonts w:hint="eastAsia" w:ascii="宋体" w:hAnsi="宋体" w:eastAsia="宋体" w:cs="宋体"/>
          <w:color w:val="000000" w:themeColor="text1"/>
          <w:sz w:val="23"/>
          <w:szCs w:val="23"/>
          <w14:textFill>
            <w14:solidFill>
              <w14:schemeClr w14:val="tx1"/>
            </w14:solidFill>
          </w14:textFill>
        </w:rPr>
        <w:t>t</w:t>
      </w:r>
      <w:r>
        <w:rPr>
          <w:rFonts w:hint="eastAsia" w:ascii="宋体" w:hAnsi="宋体" w:eastAsia="宋体" w:cs="宋体"/>
          <w:color w:val="000000" w:themeColor="text1"/>
          <w:spacing w:val="2"/>
          <w:sz w:val="23"/>
          <w:szCs w:val="23"/>
          <w14:textFill>
            <w14:solidFill>
              <w14:schemeClr w14:val="tx1"/>
            </w14:solidFill>
          </w14:textFill>
        </w:rPr>
        <w:t>/</w:t>
      </w:r>
      <w:r>
        <w:rPr>
          <w:rFonts w:hint="eastAsia" w:ascii="宋体" w:hAnsi="宋体" w:eastAsia="宋体" w:cs="宋体"/>
          <w:color w:val="000000" w:themeColor="text1"/>
          <w:sz w:val="23"/>
          <w:szCs w:val="23"/>
          <w14:textFill>
            <w14:solidFill>
              <w14:schemeClr w14:val="tx1"/>
            </w14:solidFill>
          </w14:textFill>
        </w:rPr>
        <w:t>a</w:t>
      </w:r>
      <w:r>
        <w:rPr>
          <w:rFonts w:hint="eastAsia" w:ascii="宋体" w:hAnsi="宋体" w:eastAsia="宋体" w:cs="宋体"/>
          <w:color w:val="000000" w:themeColor="text1"/>
          <w:spacing w:val="2"/>
          <w:sz w:val="23"/>
          <w:szCs w:val="23"/>
          <w14:textFill>
            <w14:solidFill>
              <w14:schemeClr w14:val="tx1"/>
            </w14:solidFill>
          </w14:textFill>
        </w:rPr>
        <w:t>，</w:t>
      </w:r>
      <w:r>
        <w:rPr>
          <w:rFonts w:hint="eastAsia" w:ascii="宋体" w:hAnsi="宋体" w:eastAsia="宋体" w:cs="宋体"/>
          <w:color w:val="000000" w:themeColor="text1"/>
          <w:sz w:val="23"/>
          <w:szCs w:val="23"/>
          <w14:textFill>
            <w14:solidFill>
              <w14:schemeClr w14:val="tx1"/>
            </w14:solidFill>
          </w14:textFill>
        </w:rPr>
        <w:t>VOC</w:t>
      </w:r>
      <w:r>
        <w:rPr>
          <w:rFonts w:hint="eastAsia" w:ascii="宋体" w:hAnsi="宋体" w:eastAsia="宋体" w:cs="宋体"/>
          <w:color w:val="000000" w:themeColor="text1"/>
          <w:spacing w:val="2"/>
          <w:sz w:val="23"/>
          <w:szCs w:val="23"/>
          <w14:textFill>
            <w14:solidFill>
              <w14:schemeClr w14:val="tx1"/>
            </w14:solidFill>
          </w14:textFill>
        </w:rPr>
        <w:t>1.032</w:t>
      </w:r>
      <w:r>
        <w:rPr>
          <w:rFonts w:hint="eastAsia" w:ascii="宋体" w:hAnsi="宋体" w:eastAsia="宋体" w:cs="宋体"/>
          <w:color w:val="000000" w:themeColor="text1"/>
          <w:sz w:val="23"/>
          <w:szCs w:val="23"/>
          <w14:textFill>
            <w14:solidFill>
              <w14:schemeClr w14:val="tx1"/>
            </w14:solidFill>
          </w14:textFill>
        </w:rPr>
        <w:t>t</w:t>
      </w:r>
      <w:r>
        <w:rPr>
          <w:rFonts w:hint="eastAsia" w:ascii="宋体" w:hAnsi="宋体" w:eastAsia="宋体" w:cs="宋体"/>
          <w:color w:val="000000" w:themeColor="text1"/>
          <w:spacing w:val="2"/>
          <w:sz w:val="23"/>
          <w:szCs w:val="23"/>
          <w14:textFill>
            <w14:solidFill>
              <w14:schemeClr w14:val="tx1"/>
            </w14:solidFill>
          </w14:textFill>
        </w:rPr>
        <w:t>/</w:t>
      </w:r>
      <w:r>
        <w:rPr>
          <w:rFonts w:hint="eastAsia" w:ascii="宋体" w:hAnsi="宋体" w:eastAsia="宋体" w:cs="宋体"/>
          <w:color w:val="000000" w:themeColor="text1"/>
          <w:sz w:val="23"/>
          <w:szCs w:val="23"/>
          <w14:textFill>
            <w14:solidFill>
              <w14:schemeClr w14:val="tx1"/>
            </w14:solidFill>
          </w14:textFill>
        </w:rPr>
        <w:t>a</w:t>
      </w:r>
      <w:r>
        <w:rPr>
          <w:rFonts w:hint="eastAsia" w:ascii="宋体" w:hAnsi="宋体" w:eastAsia="宋体" w:cs="宋体"/>
          <w:color w:val="000000" w:themeColor="text1"/>
          <w:spacing w:val="2"/>
          <w:sz w:val="23"/>
          <w:szCs w:val="23"/>
          <w14:textFill>
            <w14:solidFill>
              <w14:schemeClr w14:val="tx1"/>
            </w14:solidFill>
          </w14:textFill>
        </w:rPr>
        <w:t>。</w:t>
      </w:r>
    </w:p>
    <w:p>
      <w:pPr>
        <w:pStyle w:val="8"/>
        <w:keepNext w:val="0"/>
        <w:keepLines w:val="0"/>
        <w:pageBreakBefore w:val="0"/>
        <w:widowControl/>
        <w:kinsoku/>
        <w:wordWrap/>
        <w:overflowPunct/>
        <w:topLinePunct w:val="0"/>
        <w:bidi w:val="0"/>
        <w:adjustRightInd/>
        <w:snapToGrid/>
        <w:ind w:firstLine="482" w:firstLineChars="200"/>
        <w:textAlignment w:val="auto"/>
        <w:rPr>
          <w:rFonts w:hint="eastAsia" w:ascii="宋体" w:hAnsi="宋体" w:eastAsia="宋体" w:cs="宋体"/>
          <w:color w:val="000000" w:themeColor="text1"/>
          <w:highlight w:val="none"/>
          <w:lang w:val="en-US" w:eastAsia="zh-CN"/>
          <w14:textFill>
            <w14:solidFill>
              <w14:schemeClr w14:val="tx1"/>
            </w14:solidFill>
          </w14:textFill>
        </w:rPr>
      </w:pPr>
      <w:bookmarkStart w:id="309" w:name="_Toc5379"/>
      <w:bookmarkStart w:id="310" w:name="_Toc64"/>
      <w:r>
        <w:rPr>
          <w:rFonts w:hint="eastAsia" w:ascii="宋体" w:hAnsi="宋体" w:eastAsia="宋体" w:cs="宋体"/>
          <w:color w:val="000000" w:themeColor="text1"/>
          <w:highlight w:val="none"/>
          <w:lang w:val="en-US" w:eastAsia="zh-CN"/>
          <w14:textFill>
            <w14:solidFill>
              <w14:schemeClr w14:val="tx1"/>
            </w14:solidFill>
          </w14:textFill>
        </w:rPr>
        <w:t>3.1.10存在的问题及整改措施</w:t>
      </w:r>
      <w:bookmarkEnd w:id="309"/>
      <w:bookmarkEnd w:id="310"/>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u w:val="single"/>
          <w14:textFill>
            <w14:solidFill>
              <w14:schemeClr w14:val="tx1"/>
            </w14:solidFill>
          </w14:textFill>
        </w:rPr>
      </w:pPr>
      <w:r>
        <w:rPr>
          <w:rFonts w:hint="eastAsia" w:ascii="宋体" w:hAnsi="宋体" w:eastAsia="宋体" w:cs="宋体"/>
          <w:color w:val="000000" w:themeColor="text1"/>
          <w:u w:val="single"/>
          <w:lang w:val="en-US" w:eastAsia="zh-CN"/>
          <w14:textFill>
            <w14:solidFill>
              <w14:schemeClr w14:val="tx1"/>
            </w14:solidFill>
          </w14:textFill>
        </w:rPr>
        <w:t>现有工程正在建设中，尚未发现存在的环境问题。</w:t>
      </w:r>
    </w:p>
    <w:p>
      <w:pPr>
        <w:pStyle w:val="7"/>
        <w:keepNext w:val="0"/>
        <w:keepLines w:val="0"/>
        <w:pageBreakBefore w:val="0"/>
        <w:widowControl/>
        <w:numPr>
          <w:ilvl w:val="0"/>
          <w:numId w:val="0"/>
        </w:numPr>
        <w:kinsoku/>
        <w:wordWrap/>
        <w:overflowPunct/>
        <w:topLinePunct w:val="0"/>
        <w:bidi w:val="0"/>
        <w:adjustRightInd/>
        <w:snapToGrid/>
        <w:spacing w:line="360" w:lineRule="auto"/>
        <w:ind w:leftChars="200"/>
        <w:textAlignment w:val="auto"/>
        <w:rPr>
          <w:rFonts w:hint="eastAsia" w:ascii="宋体" w:hAnsi="宋体" w:eastAsia="宋体" w:cs="宋体"/>
          <w:bCs/>
          <w:color w:val="000000" w:themeColor="text1"/>
          <w:sz w:val="24"/>
          <w:szCs w:val="24"/>
          <w:highlight w:val="none"/>
          <w:lang w:val="en-US" w:eastAsia="zh-CN"/>
          <w14:textFill>
            <w14:solidFill>
              <w14:schemeClr w14:val="tx1"/>
            </w14:solidFill>
          </w14:textFill>
        </w:rPr>
      </w:pPr>
      <w:bookmarkStart w:id="311" w:name="_Toc32737"/>
      <w:r>
        <w:rPr>
          <w:rFonts w:hint="eastAsia" w:ascii="宋体" w:hAnsi="宋体" w:eastAsia="宋体" w:cs="宋体"/>
          <w:bCs/>
          <w:color w:val="000000" w:themeColor="text1"/>
          <w:sz w:val="24"/>
          <w:szCs w:val="24"/>
          <w:highlight w:val="none"/>
          <w:lang w:val="en-US" w:eastAsia="zh-CN"/>
          <w14:textFill>
            <w14:solidFill>
              <w14:schemeClr w14:val="tx1"/>
            </w14:solidFill>
          </w14:textFill>
        </w:rPr>
        <w:t>3.2拟建工程概况</w:t>
      </w:r>
      <w:bookmarkEnd w:id="311"/>
    </w:p>
    <w:p>
      <w:pPr>
        <w:pStyle w:val="8"/>
        <w:keepNext w:val="0"/>
        <w:keepLines w:val="0"/>
        <w:pageBreakBefore w:val="0"/>
        <w:widowControl/>
        <w:kinsoku/>
        <w:wordWrap/>
        <w:overflowPunct/>
        <w:topLinePunct w:val="0"/>
        <w:bidi w:val="0"/>
        <w:adjustRightInd/>
        <w:snapToGrid/>
        <w:spacing w:line="360" w:lineRule="auto"/>
        <w:ind w:firstLine="482" w:firstLineChars="200"/>
        <w:textAlignment w:val="auto"/>
        <w:rPr>
          <w:rFonts w:hint="eastAsia" w:ascii="宋体" w:hAnsi="宋体" w:eastAsia="宋体" w:cs="宋体"/>
          <w:color w:val="000000" w:themeColor="text1"/>
          <w:highlight w:val="none"/>
          <w:lang w:val="en-US" w:eastAsia="zh-CN"/>
          <w14:textFill>
            <w14:solidFill>
              <w14:schemeClr w14:val="tx1"/>
            </w14:solidFill>
          </w14:textFill>
        </w:rPr>
      </w:pPr>
      <w:bookmarkStart w:id="312" w:name="_Toc8818"/>
      <w:r>
        <w:rPr>
          <w:rFonts w:hint="eastAsia" w:ascii="宋体" w:hAnsi="宋体" w:eastAsia="宋体" w:cs="宋体"/>
          <w:color w:val="000000" w:themeColor="text1"/>
          <w:highlight w:val="none"/>
          <w:lang w:val="en-US" w:eastAsia="zh-CN"/>
          <w14:textFill>
            <w14:solidFill>
              <w14:schemeClr w14:val="tx1"/>
            </w14:solidFill>
          </w14:textFill>
        </w:rPr>
        <w:t>3.2.1总体概况</w:t>
      </w:r>
      <w:bookmarkEnd w:id="312"/>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000000" w:themeColor="text1"/>
          <w14:textFill>
            <w14:solidFill>
              <w14:schemeClr w14:val="tx1"/>
            </w14:solidFill>
          </w14:textFill>
        </w:rPr>
      </w:pPr>
      <w:r>
        <w:rPr>
          <w:rFonts w:hint="eastAsia" w:ascii="宋体" w:hAnsi="宋体" w:eastAsia="宋体" w:cs="宋体"/>
          <w:b w:val="0"/>
          <w:bCs w:val="0"/>
          <w:color w:val="000000" w:themeColor="text1"/>
          <w:kern w:val="0"/>
          <w:sz w:val="24"/>
          <w:szCs w:val="24"/>
          <w:lang w:val="en-US" w:eastAsia="zh-CN" w:bidi="ar"/>
          <w14:textFill>
            <w14:solidFill>
              <w14:schemeClr w14:val="tx1"/>
            </w14:solidFill>
          </w14:textFill>
        </w:rPr>
        <w:t>项目名称：高性能电子级聚酰亚胺薄膜项目</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000000" w:themeColor="text1"/>
          <w:lang w:eastAsia="zh-CN"/>
          <w14:textFill>
            <w14:solidFill>
              <w14:schemeClr w14:val="tx1"/>
            </w14:solidFill>
          </w14:textFill>
        </w:rPr>
      </w:pPr>
      <w:r>
        <w:rPr>
          <w:rFonts w:hint="eastAsia" w:ascii="宋体" w:hAnsi="宋体" w:eastAsia="宋体" w:cs="宋体"/>
          <w:b w:val="0"/>
          <w:bCs w:val="0"/>
          <w:color w:val="000000" w:themeColor="text1"/>
          <w:kern w:val="0"/>
          <w:sz w:val="24"/>
          <w:szCs w:val="24"/>
          <w:lang w:val="en-US" w:eastAsia="zh-CN" w:bidi="ar"/>
          <w14:textFill>
            <w14:solidFill>
              <w14:schemeClr w14:val="tx1"/>
            </w14:solidFill>
          </w14:textFill>
        </w:rPr>
        <w:t>建设单位：</w:t>
      </w:r>
      <w:r>
        <w:rPr>
          <w:rFonts w:hint="eastAsia" w:ascii="宋体" w:hAnsi="宋体" w:eastAsia="宋体" w:cs="宋体"/>
          <w:b w:val="0"/>
          <w:bCs w:val="0"/>
          <w:color w:val="000000" w:themeColor="text1"/>
          <w:highlight w:val="none"/>
          <w:lang w:eastAsia="zh-CN"/>
          <w14:textFill>
            <w14:solidFill>
              <w14:schemeClr w14:val="tx1"/>
            </w14:solidFill>
          </w14:textFill>
        </w:rPr>
        <w:t>株洲市绝缘材料有限责任公司</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000000" w:themeColor="text1"/>
          <w14:textFill>
            <w14:solidFill>
              <w14:schemeClr w14:val="tx1"/>
            </w14:solidFill>
          </w14:textFill>
        </w:rPr>
      </w:pPr>
      <w:r>
        <w:rPr>
          <w:rFonts w:hint="eastAsia" w:ascii="宋体" w:hAnsi="宋体" w:eastAsia="宋体" w:cs="宋体"/>
          <w:b w:val="0"/>
          <w:bCs w:val="0"/>
          <w:color w:val="000000" w:themeColor="text1"/>
          <w:kern w:val="0"/>
          <w:sz w:val="24"/>
          <w:szCs w:val="24"/>
          <w:lang w:val="en-US" w:eastAsia="zh-CN" w:bidi="ar"/>
          <w14:textFill>
            <w14:solidFill>
              <w14:schemeClr w14:val="tx1"/>
            </w14:solidFill>
          </w14:textFill>
        </w:rPr>
        <w:t>项目性质：扩建</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kern w:val="0"/>
          <w:sz w:val="24"/>
          <w:szCs w:val="24"/>
          <w:lang w:val="en-US" w:eastAsia="zh-CN" w:bidi="ar"/>
          <w14:textFill>
            <w14:solidFill>
              <w14:schemeClr w14:val="tx1"/>
            </w14:solidFill>
          </w14:textFill>
        </w:rPr>
        <w:t>建设规模：于预留5#厂房新建2条热亚胺化法生产线，建设完成后形成200吨/年柔性电子用PI膜。</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000000" w:themeColor="text1"/>
          <w14:textFill>
            <w14:solidFill>
              <w14:schemeClr w14:val="tx1"/>
            </w14:solidFill>
          </w14:textFill>
        </w:rPr>
      </w:pPr>
      <w:r>
        <w:rPr>
          <w:rFonts w:hint="eastAsia" w:ascii="宋体" w:hAnsi="宋体" w:eastAsia="宋体" w:cs="宋体"/>
          <w:b w:val="0"/>
          <w:bCs w:val="0"/>
          <w:color w:val="000000" w:themeColor="text1"/>
          <w:kern w:val="0"/>
          <w:sz w:val="24"/>
          <w:szCs w:val="24"/>
          <w:lang w:val="en-US" w:eastAsia="zh-CN" w:bidi="ar"/>
          <w14:textFill>
            <w14:solidFill>
              <w14:schemeClr w14:val="tx1"/>
            </w14:solidFill>
          </w14:textFill>
        </w:rPr>
        <w:t>建设地点：株洲市天元区仙月环路1668号，项目拟建设于公司5#栋一层及二层。</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000000" w:themeColor="text1"/>
          <w14:textFill>
            <w14:solidFill>
              <w14:schemeClr w14:val="tx1"/>
            </w14:solidFill>
          </w14:textFill>
        </w:rPr>
      </w:pPr>
      <w:r>
        <w:rPr>
          <w:rFonts w:hint="eastAsia" w:ascii="宋体" w:hAnsi="宋体" w:eastAsia="宋体" w:cs="宋体"/>
          <w:b w:val="0"/>
          <w:bCs w:val="0"/>
          <w:color w:val="000000" w:themeColor="text1"/>
          <w:kern w:val="0"/>
          <w:sz w:val="24"/>
          <w:szCs w:val="24"/>
          <w:lang w:val="en-US" w:eastAsia="zh-CN" w:bidi="ar"/>
          <w14:textFill>
            <w14:solidFill>
              <w14:schemeClr w14:val="tx1"/>
            </w14:solidFill>
          </w14:textFill>
        </w:rPr>
        <w:t>投资总额：项目投资总额为5000万元，其中环保投资额111万元，占总投资的2.22%。</w:t>
      </w:r>
    </w:p>
    <w:p>
      <w:pPr>
        <w:pStyle w:val="8"/>
        <w:keepNext w:val="0"/>
        <w:keepLines w:val="0"/>
        <w:pageBreakBefore w:val="0"/>
        <w:widowControl/>
        <w:kinsoku/>
        <w:wordWrap/>
        <w:overflowPunct/>
        <w:topLinePunct w:val="0"/>
        <w:bidi w:val="0"/>
        <w:adjustRightInd/>
        <w:snapToGrid/>
        <w:spacing w:line="360" w:lineRule="auto"/>
        <w:ind w:firstLine="482" w:firstLineChars="200"/>
        <w:textAlignment w:val="auto"/>
        <w:rPr>
          <w:rFonts w:hint="eastAsia" w:ascii="宋体" w:hAnsi="宋体" w:eastAsia="宋体" w:cs="宋体"/>
          <w:color w:val="000000" w:themeColor="text1"/>
          <w:highlight w:val="none"/>
          <w:lang w:val="en-US" w:eastAsia="zh-CN"/>
          <w14:textFill>
            <w14:solidFill>
              <w14:schemeClr w14:val="tx1"/>
            </w14:solidFill>
          </w14:textFill>
        </w:rPr>
      </w:pPr>
      <w:bookmarkStart w:id="313" w:name="_Toc29714"/>
      <w:r>
        <w:rPr>
          <w:rFonts w:hint="eastAsia" w:ascii="宋体" w:hAnsi="宋体" w:eastAsia="宋体" w:cs="宋体"/>
          <w:color w:val="000000" w:themeColor="text1"/>
          <w:highlight w:val="none"/>
          <w:lang w:val="en-US" w:eastAsia="zh-CN"/>
          <w14:textFill>
            <w14:solidFill>
              <w14:schemeClr w14:val="tx1"/>
            </w14:solidFill>
          </w14:textFill>
        </w:rPr>
        <w:t>3.2.2项目组成</w:t>
      </w:r>
      <w:bookmarkEnd w:id="313"/>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本次工程内容主要为利用一期项目已建的预留车间进行建设，占地面积约3000m²。主要建设2条热亚胺化法生产线，用于生产柔性线路用PI膜。具体工程组成见表3.2.2-1。</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0" w:firstLineChars="0"/>
        <w:jc w:val="center"/>
        <w:textAlignment w:val="auto"/>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表3.2.2-1项目工程内容</w:t>
      </w:r>
    </w:p>
    <w:tbl>
      <w:tblPr>
        <w:tblStyle w:val="30"/>
        <w:tblW w:w="4998"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0" w:type="dxa"/>
          <w:bottom w:w="0" w:type="dxa"/>
          <w:right w:w="0" w:type="dxa"/>
        </w:tblCellMar>
      </w:tblPr>
      <w:tblGrid>
        <w:gridCol w:w="805"/>
        <w:gridCol w:w="602"/>
        <w:gridCol w:w="241"/>
        <w:gridCol w:w="689"/>
        <w:gridCol w:w="6485"/>
        <w:gridCol w:w="83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cantSplit/>
          <w:trHeight w:val="154" w:hRule="atLeast"/>
          <w:jc w:val="center"/>
        </w:trPr>
        <w:tc>
          <w:tcPr>
            <w:tcW w:w="417"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工程类别</w:t>
            </w:r>
          </w:p>
        </w:tc>
        <w:tc>
          <w:tcPr>
            <w:tcW w:w="794" w:type="pct"/>
            <w:gridSpan w:val="3"/>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工程内容</w:t>
            </w:r>
          </w:p>
        </w:tc>
        <w:tc>
          <w:tcPr>
            <w:tcW w:w="3357"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拟建项目工程内容</w:t>
            </w:r>
          </w:p>
        </w:tc>
        <w:tc>
          <w:tcPr>
            <w:tcW w:w="430"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346" w:hRule="atLeast"/>
          <w:jc w:val="center"/>
        </w:trPr>
        <w:tc>
          <w:tcPr>
            <w:tcW w:w="417" w:type="pct"/>
            <w:vMerge w:val="restar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主体</w:t>
            </w:r>
          </w:p>
          <w:p>
            <w:pPr>
              <w:spacing w:line="240" w:lineRule="auto"/>
              <w:jc w:val="center"/>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工程</w:t>
            </w:r>
          </w:p>
        </w:tc>
        <w:tc>
          <w:tcPr>
            <w:tcW w:w="794" w:type="pct"/>
            <w:gridSpan w:val="3"/>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en-US"/>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1层</w:t>
            </w:r>
          </w:p>
        </w:tc>
        <w:tc>
          <w:tcPr>
            <w:tcW w:w="3357"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建筑面积32m×66.6m。主要设置2条生产线，生产车间为洁净车间。主要亚胺化、</w:t>
            </w:r>
            <w:r>
              <w:rPr>
                <w:rFonts w:hint="eastAsia" w:ascii="宋体" w:hAnsi="宋体" w:eastAsia="宋体" w:cs="宋体"/>
                <w:b w:val="0"/>
                <w:bCs w:val="0"/>
                <w:color w:val="000000" w:themeColor="text1"/>
                <w:sz w:val="21"/>
                <w:szCs w:val="21"/>
                <w:highlight w:val="none"/>
                <w:lang w:eastAsia="zh-CN"/>
                <w14:textFill>
                  <w14:solidFill>
                    <w14:schemeClr w14:val="tx1"/>
                  </w14:solidFill>
                </w14:textFill>
              </w:rPr>
              <w:t>流延、</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计量罐</w:t>
            </w:r>
            <w:r>
              <w:rPr>
                <w:rFonts w:hint="eastAsia" w:ascii="宋体" w:hAnsi="宋体" w:eastAsia="宋体" w:cs="宋体"/>
                <w:b w:val="0"/>
                <w:bCs w:val="0"/>
                <w:color w:val="000000" w:themeColor="text1"/>
                <w:sz w:val="21"/>
                <w:szCs w:val="21"/>
                <w:highlight w:val="none"/>
                <w:lang w:eastAsia="zh-CN"/>
                <w14:textFill>
                  <w14:solidFill>
                    <w14:schemeClr w14:val="tx1"/>
                  </w14:solidFill>
                </w14:textFill>
              </w:rPr>
              <w:t>、</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搅拌罐、配料罐</w:t>
            </w:r>
            <w:r>
              <w:rPr>
                <w:rFonts w:hint="eastAsia" w:ascii="宋体" w:hAnsi="宋体" w:eastAsia="宋体" w:cs="宋体"/>
                <w:b w:val="0"/>
                <w:bCs w:val="0"/>
                <w:color w:val="000000" w:themeColor="text1"/>
                <w:sz w:val="21"/>
                <w:szCs w:val="21"/>
                <w:highlight w:val="none"/>
                <w:lang w:eastAsia="zh-CN"/>
                <w14:textFill>
                  <w14:solidFill>
                    <w14:schemeClr w14:val="tx1"/>
                  </w14:solidFill>
                </w14:textFill>
              </w:rPr>
              <w:t>、</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消泡灌、分切车间、半成品间、4个卧式储料罐（均为40m³）等。</w:t>
            </w:r>
          </w:p>
        </w:tc>
        <w:tc>
          <w:tcPr>
            <w:tcW w:w="430"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346" w:hRule="atLeast"/>
          <w:jc w:val="center"/>
        </w:trPr>
        <w:tc>
          <w:tcPr>
            <w:tcW w:w="417" w:type="pct"/>
            <w:vMerge w:val="continue"/>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14:textFill>
                  <w14:solidFill>
                    <w14:schemeClr w14:val="tx1"/>
                  </w14:solidFill>
                </w14:textFill>
              </w:rPr>
            </w:pPr>
          </w:p>
        </w:tc>
        <w:tc>
          <w:tcPr>
            <w:tcW w:w="794" w:type="pct"/>
            <w:gridSpan w:val="3"/>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2层</w:t>
            </w:r>
          </w:p>
        </w:tc>
        <w:tc>
          <w:tcPr>
            <w:tcW w:w="3357"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建筑面积32m×66.6m。主要布置环保措施、危废暂存间。</w:t>
            </w:r>
          </w:p>
        </w:tc>
        <w:tc>
          <w:tcPr>
            <w:tcW w:w="430"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346" w:hRule="atLeast"/>
          <w:jc w:val="center"/>
        </w:trPr>
        <w:tc>
          <w:tcPr>
            <w:tcW w:w="417" w:type="pct"/>
            <w:vMerge w:val="continue"/>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14:textFill>
                  <w14:solidFill>
                    <w14:schemeClr w14:val="tx1"/>
                  </w14:solidFill>
                </w14:textFill>
              </w:rPr>
            </w:pPr>
          </w:p>
        </w:tc>
        <w:tc>
          <w:tcPr>
            <w:tcW w:w="794" w:type="pct"/>
            <w:gridSpan w:val="3"/>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1层厂房外</w:t>
            </w:r>
          </w:p>
        </w:tc>
        <w:tc>
          <w:tcPr>
            <w:tcW w:w="3357"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主要布置精馏系统、冷却塔。</w:t>
            </w:r>
          </w:p>
        </w:tc>
        <w:tc>
          <w:tcPr>
            <w:tcW w:w="430"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90" w:hRule="atLeast"/>
          <w:jc w:val="center"/>
        </w:trPr>
        <w:tc>
          <w:tcPr>
            <w:tcW w:w="417" w:type="pct"/>
            <w:vMerge w:val="restar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辅助</w:t>
            </w:r>
          </w:p>
          <w:p>
            <w:pPr>
              <w:spacing w:line="240" w:lineRule="auto"/>
              <w:jc w:val="center"/>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工程</w:t>
            </w:r>
          </w:p>
        </w:tc>
        <w:tc>
          <w:tcPr>
            <w:tcW w:w="794" w:type="pct"/>
            <w:gridSpan w:val="3"/>
            <w:tcBorders>
              <w:tl2br w:val="nil"/>
              <w:tr2bl w:val="nil"/>
            </w:tcBorders>
            <w:noWrap w:val="0"/>
            <w:tcMar>
              <w:left w:w="0" w:type="dxa"/>
              <w:right w:w="0" w:type="dxa"/>
            </w:tcMar>
            <w:vAlign w:val="center"/>
          </w:tcPr>
          <w:p>
            <w:pPr>
              <w:spacing w:line="240" w:lineRule="auto"/>
              <w:jc w:val="center"/>
              <w:rPr>
                <w:rFonts w:hint="eastAsia" w:ascii="宋体" w:hAnsi="宋体" w:eastAsia="宋体" w:cs="宋体"/>
                <w:b w:val="0"/>
                <w:bCs w:val="0"/>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办公综合楼</w:t>
            </w:r>
          </w:p>
        </w:tc>
        <w:tc>
          <w:tcPr>
            <w:tcW w:w="3357"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1栋，5层，钢混结构，建筑面积3588.92</w:t>
            </w:r>
            <w:r>
              <w:rPr>
                <w:rFonts w:hint="eastAsia" w:ascii="宋体" w:hAnsi="宋体" w:eastAsia="宋体" w:cs="宋体"/>
                <w:b w:val="0"/>
                <w:bCs w:val="0"/>
                <w:color w:val="000000" w:themeColor="text1"/>
                <w:sz w:val="21"/>
                <w:szCs w:val="21"/>
                <w:highlight w:val="none"/>
                <w:lang w:eastAsia="zh-CN"/>
                <w14:textFill>
                  <w14:solidFill>
                    <w14:schemeClr w14:val="tx1"/>
                  </w14:solidFill>
                </w14:textFill>
              </w:rPr>
              <w:t>m²</w:t>
            </w:r>
            <w:r>
              <w:rPr>
                <w:rFonts w:hint="eastAsia" w:ascii="宋体" w:hAnsi="宋体" w:eastAsia="宋体" w:cs="宋体"/>
                <w:b w:val="0"/>
                <w:bCs w:val="0"/>
                <w:color w:val="000000" w:themeColor="text1"/>
                <w:sz w:val="21"/>
                <w:szCs w:val="21"/>
                <w:highlight w:val="none"/>
                <w14:textFill>
                  <w14:solidFill>
                    <w14:schemeClr w14:val="tx1"/>
                  </w14:solidFill>
                </w14:textFill>
              </w:rPr>
              <w:t>。</w:t>
            </w:r>
          </w:p>
        </w:tc>
        <w:tc>
          <w:tcPr>
            <w:tcW w:w="430"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eastAsia="zh-CN"/>
                <w14:textFill>
                  <w14:solidFill>
                    <w14:schemeClr w14:val="tx1"/>
                  </w14:solidFill>
                </w14:textFill>
              </w:rPr>
            </w:pPr>
            <w:r>
              <w:rPr>
                <w:rFonts w:hint="eastAsia" w:cs="宋体"/>
                <w:b w:val="0"/>
                <w:bCs w:val="0"/>
                <w:color w:val="000000" w:themeColor="text1"/>
                <w:sz w:val="21"/>
                <w:szCs w:val="21"/>
                <w:highlight w:val="none"/>
                <w:lang w:val="en-US" w:eastAsia="zh-CN"/>
                <w14:textFill>
                  <w14:solidFill>
                    <w14:schemeClr w14:val="tx1"/>
                  </w14:solidFill>
                </w14:textFill>
              </w:rPr>
              <w:t>依托</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90" w:hRule="atLeast"/>
          <w:jc w:val="center"/>
        </w:trPr>
        <w:tc>
          <w:tcPr>
            <w:tcW w:w="417" w:type="pct"/>
            <w:vMerge w:val="continue"/>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14:textFill>
                  <w14:solidFill>
                    <w14:schemeClr w14:val="tx1"/>
                  </w14:solidFill>
                </w14:textFill>
              </w:rPr>
            </w:pPr>
          </w:p>
        </w:tc>
        <w:tc>
          <w:tcPr>
            <w:tcW w:w="794" w:type="pct"/>
            <w:gridSpan w:val="3"/>
            <w:tcBorders>
              <w:tl2br w:val="nil"/>
              <w:tr2bl w:val="nil"/>
            </w:tcBorders>
            <w:noWrap w:val="0"/>
            <w:tcMar>
              <w:left w:w="0" w:type="dxa"/>
              <w:right w:w="0" w:type="dxa"/>
            </w:tcMar>
            <w:vAlign w:val="center"/>
          </w:tcPr>
          <w:p>
            <w:pPr>
              <w:spacing w:line="240" w:lineRule="auto"/>
              <w:jc w:val="center"/>
              <w:rPr>
                <w:rFonts w:hint="eastAsia" w:ascii="宋体" w:hAnsi="宋体" w:eastAsia="宋体" w:cs="宋体"/>
                <w:b w:val="0"/>
                <w:bCs w:val="0"/>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门卫室</w:t>
            </w:r>
          </w:p>
        </w:tc>
        <w:tc>
          <w:tcPr>
            <w:tcW w:w="3357"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1间，1层，砖混结构，建筑面积24</w:t>
            </w:r>
            <w:r>
              <w:rPr>
                <w:rFonts w:hint="eastAsia" w:ascii="宋体" w:hAnsi="宋体" w:eastAsia="宋体" w:cs="宋体"/>
                <w:b w:val="0"/>
                <w:bCs w:val="0"/>
                <w:color w:val="000000" w:themeColor="text1"/>
                <w:sz w:val="21"/>
                <w:szCs w:val="21"/>
                <w:highlight w:val="none"/>
                <w:lang w:eastAsia="zh-CN"/>
                <w14:textFill>
                  <w14:solidFill>
                    <w14:schemeClr w14:val="tx1"/>
                  </w14:solidFill>
                </w14:textFill>
              </w:rPr>
              <w:t>m²</w:t>
            </w:r>
            <w:r>
              <w:rPr>
                <w:rFonts w:hint="eastAsia" w:ascii="宋体" w:hAnsi="宋体" w:eastAsia="宋体" w:cs="宋体"/>
                <w:b w:val="0"/>
                <w:bCs w:val="0"/>
                <w:color w:val="000000" w:themeColor="text1"/>
                <w:sz w:val="21"/>
                <w:szCs w:val="21"/>
                <w:highlight w:val="none"/>
                <w14:textFill>
                  <w14:solidFill>
                    <w14:schemeClr w14:val="tx1"/>
                  </w14:solidFill>
                </w14:textFill>
              </w:rPr>
              <w:t>。</w:t>
            </w:r>
          </w:p>
        </w:tc>
        <w:tc>
          <w:tcPr>
            <w:tcW w:w="430"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依托已</w:t>
            </w:r>
            <w:r>
              <w:rPr>
                <w:rFonts w:hint="eastAsia" w:ascii="宋体" w:hAnsi="宋体" w:eastAsia="宋体" w:cs="宋体"/>
                <w:b w:val="0"/>
                <w:bCs w:val="0"/>
                <w:color w:val="000000" w:themeColor="text1"/>
                <w:sz w:val="21"/>
                <w:szCs w:val="21"/>
                <w:highlight w:val="none"/>
                <w14:textFill>
                  <w14:solidFill>
                    <w14:schemeClr w14:val="tx1"/>
                  </w14:solidFill>
                </w14:textFill>
              </w:rPr>
              <w:t>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834" w:hRule="atLeast"/>
          <w:jc w:val="center"/>
        </w:trPr>
        <w:tc>
          <w:tcPr>
            <w:tcW w:w="417" w:type="pct"/>
            <w:vMerge w:val="restar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公用工程</w:t>
            </w:r>
          </w:p>
        </w:tc>
        <w:tc>
          <w:tcPr>
            <w:tcW w:w="794" w:type="pct"/>
            <w:gridSpan w:val="3"/>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供电</w:t>
            </w:r>
            <w:r>
              <w:rPr>
                <w:rFonts w:hint="eastAsia" w:ascii="宋体" w:hAnsi="宋体" w:eastAsia="宋体" w:cs="宋体"/>
                <w:b w:val="0"/>
                <w:bCs w:val="0"/>
                <w:color w:val="000000" w:themeColor="text1"/>
                <w:sz w:val="21"/>
                <w:szCs w:val="21"/>
                <w:highlight w:val="none"/>
                <w:lang w:eastAsia="zh-CN"/>
                <w14:textFill>
                  <w14:solidFill>
                    <w14:schemeClr w14:val="tx1"/>
                  </w14:solidFill>
                </w14:textFill>
              </w:rPr>
              <w:t>、</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供热</w:t>
            </w:r>
          </w:p>
        </w:tc>
        <w:tc>
          <w:tcPr>
            <w:tcW w:w="3357"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bidi="ar-SA"/>
                <w14:textFill>
                  <w14:solidFill>
                    <w14:schemeClr w14:val="tx1"/>
                  </w14:solidFill>
                </w14:textFill>
              </w:rPr>
              <w:t>供电依托园区已建供电系统。项目无需蒸汽，不设置锅炉，采用空调取暖</w:t>
            </w:r>
          </w:p>
        </w:tc>
        <w:tc>
          <w:tcPr>
            <w:tcW w:w="430"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依托</w:t>
            </w:r>
          </w:p>
          <w:p>
            <w:pPr>
              <w:spacing w:line="240" w:lineRule="auto"/>
              <w:jc w:val="center"/>
              <w:rPr>
                <w:rFonts w:hint="eastAsia" w:ascii="宋体" w:hAnsi="宋体" w:eastAsia="宋体" w:cs="宋体"/>
                <w:b w:val="0"/>
                <w:bCs w:val="0"/>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园区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153" w:hRule="atLeast"/>
          <w:jc w:val="center"/>
        </w:trPr>
        <w:tc>
          <w:tcPr>
            <w:tcW w:w="417" w:type="pct"/>
            <w:vMerge w:val="continue"/>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14:textFill>
                  <w14:solidFill>
                    <w14:schemeClr w14:val="tx1"/>
                  </w14:solidFill>
                </w14:textFill>
              </w:rPr>
            </w:pPr>
          </w:p>
        </w:tc>
        <w:tc>
          <w:tcPr>
            <w:tcW w:w="312" w:type="pct"/>
            <w:vMerge w:val="restar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给水</w:t>
            </w:r>
          </w:p>
        </w:tc>
        <w:tc>
          <w:tcPr>
            <w:tcW w:w="481" w:type="pct"/>
            <w:gridSpan w:val="2"/>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供水系统</w:t>
            </w:r>
          </w:p>
        </w:tc>
        <w:tc>
          <w:tcPr>
            <w:tcW w:w="3357"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eastAsia="zh-CN"/>
                <w14:textFill>
                  <w14:solidFill>
                    <w14:schemeClr w14:val="tx1"/>
                  </w14:solidFill>
                </w14:textFill>
              </w:rPr>
              <w:t>本地块水源为城市自来水，供水压力约为0.25MPa，绝对标高为67.4。本地块从万富路市政给水管引入一根DN200的进水管</w:t>
            </w:r>
          </w:p>
        </w:tc>
        <w:tc>
          <w:tcPr>
            <w:tcW w:w="430" w:type="pct"/>
            <w:vMerge w:val="restar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依托</w:t>
            </w:r>
          </w:p>
          <w:p>
            <w:pPr>
              <w:spacing w:line="240" w:lineRule="auto"/>
              <w:jc w:val="center"/>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园区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153" w:hRule="atLeast"/>
          <w:jc w:val="center"/>
        </w:trPr>
        <w:tc>
          <w:tcPr>
            <w:tcW w:w="417" w:type="pct"/>
            <w:vMerge w:val="continue"/>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14:textFill>
                  <w14:solidFill>
                    <w14:schemeClr w14:val="tx1"/>
                  </w14:solidFill>
                </w14:textFill>
              </w:rPr>
            </w:pPr>
          </w:p>
        </w:tc>
        <w:tc>
          <w:tcPr>
            <w:tcW w:w="312" w:type="pct"/>
            <w:vMerge w:val="continue"/>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14:textFill>
                  <w14:solidFill>
                    <w14:schemeClr w14:val="tx1"/>
                  </w14:solidFill>
                </w14:textFill>
              </w:rPr>
            </w:pPr>
          </w:p>
        </w:tc>
        <w:tc>
          <w:tcPr>
            <w:tcW w:w="481" w:type="pct"/>
            <w:gridSpan w:val="2"/>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循环水系统</w:t>
            </w:r>
          </w:p>
        </w:tc>
        <w:tc>
          <w:tcPr>
            <w:tcW w:w="3357"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本工程</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建设有2台50t/h的循环水冷却塔和配套的循环水池</w:t>
            </w:r>
            <w:r>
              <w:rPr>
                <w:rFonts w:hint="eastAsia" w:ascii="宋体" w:hAnsi="宋体" w:eastAsia="宋体" w:cs="宋体"/>
                <w:b w:val="0"/>
                <w:bCs w:val="0"/>
                <w:color w:val="000000" w:themeColor="text1"/>
                <w:sz w:val="21"/>
                <w:szCs w:val="21"/>
                <w:highlight w:val="none"/>
                <w14:textFill>
                  <w14:solidFill>
                    <w14:schemeClr w14:val="tx1"/>
                  </w14:solidFill>
                </w14:textFill>
              </w:rPr>
              <w:t>。</w:t>
            </w:r>
          </w:p>
        </w:tc>
        <w:tc>
          <w:tcPr>
            <w:tcW w:w="430" w:type="pct"/>
            <w:vMerge w:val="continue"/>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128" w:hRule="atLeast"/>
          <w:jc w:val="center"/>
        </w:trPr>
        <w:tc>
          <w:tcPr>
            <w:tcW w:w="417" w:type="pct"/>
            <w:vMerge w:val="continue"/>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14:textFill>
                  <w14:solidFill>
                    <w14:schemeClr w14:val="tx1"/>
                  </w14:solidFill>
                </w14:textFill>
              </w:rPr>
            </w:pPr>
          </w:p>
        </w:tc>
        <w:tc>
          <w:tcPr>
            <w:tcW w:w="794" w:type="pct"/>
            <w:gridSpan w:val="3"/>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排水</w:t>
            </w:r>
          </w:p>
        </w:tc>
        <w:tc>
          <w:tcPr>
            <w:tcW w:w="3357"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b w:val="0"/>
                <w:bCs w:val="0"/>
                <w:i w:val="0"/>
                <w:iCs w:val="0"/>
                <w:color w:val="000000" w:themeColor="text1"/>
                <w:kern w:val="0"/>
                <w:sz w:val="22"/>
                <w:szCs w:val="22"/>
                <w:lang w:val="en-US" w:eastAsia="zh-CN" w:bidi="ar"/>
                <w14:textFill>
                  <w14:solidFill>
                    <w14:schemeClr w14:val="tx1"/>
                  </w14:solidFill>
                </w14:textFill>
              </w:rPr>
              <w:t>地面保洁废水和循环冷却水排水经园区化粪池进入市政污水管网进入河西污水处理厂</w:t>
            </w:r>
          </w:p>
        </w:tc>
        <w:tc>
          <w:tcPr>
            <w:tcW w:w="430"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920" w:hRule="atLeast"/>
          <w:jc w:val="center"/>
        </w:trPr>
        <w:tc>
          <w:tcPr>
            <w:tcW w:w="417"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储运</w:t>
            </w:r>
          </w:p>
          <w:p>
            <w:pPr>
              <w:spacing w:line="240" w:lineRule="auto"/>
              <w:jc w:val="center"/>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工程</w:t>
            </w:r>
          </w:p>
        </w:tc>
        <w:tc>
          <w:tcPr>
            <w:tcW w:w="4152" w:type="pct"/>
            <w:gridSpan w:val="4"/>
            <w:tcBorders>
              <w:tl2br w:val="nil"/>
              <w:tr2bl w:val="nil"/>
            </w:tcBorders>
            <w:noWrap w:val="0"/>
            <w:vAlign w:val="center"/>
          </w:tcPr>
          <w:p>
            <w:pPr>
              <w:widowControl w:val="0"/>
              <w:spacing w:line="240" w:lineRule="auto"/>
              <w:jc w:val="center"/>
              <w:rPr>
                <w:rFonts w:hint="eastAsia" w:ascii="宋体" w:hAnsi="宋体" w:eastAsia="宋体" w:cs="宋体"/>
                <w:b w:val="0"/>
                <w:bCs w:val="0"/>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bidi="ar-SA"/>
                <w14:textFill>
                  <w14:solidFill>
                    <w14:schemeClr w14:val="tx1"/>
                  </w14:solidFill>
                </w14:textFill>
              </w:rPr>
              <w:t>1座溶剂回收储罐，1座原料溶剂储罐，2座备用储罐，钢材质，有效容积均为40m³。危废暂存间位于厂房2层东面，一般固废暂存间料仓库、半成品间为位于厂房1层</w:t>
            </w:r>
          </w:p>
        </w:tc>
        <w:tc>
          <w:tcPr>
            <w:tcW w:w="430"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新建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340" w:hRule="atLeast"/>
          <w:jc w:val="center"/>
        </w:trPr>
        <w:tc>
          <w:tcPr>
            <w:tcW w:w="417" w:type="pct"/>
            <w:vMerge w:val="restar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环保工程</w:t>
            </w:r>
          </w:p>
        </w:tc>
        <w:tc>
          <w:tcPr>
            <w:tcW w:w="794" w:type="pct"/>
            <w:gridSpan w:val="3"/>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废水</w:t>
            </w:r>
          </w:p>
        </w:tc>
        <w:tc>
          <w:tcPr>
            <w:tcW w:w="3357"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i w:val="0"/>
                <w:iCs w:val="0"/>
                <w:color w:val="000000" w:themeColor="text1"/>
                <w:kern w:val="0"/>
                <w:sz w:val="22"/>
                <w:szCs w:val="22"/>
                <w:lang w:val="en-US" w:eastAsia="zh-CN" w:bidi="ar"/>
                <w14:textFill>
                  <w14:solidFill>
                    <w14:schemeClr w14:val="tx1"/>
                  </w14:solidFill>
                </w14:textFill>
              </w:rPr>
              <w:t>冷凝回收系统的冷却水绝大部分循环使用。地面保洁废水</w:t>
            </w:r>
            <w:r>
              <w:rPr>
                <w:rFonts w:hint="eastAsia" w:cs="宋体"/>
                <w:b w:val="0"/>
                <w:bCs w:val="0"/>
                <w:i w:val="0"/>
                <w:iCs w:val="0"/>
                <w:color w:val="000000" w:themeColor="text1"/>
                <w:kern w:val="0"/>
                <w:sz w:val="22"/>
                <w:szCs w:val="22"/>
                <w:lang w:val="en-US" w:eastAsia="zh-CN" w:bidi="ar"/>
                <w14:textFill>
                  <w14:solidFill>
                    <w14:schemeClr w14:val="tx1"/>
                  </w14:solidFill>
                </w14:textFill>
              </w:rPr>
              <w:t>进入市政管网进入</w:t>
            </w:r>
            <w:r>
              <w:rPr>
                <w:rFonts w:hint="eastAsia" w:ascii="宋体" w:hAnsi="宋体" w:eastAsia="宋体" w:cs="宋体"/>
                <w:b w:val="0"/>
                <w:bCs w:val="0"/>
                <w:i w:val="0"/>
                <w:iCs w:val="0"/>
                <w:color w:val="000000" w:themeColor="text1"/>
                <w:kern w:val="0"/>
                <w:sz w:val="22"/>
                <w:szCs w:val="22"/>
                <w:lang w:val="en-US" w:eastAsia="zh-CN" w:bidi="ar"/>
                <w14:textFill>
                  <w14:solidFill>
                    <w14:schemeClr w14:val="tx1"/>
                  </w14:solidFill>
                </w14:textFill>
              </w:rPr>
              <w:t>河西污水处理厂深度处理</w:t>
            </w:r>
            <w:r>
              <w:rPr>
                <w:rFonts w:hint="eastAsia" w:cs="宋体"/>
                <w:b w:val="0"/>
                <w:bCs w:val="0"/>
                <w:i w:val="0"/>
                <w:iCs w:val="0"/>
                <w:color w:val="000000" w:themeColor="text1"/>
                <w:kern w:val="0"/>
                <w:sz w:val="22"/>
                <w:szCs w:val="22"/>
                <w:lang w:val="en-US" w:eastAsia="zh-CN" w:bidi="ar"/>
                <w14:textFill>
                  <w14:solidFill>
                    <w14:schemeClr w14:val="tx1"/>
                  </w14:solidFill>
                </w14:textFill>
              </w:rPr>
              <w:t>，</w:t>
            </w:r>
            <w:r>
              <w:rPr>
                <w:rFonts w:hint="eastAsia" w:ascii="宋体" w:hAnsi="宋体" w:eastAsia="宋体" w:cs="宋体"/>
                <w:b w:val="0"/>
                <w:bCs w:val="0"/>
                <w:i w:val="0"/>
                <w:iCs w:val="0"/>
                <w:color w:val="000000" w:themeColor="text1"/>
                <w:kern w:val="0"/>
                <w:sz w:val="22"/>
                <w:szCs w:val="22"/>
                <w:lang w:val="en-US" w:eastAsia="zh-CN" w:bidi="ar"/>
                <w14:textFill>
                  <w14:solidFill>
                    <w14:schemeClr w14:val="tx1"/>
                  </w14:solidFill>
                </w14:textFill>
              </w:rPr>
              <w:t>排入湘江</w:t>
            </w:r>
          </w:p>
        </w:tc>
        <w:tc>
          <w:tcPr>
            <w:tcW w:w="430"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340" w:hRule="atLeast"/>
          <w:jc w:val="center"/>
        </w:trPr>
        <w:tc>
          <w:tcPr>
            <w:tcW w:w="417" w:type="pct"/>
            <w:vMerge w:val="continue"/>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14:textFill>
                  <w14:solidFill>
                    <w14:schemeClr w14:val="tx1"/>
                  </w14:solidFill>
                </w14:textFill>
              </w:rPr>
            </w:pPr>
          </w:p>
        </w:tc>
        <w:tc>
          <w:tcPr>
            <w:tcW w:w="794" w:type="pct"/>
            <w:gridSpan w:val="3"/>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废气</w:t>
            </w:r>
          </w:p>
        </w:tc>
        <w:tc>
          <w:tcPr>
            <w:tcW w:w="3357" w:type="pct"/>
            <w:tcBorders>
              <w:tl2br w:val="nil"/>
              <w:tr2bl w:val="nil"/>
            </w:tcBorders>
            <w:noWrap w:val="0"/>
            <w:vAlign w:val="center"/>
          </w:tcPr>
          <w:p>
            <w:pPr>
              <w:spacing w:line="240" w:lineRule="auto"/>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项目废气主要为投料废气、消泡废气、流延、亚胺化工序废气。生产线全封闭+负压抽风收集，投料、消泡、流延和亚胺化工序采取生产线全封闭+负压抽风减少无组织废气的排放。项目两条生产线流延工序均含有四级冷凝回收系统以及亚胺化工序均含有一级冷凝回收系统。两条生产线流延工序共用一套“三级喷淋+湿电系统”，经DA001排气筒高空排放；两条生产线的亚胺化工序，共用一套“二级喷淋+湿电系统”，经DA002排气筒高空排放。</w:t>
            </w:r>
          </w:p>
        </w:tc>
        <w:tc>
          <w:tcPr>
            <w:tcW w:w="430"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340" w:hRule="atLeast"/>
          <w:jc w:val="center"/>
        </w:trPr>
        <w:tc>
          <w:tcPr>
            <w:tcW w:w="417" w:type="pct"/>
            <w:vMerge w:val="continue"/>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14:textFill>
                  <w14:solidFill>
                    <w14:schemeClr w14:val="tx1"/>
                  </w14:solidFill>
                </w14:textFill>
              </w:rPr>
            </w:pPr>
          </w:p>
        </w:tc>
        <w:tc>
          <w:tcPr>
            <w:tcW w:w="437" w:type="pct"/>
            <w:gridSpan w:val="2"/>
            <w:vMerge w:val="restar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固废</w:t>
            </w:r>
          </w:p>
        </w:tc>
        <w:tc>
          <w:tcPr>
            <w:tcW w:w="357"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一般固废</w:t>
            </w:r>
          </w:p>
        </w:tc>
        <w:tc>
          <w:tcPr>
            <w:tcW w:w="3357"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不合格品、</w:t>
            </w:r>
            <w:r>
              <w:rPr>
                <w:rFonts w:hint="eastAsia" w:ascii="宋体" w:hAnsi="宋体" w:eastAsia="宋体" w:cs="宋体"/>
                <w:b w:val="0"/>
                <w:bCs w:val="0"/>
                <w:color w:val="000000" w:themeColor="text1"/>
                <w:sz w:val="21"/>
                <w:szCs w:val="21"/>
                <w:highlight w:val="none"/>
                <w14:textFill>
                  <w14:solidFill>
                    <w14:schemeClr w14:val="tx1"/>
                  </w14:solidFill>
                </w14:textFill>
              </w:rPr>
              <w:t>边</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废</w:t>
            </w:r>
            <w:r>
              <w:rPr>
                <w:rFonts w:hint="eastAsia" w:ascii="宋体" w:hAnsi="宋体" w:eastAsia="宋体" w:cs="宋体"/>
                <w:b w:val="0"/>
                <w:bCs w:val="0"/>
                <w:color w:val="000000" w:themeColor="text1"/>
                <w:sz w:val="21"/>
                <w:szCs w:val="21"/>
                <w:highlight w:val="none"/>
                <w14:textFill>
                  <w14:solidFill>
                    <w14:schemeClr w14:val="tx1"/>
                  </w14:solidFill>
                </w14:textFill>
              </w:rPr>
              <w:t>角料</w:t>
            </w:r>
            <w:r>
              <w:rPr>
                <w:rFonts w:hint="eastAsia" w:ascii="宋体" w:hAnsi="宋体" w:eastAsia="宋体" w:cs="宋体"/>
                <w:b w:val="0"/>
                <w:bCs w:val="0"/>
                <w:color w:val="000000" w:themeColor="text1"/>
                <w:sz w:val="21"/>
                <w:szCs w:val="21"/>
                <w:highlight w:val="none"/>
                <w:lang w:eastAsia="zh-CN"/>
                <w14:textFill>
                  <w14:solidFill>
                    <w14:schemeClr w14:val="tx1"/>
                  </w14:solidFill>
                </w14:textFill>
              </w:rPr>
              <w:t>、</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废</w:t>
            </w:r>
            <w:r>
              <w:rPr>
                <w:rFonts w:hint="eastAsia" w:ascii="宋体" w:hAnsi="宋体" w:eastAsia="宋体" w:cs="宋体"/>
                <w:b w:val="0"/>
                <w:bCs w:val="0"/>
                <w:color w:val="000000" w:themeColor="text1"/>
                <w:sz w:val="21"/>
                <w:szCs w:val="21"/>
                <w:highlight w:val="none"/>
                <w14:textFill>
                  <w14:solidFill>
                    <w14:schemeClr w14:val="tx1"/>
                  </w14:solidFill>
                </w14:textFill>
              </w:rPr>
              <w:t>外包装</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材料暂存于</w:t>
            </w:r>
            <w:r>
              <w:rPr>
                <w:rFonts w:hint="eastAsia" w:ascii="宋体" w:hAnsi="宋体" w:eastAsia="宋体" w:cs="宋体"/>
                <w:b w:val="0"/>
                <w:bCs w:val="0"/>
                <w:color w:val="000000" w:themeColor="text1"/>
                <w:sz w:val="21"/>
                <w:szCs w:val="21"/>
                <w:highlight w:val="none"/>
                <w14:textFill>
                  <w14:solidFill>
                    <w14:schemeClr w14:val="tx1"/>
                  </w14:solidFill>
                </w14:textFill>
              </w:rPr>
              <w:t>一般固废间</w:t>
            </w:r>
            <w:r>
              <w:rPr>
                <w:rFonts w:hint="eastAsia" w:ascii="宋体" w:hAnsi="宋体" w:eastAsia="宋体" w:cs="宋体"/>
                <w:b w:val="0"/>
                <w:bCs w:val="0"/>
                <w:color w:val="000000" w:themeColor="text1"/>
                <w:sz w:val="21"/>
                <w:szCs w:val="21"/>
                <w:highlight w:val="none"/>
                <w:lang w:eastAsia="zh-CN"/>
                <w14:textFill>
                  <w14:solidFill>
                    <w14:schemeClr w14:val="tx1"/>
                  </w14:solidFill>
                </w14:textFill>
              </w:rPr>
              <w:t>，</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DMAC副产品外售或者回用</w:t>
            </w:r>
          </w:p>
        </w:tc>
        <w:tc>
          <w:tcPr>
            <w:tcW w:w="430"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新建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340" w:hRule="atLeast"/>
          <w:jc w:val="center"/>
        </w:trPr>
        <w:tc>
          <w:tcPr>
            <w:tcW w:w="417" w:type="pct"/>
            <w:vMerge w:val="continue"/>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14:textFill>
                  <w14:solidFill>
                    <w14:schemeClr w14:val="tx1"/>
                  </w14:solidFill>
                </w14:textFill>
              </w:rPr>
            </w:pPr>
          </w:p>
        </w:tc>
        <w:tc>
          <w:tcPr>
            <w:tcW w:w="437" w:type="pct"/>
            <w:gridSpan w:val="2"/>
            <w:vMerge w:val="continue"/>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14:textFill>
                  <w14:solidFill>
                    <w14:schemeClr w14:val="tx1"/>
                  </w14:solidFill>
                </w14:textFill>
              </w:rPr>
            </w:pPr>
          </w:p>
        </w:tc>
        <w:tc>
          <w:tcPr>
            <w:tcW w:w="357"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危险固废</w:t>
            </w:r>
          </w:p>
        </w:tc>
        <w:tc>
          <w:tcPr>
            <w:tcW w:w="3357"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废内包装材料、废润滑油、含油废抹布手套（分类收集的）</w:t>
            </w:r>
            <w:r>
              <w:rPr>
                <w:rFonts w:hint="eastAsia" w:cs="宋体"/>
                <w:b w:val="0"/>
                <w:bCs w:val="0"/>
                <w:color w:val="000000" w:themeColor="text1"/>
                <w:sz w:val="21"/>
                <w:szCs w:val="21"/>
                <w:highlight w:val="none"/>
                <w:lang w:eastAsia="zh-CN"/>
                <w14:textFill>
                  <w14:solidFill>
                    <w14:schemeClr w14:val="tx1"/>
                  </w14:solidFill>
                </w14:textFill>
              </w:rPr>
              <w:t>、</w:t>
            </w:r>
            <w:r>
              <w:rPr>
                <w:rFonts w:hint="eastAsia" w:cs="宋体"/>
                <w:b w:val="0"/>
                <w:bCs w:val="0"/>
                <w:color w:val="000000" w:themeColor="text1"/>
                <w:sz w:val="21"/>
                <w:szCs w:val="21"/>
                <w:highlight w:val="none"/>
                <w:lang w:val="en-US" w:eastAsia="zh-CN"/>
                <w14:textFill>
                  <w14:solidFill>
                    <w14:schemeClr w14:val="tx1"/>
                  </w14:solidFill>
                </w14:textFill>
              </w:rPr>
              <w:t>残渣</w:t>
            </w:r>
            <w:r>
              <w:rPr>
                <w:rFonts w:hint="eastAsia" w:ascii="宋体" w:hAnsi="宋体" w:eastAsia="宋体" w:cs="宋体"/>
                <w:b w:val="0"/>
                <w:bCs w:val="0"/>
                <w:color w:val="000000" w:themeColor="text1"/>
                <w:sz w:val="21"/>
                <w:szCs w:val="21"/>
                <w:highlight w:val="none"/>
                <w14:textFill>
                  <w14:solidFill>
                    <w14:schemeClr w14:val="tx1"/>
                  </w14:solidFill>
                </w14:textFill>
              </w:rPr>
              <w:t>临时贮存在厂区东北侧</w:t>
            </w:r>
            <w:r>
              <w:rPr>
                <w:rFonts w:hint="eastAsia" w:ascii="宋体" w:hAnsi="宋体" w:eastAsia="宋体" w:cs="宋体"/>
                <w:b w:val="0"/>
                <w:bCs w:val="0"/>
                <w:color w:val="000000" w:themeColor="text1"/>
                <w:sz w:val="21"/>
                <w:szCs w:val="21"/>
                <w:highlight w:val="none"/>
                <w:lang w:eastAsia="zh-CN"/>
                <w14:textFill>
                  <w14:solidFill>
                    <w14:schemeClr w14:val="tx1"/>
                  </w14:solidFill>
                </w14:textFill>
              </w:rPr>
              <w:t>8</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0</w:t>
            </w:r>
            <w:r>
              <w:rPr>
                <w:rFonts w:hint="eastAsia" w:ascii="宋体" w:hAnsi="宋体" w:eastAsia="宋体" w:cs="宋体"/>
                <w:b w:val="0"/>
                <w:bCs w:val="0"/>
                <w:color w:val="000000" w:themeColor="text1"/>
                <w:sz w:val="21"/>
                <w:szCs w:val="21"/>
                <w:highlight w:val="none"/>
                <w:lang w:eastAsia="zh-CN"/>
                <w14:textFill>
                  <w14:solidFill>
                    <w14:schemeClr w14:val="tx1"/>
                  </w14:solidFill>
                </w14:textFill>
              </w:rPr>
              <w:t>m²</w:t>
            </w:r>
            <w:r>
              <w:rPr>
                <w:rFonts w:hint="eastAsia" w:ascii="宋体" w:hAnsi="宋体" w:eastAsia="宋体" w:cs="宋体"/>
                <w:b w:val="0"/>
                <w:bCs w:val="0"/>
                <w:color w:val="000000" w:themeColor="text1"/>
                <w:sz w:val="21"/>
                <w:szCs w:val="21"/>
                <w:highlight w:val="none"/>
                <w14:textFill>
                  <w14:solidFill>
                    <w14:schemeClr w14:val="tx1"/>
                  </w14:solidFill>
                </w14:textFill>
              </w:rPr>
              <w:t>危废暂存库，暂存后均委托有危废处置资质单位处理</w:t>
            </w:r>
          </w:p>
        </w:tc>
        <w:tc>
          <w:tcPr>
            <w:tcW w:w="430"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新建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340" w:hRule="atLeast"/>
          <w:jc w:val="center"/>
        </w:trPr>
        <w:tc>
          <w:tcPr>
            <w:tcW w:w="417" w:type="pct"/>
            <w:vMerge w:val="continue"/>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14:textFill>
                  <w14:solidFill>
                    <w14:schemeClr w14:val="tx1"/>
                  </w14:solidFill>
                </w14:textFill>
              </w:rPr>
            </w:pPr>
          </w:p>
        </w:tc>
        <w:tc>
          <w:tcPr>
            <w:tcW w:w="794" w:type="pct"/>
            <w:gridSpan w:val="3"/>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风险</w:t>
            </w:r>
          </w:p>
        </w:tc>
        <w:tc>
          <w:tcPr>
            <w:tcW w:w="3357"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4个储罐，均设围堰和导流沟</w:t>
            </w:r>
          </w:p>
        </w:tc>
        <w:tc>
          <w:tcPr>
            <w:tcW w:w="430"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p>
        </w:tc>
      </w:tr>
    </w:tbl>
    <w:p>
      <w:pPr>
        <w:pStyle w:val="8"/>
        <w:keepNext w:val="0"/>
        <w:keepLines w:val="0"/>
        <w:pageBreakBefore w:val="0"/>
        <w:kinsoku/>
        <w:wordWrap/>
        <w:overflowPunct/>
        <w:topLinePunct w:val="0"/>
        <w:bidi w:val="0"/>
        <w:adjustRightInd/>
        <w:snapToGrid/>
        <w:ind w:firstLine="482" w:firstLineChars="200"/>
        <w:textAlignment w:val="auto"/>
        <w:rPr>
          <w:rFonts w:hint="eastAsia" w:ascii="宋体" w:hAnsi="宋体" w:eastAsia="宋体" w:cs="宋体"/>
          <w:color w:val="000000" w:themeColor="text1"/>
          <w:highlight w:val="none"/>
          <w:lang w:val="en-US" w:eastAsia="zh-CN"/>
          <w14:textFill>
            <w14:solidFill>
              <w14:schemeClr w14:val="tx1"/>
            </w14:solidFill>
          </w14:textFill>
        </w:rPr>
      </w:pPr>
      <w:bookmarkStart w:id="314" w:name="_Toc29970"/>
      <w:r>
        <w:rPr>
          <w:rFonts w:hint="eastAsia" w:ascii="宋体" w:hAnsi="宋体" w:eastAsia="宋体" w:cs="宋体"/>
          <w:color w:val="000000" w:themeColor="text1"/>
          <w:highlight w:val="none"/>
          <w:lang w:val="en-US" w:eastAsia="zh-CN"/>
          <w14:textFill>
            <w14:solidFill>
              <w14:schemeClr w14:val="tx1"/>
            </w14:solidFill>
          </w14:textFill>
        </w:rPr>
        <w:t>3.2.3总平面布置</w:t>
      </w:r>
      <w:bookmarkEnd w:id="314"/>
    </w:p>
    <w:p>
      <w:pPr>
        <w:keepNext w:val="0"/>
        <w:keepLines w:val="0"/>
        <w:pageBreakBefore w:val="0"/>
        <w:widowControl/>
        <w:suppressLineNumbers w:val="0"/>
        <w:kinsoku/>
        <w:wordWrap/>
        <w:overflowPunct/>
        <w:topLinePunct w:val="0"/>
        <w:bidi w:val="0"/>
        <w:adjustRightInd/>
        <w:snapToGrid/>
        <w:spacing w:line="360" w:lineRule="auto"/>
        <w:ind w:firstLine="480" w:firstLineChars="200"/>
        <w:jc w:val="left"/>
        <w:textAlignment w:val="auto"/>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项目</w:t>
      </w:r>
      <w:r>
        <w:rPr>
          <w:rFonts w:hint="eastAsia" w:ascii="宋体" w:hAnsi="宋体" w:eastAsia="宋体" w:cs="宋体"/>
          <w:color w:val="000000" w:themeColor="text1"/>
          <w:lang w:val="en-US" w:eastAsia="zh-CN"/>
          <w14:textFill>
            <w14:solidFill>
              <w14:schemeClr w14:val="tx1"/>
            </w14:solidFill>
          </w14:textFill>
        </w:rPr>
        <w:t>5#</w:t>
      </w:r>
      <w:r>
        <w:rPr>
          <w:rFonts w:hint="eastAsia" w:ascii="宋体" w:hAnsi="宋体" w:eastAsia="宋体" w:cs="宋体"/>
          <w:color w:val="000000" w:themeColor="text1"/>
          <w14:textFill>
            <w14:solidFill>
              <w14:schemeClr w14:val="tx1"/>
            </w14:solidFill>
          </w14:textFill>
        </w:rPr>
        <w:t>厂房的设计符合《建筑设计防火规范》（GB5016-2012）、《工业建筑防腐蚀设计规范》（GBJ46-82）的要求</w:t>
      </w:r>
      <w:r>
        <w:rPr>
          <w:rFonts w:hint="eastAsia" w:ascii="宋体" w:hAnsi="宋体" w:eastAsia="宋体" w:cs="宋体"/>
          <w:color w:val="000000" w:themeColor="text1"/>
          <w:lang w:eastAsia="zh-CN"/>
          <w14:textFill>
            <w14:solidFill>
              <w14:schemeClr w14:val="tx1"/>
            </w14:solidFill>
          </w14:textFill>
        </w:rPr>
        <w:t>。</w:t>
      </w:r>
    </w:p>
    <w:p>
      <w:pPr>
        <w:keepNext w:val="0"/>
        <w:keepLines w:val="0"/>
        <w:pageBreakBefore w:val="0"/>
        <w:widowControl/>
        <w:suppressLineNumbers w:val="0"/>
        <w:kinsoku/>
        <w:wordWrap/>
        <w:overflowPunct/>
        <w:topLinePunct w:val="0"/>
        <w:bidi w:val="0"/>
        <w:adjustRightInd/>
        <w:snapToGrid/>
        <w:spacing w:line="360" w:lineRule="auto"/>
        <w:ind w:firstLine="480" w:firstLineChars="200"/>
        <w:jc w:val="left"/>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本项目在现有厂区内进行，不改变厂区现有的总平面布局，厂区现有的各生产车间、公用站房、办公用房以及仓储设施等均不发生变化，高性能电子级聚酰亚胺薄膜项目建设内容均为厂区总体设计并预留。</w:t>
      </w:r>
    </w:p>
    <w:p>
      <w:pPr>
        <w:keepNext w:val="0"/>
        <w:keepLines w:val="0"/>
        <w:pageBreakBefore w:val="0"/>
        <w:kinsoku/>
        <w:wordWrap/>
        <w:overflowPunct/>
        <w:topLinePunct w:val="0"/>
        <w:bidi w:val="0"/>
        <w:adjustRightInd/>
        <w:snapToGrid/>
        <w:spacing w:line="360" w:lineRule="auto"/>
        <w:ind w:firstLine="480" w:firstLineChars="200"/>
        <w:jc w:val="both"/>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本项目</w:t>
      </w:r>
      <w:r>
        <w:rPr>
          <w:rFonts w:hint="eastAsia" w:ascii="宋体" w:hAnsi="宋体" w:eastAsia="宋体" w:cs="宋体"/>
          <w:color w:val="000000" w:themeColor="text1"/>
          <w:highlight w:val="none"/>
          <w:lang w:val="en-US" w:eastAsia="zh-CN"/>
          <w14:textFill>
            <w14:solidFill>
              <w14:schemeClr w14:val="tx1"/>
            </w14:solidFill>
          </w14:textFill>
        </w:rPr>
        <w:t>拟</w:t>
      </w:r>
      <w:r>
        <w:rPr>
          <w:rFonts w:hint="eastAsia" w:ascii="宋体" w:hAnsi="宋体" w:eastAsia="宋体" w:cs="宋体"/>
          <w:color w:val="000000" w:themeColor="text1"/>
          <w:highlight w:val="none"/>
          <w14:textFill>
            <w14:solidFill>
              <w14:schemeClr w14:val="tx1"/>
            </w14:solidFill>
          </w14:textFill>
        </w:rPr>
        <w:t>建设于株洲市绝缘材料有限责任公司内</w:t>
      </w:r>
      <w:r>
        <w:rPr>
          <w:rFonts w:hint="eastAsia" w:ascii="宋体" w:hAnsi="宋体" w:eastAsia="宋体" w:cs="宋体"/>
          <w:color w:val="000000" w:themeColor="text1"/>
          <w:highlight w:val="none"/>
          <w:lang w:val="en-US" w:eastAsia="zh-CN"/>
          <w14:textFill>
            <w14:solidFill>
              <w14:schemeClr w14:val="tx1"/>
            </w14:solidFill>
          </w14:textFill>
        </w:rPr>
        <w:t>已建的</w:t>
      </w:r>
      <w:r>
        <w:rPr>
          <w:rFonts w:hint="eastAsia" w:ascii="宋体" w:hAnsi="宋体" w:eastAsia="宋体" w:cs="宋体"/>
          <w:color w:val="000000" w:themeColor="text1"/>
          <w:highlight w:val="none"/>
          <w14:textFill>
            <w14:solidFill>
              <w14:schemeClr w14:val="tx1"/>
            </w14:solidFill>
          </w14:textFill>
        </w:rPr>
        <w:t>5#生产厂房的一层及二层，</w:t>
      </w:r>
      <w:r>
        <w:rPr>
          <w:rFonts w:hint="eastAsia" w:ascii="宋体" w:hAnsi="宋体" w:eastAsia="宋体" w:cs="宋体"/>
          <w:color w:val="000000" w:themeColor="text1"/>
          <w:highlight w:val="none"/>
          <w:lang w:val="en-US" w:eastAsia="zh-CN"/>
          <w14:textFill>
            <w14:solidFill>
              <w14:schemeClr w14:val="tx1"/>
            </w14:solidFill>
          </w14:textFill>
        </w:rPr>
        <w:t>三层及四层现为空置状态，5#厂房位于</w:t>
      </w:r>
      <w:r>
        <w:rPr>
          <w:rFonts w:hint="eastAsia" w:ascii="宋体" w:hAnsi="宋体" w:eastAsia="宋体" w:cs="宋体"/>
          <w:color w:val="000000" w:themeColor="text1"/>
          <w:highlight w:val="none"/>
          <w14:textFill>
            <w14:solidFill>
              <w14:schemeClr w14:val="tx1"/>
            </w14:solidFill>
          </w14:textFill>
        </w:rPr>
        <w:t>厂区东南侧。</w:t>
      </w:r>
    </w:p>
    <w:p>
      <w:pPr>
        <w:pStyle w:val="3"/>
        <w:keepNext w:val="0"/>
        <w:keepLines w:val="0"/>
        <w:pageBreakBefore w:val="0"/>
        <w:kinsoku/>
        <w:wordWrap/>
        <w:overflowPunct/>
        <w:topLinePunct w:val="0"/>
        <w:bidi w:val="0"/>
        <w:adjustRightInd/>
        <w:snapToGrid/>
        <w:spacing w:after="0" w:line="360" w:lineRule="auto"/>
        <w:ind w:firstLine="480" w:firstLineChars="200"/>
        <w:jc w:val="both"/>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ru-RU"/>
          <w14:textFill>
            <w14:solidFill>
              <w14:schemeClr w14:val="tx1"/>
            </w14:solidFill>
          </w14:textFill>
        </w:rPr>
        <w:t>项目厂房一层</w:t>
      </w:r>
      <w:r>
        <w:rPr>
          <w:rFonts w:hint="eastAsia" w:ascii="宋体" w:hAnsi="宋体" w:eastAsia="宋体" w:cs="宋体"/>
          <w:color w:val="000000" w:themeColor="text1"/>
          <w:highlight w:val="none"/>
          <w14:textFill>
            <w14:solidFill>
              <w14:schemeClr w14:val="tx1"/>
            </w14:solidFill>
          </w14:textFill>
        </w:rPr>
        <w:t>北侧为分切、半成品暂存区及检测区域，南侧为生产区，从南至北依次为配料系统、聚酰亚胺薄膜生产线、收卷、半成品、分切、成品及质量检测；二层主要为环保设备</w:t>
      </w:r>
      <w:r>
        <w:rPr>
          <w:rFonts w:hint="eastAsia" w:ascii="宋体" w:hAnsi="宋体" w:eastAsia="宋体" w:cs="宋体"/>
          <w:color w:val="000000" w:themeColor="text1"/>
          <w:highlight w:val="none"/>
          <w:lang w:val="en-US" w:eastAsia="zh-CN"/>
          <w14:textFill>
            <w14:solidFill>
              <w14:schemeClr w14:val="tx1"/>
            </w14:solidFill>
          </w14:textFill>
        </w:rPr>
        <w:t>及物料中间库</w:t>
      </w:r>
      <w:r>
        <w:rPr>
          <w:rFonts w:hint="eastAsia" w:ascii="宋体" w:hAnsi="宋体" w:eastAsia="宋体" w:cs="宋体"/>
          <w:color w:val="000000" w:themeColor="text1"/>
          <w:highlight w:val="none"/>
          <w14:textFill>
            <w14:solidFill>
              <w14:schemeClr w14:val="tx1"/>
            </w14:solidFill>
          </w14:textFill>
        </w:rPr>
        <w:t>。该厂房南侧贴临设置有室外设备区</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b w:val="0"/>
          <w:bCs w:val="0"/>
          <w:i w:val="0"/>
          <w:iCs w:val="0"/>
          <w:color w:val="000000" w:themeColor="text1"/>
          <w:sz w:val="24"/>
          <w:szCs w:val="24"/>
          <w14:textFill>
            <w14:solidFill>
              <w14:schemeClr w14:val="tx1"/>
            </w14:solidFill>
          </w14:textFill>
        </w:rPr>
        <w:t>拟建项目在一楼设置配料区、流涎和烘干拉伸区、分切复卷区、原辅料仓库、成品仓库，二楼建设有溶剂回收装置、废气处理设施</w:t>
      </w:r>
      <w:r>
        <w:rPr>
          <w:rFonts w:hint="eastAsia" w:ascii="宋体" w:hAnsi="宋体" w:eastAsia="宋体" w:cs="宋体"/>
          <w:b w:val="0"/>
          <w:bCs w:val="0"/>
          <w:i w:val="0"/>
          <w:iCs w:val="0"/>
          <w:color w:val="000000" w:themeColor="text1"/>
          <w:sz w:val="24"/>
          <w:szCs w:val="24"/>
          <w:lang w:eastAsia="zh-CN"/>
          <w14:textFill>
            <w14:solidFill>
              <w14:schemeClr w14:val="tx1"/>
            </w14:solidFill>
          </w14:textFill>
        </w:rPr>
        <w:t>。</w:t>
      </w:r>
      <w:r>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t>根据</w:t>
      </w:r>
      <w:r>
        <w:rPr>
          <w:rFonts w:hint="eastAsia" w:ascii="宋体" w:hAnsi="宋体" w:eastAsia="宋体" w:cs="宋体"/>
          <w:color w:val="000000" w:themeColor="text1"/>
          <w:highlight w:val="none"/>
          <w14:textFill>
            <w14:solidFill>
              <w14:schemeClr w14:val="tx1"/>
            </w14:solidFill>
          </w14:textFill>
        </w:rPr>
        <w:t>厂区物料运输的特点以及场地周边的外部道路条件，</w:t>
      </w:r>
      <w:r>
        <w:rPr>
          <w:rFonts w:hint="eastAsia" w:ascii="宋体" w:hAnsi="宋体" w:eastAsia="宋体" w:cs="宋体"/>
          <w:color w:val="000000" w:themeColor="text1"/>
          <w:highlight w:val="none"/>
          <w:lang w:val="en-US" w:eastAsia="zh-CN"/>
          <w14:textFill>
            <w14:solidFill>
              <w14:schemeClr w14:val="tx1"/>
            </w14:solidFill>
          </w14:textFill>
        </w:rPr>
        <w:t>做到</w:t>
      </w:r>
      <w:r>
        <w:rPr>
          <w:rFonts w:hint="eastAsia" w:ascii="宋体" w:hAnsi="宋体" w:eastAsia="宋体" w:cs="宋体"/>
          <w:color w:val="000000" w:themeColor="text1"/>
          <w:highlight w:val="none"/>
          <w14:textFill>
            <w14:solidFill>
              <w14:schemeClr w14:val="tx1"/>
            </w14:solidFill>
          </w14:textFill>
        </w:rPr>
        <w:t>人货分流、有利于企业各功能区便捷进出和分区管理。</w:t>
      </w:r>
    </w:p>
    <w:p>
      <w:pPr>
        <w:keepNext w:val="0"/>
        <w:keepLines w:val="0"/>
        <w:pageBreakBefore w:val="0"/>
        <w:kinsoku/>
        <w:wordWrap/>
        <w:overflowPunct/>
        <w:topLinePunct w:val="0"/>
        <w:bidi w:val="0"/>
        <w:adjustRightInd/>
        <w:snapToGrid/>
        <w:spacing w:line="360" w:lineRule="auto"/>
        <w:ind w:firstLine="480" w:firstLineChars="200"/>
        <w:jc w:val="both"/>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厂内车间、仓库均设环形道路，道路宽度6.0米，转弯半径为9.0米</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局部12.0米，满足运输及消防要求。厂区与周边企业、厂区内部各单体之间间距符合《建筑设计防火规范》（GB50016-2014）（2018版）、《精细化工企业设计防火标准》（GB51283-2020）的要求。</w:t>
      </w:r>
    </w:p>
    <w:p>
      <w:pPr>
        <w:keepNext w:val="0"/>
        <w:keepLines w:val="0"/>
        <w:pageBreakBefore w:val="0"/>
        <w:widowControl/>
        <w:suppressLineNumbers w:val="0"/>
        <w:kinsoku/>
        <w:wordWrap/>
        <w:overflowPunct/>
        <w:topLinePunct w:val="0"/>
        <w:bidi w:val="0"/>
        <w:adjustRightInd/>
        <w:snapToGrid/>
        <w:spacing w:line="360" w:lineRule="auto"/>
        <w:ind w:firstLine="480" w:firstLineChars="200"/>
        <w:jc w:val="both"/>
        <w:textAlignment w:val="auto"/>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厂区功能分布明确，总平面布置合理。</w:t>
      </w:r>
    </w:p>
    <w:p>
      <w:pPr>
        <w:keepNext w:val="0"/>
        <w:keepLines w:val="0"/>
        <w:pageBreakBefore w:val="0"/>
        <w:widowControl/>
        <w:suppressLineNumbers w:val="0"/>
        <w:kinsoku/>
        <w:wordWrap/>
        <w:overflowPunct/>
        <w:topLinePunct w:val="0"/>
        <w:bidi w:val="0"/>
        <w:adjustRightInd/>
        <w:snapToGrid/>
        <w:spacing w:line="360" w:lineRule="auto"/>
        <w:ind w:firstLine="480" w:firstLineChars="200"/>
        <w:jc w:val="left"/>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厂区总平面布置见附图2。</w:t>
      </w:r>
    </w:p>
    <w:p>
      <w:pPr>
        <w:pStyle w:val="8"/>
        <w:keepNext w:val="0"/>
        <w:keepLines w:val="0"/>
        <w:pageBreakBefore w:val="0"/>
        <w:kinsoku/>
        <w:wordWrap/>
        <w:overflowPunct/>
        <w:topLinePunct w:val="0"/>
        <w:bidi w:val="0"/>
        <w:adjustRightInd/>
        <w:snapToGrid/>
        <w:spacing w:line="360" w:lineRule="auto"/>
        <w:ind w:firstLine="482" w:firstLineChars="200"/>
        <w:textAlignment w:val="auto"/>
        <w:rPr>
          <w:rFonts w:hint="eastAsia" w:ascii="宋体" w:hAnsi="宋体" w:eastAsia="宋体" w:cs="宋体"/>
          <w:color w:val="000000" w:themeColor="text1"/>
          <w:highlight w:val="none"/>
          <w:lang w:val="en-US" w:eastAsia="zh-CN"/>
          <w14:textFill>
            <w14:solidFill>
              <w14:schemeClr w14:val="tx1"/>
            </w14:solidFill>
          </w14:textFill>
        </w:rPr>
      </w:pPr>
      <w:bookmarkStart w:id="315" w:name="_Toc4138"/>
      <w:r>
        <w:rPr>
          <w:rFonts w:hint="eastAsia" w:ascii="宋体" w:hAnsi="宋体" w:eastAsia="宋体" w:cs="宋体"/>
          <w:color w:val="000000" w:themeColor="text1"/>
          <w:highlight w:val="none"/>
          <w:lang w:val="en-US" w:eastAsia="zh-CN"/>
          <w14:textFill>
            <w14:solidFill>
              <w14:schemeClr w14:val="tx1"/>
            </w14:solidFill>
          </w14:textFill>
        </w:rPr>
        <w:t>3.2.4产品方案</w:t>
      </w:r>
      <w:bookmarkEnd w:id="315"/>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themeColor="text1"/>
          <w:kern w:val="0"/>
          <w:sz w:val="24"/>
          <w:szCs w:val="24"/>
          <w:u w:val="single"/>
          <w:lang w:val="en-US" w:eastAsia="zh-CN" w:bidi="ar"/>
          <w14:textFill>
            <w14:solidFill>
              <w14:schemeClr w14:val="tx1"/>
            </w14:solidFill>
          </w14:textFill>
        </w:rPr>
      </w:pPr>
      <w:r>
        <w:rPr>
          <w:rFonts w:hint="eastAsia" w:ascii="宋体" w:hAnsi="宋体" w:eastAsia="宋体" w:cs="宋体"/>
          <w:color w:val="000000" w:themeColor="text1"/>
          <w:kern w:val="0"/>
          <w:sz w:val="24"/>
          <w:szCs w:val="24"/>
          <w:u w:val="single"/>
          <w:lang w:val="en-US" w:eastAsia="zh-CN" w:bidi="ar"/>
          <w14:textFill>
            <w14:solidFill>
              <w14:schemeClr w14:val="tx1"/>
            </w14:solidFill>
          </w14:textFill>
        </w:rPr>
        <w:t>拟建项目产品主要为聚酰亚胺薄膜，主要为柔性线路用，最大产能为200t/a。回收的溶剂为80%二甲基乙酰胺，可作为副产品，产能约662.218t/a。</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0" w:firstLineChars="0"/>
        <w:jc w:val="center"/>
        <w:textAlignment w:val="auto"/>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表3.2.4-1聚酰亚胺薄膜产品质量标准</w:t>
      </w:r>
    </w:p>
    <w:tbl>
      <w:tblPr>
        <w:tblStyle w:val="30"/>
        <w:tblW w:w="4998"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102"/>
        <w:gridCol w:w="1007"/>
        <w:gridCol w:w="910"/>
        <w:gridCol w:w="910"/>
        <w:gridCol w:w="741"/>
        <w:gridCol w:w="741"/>
        <w:gridCol w:w="658"/>
        <w:gridCol w:w="83"/>
        <w:gridCol w:w="708"/>
        <w:gridCol w:w="138"/>
        <w:gridCol w:w="849"/>
        <w:gridCol w:w="200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070" w:type="pct"/>
            <w:gridSpan w:val="2"/>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14:textFill>
                  <w14:solidFill>
                    <w14:schemeClr w14:val="tx1"/>
                  </w14:solidFill>
                </w14:textFill>
              </w:rPr>
              <w:t>项目名称</w:t>
            </w:r>
          </w:p>
        </w:tc>
        <w:tc>
          <w:tcPr>
            <w:tcW w:w="462"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14:textFill>
                  <w14:solidFill>
                    <w14:schemeClr w14:val="tx1"/>
                  </w14:solidFill>
                </w14:textFill>
              </w:rPr>
              <w:t>单位</w:t>
            </w:r>
          </w:p>
        </w:tc>
        <w:tc>
          <w:tcPr>
            <w:tcW w:w="2450" w:type="pct"/>
            <w:gridSpan w:val="8"/>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14:textFill>
                  <w14:solidFill>
                    <w14:schemeClr w14:val="tx1"/>
                  </w14:solidFill>
                </w14:textFill>
              </w:rPr>
              <w:t>质量指标</w:t>
            </w:r>
          </w:p>
        </w:tc>
        <w:tc>
          <w:tcPr>
            <w:tcW w:w="1016"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14:textFill>
                  <w14:solidFill>
                    <w14:schemeClr w14:val="tx1"/>
                  </w14:solidFill>
                </w14:textFill>
              </w:rPr>
              <w:t>测试方法</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070" w:type="pct"/>
            <w:gridSpan w:val="2"/>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14:textFill>
                  <w14:solidFill>
                    <w14:schemeClr w14:val="tx1"/>
                  </w14:solidFill>
                </w14:textFill>
              </w:rPr>
              <w:t>外观</w:t>
            </w:r>
          </w:p>
        </w:tc>
        <w:tc>
          <w:tcPr>
            <w:tcW w:w="462"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14:textFill>
                  <w14:solidFill>
                    <w14:schemeClr w14:val="tx1"/>
                  </w14:solidFill>
                </w14:textFill>
              </w:rPr>
            </w:pPr>
          </w:p>
        </w:tc>
        <w:tc>
          <w:tcPr>
            <w:tcW w:w="2450" w:type="pct"/>
            <w:gridSpan w:val="8"/>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14:textFill>
                  <w14:solidFill>
                    <w14:schemeClr w14:val="tx1"/>
                  </w14:solidFill>
                </w14:textFill>
              </w:rPr>
              <w:t>琥珀色半透明薄膜，表面光滑平整，无明显杂质，无针孔、气泡，边缘整齐</w:t>
            </w:r>
          </w:p>
        </w:tc>
        <w:tc>
          <w:tcPr>
            <w:tcW w:w="1016"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070" w:type="pct"/>
            <w:gridSpan w:val="2"/>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14:textFill>
                  <w14:solidFill>
                    <w14:schemeClr w14:val="tx1"/>
                  </w14:solidFill>
                </w14:textFill>
              </w:rPr>
              <w:t>厚度</w:t>
            </w:r>
          </w:p>
        </w:tc>
        <w:tc>
          <w:tcPr>
            <w:tcW w:w="462"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14:textFill>
                  <w14:solidFill>
                    <w14:schemeClr w14:val="tx1"/>
                  </w14:solidFill>
                </w14:textFill>
              </w:rPr>
              <w:t>μm</w:t>
            </w:r>
          </w:p>
        </w:tc>
        <w:tc>
          <w:tcPr>
            <w:tcW w:w="462"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14:textFill>
                  <w14:solidFill>
                    <w14:schemeClr w14:val="tx1"/>
                  </w14:solidFill>
                </w14:textFill>
              </w:rPr>
              <w:t>25</w:t>
            </w:r>
          </w:p>
        </w:tc>
        <w:tc>
          <w:tcPr>
            <w:tcW w:w="376"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14:textFill>
                  <w14:solidFill>
                    <w14:schemeClr w14:val="tx1"/>
                  </w14:solidFill>
                </w14:textFill>
              </w:rPr>
              <w:t>40</w:t>
            </w:r>
          </w:p>
        </w:tc>
        <w:tc>
          <w:tcPr>
            <w:tcW w:w="376"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14:textFill>
                  <w14:solidFill>
                    <w14:schemeClr w14:val="tx1"/>
                  </w14:solidFill>
                </w14:textFill>
              </w:rPr>
              <w:t>50</w:t>
            </w:r>
          </w:p>
        </w:tc>
        <w:tc>
          <w:tcPr>
            <w:tcW w:w="376" w:type="pct"/>
            <w:gridSpan w:val="2"/>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14:textFill>
                  <w14:solidFill>
                    <w14:schemeClr w14:val="tx1"/>
                  </w14:solidFill>
                </w14:textFill>
              </w:rPr>
              <w:t>75</w:t>
            </w:r>
          </w:p>
        </w:tc>
        <w:tc>
          <w:tcPr>
            <w:tcW w:w="429" w:type="pct"/>
            <w:gridSpan w:val="2"/>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14:textFill>
                  <w14:solidFill>
                    <w14:schemeClr w14:val="tx1"/>
                  </w14:solidFill>
                </w14:textFill>
              </w:rPr>
              <w:t>100</w:t>
            </w:r>
          </w:p>
        </w:tc>
        <w:tc>
          <w:tcPr>
            <w:tcW w:w="430"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14:textFill>
                  <w14:solidFill>
                    <w14:schemeClr w14:val="tx1"/>
                  </w14:solidFill>
                </w14:textFill>
              </w:rPr>
              <w:t>125</w:t>
            </w:r>
          </w:p>
        </w:tc>
        <w:tc>
          <w:tcPr>
            <w:tcW w:w="1016" w:type="pct"/>
            <w:vMerge w:val="restar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14:textFill>
                  <w14:solidFill>
                    <w14:schemeClr w14:val="tx1"/>
                  </w14:solidFill>
                </w14:textFill>
              </w:rPr>
              <w:t>IEC60674-3-4:1993</w:t>
            </w:r>
          </w:p>
          <w:p>
            <w:pPr>
              <w:spacing w:line="240" w:lineRule="auto"/>
              <w:jc w:val="center"/>
              <w:rPr>
                <w:rFonts w:hint="eastAsia" w:ascii="宋体" w:hAnsi="宋体" w:eastAsia="宋体" w:cs="宋体"/>
                <w:b w:val="0"/>
                <w:bCs w:val="0"/>
                <w:color w:val="000000" w:themeColor="text1"/>
                <w:sz w:val="21"/>
                <w:szCs w:val="21"/>
                <w:highlight w:val="non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14:textFill>
                  <w14:solidFill>
                    <w14:schemeClr w14:val="tx1"/>
                  </w14:solidFill>
                </w14:textFill>
              </w:rPr>
              <w:t>GB/T13542.1-2009</w:t>
            </w:r>
          </w:p>
          <w:p>
            <w:pPr>
              <w:spacing w:line="240" w:lineRule="auto"/>
              <w:jc w:val="center"/>
              <w:rPr>
                <w:rFonts w:hint="eastAsia" w:ascii="宋体" w:hAnsi="宋体" w:eastAsia="宋体" w:cs="宋体"/>
                <w:b w:val="0"/>
                <w:bCs w:val="0"/>
                <w:color w:val="000000" w:themeColor="text1"/>
                <w:sz w:val="21"/>
                <w:szCs w:val="21"/>
                <w:highlight w:val="non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14:textFill>
                  <w14:solidFill>
                    <w14:schemeClr w14:val="tx1"/>
                  </w14:solidFill>
                </w14:textFill>
              </w:rPr>
              <w:t>GB/T13542.2-2009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070" w:type="pct"/>
            <w:gridSpan w:val="2"/>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14:textFill>
                  <w14:solidFill>
                    <w14:schemeClr w14:val="tx1"/>
                  </w14:solidFill>
                </w14:textFill>
              </w:rPr>
              <w:t>产品型号</w:t>
            </w:r>
          </w:p>
        </w:tc>
        <w:tc>
          <w:tcPr>
            <w:tcW w:w="462"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14:textFill>
                  <w14:solidFill>
                    <w14:schemeClr w14:val="tx1"/>
                  </w14:solidFill>
                </w14:textFill>
              </w:rPr>
            </w:pPr>
          </w:p>
        </w:tc>
        <w:tc>
          <w:tcPr>
            <w:tcW w:w="462"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14:textFill>
                  <w14:solidFill>
                    <w14:schemeClr w14:val="tx1"/>
                  </w14:solidFill>
                </w14:textFill>
              </w:rPr>
              <w:t>CH250</w:t>
            </w:r>
          </w:p>
        </w:tc>
        <w:tc>
          <w:tcPr>
            <w:tcW w:w="376"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14:textFill>
                  <w14:solidFill>
                    <w14:schemeClr w14:val="tx1"/>
                  </w14:solidFill>
                </w14:textFill>
              </w:rPr>
              <w:t>CH400</w:t>
            </w:r>
          </w:p>
        </w:tc>
        <w:tc>
          <w:tcPr>
            <w:tcW w:w="376"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14:textFill>
                  <w14:solidFill>
                    <w14:schemeClr w14:val="tx1"/>
                  </w14:solidFill>
                </w14:textFill>
              </w:rPr>
              <w:t>CH500</w:t>
            </w:r>
          </w:p>
        </w:tc>
        <w:tc>
          <w:tcPr>
            <w:tcW w:w="376" w:type="pct"/>
            <w:gridSpan w:val="2"/>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14:textFill>
                  <w14:solidFill>
                    <w14:schemeClr w14:val="tx1"/>
                  </w14:solidFill>
                </w14:textFill>
              </w:rPr>
              <w:t>CH750</w:t>
            </w:r>
          </w:p>
        </w:tc>
        <w:tc>
          <w:tcPr>
            <w:tcW w:w="429" w:type="pct"/>
            <w:gridSpan w:val="2"/>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14:textFill>
                  <w14:solidFill>
                    <w14:schemeClr w14:val="tx1"/>
                  </w14:solidFill>
                </w14:textFill>
              </w:rPr>
              <w:t>CH1000</w:t>
            </w:r>
          </w:p>
        </w:tc>
        <w:tc>
          <w:tcPr>
            <w:tcW w:w="430"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14:textFill>
                  <w14:solidFill>
                    <w14:schemeClr w14:val="tx1"/>
                  </w14:solidFill>
                </w14:textFill>
              </w:rPr>
              <w:t>CH1250</w:t>
            </w:r>
          </w:p>
        </w:tc>
        <w:tc>
          <w:tcPr>
            <w:tcW w:w="1016" w:type="pct"/>
            <w:vMerge w:val="continue"/>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070" w:type="pct"/>
            <w:gridSpan w:val="2"/>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14:textFill>
                  <w14:solidFill>
                    <w14:schemeClr w14:val="tx1"/>
                  </w14:solidFill>
                </w14:textFill>
              </w:rPr>
              <w:t>密度</w:t>
            </w:r>
          </w:p>
        </w:tc>
        <w:tc>
          <w:tcPr>
            <w:tcW w:w="462"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14:textFill>
                  <w14:solidFill>
                    <w14:schemeClr w14:val="tx1"/>
                  </w14:solidFill>
                </w14:textFill>
              </w:rPr>
              <w:t>Kg/m3</w:t>
            </w:r>
          </w:p>
        </w:tc>
        <w:tc>
          <w:tcPr>
            <w:tcW w:w="2450" w:type="pct"/>
            <w:gridSpan w:val="8"/>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14:textFill>
                  <w14:solidFill>
                    <w14:schemeClr w14:val="tx1"/>
                  </w14:solidFill>
                </w14:textFill>
              </w:rPr>
              <w:t>1420±20</w:t>
            </w:r>
          </w:p>
        </w:tc>
        <w:tc>
          <w:tcPr>
            <w:tcW w:w="1016" w:type="pct"/>
            <w:vMerge w:val="continue"/>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559" w:type="pct"/>
            <w:vMerge w:val="restar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14:textFill>
                  <w14:solidFill>
                    <w14:schemeClr w14:val="tx1"/>
                  </w14:solidFill>
                </w14:textFill>
              </w:rPr>
              <w:t>拉伸强度≥</w:t>
            </w:r>
          </w:p>
        </w:tc>
        <w:tc>
          <w:tcPr>
            <w:tcW w:w="511"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14:textFill>
                  <w14:solidFill>
                    <w14:schemeClr w14:val="tx1"/>
                  </w14:solidFill>
                </w14:textFill>
              </w:rPr>
              <w:t>纵向</w:t>
            </w:r>
          </w:p>
        </w:tc>
        <w:tc>
          <w:tcPr>
            <w:tcW w:w="462" w:type="pct"/>
            <w:vMerge w:val="restar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14:textFill>
                  <w14:solidFill>
                    <w14:schemeClr w14:val="tx1"/>
                  </w14:solidFill>
                </w14:textFill>
              </w:rPr>
              <w:t>MPa</w:t>
            </w:r>
          </w:p>
        </w:tc>
        <w:tc>
          <w:tcPr>
            <w:tcW w:w="2450" w:type="pct"/>
            <w:gridSpan w:val="8"/>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14:textFill>
                  <w14:solidFill>
                    <w14:schemeClr w14:val="tx1"/>
                  </w14:solidFill>
                </w14:textFill>
              </w:rPr>
              <w:t>180</w:t>
            </w:r>
          </w:p>
        </w:tc>
        <w:tc>
          <w:tcPr>
            <w:tcW w:w="1016" w:type="pct"/>
            <w:vMerge w:val="continue"/>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c>
          <w:tcPr>
            <w:tcW w:w="559" w:type="pct"/>
            <w:vMerge w:val="continue"/>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14:textFill>
                  <w14:solidFill>
                    <w14:schemeClr w14:val="tx1"/>
                  </w14:solidFill>
                </w14:textFill>
              </w:rPr>
            </w:pPr>
          </w:p>
        </w:tc>
        <w:tc>
          <w:tcPr>
            <w:tcW w:w="511"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14:textFill>
                  <w14:solidFill>
                    <w14:schemeClr w14:val="tx1"/>
                  </w14:solidFill>
                </w14:textFill>
              </w:rPr>
              <w:t>横向</w:t>
            </w:r>
          </w:p>
        </w:tc>
        <w:tc>
          <w:tcPr>
            <w:tcW w:w="462" w:type="pct"/>
            <w:vMerge w:val="continue"/>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14:textFill>
                  <w14:solidFill>
                    <w14:schemeClr w14:val="tx1"/>
                  </w14:solidFill>
                </w14:textFill>
              </w:rPr>
            </w:pPr>
          </w:p>
        </w:tc>
        <w:tc>
          <w:tcPr>
            <w:tcW w:w="2450" w:type="pct"/>
            <w:gridSpan w:val="8"/>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14:textFill>
                  <w14:solidFill>
                    <w14:schemeClr w14:val="tx1"/>
                  </w14:solidFill>
                </w14:textFill>
              </w:rPr>
              <w:t>150</w:t>
            </w:r>
          </w:p>
        </w:tc>
        <w:tc>
          <w:tcPr>
            <w:tcW w:w="1016" w:type="pct"/>
            <w:vMerge w:val="continue"/>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070" w:type="pct"/>
            <w:gridSpan w:val="2"/>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14:textFill>
                  <w14:solidFill>
                    <w14:schemeClr w14:val="tx1"/>
                  </w14:solidFill>
                </w14:textFill>
              </w:rPr>
              <w:t>断裂伸长率（纵、横向）≥</w:t>
            </w:r>
          </w:p>
        </w:tc>
        <w:tc>
          <w:tcPr>
            <w:tcW w:w="462"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14:textFill>
                  <w14:solidFill>
                    <w14:schemeClr w14:val="tx1"/>
                  </w14:solidFill>
                </w14:textFill>
              </w:rPr>
              <w:t>%</w:t>
            </w:r>
          </w:p>
        </w:tc>
        <w:tc>
          <w:tcPr>
            <w:tcW w:w="1214" w:type="pct"/>
            <w:gridSpan w:val="3"/>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14:textFill>
                  <w14:solidFill>
                    <w14:schemeClr w14:val="tx1"/>
                  </w14:solidFill>
                </w14:textFill>
              </w:rPr>
              <w:t>50</w:t>
            </w:r>
          </w:p>
        </w:tc>
        <w:tc>
          <w:tcPr>
            <w:tcW w:w="1236" w:type="pct"/>
            <w:gridSpan w:val="5"/>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14:textFill>
                  <w14:solidFill>
                    <w14:schemeClr w14:val="tx1"/>
                  </w14:solidFill>
                </w14:textFill>
              </w:rPr>
              <w:t>70</w:t>
            </w:r>
          </w:p>
        </w:tc>
        <w:tc>
          <w:tcPr>
            <w:tcW w:w="1016" w:type="pct"/>
            <w:vMerge w:val="continue"/>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559" w:type="pct"/>
            <w:vMerge w:val="restar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14:textFill>
                  <w14:solidFill>
                    <w14:schemeClr w14:val="tx1"/>
                  </w14:solidFill>
                </w14:textFill>
              </w:rPr>
              <w:t>电气强度≥</w:t>
            </w:r>
          </w:p>
        </w:tc>
        <w:tc>
          <w:tcPr>
            <w:tcW w:w="511"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14:textFill>
                  <w14:solidFill>
                    <w14:schemeClr w14:val="tx1"/>
                  </w14:solidFill>
                </w14:textFill>
              </w:rPr>
              <w:t>平均值</w:t>
            </w:r>
          </w:p>
        </w:tc>
        <w:tc>
          <w:tcPr>
            <w:tcW w:w="462" w:type="pct"/>
            <w:vMerge w:val="restar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14:textFill>
                  <w14:solidFill>
                    <w14:schemeClr w14:val="tx1"/>
                  </w14:solidFill>
                </w14:textFill>
              </w:rPr>
              <w:t>MV/m</w:t>
            </w:r>
          </w:p>
        </w:tc>
        <w:tc>
          <w:tcPr>
            <w:tcW w:w="1214" w:type="pct"/>
            <w:gridSpan w:val="3"/>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14:textFill>
                  <w14:solidFill>
                    <w14:schemeClr w14:val="tx1"/>
                  </w14:solidFill>
                </w14:textFill>
              </w:rPr>
              <w:t>200</w:t>
            </w:r>
          </w:p>
        </w:tc>
        <w:tc>
          <w:tcPr>
            <w:tcW w:w="334"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14:textFill>
                  <w14:solidFill>
                    <w14:schemeClr w14:val="tx1"/>
                  </w14:solidFill>
                </w14:textFill>
              </w:rPr>
              <w:t>140</w:t>
            </w:r>
          </w:p>
        </w:tc>
        <w:tc>
          <w:tcPr>
            <w:tcW w:w="401" w:type="pct"/>
            <w:gridSpan w:val="2"/>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14:textFill>
                  <w14:solidFill>
                    <w14:schemeClr w14:val="tx1"/>
                  </w14:solidFill>
                </w14:textFill>
              </w:rPr>
              <w:t>110</w:t>
            </w:r>
          </w:p>
        </w:tc>
        <w:tc>
          <w:tcPr>
            <w:tcW w:w="500" w:type="pct"/>
            <w:gridSpan w:val="2"/>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14:textFill>
                  <w14:solidFill>
                    <w14:schemeClr w14:val="tx1"/>
                  </w14:solidFill>
                </w14:textFill>
              </w:rPr>
              <w:t>100</w:t>
            </w:r>
          </w:p>
        </w:tc>
        <w:tc>
          <w:tcPr>
            <w:tcW w:w="1016" w:type="pct"/>
            <w:vMerge w:val="continue"/>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559" w:type="pct"/>
            <w:vMerge w:val="continue"/>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14:textFill>
                  <w14:solidFill>
                    <w14:schemeClr w14:val="tx1"/>
                  </w14:solidFill>
                </w14:textFill>
              </w:rPr>
            </w:pPr>
          </w:p>
        </w:tc>
        <w:tc>
          <w:tcPr>
            <w:tcW w:w="511"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14:textFill>
                  <w14:solidFill>
                    <w14:schemeClr w14:val="tx1"/>
                  </w14:solidFill>
                </w14:textFill>
              </w:rPr>
              <w:t>最低值</w:t>
            </w:r>
          </w:p>
        </w:tc>
        <w:tc>
          <w:tcPr>
            <w:tcW w:w="462" w:type="pct"/>
            <w:vMerge w:val="continue"/>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14:textFill>
                  <w14:solidFill>
                    <w14:schemeClr w14:val="tx1"/>
                  </w14:solidFill>
                </w14:textFill>
              </w:rPr>
            </w:pPr>
          </w:p>
        </w:tc>
        <w:tc>
          <w:tcPr>
            <w:tcW w:w="1214" w:type="pct"/>
            <w:gridSpan w:val="3"/>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14:textFill>
                  <w14:solidFill>
                    <w14:schemeClr w14:val="tx1"/>
                  </w14:solidFill>
                </w14:textFill>
              </w:rPr>
              <w:t>150</w:t>
            </w:r>
          </w:p>
        </w:tc>
        <w:tc>
          <w:tcPr>
            <w:tcW w:w="334"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14:textFill>
                  <w14:solidFill>
                    <w14:schemeClr w14:val="tx1"/>
                  </w14:solidFill>
                </w14:textFill>
              </w:rPr>
              <w:t>100</w:t>
            </w:r>
          </w:p>
        </w:tc>
        <w:tc>
          <w:tcPr>
            <w:tcW w:w="401" w:type="pct"/>
            <w:gridSpan w:val="2"/>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14:textFill>
                  <w14:solidFill>
                    <w14:schemeClr w14:val="tx1"/>
                  </w14:solidFill>
                </w14:textFill>
              </w:rPr>
              <w:t>70</w:t>
            </w:r>
          </w:p>
        </w:tc>
        <w:tc>
          <w:tcPr>
            <w:tcW w:w="500" w:type="pct"/>
            <w:gridSpan w:val="2"/>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14:textFill>
                  <w14:solidFill>
                    <w14:schemeClr w14:val="tx1"/>
                  </w14:solidFill>
                </w14:textFill>
              </w:rPr>
              <w:t>60</w:t>
            </w:r>
          </w:p>
        </w:tc>
        <w:tc>
          <w:tcPr>
            <w:tcW w:w="1016" w:type="pct"/>
            <w:vMerge w:val="continue"/>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070" w:type="pct"/>
            <w:gridSpan w:val="2"/>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14:textFill>
                  <w14:solidFill>
                    <w14:schemeClr w14:val="tx1"/>
                  </w14:solidFill>
                </w14:textFill>
              </w:rPr>
              <w:t>表面电阻率（200℃）≥</w:t>
            </w:r>
          </w:p>
        </w:tc>
        <w:tc>
          <w:tcPr>
            <w:tcW w:w="462"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14:textFill>
                  <w14:solidFill>
                    <w14:schemeClr w14:val="tx1"/>
                  </w14:solidFill>
                </w14:textFill>
              </w:rPr>
              <w:t>Ω</w:t>
            </w:r>
          </w:p>
        </w:tc>
        <w:tc>
          <w:tcPr>
            <w:tcW w:w="2450" w:type="pct"/>
            <w:gridSpan w:val="8"/>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14:textFill>
                  <w14:solidFill>
                    <w14:schemeClr w14:val="tx1"/>
                  </w14:solidFill>
                </w14:textFill>
              </w:rPr>
              <w:t>1.0×1014</w:t>
            </w:r>
          </w:p>
        </w:tc>
        <w:tc>
          <w:tcPr>
            <w:tcW w:w="1016" w:type="pct"/>
            <w:vMerge w:val="continue"/>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070" w:type="pct"/>
            <w:gridSpan w:val="2"/>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14:textFill>
                  <w14:solidFill>
                    <w14:schemeClr w14:val="tx1"/>
                  </w14:solidFill>
                </w14:textFill>
              </w:rPr>
              <w:t>体积电阻率（200℃）</w:t>
            </w:r>
          </w:p>
        </w:tc>
        <w:tc>
          <w:tcPr>
            <w:tcW w:w="462"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14:textFill>
                  <w14:solidFill>
                    <w14:schemeClr w14:val="tx1"/>
                  </w14:solidFill>
                </w14:textFill>
              </w:rPr>
              <w:t>Ω.m</w:t>
            </w:r>
          </w:p>
        </w:tc>
        <w:tc>
          <w:tcPr>
            <w:tcW w:w="2450" w:type="pct"/>
            <w:gridSpan w:val="8"/>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14:textFill>
                  <w14:solidFill>
                    <w14:schemeClr w14:val="tx1"/>
                  </w14:solidFill>
                </w14:textFill>
              </w:rPr>
              <w:t>1.0×1010</w:t>
            </w:r>
          </w:p>
        </w:tc>
        <w:tc>
          <w:tcPr>
            <w:tcW w:w="1016" w:type="pct"/>
            <w:vMerge w:val="continue"/>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14:textFill>
                  <w14:solidFill>
                    <w14:schemeClr w14:val="tx1"/>
                  </w14:solidFill>
                </w14:textFill>
              </w:rPr>
            </w:pPr>
          </w:p>
        </w:tc>
      </w:tr>
    </w:tbl>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副产品企业产品质量标准见下表</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0" w:firstLineChars="0"/>
        <w:jc w:val="center"/>
        <w:textAlignment w:val="auto"/>
        <w:rPr>
          <w:rFonts w:hint="eastAsia" w:ascii="宋体" w:hAnsi="宋体" w:eastAsia="宋体" w:cs="宋体"/>
          <w:b/>
          <w:bCs/>
          <w:color w:val="000000" w:themeColor="text1"/>
          <w:sz w:val="24"/>
          <w:szCs w:val="24"/>
          <w:highlight w:val="none"/>
          <w:u w:val="singl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u w:val="single"/>
          <w:lang w:val="en-US" w:eastAsia="zh-CN"/>
          <w14:textFill>
            <w14:solidFill>
              <w14:schemeClr w14:val="tx1"/>
            </w14:solidFill>
          </w14:textFill>
        </w:rPr>
        <w:t>表3.2.4-2  80%二甲基乙酰胺企业质量指标表（Q/THHQ0001-2014）</w:t>
      </w:r>
    </w:p>
    <w:tbl>
      <w:tblPr>
        <w:tblStyle w:val="30"/>
        <w:tblW w:w="4998"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4037"/>
        <w:gridCol w:w="581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2049"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u w:val="singl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u w:val="single"/>
                <w:lang w:val="zh-CN"/>
                <w14:textFill>
                  <w14:solidFill>
                    <w14:schemeClr w14:val="tx1"/>
                  </w14:solidFill>
                </w14:textFill>
              </w:rPr>
              <w:t>项目</w:t>
            </w:r>
          </w:p>
        </w:tc>
        <w:tc>
          <w:tcPr>
            <w:tcW w:w="2950"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u w:val="singl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u w:val="single"/>
                <w:lang w:val="zh-CN"/>
                <w14:textFill>
                  <w14:solidFill>
                    <w14:schemeClr w14:val="tx1"/>
                  </w14:solidFill>
                </w14:textFill>
              </w:rPr>
              <w:t>指标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2049"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u w:val="singl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u w:val="single"/>
                <w:lang w:val="zh-CN"/>
                <w14:textFill>
                  <w14:solidFill>
                    <w14:schemeClr w14:val="tx1"/>
                  </w14:solidFill>
                </w14:textFill>
              </w:rPr>
              <w:t>二甲基乙酰胺，%</w:t>
            </w:r>
          </w:p>
        </w:tc>
        <w:tc>
          <w:tcPr>
            <w:tcW w:w="2950"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u w:val="singl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u w:val="single"/>
                <w:lang w:val="zh-CN"/>
                <w14:textFill>
                  <w14:solidFill>
                    <w14:schemeClr w14:val="tx1"/>
                  </w14:solidFill>
                </w14:textFill>
              </w:rPr>
              <w:t>80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2049"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u w:val="singl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u w:val="single"/>
                <w:lang w:val="zh-CN"/>
                <w14:textFill>
                  <w14:solidFill>
                    <w14:schemeClr w14:val="tx1"/>
                  </w14:solidFill>
                </w14:textFill>
              </w:rPr>
              <w:t>色度，Hazen单位（铂-钴色号）</w:t>
            </w:r>
          </w:p>
        </w:tc>
        <w:tc>
          <w:tcPr>
            <w:tcW w:w="2950"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u w:val="singl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u w:val="single"/>
                <w:lang w:val="zh-CN"/>
                <w14:textFill>
                  <w14:solidFill>
                    <w14:schemeClr w14:val="tx1"/>
                  </w14:solidFill>
                </w14:textFill>
              </w:rPr>
              <w:t>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2049"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u w:val="singl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u w:val="single"/>
                <w:lang w:val="zh-CN"/>
                <w14:textFill>
                  <w14:solidFill>
                    <w14:schemeClr w14:val="tx1"/>
                  </w14:solidFill>
                </w14:textFill>
              </w:rPr>
              <w:t>铁，mg/kg</w:t>
            </w:r>
          </w:p>
        </w:tc>
        <w:tc>
          <w:tcPr>
            <w:tcW w:w="2950"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u w:val="singl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u w:val="single"/>
                <w:lang w:val="zh-CN"/>
                <w14:textFill>
                  <w14:solidFill>
                    <w14:schemeClr w14:val="tx1"/>
                  </w14:solidFill>
                </w14:textFill>
              </w:rPr>
              <w:t>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2049"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u w:val="singl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u w:val="single"/>
                <w:lang w:val="zh-CN"/>
                <w14:textFill>
                  <w14:solidFill>
                    <w14:schemeClr w14:val="tx1"/>
                  </w14:solidFill>
                </w14:textFill>
              </w:rPr>
              <w:t>酸度（以乙酸计），%</w:t>
            </w:r>
          </w:p>
        </w:tc>
        <w:tc>
          <w:tcPr>
            <w:tcW w:w="2950"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u w:val="singl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u w:val="single"/>
                <w:lang w:val="zh-CN"/>
                <w14:textFill>
                  <w14:solidFill>
                    <w14:schemeClr w14:val="tx1"/>
                  </w14:solidFill>
                </w14:textFill>
              </w:rPr>
              <w:t>1.0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2049"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u w:val="singl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u w:val="single"/>
                <w:lang w:val="zh-CN"/>
                <w14:textFill>
                  <w14:solidFill>
                    <w14:schemeClr w14:val="tx1"/>
                  </w14:solidFill>
                </w14:textFill>
              </w:rPr>
              <w:t>碱度（以二甲胺计），%</w:t>
            </w:r>
          </w:p>
        </w:tc>
        <w:tc>
          <w:tcPr>
            <w:tcW w:w="2950"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u w:val="singl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u w:val="single"/>
                <w:lang w:val="zh-CN"/>
                <w14:textFill>
                  <w14:solidFill>
                    <w14:schemeClr w14:val="tx1"/>
                  </w14:solidFill>
                </w14:textFill>
              </w:rPr>
              <w:t>0.005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2049"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u w:val="singl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u w:val="single"/>
                <w:lang w:val="zh-CN"/>
                <w14:textFill>
                  <w14:solidFill>
                    <w14:schemeClr w14:val="tx1"/>
                  </w14:solidFill>
                </w14:textFill>
              </w:rPr>
              <w:t>电导率（25℃），μs/cm</w:t>
            </w:r>
          </w:p>
        </w:tc>
        <w:tc>
          <w:tcPr>
            <w:tcW w:w="2950"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u w:val="singl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u w:val="single"/>
                <w:lang w:val="zh-CN"/>
                <w14:textFill>
                  <w14:solidFill>
                    <w14:schemeClr w14:val="tx1"/>
                  </w14:solidFill>
                </w14:textFill>
              </w:rPr>
              <w:t>20</w:t>
            </w:r>
          </w:p>
        </w:tc>
      </w:tr>
    </w:tbl>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项目聚酰亚胺塑料薄膜生产过程中流延工序废气引入四级冷凝回收系统进行冷凝， 冷凝液收集至副产品储罐，部分不凝气及亚胺化工序废气进入“三级水喷淋装置”进行喷淋吸收，喷淋液收集至副产品储罐。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themeColor="text1"/>
          <w:highlight w:val="none"/>
          <w:u w:val="single"/>
          <w:lang w:val="en-US" w:eastAsia="zh-CN"/>
          <w14:textFill>
            <w14:solidFill>
              <w14:schemeClr w14:val="tx1"/>
            </w14:solidFill>
          </w14:textFill>
        </w:rPr>
      </w:pPr>
      <w:r>
        <w:rPr>
          <w:rFonts w:hint="eastAsia" w:ascii="宋体" w:hAnsi="宋体" w:eastAsia="宋体" w:cs="宋体"/>
          <w:color w:val="000000" w:themeColor="text1"/>
          <w:kern w:val="0"/>
          <w:sz w:val="24"/>
          <w:szCs w:val="24"/>
          <w:u w:val="single"/>
          <w:lang w:val="en-US" w:eastAsia="zh-CN" w:bidi="ar"/>
          <w14:textFill>
            <w14:solidFill>
              <w14:schemeClr w14:val="tx1"/>
            </w14:solidFill>
          </w14:textFill>
        </w:rPr>
        <w:t>根据《固体废物鉴别标准通则》（GB34330-2017）中“5.2利用固体废物生产的产物同时满足下述条件，不作为固体废物管理，按照相应的产品管理：①符合国家、地方制定或行业通行的被替代原料生产的产品质量标准；②符合相关国家污染物排放（控制）标准或技术规范要求，包括该产物生产过程中排放到环境中的有害物质限值和该产物中有害物质的含量限值；当没有国家污染控制标准或技术规范时，该产物中所含有害成分含量不高于利用被替代原料生产的产品中的有害成分含量，并且在该产物生产过程中，排放到环境中的有害物质浓度不高于利用所替代原料生产产品过程中排放到环境中的有害物质浓度，当没有被替代原料时，不考虑该条件；③有稳定、合理的市场需求。”本项目生产聚酰亚胺塑料薄膜过程中产生的DMAC副产品满足上述条件可作为副产品进行外售。</w:t>
      </w:r>
    </w:p>
    <w:p>
      <w:pPr>
        <w:pStyle w:val="8"/>
        <w:keepNext w:val="0"/>
        <w:keepLines w:val="0"/>
        <w:pageBreakBefore w:val="0"/>
        <w:kinsoku/>
        <w:wordWrap/>
        <w:overflowPunct/>
        <w:topLinePunct w:val="0"/>
        <w:bidi w:val="0"/>
        <w:adjustRightInd/>
        <w:snapToGrid/>
        <w:spacing w:line="360" w:lineRule="auto"/>
        <w:ind w:firstLine="482" w:firstLineChars="200"/>
        <w:textAlignment w:val="auto"/>
        <w:rPr>
          <w:rFonts w:hint="eastAsia" w:ascii="宋体" w:hAnsi="宋体" w:eastAsia="宋体" w:cs="宋体"/>
          <w:color w:val="000000" w:themeColor="text1"/>
          <w:highlight w:val="none"/>
          <w:lang w:val="en-US" w:eastAsia="zh-CN"/>
          <w14:textFill>
            <w14:solidFill>
              <w14:schemeClr w14:val="tx1"/>
            </w14:solidFill>
          </w14:textFill>
        </w:rPr>
      </w:pPr>
      <w:bookmarkStart w:id="316" w:name="_Toc32268"/>
      <w:r>
        <w:rPr>
          <w:rFonts w:hint="eastAsia" w:ascii="宋体" w:hAnsi="宋体" w:eastAsia="宋体" w:cs="宋体"/>
          <w:color w:val="000000" w:themeColor="text1"/>
          <w:highlight w:val="none"/>
          <w:lang w:val="en-US" w:eastAsia="zh-CN"/>
          <w14:textFill>
            <w14:solidFill>
              <w14:schemeClr w14:val="tx1"/>
            </w14:solidFill>
          </w14:textFill>
        </w:rPr>
        <w:t>3.2.5原辅材料及能源消耗</w:t>
      </w:r>
      <w:bookmarkEnd w:id="316"/>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（1）原辅料消耗情况</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0" w:firstLineChars="0"/>
        <w:jc w:val="center"/>
        <w:textAlignment w:val="auto"/>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表3.2.5-1原辅材料消耗一览表</w:t>
      </w:r>
    </w:p>
    <w:tbl>
      <w:tblPr>
        <w:tblStyle w:val="3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41"/>
        <w:gridCol w:w="1544"/>
        <w:gridCol w:w="888"/>
        <w:gridCol w:w="1088"/>
        <w:gridCol w:w="901"/>
        <w:gridCol w:w="1254"/>
        <w:gridCol w:w="1025"/>
        <w:gridCol w:w="2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5" w:hRule="atLeast"/>
        </w:trPr>
        <w:tc>
          <w:tcPr>
            <w:tcW w:w="332"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u w:val="singl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u w:val="single"/>
                <w:lang w:val="zh-CN"/>
                <w14:textFill>
                  <w14:solidFill>
                    <w14:schemeClr w14:val="tx1"/>
                  </w14:solidFill>
                </w14:textFill>
              </w:rPr>
              <w:t>序号</w:t>
            </w:r>
          </w:p>
        </w:tc>
        <w:tc>
          <w:tcPr>
            <w:tcW w:w="800"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u w:val="singl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u w:val="single"/>
                <w:lang w:val="zh-CN"/>
                <w14:textFill>
                  <w14:solidFill>
                    <w14:schemeClr w14:val="tx1"/>
                  </w14:solidFill>
                </w14:textFill>
              </w:rPr>
              <w:t>名</w:t>
            </w:r>
            <w:r>
              <w:rPr>
                <w:rFonts w:hint="eastAsia" w:ascii="宋体" w:hAnsi="宋体" w:eastAsia="宋体" w:cs="宋体"/>
                <w:b w:val="0"/>
                <w:bCs w:val="0"/>
                <w:color w:val="000000" w:themeColor="text1"/>
                <w:sz w:val="21"/>
                <w:szCs w:val="21"/>
                <w:highlight w:val="none"/>
                <w:u w:val="single"/>
                <w:lang w:val="zh-CN"/>
                <w14:textFill>
                  <w14:solidFill>
                    <w14:schemeClr w14:val="tx1"/>
                  </w14:solidFill>
                </w14:textFill>
              </w:rPr>
              <w:tab/>
            </w:r>
            <w:r>
              <w:rPr>
                <w:rFonts w:hint="eastAsia" w:ascii="宋体" w:hAnsi="宋体" w:eastAsia="宋体" w:cs="宋体"/>
                <w:b w:val="0"/>
                <w:bCs w:val="0"/>
                <w:color w:val="000000" w:themeColor="text1"/>
                <w:sz w:val="21"/>
                <w:szCs w:val="21"/>
                <w:highlight w:val="none"/>
                <w:u w:val="single"/>
                <w:lang w:val="zh-CN"/>
                <w14:textFill>
                  <w14:solidFill>
                    <w14:schemeClr w14:val="tx1"/>
                  </w14:solidFill>
                </w14:textFill>
              </w:rPr>
              <w:t>称</w:t>
            </w:r>
          </w:p>
        </w:tc>
        <w:tc>
          <w:tcPr>
            <w:tcW w:w="460"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u w:val="single"/>
                <w:lang w:val="zh-CN"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u w:val="single"/>
                <w:lang w:val="en-US" w:eastAsia="zh-CN"/>
                <w14:textFill>
                  <w14:solidFill>
                    <w14:schemeClr w14:val="tx1"/>
                  </w14:solidFill>
                </w14:textFill>
              </w:rPr>
              <w:t>状态</w:t>
            </w:r>
          </w:p>
        </w:tc>
        <w:tc>
          <w:tcPr>
            <w:tcW w:w="564"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u w:val="single"/>
                <w:lang w:val="zh-CN"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u w:val="single"/>
                <w:lang w:val="zh-CN"/>
                <w14:textFill>
                  <w14:solidFill>
                    <w14:schemeClr w14:val="tx1"/>
                  </w14:solidFill>
                </w14:textFill>
              </w:rPr>
              <w:t>最大储存量（</w:t>
            </w:r>
            <w:r>
              <w:rPr>
                <w:rFonts w:hint="eastAsia" w:ascii="宋体" w:hAnsi="宋体" w:eastAsia="宋体" w:cs="宋体"/>
                <w:b w:val="0"/>
                <w:bCs w:val="0"/>
                <w:color w:val="000000" w:themeColor="text1"/>
                <w:sz w:val="21"/>
                <w:szCs w:val="21"/>
                <w:highlight w:val="none"/>
                <w:u w:val="single"/>
                <w:lang w:val="en-US" w:eastAsia="zh-CN"/>
                <w14:textFill>
                  <w14:solidFill>
                    <w14:schemeClr w14:val="tx1"/>
                  </w14:solidFill>
                </w14:textFill>
              </w:rPr>
              <w:t>含在线量</w:t>
            </w:r>
            <w:r>
              <w:rPr>
                <w:rFonts w:hint="eastAsia" w:ascii="宋体" w:hAnsi="宋体" w:eastAsia="宋体" w:cs="宋体"/>
                <w:b w:val="0"/>
                <w:bCs w:val="0"/>
                <w:color w:val="000000" w:themeColor="text1"/>
                <w:sz w:val="21"/>
                <w:szCs w:val="21"/>
                <w:highlight w:val="none"/>
                <w:u w:val="single"/>
                <w:lang w:val="zh-CN"/>
                <w14:textFill>
                  <w14:solidFill>
                    <w14:schemeClr w14:val="tx1"/>
                  </w14:solidFill>
                </w14:textFill>
              </w:rPr>
              <w:t>）（</w:t>
            </w:r>
            <w:r>
              <w:rPr>
                <w:rFonts w:hint="eastAsia" w:ascii="宋体" w:hAnsi="宋体" w:eastAsia="宋体" w:cs="宋体"/>
                <w:b w:val="0"/>
                <w:bCs w:val="0"/>
                <w:color w:val="000000" w:themeColor="text1"/>
                <w:sz w:val="21"/>
                <w:szCs w:val="21"/>
                <w:highlight w:val="none"/>
                <w:u w:val="single"/>
                <w14:textFill>
                  <w14:solidFill>
                    <w14:schemeClr w14:val="tx1"/>
                  </w14:solidFill>
                </w14:textFill>
              </w:rPr>
              <w:t>t</w:t>
            </w:r>
            <w:r>
              <w:rPr>
                <w:rFonts w:hint="eastAsia" w:ascii="宋体" w:hAnsi="宋体" w:eastAsia="宋体" w:cs="宋体"/>
                <w:b w:val="0"/>
                <w:bCs w:val="0"/>
                <w:color w:val="000000" w:themeColor="text1"/>
                <w:sz w:val="21"/>
                <w:szCs w:val="21"/>
                <w:highlight w:val="none"/>
                <w:u w:val="single"/>
                <w:lang w:val="zh-CN"/>
                <w14:textFill>
                  <w14:solidFill>
                    <w14:schemeClr w14:val="tx1"/>
                  </w14:solidFill>
                </w14:textFill>
              </w:rPr>
              <w:t>）</w:t>
            </w:r>
          </w:p>
        </w:tc>
        <w:tc>
          <w:tcPr>
            <w:tcW w:w="467"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u w:val="singl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u w:val="single"/>
                <w:lang w:val="zh-CN"/>
                <w14:textFill>
                  <w14:solidFill>
                    <w14:schemeClr w14:val="tx1"/>
                  </w14:solidFill>
                </w14:textFill>
              </w:rPr>
              <w:t>年使用量</w:t>
            </w:r>
            <w:r>
              <w:rPr>
                <w:rFonts w:hint="eastAsia" w:ascii="宋体" w:hAnsi="宋体" w:eastAsia="宋体" w:cs="宋体"/>
                <w:b w:val="0"/>
                <w:bCs w:val="0"/>
                <w:color w:val="000000" w:themeColor="text1"/>
                <w:sz w:val="21"/>
                <w:szCs w:val="21"/>
                <w:highlight w:val="none"/>
                <w:u w:val="single"/>
                <w14:textFill>
                  <w14:solidFill>
                    <w14:schemeClr w14:val="tx1"/>
                  </w14:solidFill>
                </w14:textFill>
              </w:rPr>
              <w:t>(t/a）</w:t>
            </w:r>
          </w:p>
        </w:tc>
        <w:tc>
          <w:tcPr>
            <w:tcW w:w="650"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u w:val="singl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u w:val="single"/>
                <w:lang w:val="zh-CN"/>
                <w14:textFill>
                  <w14:solidFill>
                    <w14:schemeClr w14:val="tx1"/>
                  </w14:solidFill>
                </w14:textFill>
              </w:rPr>
              <w:t>储存</w:t>
            </w:r>
          </w:p>
          <w:p>
            <w:pPr>
              <w:spacing w:line="240" w:lineRule="auto"/>
              <w:jc w:val="center"/>
              <w:rPr>
                <w:rFonts w:hint="eastAsia" w:ascii="宋体" w:hAnsi="宋体" w:eastAsia="宋体" w:cs="宋体"/>
                <w:b w:val="0"/>
                <w:bCs w:val="0"/>
                <w:color w:val="000000" w:themeColor="text1"/>
                <w:sz w:val="21"/>
                <w:szCs w:val="21"/>
                <w:highlight w:val="none"/>
                <w:u w:val="single"/>
                <w:lang w:val="zh-CN"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u w:val="single"/>
                <w:lang w:val="zh-CN"/>
                <w14:textFill>
                  <w14:solidFill>
                    <w14:schemeClr w14:val="tx1"/>
                  </w14:solidFill>
                </w14:textFill>
              </w:rPr>
              <w:t>位置</w:t>
            </w:r>
          </w:p>
        </w:tc>
        <w:tc>
          <w:tcPr>
            <w:tcW w:w="531"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u w:val="singl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u w:val="single"/>
                <w14:textFill>
                  <w14:solidFill>
                    <w14:schemeClr w14:val="tx1"/>
                  </w14:solidFill>
                </w14:textFill>
              </w:rPr>
              <w:t>火灾危险性分类</w:t>
            </w:r>
          </w:p>
        </w:tc>
        <w:tc>
          <w:tcPr>
            <w:tcW w:w="1192"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u w:val="singl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u w:val="single"/>
                <w:lang w:val="en-US" w:eastAsia="zh-CN"/>
                <w14:textFill>
                  <w14:solidFill>
                    <w14:schemeClr w14:val="tx1"/>
                  </w14:solidFill>
                </w14:textFill>
              </w:rPr>
              <w:t>包装方式及规格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4" w:hRule="atLeast"/>
        </w:trPr>
        <w:tc>
          <w:tcPr>
            <w:tcW w:w="332"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u w:val="singl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u w:val="single"/>
                <w:lang w:val="zh-CN"/>
                <w14:textFill>
                  <w14:solidFill>
                    <w14:schemeClr w14:val="tx1"/>
                  </w14:solidFill>
                </w14:textFill>
              </w:rPr>
              <w:t>1</w:t>
            </w:r>
          </w:p>
        </w:tc>
        <w:tc>
          <w:tcPr>
            <w:tcW w:w="800"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u w:val="single"/>
                <w14:textFill>
                  <w14:solidFill>
                    <w14:schemeClr w14:val="tx1"/>
                  </w14:solidFill>
                </w14:textFill>
              </w:rPr>
            </w:pPr>
            <w:r>
              <w:rPr>
                <w:rFonts w:hint="eastAsia" w:ascii="宋体" w:hAnsi="宋体" w:eastAsia="宋体" w:cs="宋体"/>
                <w:b w:val="0"/>
                <w:bCs w:val="0"/>
                <w:color w:val="000000" w:themeColor="text1"/>
                <w:sz w:val="21"/>
                <w:szCs w:val="21"/>
                <w:highlight w:val="none"/>
                <w:u w:val="single"/>
                <w14:textFill>
                  <w14:solidFill>
                    <w14:schemeClr w14:val="tx1"/>
                  </w14:solidFill>
                </w14:textFill>
              </w:rPr>
              <w:t>二甲基乙酰胺</w:t>
            </w:r>
          </w:p>
        </w:tc>
        <w:tc>
          <w:tcPr>
            <w:tcW w:w="460"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u w:val="single"/>
                <w:lang w:val="en-US"/>
                <w14:textFill>
                  <w14:solidFill>
                    <w14:schemeClr w14:val="tx1"/>
                  </w14:solidFill>
                </w14:textFill>
              </w:rPr>
            </w:pPr>
            <w:r>
              <w:rPr>
                <w:rFonts w:hint="eastAsia" w:ascii="宋体" w:hAnsi="宋体" w:eastAsia="宋体" w:cs="宋体"/>
                <w:b w:val="0"/>
                <w:bCs w:val="0"/>
                <w:color w:val="000000" w:themeColor="text1"/>
                <w:sz w:val="21"/>
                <w:szCs w:val="21"/>
                <w:highlight w:val="none"/>
                <w:u w:val="single"/>
                <w:lang w:val="en-US"/>
                <w14:textFill>
                  <w14:solidFill>
                    <w14:schemeClr w14:val="tx1"/>
                  </w14:solidFill>
                </w14:textFill>
              </w:rPr>
              <w:t>液态</w:t>
            </w:r>
          </w:p>
        </w:tc>
        <w:tc>
          <w:tcPr>
            <w:tcW w:w="564"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u w:val="singl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u w:val="single"/>
                <w:lang w:val="en-US" w:eastAsia="zh-CN"/>
                <w14:textFill>
                  <w14:solidFill>
                    <w14:schemeClr w14:val="tx1"/>
                  </w14:solidFill>
                </w14:textFill>
              </w:rPr>
              <w:t>30</w:t>
            </w:r>
          </w:p>
        </w:tc>
        <w:tc>
          <w:tcPr>
            <w:tcW w:w="467"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u w:val="singl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u w:val="single"/>
                <w:lang w:val="en-US" w:eastAsia="zh-CN"/>
                <w14:textFill>
                  <w14:solidFill>
                    <w14:schemeClr w14:val="tx1"/>
                  </w14:solidFill>
                </w14:textFill>
              </w:rPr>
              <w:t>60</w:t>
            </w:r>
            <w:r>
              <w:rPr>
                <w:rFonts w:hint="eastAsia" w:ascii="宋体" w:hAnsi="宋体" w:eastAsia="宋体" w:cs="宋体"/>
                <w:b w:val="0"/>
                <w:bCs w:val="0"/>
                <w:color w:val="000000" w:themeColor="text1"/>
                <w:sz w:val="21"/>
                <w:szCs w:val="21"/>
                <w:highlight w:val="none"/>
                <w:u w:val="single"/>
                <w:lang w:val="en-US"/>
                <w14:textFill>
                  <w14:solidFill>
                    <w14:schemeClr w14:val="tx1"/>
                  </w14:solidFill>
                </w14:textFill>
              </w:rPr>
              <w:t>0</w:t>
            </w:r>
          </w:p>
        </w:tc>
        <w:tc>
          <w:tcPr>
            <w:tcW w:w="650"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u w:val="single"/>
                <w:lang w:val="en-US" w:eastAsia="zh-CN"/>
                <w14:textFill>
                  <w14:solidFill>
                    <w14:schemeClr w14:val="tx1"/>
                  </w14:solidFill>
                </w14:textFill>
              </w:rPr>
            </w:pPr>
          </w:p>
        </w:tc>
        <w:tc>
          <w:tcPr>
            <w:tcW w:w="531"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u w:val="single"/>
                <w:lang w:val="zh-CN"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u w:val="single"/>
                <w14:textFill>
                  <w14:solidFill>
                    <w14:schemeClr w14:val="tx1"/>
                  </w14:solidFill>
                </w14:textFill>
              </w:rPr>
              <w:t>丙类</w:t>
            </w:r>
          </w:p>
        </w:tc>
        <w:tc>
          <w:tcPr>
            <w:tcW w:w="1192"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u w:val="singl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u w:val="single"/>
                <w:lang w:val="en-US" w:eastAsia="zh-CN"/>
                <w14:textFill>
                  <w14:solidFill>
                    <w14:schemeClr w14:val="tx1"/>
                  </w14:solidFill>
                </w14:textFill>
              </w:rPr>
              <w:t>聚丙烯桶装：190kg/桶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4" w:hRule="atLeast"/>
        </w:trPr>
        <w:tc>
          <w:tcPr>
            <w:tcW w:w="332"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u w:val="singl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u w:val="single"/>
                <w:lang w:val="zh-CN"/>
                <w14:textFill>
                  <w14:solidFill>
                    <w14:schemeClr w14:val="tx1"/>
                  </w14:solidFill>
                </w14:textFill>
              </w:rPr>
              <w:t>2</w:t>
            </w:r>
          </w:p>
        </w:tc>
        <w:tc>
          <w:tcPr>
            <w:tcW w:w="800"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u w:val="single"/>
                <w14:textFill>
                  <w14:solidFill>
                    <w14:schemeClr w14:val="tx1"/>
                  </w14:solidFill>
                </w14:textFill>
              </w:rPr>
            </w:pPr>
            <w:r>
              <w:rPr>
                <w:rFonts w:hint="eastAsia" w:ascii="宋体" w:hAnsi="宋体" w:eastAsia="宋体" w:cs="宋体"/>
                <w:b w:val="0"/>
                <w:bCs w:val="0"/>
                <w:color w:val="000000" w:themeColor="text1"/>
                <w:sz w:val="21"/>
                <w:szCs w:val="21"/>
                <w:highlight w:val="none"/>
                <w:u w:val="single"/>
                <w14:textFill>
                  <w14:solidFill>
                    <w14:schemeClr w14:val="tx1"/>
                  </w14:solidFill>
                </w14:textFill>
              </w:rPr>
              <w:t>均苯四甲酸二酐</w:t>
            </w:r>
          </w:p>
        </w:tc>
        <w:tc>
          <w:tcPr>
            <w:tcW w:w="460"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u w:val="single"/>
                <w:lang w:val="en-US"/>
                <w14:textFill>
                  <w14:solidFill>
                    <w14:schemeClr w14:val="tx1"/>
                  </w14:solidFill>
                </w14:textFill>
              </w:rPr>
            </w:pPr>
            <w:r>
              <w:rPr>
                <w:rFonts w:hint="eastAsia" w:ascii="宋体" w:hAnsi="宋体" w:eastAsia="宋体" w:cs="宋体"/>
                <w:b w:val="0"/>
                <w:bCs w:val="0"/>
                <w:color w:val="000000" w:themeColor="text1"/>
                <w:sz w:val="21"/>
                <w:szCs w:val="21"/>
                <w:highlight w:val="none"/>
                <w:u w:val="single"/>
                <w:lang w:val="en-US"/>
                <w14:textFill>
                  <w14:solidFill>
                    <w14:schemeClr w14:val="tx1"/>
                  </w14:solidFill>
                </w14:textFill>
              </w:rPr>
              <w:t>固态</w:t>
            </w:r>
          </w:p>
        </w:tc>
        <w:tc>
          <w:tcPr>
            <w:tcW w:w="564"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u w:val="singl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u w:val="single"/>
                <w:lang w:val="en-US" w:eastAsia="zh-CN"/>
                <w14:textFill>
                  <w14:solidFill>
                    <w14:schemeClr w14:val="tx1"/>
                  </w14:solidFill>
                </w14:textFill>
              </w:rPr>
              <w:t>10t</w:t>
            </w:r>
          </w:p>
        </w:tc>
        <w:tc>
          <w:tcPr>
            <w:tcW w:w="467"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u w:val="singl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u w:val="single"/>
                <w:lang w:val="en-US" w:eastAsia="zh-CN"/>
                <w14:textFill>
                  <w14:solidFill>
                    <w14:schemeClr w14:val="tx1"/>
                  </w14:solidFill>
                </w14:textFill>
              </w:rPr>
              <w:t>106.3</w:t>
            </w:r>
          </w:p>
        </w:tc>
        <w:tc>
          <w:tcPr>
            <w:tcW w:w="650"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u w:val="singl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u w:val="single"/>
                <w:lang w:val="en-US"/>
                <w14:textFill>
                  <w14:solidFill>
                    <w14:schemeClr w14:val="tx1"/>
                  </w14:solidFill>
                </w14:textFill>
              </w:rPr>
              <w:t>二楼物料中间库</w:t>
            </w:r>
          </w:p>
        </w:tc>
        <w:tc>
          <w:tcPr>
            <w:tcW w:w="531"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u w:val="singl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u w:val="single"/>
                <w14:textFill>
                  <w14:solidFill>
                    <w14:schemeClr w14:val="tx1"/>
                  </w14:solidFill>
                </w14:textFill>
              </w:rPr>
              <w:t>丙类</w:t>
            </w:r>
          </w:p>
        </w:tc>
        <w:tc>
          <w:tcPr>
            <w:tcW w:w="1192"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u w:val="singl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u w:val="single"/>
                <w:lang w:val="en-US" w:eastAsia="zh-CN"/>
                <w14:textFill>
                  <w14:solidFill>
                    <w14:schemeClr w14:val="tx1"/>
                  </w14:solidFill>
                </w14:textFill>
              </w:rPr>
              <w:t>外包装：纸箱：20kg/箱</w:t>
            </w:r>
          </w:p>
          <w:p>
            <w:pPr>
              <w:spacing w:line="240" w:lineRule="auto"/>
              <w:jc w:val="center"/>
              <w:rPr>
                <w:rFonts w:hint="eastAsia" w:ascii="宋体" w:hAnsi="宋体" w:eastAsia="宋体" w:cs="宋体"/>
                <w:b w:val="0"/>
                <w:bCs w:val="0"/>
                <w:color w:val="000000" w:themeColor="text1"/>
                <w:sz w:val="21"/>
                <w:szCs w:val="21"/>
                <w:highlight w:val="none"/>
                <w:u w:val="singl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u w:val="single"/>
                <w:lang w:val="en-US" w:eastAsia="zh-CN"/>
                <w14:textFill>
                  <w14:solidFill>
                    <w14:schemeClr w14:val="tx1"/>
                  </w14:solidFill>
                </w14:textFill>
              </w:rPr>
              <w:t>内包装：铝箔袋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9" w:hRule="atLeast"/>
        </w:trPr>
        <w:tc>
          <w:tcPr>
            <w:tcW w:w="332"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u w:val="singl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u w:val="single"/>
                <w:lang w:val="zh-CN"/>
                <w14:textFill>
                  <w14:solidFill>
                    <w14:schemeClr w14:val="tx1"/>
                  </w14:solidFill>
                </w14:textFill>
              </w:rPr>
              <w:t>3</w:t>
            </w:r>
          </w:p>
        </w:tc>
        <w:tc>
          <w:tcPr>
            <w:tcW w:w="800"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u w:val="singl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u w:val="single"/>
                <w:lang w:val="zh-CN"/>
                <w14:textFill>
                  <w14:solidFill>
                    <w14:schemeClr w14:val="tx1"/>
                  </w14:solidFill>
                </w14:textFill>
              </w:rPr>
              <w:t>4，4'-二氨基二苯醚</w:t>
            </w:r>
          </w:p>
        </w:tc>
        <w:tc>
          <w:tcPr>
            <w:tcW w:w="460"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u w:val="singl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u w:val="single"/>
                <w:lang w:val="en-US"/>
                <w14:textFill>
                  <w14:solidFill>
                    <w14:schemeClr w14:val="tx1"/>
                  </w14:solidFill>
                </w14:textFill>
              </w:rPr>
              <w:t>固态</w:t>
            </w:r>
          </w:p>
        </w:tc>
        <w:tc>
          <w:tcPr>
            <w:tcW w:w="564"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u w:val="singl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u w:val="single"/>
                <w:lang w:val="en-US" w:eastAsia="zh-CN"/>
                <w14:textFill>
                  <w14:solidFill>
                    <w14:schemeClr w14:val="tx1"/>
                  </w14:solidFill>
                </w14:textFill>
              </w:rPr>
              <w:t>10t</w:t>
            </w:r>
          </w:p>
        </w:tc>
        <w:tc>
          <w:tcPr>
            <w:tcW w:w="467"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u w:val="singl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u w:val="single"/>
                <w:lang w:val="en-US" w:eastAsia="zh-CN"/>
                <w14:textFill>
                  <w14:solidFill>
                    <w14:schemeClr w14:val="tx1"/>
                  </w14:solidFill>
                </w14:textFill>
              </w:rPr>
              <w:t>115.9</w:t>
            </w:r>
          </w:p>
        </w:tc>
        <w:tc>
          <w:tcPr>
            <w:tcW w:w="650"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u w:val="singl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u w:val="single"/>
                <w:lang w:val="en-US"/>
                <w14:textFill>
                  <w14:solidFill>
                    <w14:schemeClr w14:val="tx1"/>
                  </w14:solidFill>
                </w14:textFill>
              </w:rPr>
              <w:t>二楼物料中间库</w:t>
            </w:r>
          </w:p>
        </w:tc>
        <w:tc>
          <w:tcPr>
            <w:tcW w:w="531"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u w:val="single"/>
                <w:lang w:val="zh-CN"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u w:val="single"/>
                <w14:textFill>
                  <w14:solidFill>
                    <w14:schemeClr w14:val="tx1"/>
                  </w14:solidFill>
                </w14:textFill>
              </w:rPr>
              <w:t>丙类</w:t>
            </w:r>
          </w:p>
        </w:tc>
        <w:tc>
          <w:tcPr>
            <w:tcW w:w="1192"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u w:val="singl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u w:val="single"/>
                <w:lang w:val="en-US" w:eastAsia="zh-CN"/>
                <w14:textFill>
                  <w14:solidFill>
                    <w14:schemeClr w14:val="tx1"/>
                  </w14:solidFill>
                </w14:textFill>
              </w:rPr>
              <w:t>外包装：纸箱：20kg/箱</w:t>
            </w:r>
          </w:p>
          <w:p>
            <w:pPr>
              <w:spacing w:line="240" w:lineRule="auto"/>
              <w:jc w:val="center"/>
              <w:rPr>
                <w:rFonts w:hint="eastAsia" w:ascii="宋体" w:hAnsi="宋体" w:eastAsia="宋体" w:cs="宋体"/>
                <w:b w:val="0"/>
                <w:bCs w:val="0"/>
                <w:color w:val="000000" w:themeColor="text1"/>
                <w:sz w:val="21"/>
                <w:szCs w:val="21"/>
                <w:highlight w:val="none"/>
                <w:u w:val="singl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u w:val="single"/>
                <w:lang w:val="en-US" w:eastAsia="zh-CN"/>
                <w14:textFill>
                  <w14:solidFill>
                    <w14:schemeClr w14:val="tx1"/>
                  </w14:solidFill>
                </w14:textFill>
              </w:rPr>
              <w:t>内包装：铝箔袋</w:t>
            </w:r>
          </w:p>
        </w:tc>
      </w:tr>
    </w:tbl>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（2）主要原辅材料成分及理化性质</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0" w:firstLineChars="0"/>
        <w:jc w:val="center"/>
        <w:textAlignment w:val="auto"/>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表3.2.5-2项目主要原辅材料理化性质一览表</w:t>
      </w:r>
    </w:p>
    <w:tbl>
      <w:tblPr>
        <w:tblStyle w:val="30"/>
        <w:tblW w:w="5080"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54"/>
        <w:gridCol w:w="696"/>
        <w:gridCol w:w="595"/>
        <w:gridCol w:w="844"/>
        <w:gridCol w:w="689"/>
        <w:gridCol w:w="3634"/>
        <w:gridCol w:w="290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4" w:hRule="atLeast"/>
          <w:jc w:val="center"/>
        </w:trPr>
        <w:tc>
          <w:tcPr>
            <w:tcW w:w="231"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u w:val="singl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u w:val="single"/>
                <w:lang w:val="zh-CN"/>
                <w14:textFill>
                  <w14:solidFill>
                    <w14:schemeClr w14:val="tx1"/>
                  </w14:solidFill>
                </w14:textFill>
              </w:rPr>
              <w:t>序号</w:t>
            </w:r>
          </w:p>
        </w:tc>
        <w:tc>
          <w:tcPr>
            <w:tcW w:w="354"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u w:val="singl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u w:val="single"/>
                <w:lang w:val="zh-CN"/>
                <w14:textFill>
                  <w14:solidFill>
                    <w14:schemeClr w14:val="tx1"/>
                  </w14:solidFill>
                </w14:textFill>
              </w:rPr>
              <w:t>名称</w:t>
            </w:r>
          </w:p>
        </w:tc>
        <w:tc>
          <w:tcPr>
            <w:tcW w:w="303"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u w:val="singl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u w:val="single"/>
                <w:lang w:val="zh-CN"/>
                <w14:textFill>
                  <w14:solidFill>
                    <w14:schemeClr w14:val="tx1"/>
                  </w14:solidFill>
                </w14:textFill>
              </w:rPr>
              <w:t>分子式</w:t>
            </w:r>
          </w:p>
        </w:tc>
        <w:tc>
          <w:tcPr>
            <w:tcW w:w="429"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u w:val="single"/>
                <w:lang w:val="zh-CN"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u w:val="single"/>
                <w:lang w:val="en-US" w:eastAsia="zh-CN"/>
                <w14:textFill>
                  <w14:solidFill>
                    <w14:schemeClr w14:val="tx1"/>
                  </w14:solidFill>
                </w14:textFill>
              </w:rPr>
              <w:t>分子量</w:t>
            </w:r>
          </w:p>
        </w:tc>
        <w:tc>
          <w:tcPr>
            <w:tcW w:w="351"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u w:val="singl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u w:val="single"/>
                <w:lang w:val="zh-CN"/>
                <w14:textFill>
                  <w14:solidFill>
                    <w14:schemeClr w14:val="tx1"/>
                  </w14:solidFill>
                </w14:textFill>
              </w:rPr>
              <w:t>CAS编号</w:t>
            </w:r>
          </w:p>
        </w:tc>
        <w:tc>
          <w:tcPr>
            <w:tcW w:w="1851"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u w:val="singl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u w:val="single"/>
                <w:lang w:val="zh-CN"/>
                <w14:textFill>
                  <w14:solidFill>
                    <w14:schemeClr w14:val="tx1"/>
                  </w14:solidFill>
                </w14:textFill>
              </w:rPr>
              <w:t>理化性质</w:t>
            </w:r>
          </w:p>
        </w:tc>
        <w:tc>
          <w:tcPr>
            <w:tcW w:w="1477"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u w:val="singl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u w:val="single"/>
                <w:lang w:val="zh-CN"/>
                <w14:textFill>
                  <w14:solidFill>
                    <w14:schemeClr w14:val="tx1"/>
                  </w14:solidFill>
                </w14:textFill>
              </w:rPr>
              <w:t>毒理毒性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47" w:hRule="atLeast"/>
          <w:jc w:val="center"/>
        </w:trPr>
        <w:tc>
          <w:tcPr>
            <w:tcW w:w="231"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u w:val="single"/>
                <w:lang w:val="zh-CN"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u w:val="single"/>
                <w:lang w:val="en-US" w:eastAsia="zh-CN"/>
                <w14:textFill>
                  <w14:solidFill>
                    <w14:schemeClr w14:val="tx1"/>
                  </w14:solidFill>
                </w14:textFill>
              </w:rPr>
              <w:t>1</w:t>
            </w:r>
          </w:p>
        </w:tc>
        <w:tc>
          <w:tcPr>
            <w:tcW w:w="354"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u w:val="singl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u w:val="single"/>
                <w:lang w:val="zh-CN"/>
                <w14:textFill>
                  <w14:solidFill>
                    <w14:schemeClr w14:val="tx1"/>
                  </w14:solidFill>
                </w14:textFill>
              </w:rPr>
              <w:t>DMAC</w:t>
            </w:r>
          </w:p>
        </w:tc>
        <w:tc>
          <w:tcPr>
            <w:tcW w:w="303"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u w:val="singl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u w:val="single"/>
                <w:lang w:val="zh-CN"/>
                <w14:textFill>
                  <w14:solidFill>
                    <w14:schemeClr w14:val="tx1"/>
                  </w14:solidFill>
                </w14:textFill>
              </w:rPr>
              <w:t>C4H9NO</w:t>
            </w:r>
          </w:p>
        </w:tc>
        <w:tc>
          <w:tcPr>
            <w:tcW w:w="429"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u w:val="singl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u w:val="single"/>
                <w:lang w:val="zh-CN"/>
                <w14:textFill>
                  <w14:solidFill>
                    <w14:schemeClr w14:val="tx1"/>
                  </w14:solidFill>
                </w14:textFill>
              </w:rPr>
              <w:t>87.12</w:t>
            </w:r>
          </w:p>
        </w:tc>
        <w:tc>
          <w:tcPr>
            <w:tcW w:w="351"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u w:val="singl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u w:val="single"/>
                <w:lang w:val="zh-CN"/>
                <w14:textFill>
                  <w14:solidFill>
                    <w14:schemeClr w14:val="tx1"/>
                  </w14:solidFill>
                </w14:textFill>
              </w:rPr>
              <w:t>127-19-5</w:t>
            </w:r>
          </w:p>
        </w:tc>
        <w:tc>
          <w:tcPr>
            <w:tcW w:w="1851"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u w:val="singl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u w:val="single"/>
                <w:lang w:val="zh-CN"/>
                <w14:textFill>
                  <w14:solidFill>
                    <w14:schemeClr w14:val="tx1"/>
                  </w14:solidFill>
                </w14:textFill>
              </w:rPr>
              <w:t>【外观】无色带有弱胺味的液体。</w:t>
            </w:r>
          </w:p>
          <w:p>
            <w:pPr>
              <w:spacing w:line="240" w:lineRule="auto"/>
              <w:jc w:val="center"/>
              <w:rPr>
                <w:rFonts w:hint="eastAsia" w:ascii="宋体" w:hAnsi="宋体" w:eastAsia="宋体" w:cs="宋体"/>
                <w:b w:val="0"/>
                <w:bCs w:val="0"/>
                <w:color w:val="000000" w:themeColor="text1"/>
                <w:sz w:val="21"/>
                <w:szCs w:val="21"/>
                <w:highlight w:val="none"/>
                <w:u w:val="singl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u w:val="single"/>
                <w:lang w:val="zh-CN"/>
                <w14:textFill>
                  <w14:solidFill>
                    <w14:schemeClr w14:val="tx1"/>
                  </w14:solidFill>
                </w14:textFill>
              </w:rPr>
              <w:t>【物化常数】沸点163～165℃，熔点-18.59℃，蒸气2mmHg/25℃，相对密度0.9366/25℃/4℃，蒸气相对密度3.01，辛醇/水分配系数logKow=-0.77，溶于苯、醇、丙酮、醚等有机溶剂中，与水互溶。嗅阈值21.4ppm(50%识别)，46.8ppm(100%识别)，100ppm或163.8mg/</w:t>
            </w:r>
            <w:r>
              <w:rPr>
                <w:rFonts w:hint="eastAsia" w:ascii="宋体" w:hAnsi="宋体" w:eastAsia="宋体" w:cs="宋体"/>
                <w:b w:val="0"/>
                <w:bCs w:val="0"/>
                <w:color w:val="000000" w:themeColor="text1"/>
                <w:sz w:val="21"/>
                <w:szCs w:val="21"/>
                <w:highlight w:val="none"/>
                <w:u w:val="single"/>
                <w:lang w:val="zh-CN" w:eastAsia="zh-CN"/>
                <w14:textFill>
                  <w14:solidFill>
                    <w14:schemeClr w14:val="tx1"/>
                  </w14:solidFill>
                </w14:textFill>
              </w:rPr>
              <w:t>m³</w:t>
            </w:r>
            <w:r>
              <w:rPr>
                <w:rFonts w:hint="eastAsia" w:ascii="宋体" w:hAnsi="宋体" w:eastAsia="宋体" w:cs="宋体"/>
                <w:b w:val="0"/>
                <w:bCs w:val="0"/>
                <w:color w:val="000000" w:themeColor="text1"/>
                <w:sz w:val="21"/>
                <w:szCs w:val="21"/>
                <w:highlight w:val="none"/>
                <w:u w:val="single"/>
                <w:lang w:val="zh-CN"/>
                <w14:textFill>
                  <w14:solidFill>
                    <w14:schemeClr w14:val="tx1"/>
                  </w14:solidFill>
                </w14:textFill>
              </w:rPr>
              <w:t>。【安全性质】爆炸极限1.8～11.5%，闪点70℃，自燃点490℃。</w:t>
            </w:r>
          </w:p>
        </w:tc>
        <w:tc>
          <w:tcPr>
            <w:tcW w:w="1477"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u w:val="singl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u w:val="single"/>
                <w:lang w:val="zh-CN"/>
                <w14:textFill>
                  <w14:solidFill>
                    <w14:schemeClr w14:val="tx1"/>
                  </w14:solidFill>
                </w14:textFill>
              </w:rPr>
              <w:t>急性毒性：</w:t>
            </w:r>
          </w:p>
          <w:p>
            <w:pPr>
              <w:spacing w:line="240" w:lineRule="auto"/>
              <w:jc w:val="center"/>
              <w:rPr>
                <w:rFonts w:hint="eastAsia" w:ascii="宋体" w:hAnsi="宋体" w:eastAsia="宋体" w:cs="宋体"/>
                <w:b w:val="0"/>
                <w:bCs w:val="0"/>
                <w:color w:val="000000" w:themeColor="text1"/>
                <w:sz w:val="21"/>
                <w:szCs w:val="21"/>
                <w:highlight w:val="none"/>
                <w:u w:val="singl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u w:val="single"/>
                <w:lang w:val="zh-CN"/>
                <w14:textFill>
                  <w14:solidFill>
                    <w14:schemeClr w14:val="tx1"/>
                  </w14:solidFill>
                </w14:textFill>
              </w:rPr>
              <w:t>LD50：大鼠经口5.4mL/kg，大鼠雄经口5809mg/kg，雌经口4390mg/kg，腹腔注射2750mg/kg，静脉注射2640mg/kg，皮肤＞2000mg/kg，小鼠腹腔注射3240mg/kg，或2800mg/kg，静脉注射3020mg/kg，经口4620mg/kg，皮肤9600mg/kg，LC50：</w:t>
            </w:r>
          </w:p>
          <w:p>
            <w:pPr>
              <w:spacing w:line="240" w:lineRule="auto"/>
              <w:jc w:val="center"/>
              <w:rPr>
                <w:rFonts w:hint="eastAsia" w:ascii="宋体" w:hAnsi="宋体" w:eastAsia="宋体" w:cs="宋体"/>
                <w:b w:val="0"/>
                <w:bCs w:val="0"/>
                <w:color w:val="000000" w:themeColor="text1"/>
                <w:sz w:val="21"/>
                <w:szCs w:val="21"/>
                <w:highlight w:val="none"/>
                <w:u w:val="singl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u w:val="single"/>
                <w:lang w:val="zh-CN"/>
                <w14:textFill>
                  <w14:solidFill>
                    <w14:schemeClr w14:val="tx1"/>
                  </w14:solidFill>
                </w14:textFill>
              </w:rPr>
              <w:t>大鼠吸入2475ppm/1hr，未被IARC列为致癌物质。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72" w:hRule="atLeast"/>
          <w:jc w:val="center"/>
        </w:trPr>
        <w:tc>
          <w:tcPr>
            <w:tcW w:w="231"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u w:val="singl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u w:val="single"/>
                <w:lang w:val="en-US" w:eastAsia="zh-CN"/>
                <w14:textFill>
                  <w14:solidFill>
                    <w14:schemeClr w14:val="tx1"/>
                  </w14:solidFill>
                </w14:textFill>
              </w:rPr>
              <w:t>2</w:t>
            </w:r>
          </w:p>
        </w:tc>
        <w:tc>
          <w:tcPr>
            <w:tcW w:w="354"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u w:val="single"/>
                <w:lang w:val="en-US"/>
                <w14:textFill>
                  <w14:solidFill>
                    <w14:schemeClr w14:val="tx1"/>
                  </w14:solidFill>
                </w14:textFill>
              </w:rPr>
            </w:pPr>
            <w:r>
              <w:rPr>
                <w:rFonts w:hint="eastAsia" w:ascii="宋体" w:hAnsi="宋体" w:eastAsia="宋体" w:cs="宋体"/>
                <w:b w:val="0"/>
                <w:bCs w:val="0"/>
                <w:color w:val="000000" w:themeColor="text1"/>
                <w:sz w:val="21"/>
                <w:szCs w:val="21"/>
                <w:highlight w:val="none"/>
                <w:u w:val="single"/>
                <w:lang w:val="zh-CN"/>
                <w14:textFill>
                  <w14:solidFill>
                    <w14:schemeClr w14:val="tx1"/>
                  </w14:solidFill>
                </w14:textFill>
              </w:rPr>
              <w:t>均苯四甲酸二酐</w:t>
            </w:r>
            <w:r>
              <w:rPr>
                <w:rFonts w:hint="eastAsia" w:ascii="宋体" w:hAnsi="宋体" w:eastAsia="宋体" w:cs="宋体"/>
                <w:b w:val="0"/>
                <w:bCs w:val="0"/>
                <w:color w:val="000000" w:themeColor="text1"/>
                <w:sz w:val="21"/>
                <w:szCs w:val="21"/>
                <w:highlight w:val="none"/>
                <w:u w:val="single"/>
                <w:lang w:val="en-US"/>
                <w14:textFill>
                  <w14:solidFill>
                    <w14:schemeClr w14:val="tx1"/>
                  </w14:solidFill>
                </w14:textFill>
              </w:rPr>
              <w:t>(PMDA)</w:t>
            </w:r>
          </w:p>
        </w:tc>
        <w:tc>
          <w:tcPr>
            <w:tcW w:w="303"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u w:val="singl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u w:val="single"/>
                <w:lang w:val="zh-CN"/>
                <w14:textFill>
                  <w14:solidFill>
                    <w14:schemeClr w14:val="tx1"/>
                  </w14:solidFill>
                </w14:textFill>
              </w:rPr>
              <w:t>C10H2O6</w:t>
            </w:r>
          </w:p>
        </w:tc>
        <w:tc>
          <w:tcPr>
            <w:tcW w:w="429"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u w:val="singl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u w:val="single"/>
                <w:lang w:val="en-US"/>
                <w14:textFill>
                  <w14:solidFill>
                    <w14:schemeClr w14:val="tx1"/>
                  </w14:solidFill>
                </w14:textFill>
              </w:rPr>
              <w:t>218</w:t>
            </w:r>
          </w:p>
        </w:tc>
        <w:tc>
          <w:tcPr>
            <w:tcW w:w="351"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u w:val="single"/>
                <w:lang w:val="zh-CN" w:eastAsia="zh-CN"/>
                <w14:textFill>
                  <w14:solidFill>
                    <w14:schemeClr w14:val="tx1"/>
                  </w14:solidFill>
                </w14:textFill>
              </w:rPr>
            </w:pPr>
          </w:p>
          <w:p>
            <w:pPr>
              <w:spacing w:line="240" w:lineRule="auto"/>
              <w:jc w:val="center"/>
              <w:rPr>
                <w:rFonts w:hint="eastAsia" w:ascii="宋体" w:hAnsi="宋体" w:eastAsia="宋体" w:cs="宋体"/>
                <w:b w:val="0"/>
                <w:bCs w:val="0"/>
                <w:color w:val="000000" w:themeColor="text1"/>
                <w:sz w:val="21"/>
                <w:szCs w:val="21"/>
                <w:highlight w:val="none"/>
                <w:u w:val="singl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u w:val="single"/>
                <w:lang w:val="zh-CN"/>
                <w14:textFill>
                  <w14:solidFill>
                    <w14:schemeClr w14:val="tx1"/>
                  </w14:solidFill>
                </w14:textFill>
              </w:rPr>
              <w:t>89-32-7</w:t>
            </w:r>
          </w:p>
        </w:tc>
        <w:tc>
          <w:tcPr>
            <w:tcW w:w="1851"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u w:val="singl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u w:val="single"/>
                <w:lang w:val="zh-CN"/>
                <w14:textFill>
                  <w14:solidFill>
                    <w14:schemeClr w14:val="tx1"/>
                  </w14:solidFill>
                </w14:textFill>
              </w:rPr>
              <w:t>均苯四甲酸二酐，简称均酐，纯品为白色或微黄色结晶，熔点191.5℃、沸点397～400℃，,闪点380℃，比重1.680,相对密度1.315。分子式 C10H2O6，分子量218.12</w:t>
            </w:r>
          </w:p>
        </w:tc>
        <w:tc>
          <w:tcPr>
            <w:tcW w:w="1477"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u w:val="singl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u w:val="single"/>
                <w:lang w:val="zh-CN"/>
                <w14:textFill>
                  <w14:solidFill>
                    <w14:schemeClr w14:val="tx1"/>
                  </w14:solidFill>
                </w14:textFill>
              </w:rPr>
              <w:t>半数致死剂量(LD50)经口-大鼠2250mg/kg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72" w:hRule="atLeast"/>
          <w:jc w:val="center"/>
        </w:trPr>
        <w:tc>
          <w:tcPr>
            <w:tcW w:w="231"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u w:val="singl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u w:val="single"/>
                <w:lang w:val="en-US" w:eastAsia="zh-CN"/>
                <w14:textFill>
                  <w14:solidFill>
                    <w14:schemeClr w14:val="tx1"/>
                  </w14:solidFill>
                </w14:textFill>
              </w:rPr>
              <w:t>3</w:t>
            </w:r>
          </w:p>
        </w:tc>
        <w:tc>
          <w:tcPr>
            <w:tcW w:w="354"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u w:val="single"/>
                <w:lang w:val="en-US"/>
                <w14:textFill>
                  <w14:solidFill>
                    <w14:schemeClr w14:val="tx1"/>
                  </w14:solidFill>
                </w14:textFill>
              </w:rPr>
            </w:pPr>
            <w:r>
              <w:rPr>
                <w:rFonts w:hint="eastAsia" w:ascii="宋体" w:hAnsi="宋体" w:eastAsia="宋体" w:cs="宋体"/>
                <w:b w:val="0"/>
                <w:bCs w:val="0"/>
                <w:color w:val="000000" w:themeColor="text1"/>
                <w:sz w:val="21"/>
                <w:szCs w:val="21"/>
                <w:highlight w:val="none"/>
                <w:u w:val="single"/>
                <w:lang w:val="en-US"/>
                <w14:textFill>
                  <w14:solidFill>
                    <w14:schemeClr w14:val="tx1"/>
                  </w14:solidFill>
                </w14:textFill>
              </w:rPr>
              <w:t>4</w:t>
            </w:r>
            <w:r>
              <w:rPr>
                <w:rFonts w:hint="eastAsia" w:ascii="宋体" w:hAnsi="宋体" w:eastAsia="宋体" w:cs="宋体"/>
                <w:b w:val="0"/>
                <w:bCs w:val="0"/>
                <w:color w:val="000000" w:themeColor="text1"/>
                <w:sz w:val="21"/>
                <w:szCs w:val="21"/>
                <w:highlight w:val="none"/>
                <w:u w:val="single"/>
                <w:lang w:val="zh-CN"/>
                <w14:textFill>
                  <w14:solidFill>
                    <w14:schemeClr w14:val="tx1"/>
                  </w14:solidFill>
                </w14:textFill>
              </w:rPr>
              <w:t>、</w:t>
            </w:r>
            <w:r>
              <w:rPr>
                <w:rFonts w:hint="eastAsia" w:ascii="宋体" w:hAnsi="宋体" w:eastAsia="宋体" w:cs="宋体"/>
                <w:b w:val="0"/>
                <w:bCs w:val="0"/>
                <w:color w:val="000000" w:themeColor="text1"/>
                <w:sz w:val="21"/>
                <w:szCs w:val="21"/>
                <w:highlight w:val="none"/>
                <w:u w:val="single"/>
                <w:lang w:val="en-US"/>
                <w14:textFill>
                  <w14:solidFill>
                    <w14:schemeClr w14:val="tx1"/>
                  </w14:solidFill>
                </w14:textFill>
              </w:rPr>
              <w:t>4</w:t>
            </w:r>
            <w:r>
              <w:rPr>
                <w:rFonts w:hint="eastAsia" w:ascii="宋体" w:hAnsi="宋体" w:eastAsia="宋体" w:cs="宋体"/>
                <w:b w:val="0"/>
                <w:bCs w:val="0"/>
                <w:color w:val="000000" w:themeColor="text1"/>
                <w:sz w:val="21"/>
                <w:szCs w:val="21"/>
                <w:highlight w:val="none"/>
                <w:u w:val="single"/>
                <w:lang w:val="zh-CN"/>
                <w14:textFill>
                  <w14:solidFill>
                    <w14:schemeClr w14:val="tx1"/>
                  </w14:solidFill>
                </w14:textFill>
              </w:rPr>
              <w:t>、</w:t>
            </w:r>
            <w:r>
              <w:rPr>
                <w:rFonts w:hint="eastAsia" w:ascii="宋体" w:hAnsi="宋体" w:eastAsia="宋体" w:cs="宋体"/>
                <w:b w:val="0"/>
                <w:bCs w:val="0"/>
                <w:color w:val="000000" w:themeColor="text1"/>
                <w:sz w:val="21"/>
                <w:szCs w:val="21"/>
                <w:highlight w:val="none"/>
                <w:u w:val="single"/>
                <w:lang w:val="en-US"/>
                <w14:textFill>
                  <w14:solidFill>
                    <w14:schemeClr w14:val="tx1"/>
                  </w14:solidFill>
                </w14:textFill>
              </w:rPr>
              <w:t>—</w:t>
            </w:r>
            <w:r>
              <w:rPr>
                <w:rFonts w:hint="eastAsia" w:ascii="宋体" w:hAnsi="宋体" w:eastAsia="宋体" w:cs="宋体"/>
                <w:b w:val="0"/>
                <w:bCs w:val="0"/>
                <w:color w:val="000000" w:themeColor="text1"/>
                <w:sz w:val="21"/>
                <w:szCs w:val="21"/>
                <w:highlight w:val="none"/>
                <w:u w:val="single"/>
                <w:lang w:val="zh-CN"/>
                <w14:textFill>
                  <w14:solidFill>
                    <w14:schemeClr w14:val="tx1"/>
                  </w14:solidFill>
                </w14:textFill>
              </w:rPr>
              <w:t>二氨基二苯醚</w:t>
            </w:r>
            <w:r>
              <w:rPr>
                <w:rFonts w:hint="eastAsia" w:ascii="宋体" w:hAnsi="宋体" w:eastAsia="宋体" w:cs="宋体"/>
                <w:b w:val="0"/>
                <w:bCs w:val="0"/>
                <w:color w:val="000000" w:themeColor="text1"/>
                <w:sz w:val="21"/>
                <w:szCs w:val="21"/>
                <w:highlight w:val="none"/>
                <w:u w:val="single"/>
                <w:lang w:val="en-US"/>
                <w14:textFill>
                  <w14:solidFill>
                    <w14:schemeClr w14:val="tx1"/>
                  </w14:solidFill>
                </w14:textFill>
              </w:rPr>
              <w:t>(ODA)</w:t>
            </w:r>
          </w:p>
        </w:tc>
        <w:tc>
          <w:tcPr>
            <w:tcW w:w="303"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u w:val="singl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u w:val="single"/>
                <w:lang w:val="zh-CN"/>
                <w14:textFill>
                  <w14:solidFill>
                    <w14:schemeClr w14:val="tx1"/>
                  </w14:solidFill>
                </w14:textFill>
              </w:rPr>
              <w:t>C12H12N2O</w:t>
            </w:r>
          </w:p>
        </w:tc>
        <w:tc>
          <w:tcPr>
            <w:tcW w:w="429"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u w:val="single"/>
                <w:lang w:val="en-US"/>
                <w14:textFill>
                  <w14:solidFill>
                    <w14:schemeClr w14:val="tx1"/>
                  </w14:solidFill>
                </w14:textFill>
              </w:rPr>
            </w:pPr>
            <w:r>
              <w:rPr>
                <w:rFonts w:hint="eastAsia" w:ascii="宋体" w:hAnsi="宋体" w:eastAsia="宋体" w:cs="宋体"/>
                <w:b w:val="0"/>
                <w:bCs w:val="0"/>
                <w:color w:val="000000" w:themeColor="text1"/>
                <w:sz w:val="21"/>
                <w:szCs w:val="21"/>
                <w:highlight w:val="none"/>
                <w:u w:val="single"/>
                <w:lang w:val="en-US"/>
                <w14:textFill>
                  <w14:solidFill>
                    <w14:schemeClr w14:val="tx1"/>
                  </w14:solidFill>
                </w14:textFill>
              </w:rPr>
              <w:t>2</w:t>
            </w:r>
            <w:r>
              <w:rPr>
                <w:rFonts w:hint="eastAsia" w:ascii="宋体" w:hAnsi="宋体" w:eastAsia="宋体" w:cs="宋体"/>
                <w:b w:val="0"/>
                <w:bCs w:val="0"/>
                <w:color w:val="000000" w:themeColor="text1"/>
                <w:sz w:val="21"/>
                <w:szCs w:val="21"/>
                <w:highlight w:val="none"/>
                <w:u w:val="single"/>
                <w:lang w:val="en-US" w:eastAsia="zh-CN"/>
                <w14:textFill>
                  <w14:solidFill>
                    <w14:schemeClr w14:val="tx1"/>
                  </w14:solidFill>
                </w14:textFill>
              </w:rPr>
              <w:t>00</w:t>
            </w:r>
          </w:p>
        </w:tc>
        <w:tc>
          <w:tcPr>
            <w:tcW w:w="351"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u w:val="single"/>
                <w:lang w:val="zh-CN" w:eastAsia="zh-CN"/>
                <w14:textFill>
                  <w14:solidFill>
                    <w14:schemeClr w14:val="tx1"/>
                  </w14:solidFill>
                </w14:textFill>
              </w:rPr>
            </w:pPr>
          </w:p>
          <w:p>
            <w:pPr>
              <w:spacing w:line="240" w:lineRule="auto"/>
              <w:jc w:val="center"/>
              <w:rPr>
                <w:rFonts w:hint="eastAsia" w:ascii="宋体" w:hAnsi="宋体" w:eastAsia="宋体" w:cs="宋体"/>
                <w:b w:val="0"/>
                <w:bCs w:val="0"/>
                <w:color w:val="000000" w:themeColor="text1"/>
                <w:sz w:val="21"/>
                <w:szCs w:val="21"/>
                <w:highlight w:val="none"/>
                <w:u w:val="singl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u w:val="single"/>
                <w:lang w:val="zh-CN"/>
                <w14:textFill>
                  <w14:solidFill>
                    <w14:schemeClr w14:val="tx1"/>
                  </w14:solidFill>
                </w14:textFill>
              </w:rPr>
              <w:t>101-80-4</w:t>
            </w:r>
          </w:p>
        </w:tc>
        <w:tc>
          <w:tcPr>
            <w:tcW w:w="1851"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u w:val="singl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u w:val="single"/>
                <w:lang w:val="zh-CN"/>
                <w14:textFill>
                  <w14:solidFill>
                    <w14:schemeClr w14:val="tx1"/>
                  </w14:solidFill>
                </w14:textFill>
              </w:rPr>
              <w:t>灰白色或白色晶体粉末，相对密度1.216，熔点187℃，沸点大于300℃，闪点，218℃，产品有着优异的物理化学性能，能溶于DMAC（N.N-二甲基乙酰胺）、DMF（N.N-二甲基甲酰胺）、乙醇等有机溶剂，不溶于水，可溶于稀盐酸。分子式是C12H12N2O，分子量，200.24</w:t>
            </w:r>
          </w:p>
        </w:tc>
        <w:tc>
          <w:tcPr>
            <w:tcW w:w="1477"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u w:val="singl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u w:val="single"/>
                <w:lang w:val="zh-CN"/>
                <w14:textFill>
                  <w14:solidFill>
                    <w14:schemeClr w14:val="tx1"/>
                  </w14:solidFill>
                </w14:textFill>
              </w:rPr>
              <w:t>有毒，LD50：725mg/kg(大鼠经口)；685mg/kg(大鼠经口)。</w:t>
            </w:r>
          </w:p>
        </w:tc>
      </w:tr>
    </w:tbl>
    <w:p>
      <w:pPr>
        <w:pStyle w:val="8"/>
        <w:keepNext w:val="0"/>
        <w:keepLines w:val="0"/>
        <w:pageBreakBefore w:val="0"/>
        <w:kinsoku/>
        <w:wordWrap/>
        <w:overflowPunct/>
        <w:topLinePunct w:val="0"/>
        <w:bidi w:val="0"/>
        <w:adjustRightInd/>
        <w:snapToGrid/>
        <w:spacing w:line="360" w:lineRule="auto"/>
        <w:ind w:firstLine="482" w:firstLineChars="200"/>
        <w:textAlignment w:val="auto"/>
        <w:rPr>
          <w:rFonts w:hint="eastAsia" w:ascii="宋体" w:hAnsi="宋体" w:eastAsia="宋体" w:cs="宋体"/>
          <w:color w:val="000000" w:themeColor="text1"/>
          <w:highlight w:val="none"/>
          <w:lang w:val="en-US" w:eastAsia="zh-CN"/>
          <w14:textFill>
            <w14:solidFill>
              <w14:schemeClr w14:val="tx1"/>
            </w14:solidFill>
          </w14:textFill>
        </w:rPr>
      </w:pPr>
      <w:bookmarkStart w:id="317" w:name="_Toc27289"/>
      <w:r>
        <w:rPr>
          <w:rFonts w:hint="eastAsia" w:ascii="宋体" w:hAnsi="宋体" w:eastAsia="宋体" w:cs="宋体"/>
          <w:color w:val="000000" w:themeColor="text1"/>
          <w:highlight w:val="none"/>
          <w:lang w:val="en-US" w:eastAsia="zh-CN"/>
          <w14:textFill>
            <w14:solidFill>
              <w14:schemeClr w14:val="tx1"/>
            </w14:solidFill>
          </w14:textFill>
        </w:rPr>
        <w:t>3.2.6主要生产设备</w:t>
      </w:r>
      <w:bookmarkEnd w:id="317"/>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0" w:firstLineChars="0"/>
        <w:jc w:val="center"/>
        <w:textAlignment w:val="auto"/>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表3.2.6-1项目主要设备一览表</w:t>
      </w:r>
    </w:p>
    <w:tbl>
      <w:tblPr>
        <w:tblStyle w:val="30"/>
        <w:tblW w:w="5059" w:type="pct"/>
        <w:jc w:val="center"/>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autofit"/>
        <w:tblCellMar>
          <w:top w:w="0" w:type="dxa"/>
          <w:left w:w="0" w:type="dxa"/>
          <w:bottom w:w="0" w:type="dxa"/>
          <w:right w:w="0" w:type="dxa"/>
        </w:tblCellMar>
      </w:tblPr>
      <w:tblGrid>
        <w:gridCol w:w="678"/>
        <w:gridCol w:w="2442"/>
        <w:gridCol w:w="2336"/>
        <w:gridCol w:w="1469"/>
        <w:gridCol w:w="947"/>
        <w:gridCol w:w="1889"/>
      </w:tblGrid>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436" w:hRule="atLeast"/>
          <w:jc w:val="center"/>
        </w:trPr>
        <w:tc>
          <w:tcPr>
            <w:tcW w:w="347"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14:textFill>
                  <w14:solidFill>
                    <w14:schemeClr w14:val="tx1"/>
                  </w14:solidFill>
                </w14:textFill>
              </w:rPr>
              <w:t>序号</w:t>
            </w:r>
          </w:p>
        </w:tc>
        <w:tc>
          <w:tcPr>
            <w:tcW w:w="1250"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14:textFill>
                  <w14:solidFill>
                    <w14:schemeClr w14:val="tx1"/>
                  </w14:solidFill>
                </w14:textFill>
              </w:rPr>
              <w:t>设备名称</w:t>
            </w:r>
          </w:p>
        </w:tc>
        <w:tc>
          <w:tcPr>
            <w:tcW w:w="1196"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14:textFill>
                  <w14:solidFill>
                    <w14:schemeClr w14:val="tx1"/>
                  </w14:solidFill>
                </w14:textFill>
              </w:rPr>
              <w:t>型号</w:t>
            </w:r>
          </w:p>
        </w:tc>
        <w:tc>
          <w:tcPr>
            <w:tcW w:w="752"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14:textFill>
                  <w14:solidFill>
                    <w14:schemeClr w14:val="tx1"/>
                  </w14:solidFill>
                </w14:textFill>
              </w:rPr>
              <w:t>单位</w:t>
            </w:r>
          </w:p>
        </w:tc>
        <w:tc>
          <w:tcPr>
            <w:tcW w:w="485"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14:textFill>
                  <w14:solidFill>
                    <w14:schemeClr w14:val="tx1"/>
                  </w14:solidFill>
                </w14:textFill>
              </w:rPr>
              <w:t>数量</w:t>
            </w:r>
          </w:p>
        </w:tc>
        <w:tc>
          <w:tcPr>
            <w:tcW w:w="967"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424" w:hRule="atLeast"/>
          <w:jc w:val="center"/>
        </w:trPr>
        <w:tc>
          <w:tcPr>
            <w:tcW w:w="347"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14:textFill>
                  <w14:solidFill>
                    <w14:schemeClr w14:val="tx1"/>
                  </w14:solidFill>
                </w14:textFill>
              </w:rPr>
              <w:t>1</w:t>
            </w:r>
          </w:p>
        </w:tc>
        <w:tc>
          <w:tcPr>
            <w:tcW w:w="1250"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14:textFill>
                  <w14:solidFill>
                    <w14:schemeClr w14:val="tx1"/>
                  </w14:solidFill>
                </w14:textFill>
              </w:rPr>
              <w:t>计量罐</w:t>
            </w:r>
          </w:p>
        </w:tc>
        <w:tc>
          <w:tcPr>
            <w:tcW w:w="1196"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14:textFill>
                  <w14:solidFill>
                    <w14:schemeClr w14:val="tx1"/>
                  </w14:solidFill>
                </w14:textFill>
              </w:rPr>
              <w:t>2m³</w:t>
            </w:r>
          </w:p>
        </w:tc>
        <w:tc>
          <w:tcPr>
            <w:tcW w:w="752"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14:textFill>
                  <w14:solidFill>
                    <w14:schemeClr w14:val="tx1"/>
                  </w14:solidFill>
                </w14:textFill>
              </w:rPr>
              <w:t>个</w:t>
            </w:r>
          </w:p>
        </w:tc>
        <w:tc>
          <w:tcPr>
            <w:tcW w:w="485"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14:textFill>
                  <w14:solidFill>
                    <w14:schemeClr w14:val="tx1"/>
                  </w14:solidFill>
                </w14:textFill>
              </w:rPr>
              <w:t>1</w:t>
            </w:r>
          </w:p>
        </w:tc>
        <w:tc>
          <w:tcPr>
            <w:tcW w:w="967"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投料</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424" w:hRule="atLeast"/>
          <w:jc w:val="center"/>
        </w:trPr>
        <w:tc>
          <w:tcPr>
            <w:tcW w:w="347"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14:textFill>
                  <w14:solidFill>
                    <w14:schemeClr w14:val="tx1"/>
                  </w14:solidFill>
                </w14:textFill>
              </w:rPr>
              <w:t>2</w:t>
            </w:r>
          </w:p>
        </w:tc>
        <w:tc>
          <w:tcPr>
            <w:tcW w:w="1250"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14:textFill>
                  <w14:solidFill>
                    <w14:schemeClr w14:val="tx1"/>
                  </w14:solidFill>
                </w14:textFill>
              </w:rPr>
              <w:t>溶胺罐</w:t>
            </w:r>
          </w:p>
        </w:tc>
        <w:tc>
          <w:tcPr>
            <w:tcW w:w="1196"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14:textFill>
                  <w14:solidFill>
                    <w14:schemeClr w14:val="tx1"/>
                  </w14:solidFill>
                </w14:textFill>
              </w:rPr>
              <w:t>2m³</w:t>
            </w:r>
          </w:p>
        </w:tc>
        <w:tc>
          <w:tcPr>
            <w:tcW w:w="752"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14:textFill>
                  <w14:solidFill>
                    <w14:schemeClr w14:val="tx1"/>
                  </w14:solidFill>
                </w14:textFill>
              </w:rPr>
              <w:t>个</w:t>
            </w:r>
          </w:p>
        </w:tc>
        <w:tc>
          <w:tcPr>
            <w:tcW w:w="485"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14:textFill>
                  <w14:solidFill>
                    <w14:schemeClr w14:val="tx1"/>
                  </w14:solidFill>
                </w14:textFill>
              </w:rPr>
              <w:t>1</w:t>
            </w:r>
          </w:p>
        </w:tc>
        <w:tc>
          <w:tcPr>
            <w:tcW w:w="967"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424" w:hRule="atLeast"/>
          <w:jc w:val="center"/>
        </w:trPr>
        <w:tc>
          <w:tcPr>
            <w:tcW w:w="347"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14:textFill>
                  <w14:solidFill>
                    <w14:schemeClr w14:val="tx1"/>
                  </w14:solidFill>
                </w14:textFill>
              </w:rPr>
              <w:t>3</w:t>
            </w:r>
          </w:p>
        </w:tc>
        <w:tc>
          <w:tcPr>
            <w:tcW w:w="1250"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搅拌</w:t>
            </w:r>
            <w:r>
              <w:rPr>
                <w:rFonts w:hint="eastAsia" w:ascii="宋体" w:hAnsi="宋体" w:eastAsia="宋体" w:cs="宋体"/>
                <w:b w:val="0"/>
                <w:bCs w:val="0"/>
                <w:color w:val="000000" w:themeColor="text1"/>
                <w:sz w:val="21"/>
                <w:szCs w:val="21"/>
                <w:highlight w:val="none"/>
                <w:lang w:val="zh-CN"/>
                <w14:textFill>
                  <w14:solidFill>
                    <w14:schemeClr w14:val="tx1"/>
                  </w14:solidFill>
                </w14:textFill>
              </w:rPr>
              <w:t>罐</w:t>
            </w:r>
          </w:p>
        </w:tc>
        <w:tc>
          <w:tcPr>
            <w:tcW w:w="1196"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14:textFill>
                  <w14:solidFill>
                    <w14:schemeClr w14:val="tx1"/>
                  </w14:solidFill>
                </w14:textFill>
              </w:rPr>
              <w:t>2m³</w:t>
            </w:r>
          </w:p>
        </w:tc>
        <w:tc>
          <w:tcPr>
            <w:tcW w:w="752"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14:textFill>
                  <w14:solidFill>
                    <w14:schemeClr w14:val="tx1"/>
                  </w14:solidFill>
                </w14:textFill>
              </w:rPr>
              <w:t>个</w:t>
            </w:r>
          </w:p>
        </w:tc>
        <w:tc>
          <w:tcPr>
            <w:tcW w:w="485"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14:textFill>
                  <w14:solidFill>
                    <w14:schemeClr w14:val="tx1"/>
                  </w14:solidFill>
                </w14:textFill>
              </w:rPr>
              <w:t>2</w:t>
            </w:r>
          </w:p>
        </w:tc>
        <w:tc>
          <w:tcPr>
            <w:tcW w:w="967"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缩聚反应釜</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424" w:hRule="atLeast"/>
          <w:jc w:val="center"/>
        </w:trPr>
        <w:tc>
          <w:tcPr>
            <w:tcW w:w="347"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4</w:t>
            </w:r>
          </w:p>
        </w:tc>
        <w:tc>
          <w:tcPr>
            <w:tcW w:w="1250"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14:textFill>
                  <w14:solidFill>
                    <w14:schemeClr w14:val="tx1"/>
                  </w14:solidFill>
                </w14:textFill>
              </w:rPr>
              <w:t>真空泵</w:t>
            </w:r>
          </w:p>
        </w:tc>
        <w:tc>
          <w:tcPr>
            <w:tcW w:w="1196"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14:textFill>
                  <w14:solidFill>
                    <w14:schemeClr w14:val="tx1"/>
                  </w14:solidFill>
                </w14:textFill>
              </w:rPr>
              <w:t>11kW</w:t>
            </w:r>
          </w:p>
        </w:tc>
        <w:tc>
          <w:tcPr>
            <w:tcW w:w="752"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14:textFill>
                  <w14:solidFill>
                    <w14:schemeClr w14:val="tx1"/>
                  </w14:solidFill>
                </w14:textFill>
              </w:rPr>
              <w:t>台</w:t>
            </w:r>
          </w:p>
        </w:tc>
        <w:tc>
          <w:tcPr>
            <w:tcW w:w="485"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14:textFill>
                  <w14:solidFill>
                    <w14:schemeClr w14:val="tx1"/>
                  </w14:solidFill>
                </w14:textFill>
              </w:rPr>
              <w:t>2</w:t>
            </w:r>
          </w:p>
        </w:tc>
        <w:tc>
          <w:tcPr>
            <w:tcW w:w="967"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424" w:hRule="atLeast"/>
          <w:jc w:val="center"/>
        </w:trPr>
        <w:tc>
          <w:tcPr>
            <w:tcW w:w="347"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5</w:t>
            </w:r>
          </w:p>
        </w:tc>
        <w:tc>
          <w:tcPr>
            <w:tcW w:w="1250"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14:textFill>
                  <w14:solidFill>
                    <w14:schemeClr w14:val="tx1"/>
                  </w14:solidFill>
                </w14:textFill>
              </w:rPr>
              <w:t>消泡</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罐</w:t>
            </w:r>
          </w:p>
        </w:tc>
        <w:tc>
          <w:tcPr>
            <w:tcW w:w="1196"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2000L</w:t>
            </w:r>
          </w:p>
        </w:tc>
        <w:tc>
          <w:tcPr>
            <w:tcW w:w="752"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个</w:t>
            </w:r>
          </w:p>
        </w:tc>
        <w:tc>
          <w:tcPr>
            <w:tcW w:w="485"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4</w:t>
            </w:r>
          </w:p>
        </w:tc>
        <w:tc>
          <w:tcPr>
            <w:tcW w:w="967"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每条生产线配2个</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424" w:hRule="atLeast"/>
          <w:jc w:val="center"/>
        </w:trPr>
        <w:tc>
          <w:tcPr>
            <w:tcW w:w="347"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6</w:t>
            </w:r>
          </w:p>
        </w:tc>
        <w:tc>
          <w:tcPr>
            <w:tcW w:w="1250"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14:textFill>
                  <w14:solidFill>
                    <w14:schemeClr w14:val="tx1"/>
                  </w14:solidFill>
                </w14:textFill>
              </w:rPr>
              <w:t>粘度测试仪</w:t>
            </w:r>
          </w:p>
        </w:tc>
        <w:tc>
          <w:tcPr>
            <w:tcW w:w="1196"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14:textFill>
                  <w14:solidFill>
                    <w14:schemeClr w14:val="tx1"/>
                  </w14:solidFill>
                </w14:textFill>
              </w:rPr>
              <w:t>DNJ-8S数字粘度计</w:t>
            </w:r>
          </w:p>
        </w:tc>
        <w:tc>
          <w:tcPr>
            <w:tcW w:w="752"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14:textFill>
                  <w14:solidFill>
                    <w14:schemeClr w14:val="tx1"/>
                  </w14:solidFill>
                </w14:textFill>
              </w:rPr>
              <w:t>台</w:t>
            </w:r>
          </w:p>
        </w:tc>
        <w:tc>
          <w:tcPr>
            <w:tcW w:w="485"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14:textFill>
                  <w14:solidFill>
                    <w14:schemeClr w14:val="tx1"/>
                  </w14:solidFill>
                </w14:textFill>
              </w:rPr>
              <w:t>1</w:t>
            </w:r>
          </w:p>
        </w:tc>
        <w:tc>
          <w:tcPr>
            <w:tcW w:w="967"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424" w:hRule="atLeast"/>
          <w:jc w:val="center"/>
        </w:trPr>
        <w:tc>
          <w:tcPr>
            <w:tcW w:w="347"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7</w:t>
            </w:r>
          </w:p>
        </w:tc>
        <w:tc>
          <w:tcPr>
            <w:tcW w:w="1250"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14:textFill>
                  <w14:solidFill>
                    <w14:schemeClr w14:val="tx1"/>
                  </w14:solidFill>
                </w14:textFill>
              </w:rPr>
              <w:t>计量泵</w:t>
            </w:r>
          </w:p>
        </w:tc>
        <w:tc>
          <w:tcPr>
            <w:tcW w:w="1196"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14:textFill>
                  <w14:solidFill>
                    <w14:schemeClr w14:val="tx1"/>
                  </w14:solidFill>
                </w14:textFill>
              </w:rPr>
              <w:t>125CC</w:t>
            </w:r>
          </w:p>
        </w:tc>
        <w:tc>
          <w:tcPr>
            <w:tcW w:w="752"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14:textFill>
                  <w14:solidFill>
                    <w14:schemeClr w14:val="tx1"/>
                  </w14:solidFill>
                </w14:textFill>
              </w:rPr>
              <w:t>台</w:t>
            </w:r>
          </w:p>
        </w:tc>
        <w:tc>
          <w:tcPr>
            <w:tcW w:w="485"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14:textFill>
                  <w14:solidFill>
                    <w14:schemeClr w14:val="tx1"/>
                  </w14:solidFill>
                </w14:textFill>
              </w:rPr>
              <w:t>3</w:t>
            </w:r>
          </w:p>
        </w:tc>
        <w:tc>
          <w:tcPr>
            <w:tcW w:w="967"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投料</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424" w:hRule="atLeast"/>
          <w:jc w:val="center"/>
        </w:trPr>
        <w:tc>
          <w:tcPr>
            <w:tcW w:w="347"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8</w:t>
            </w:r>
          </w:p>
        </w:tc>
        <w:tc>
          <w:tcPr>
            <w:tcW w:w="1250"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14:textFill>
                  <w14:solidFill>
                    <w14:schemeClr w14:val="tx1"/>
                  </w14:solidFill>
                </w14:textFill>
              </w:rPr>
              <w:t>喂料机</w:t>
            </w:r>
          </w:p>
        </w:tc>
        <w:tc>
          <w:tcPr>
            <w:tcW w:w="1196"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14:textFill>
                  <w14:solidFill>
                    <w14:schemeClr w14:val="tx1"/>
                  </w14:solidFill>
                </w14:textFill>
              </w:rPr>
              <w:t>投料速率0.8-1.0公斤/分钟，双螺杆</w:t>
            </w:r>
          </w:p>
        </w:tc>
        <w:tc>
          <w:tcPr>
            <w:tcW w:w="752"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14:textFill>
                  <w14:solidFill>
                    <w14:schemeClr w14:val="tx1"/>
                  </w14:solidFill>
                </w14:textFill>
              </w:rPr>
              <w:t>台</w:t>
            </w:r>
          </w:p>
        </w:tc>
        <w:tc>
          <w:tcPr>
            <w:tcW w:w="485"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14:textFill>
                  <w14:solidFill>
                    <w14:schemeClr w14:val="tx1"/>
                  </w14:solidFill>
                </w14:textFill>
              </w:rPr>
              <w:t>2</w:t>
            </w:r>
          </w:p>
        </w:tc>
        <w:tc>
          <w:tcPr>
            <w:tcW w:w="967"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投料</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424" w:hRule="atLeast"/>
          <w:jc w:val="center"/>
        </w:trPr>
        <w:tc>
          <w:tcPr>
            <w:tcW w:w="347"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9</w:t>
            </w:r>
          </w:p>
        </w:tc>
        <w:tc>
          <w:tcPr>
            <w:tcW w:w="1250"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回收溶剂罐</w:t>
            </w:r>
          </w:p>
        </w:tc>
        <w:tc>
          <w:tcPr>
            <w:tcW w:w="1196"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40</w:t>
            </w:r>
            <w:r>
              <w:rPr>
                <w:rFonts w:hint="eastAsia" w:ascii="宋体" w:hAnsi="宋体" w:eastAsia="宋体" w:cs="宋体"/>
                <w:b w:val="0"/>
                <w:bCs w:val="0"/>
                <w:color w:val="000000" w:themeColor="text1"/>
                <w:sz w:val="21"/>
                <w:szCs w:val="21"/>
                <w:highlight w:val="none"/>
                <w:lang w:val="zh-CN"/>
                <w14:textFill>
                  <w14:solidFill>
                    <w14:schemeClr w14:val="tx1"/>
                  </w14:solidFill>
                </w14:textFill>
              </w:rPr>
              <w:t>m³</w:t>
            </w:r>
          </w:p>
        </w:tc>
        <w:tc>
          <w:tcPr>
            <w:tcW w:w="752"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14:textFill>
                  <w14:solidFill>
                    <w14:schemeClr w14:val="tx1"/>
                  </w14:solidFill>
                </w14:textFill>
              </w:rPr>
              <w:t>个</w:t>
            </w:r>
          </w:p>
        </w:tc>
        <w:tc>
          <w:tcPr>
            <w:tcW w:w="485"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2</w:t>
            </w:r>
          </w:p>
        </w:tc>
        <w:tc>
          <w:tcPr>
            <w:tcW w:w="967"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bidi="ar-SA"/>
                <w14:textFill>
                  <w14:solidFill>
                    <w14:schemeClr w14:val="tx1"/>
                  </w14:solidFill>
                </w14:textFill>
              </w:rPr>
              <w:t>回收溶剂</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424" w:hRule="atLeast"/>
          <w:jc w:val="center"/>
        </w:trPr>
        <w:tc>
          <w:tcPr>
            <w:tcW w:w="347"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14:textFill>
                  <w14:solidFill>
                    <w14:schemeClr w14:val="tx1"/>
                  </w14:solidFill>
                </w14:textFill>
              </w:rPr>
              <w:t>1</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0</w:t>
            </w:r>
          </w:p>
        </w:tc>
        <w:tc>
          <w:tcPr>
            <w:tcW w:w="1250"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二甲基乙酰胺储罐</w:t>
            </w:r>
          </w:p>
        </w:tc>
        <w:tc>
          <w:tcPr>
            <w:tcW w:w="1196"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40</w:t>
            </w:r>
            <w:r>
              <w:rPr>
                <w:rFonts w:hint="eastAsia" w:ascii="宋体" w:hAnsi="宋体" w:eastAsia="宋体" w:cs="宋体"/>
                <w:b w:val="0"/>
                <w:bCs w:val="0"/>
                <w:color w:val="000000" w:themeColor="text1"/>
                <w:sz w:val="21"/>
                <w:szCs w:val="21"/>
                <w:highlight w:val="none"/>
                <w:lang w:val="zh-CN"/>
                <w14:textFill>
                  <w14:solidFill>
                    <w14:schemeClr w14:val="tx1"/>
                  </w14:solidFill>
                </w14:textFill>
              </w:rPr>
              <w:t>m³</w:t>
            </w:r>
          </w:p>
        </w:tc>
        <w:tc>
          <w:tcPr>
            <w:tcW w:w="752"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14:textFill>
                  <w14:solidFill>
                    <w14:schemeClr w14:val="tx1"/>
                  </w14:solidFill>
                </w14:textFill>
              </w:rPr>
              <w:t>个</w:t>
            </w:r>
          </w:p>
        </w:tc>
        <w:tc>
          <w:tcPr>
            <w:tcW w:w="485"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2</w:t>
            </w:r>
          </w:p>
        </w:tc>
        <w:tc>
          <w:tcPr>
            <w:tcW w:w="967"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bidi="ar-SA"/>
                <w14:textFill>
                  <w14:solidFill>
                    <w14:schemeClr w14:val="tx1"/>
                  </w14:solidFill>
                </w14:textFill>
              </w:rPr>
              <w:t>原料</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424" w:hRule="atLeast"/>
          <w:jc w:val="center"/>
        </w:trPr>
        <w:tc>
          <w:tcPr>
            <w:tcW w:w="347"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14:textFill>
                  <w14:solidFill>
                    <w14:schemeClr w14:val="tx1"/>
                  </w14:solidFill>
                </w14:textFill>
              </w:rPr>
              <w:t>1</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1</w:t>
            </w:r>
          </w:p>
        </w:tc>
        <w:tc>
          <w:tcPr>
            <w:tcW w:w="1250"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14:textFill>
                  <w14:solidFill>
                    <w14:schemeClr w14:val="tx1"/>
                  </w14:solidFill>
                </w14:textFill>
              </w:rPr>
              <w:t>计量泵</w:t>
            </w:r>
          </w:p>
        </w:tc>
        <w:tc>
          <w:tcPr>
            <w:tcW w:w="1196"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14:textFill>
                  <w14:solidFill>
                    <w14:schemeClr w14:val="tx1"/>
                  </w14:solidFill>
                </w14:textFill>
              </w:rPr>
              <w:t>80CC</w:t>
            </w:r>
          </w:p>
        </w:tc>
        <w:tc>
          <w:tcPr>
            <w:tcW w:w="752"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14:textFill>
                  <w14:solidFill>
                    <w14:schemeClr w14:val="tx1"/>
                  </w14:solidFill>
                </w14:textFill>
              </w:rPr>
              <w:t>台</w:t>
            </w:r>
          </w:p>
        </w:tc>
        <w:tc>
          <w:tcPr>
            <w:tcW w:w="485"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14:textFill>
                  <w14:solidFill>
                    <w14:schemeClr w14:val="tx1"/>
                  </w14:solidFill>
                </w14:textFill>
              </w:rPr>
              <w:t>4</w:t>
            </w:r>
          </w:p>
        </w:tc>
        <w:tc>
          <w:tcPr>
            <w:tcW w:w="967"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投料</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424" w:hRule="atLeast"/>
          <w:jc w:val="center"/>
        </w:trPr>
        <w:tc>
          <w:tcPr>
            <w:tcW w:w="347"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12</w:t>
            </w:r>
          </w:p>
        </w:tc>
        <w:tc>
          <w:tcPr>
            <w:tcW w:w="1250"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14:textFill>
                  <w14:solidFill>
                    <w14:schemeClr w14:val="tx1"/>
                  </w14:solidFill>
                </w14:textFill>
              </w:rPr>
              <w:t>玻璃钢水箱+冷却塔</w:t>
            </w:r>
          </w:p>
        </w:tc>
        <w:tc>
          <w:tcPr>
            <w:tcW w:w="1196"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bidi="ar-SA"/>
                <w14:textFill>
                  <w14:solidFill>
                    <w14:schemeClr w14:val="tx1"/>
                  </w14:solidFill>
                </w14:textFill>
              </w:rPr>
              <w:t>50t/h</w:t>
            </w:r>
          </w:p>
        </w:tc>
        <w:tc>
          <w:tcPr>
            <w:tcW w:w="752"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14:textFill>
                  <w14:solidFill>
                    <w14:schemeClr w14:val="tx1"/>
                  </w14:solidFill>
                </w14:textFill>
              </w:rPr>
              <w:t>套</w:t>
            </w:r>
          </w:p>
        </w:tc>
        <w:tc>
          <w:tcPr>
            <w:tcW w:w="485"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14:textFill>
                  <w14:solidFill>
                    <w14:schemeClr w14:val="tx1"/>
                  </w14:solidFill>
                </w14:textFill>
              </w:rPr>
              <w:t>2</w:t>
            </w:r>
          </w:p>
        </w:tc>
        <w:tc>
          <w:tcPr>
            <w:tcW w:w="967"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eastAsia="zh-CN" w:bidi="ar-SA"/>
                <w14:textFill>
                  <w14:solidFill>
                    <w14:schemeClr w14:val="tx1"/>
                  </w14:solidFill>
                </w14:textFill>
              </w:rPr>
              <w:t>每条生产线备有1座50m3/h的冷却塔</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424" w:hRule="atLeast"/>
          <w:jc w:val="center"/>
        </w:trPr>
        <w:tc>
          <w:tcPr>
            <w:tcW w:w="347"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13</w:t>
            </w:r>
          </w:p>
        </w:tc>
        <w:tc>
          <w:tcPr>
            <w:tcW w:w="1250"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14:textFill>
                  <w14:solidFill>
                    <w14:schemeClr w14:val="tx1"/>
                  </w14:solidFill>
                </w14:textFill>
              </w:rPr>
              <w:t>水泵</w:t>
            </w:r>
          </w:p>
        </w:tc>
        <w:tc>
          <w:tcPr>
            <w:tcW w:w="1196"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14:textFill>
                  <w14:solidFill>
                    <w14:schemeClr w14:val="tx1"/>
                  </w14:solidFill>
                </w14:textFill>
              </w:rPr>
              <w:t>7.5KW</w:t>
            </w:r>
          </w:p>
        </w:tc>
        <w:tc>
          <w:tcPr>
            <w:tcW w:w="752"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14:textFill>
                  <w14:solidFill>
                    <w14:schemeClr w14:val="tx1"/>
                  </w14:solidFill>
                </w14:textFill>
              </w:rPr>
              <w:t>台</w:t>
            </w:r>
          </w:p>
        </w:tc>
        <w:tc>
          <w:tcPr>
            <w:tcW w:w="485"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14:textFill>
                  <w14:solidFill>
                    <w14:schemeClr w14:val="tx1"/>
                  </w14:solidFill>
                </w14:textFill>
              </w:rPr>
              <w:t>4</w:t>
            </w:r>
          </w:p>
        </w:tc>
        <w:tc>
          <w:tcPr>
            <w:tcW w:w="967"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424" w:hRule="atLeast"/>
          <w:jc w:val="center"/>
        </w:trPr>
        <w:tc>
          <w:tcPr>
            <w:tcW w:w="347"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14:textFill>
                  <w14:solidFill>
                    <w14:schemeClr w14:val="tx1"/>
                  </w14:solidFill>
                </w14:textFill>
              </w:rPr>
              <w:t>1</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4</w:t>
            </w:r>
          </w:p>
        </w:tc>
        <w:tc>
          <w:tcPr>
            <w:tcW w:w="1250"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14:textFill>
                  <w14:solidFill>
                    <w14:schemeClr w14:val="tx1"/>
                  </w14:solidFill>
                </w14:textFill>
              </w:rPr>
              <w:t>精馏塔系统</w:t>
            </w:r>
          </w:p>
        </w:tc>
        <w:tc>
          <w:tcPr>
            <w:tcW w:w="1196"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eastAsia="zh-CN" w:bidi="ar-SA"/>
                <w14:textFill>
                  <w14:solidFill>
                    <w14:schemeClr w14:val="tx1"/>
                  </w14:solidFill>
                </w14:textFill>
              </w:rPr>
            </w:pPr>
          </w:p>
        </w:tc>
        <w:tc>
          <w:tcPr>
            <w:tcW w:w="752"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14:textFill>
                  <w14:solidFill>
                    <w14:schemeClr w14:val="tx1"/>
                  </w14:solidFill>
                </w14:textFill>
              </w:rPr>
              <w:t>套</w:t>
            </w:r>
          </w:p>
        </w:tc>
        <w:tc>
          <w:tcPr>
            <w:tcW w:w="485"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14:textFill>
                  <w14:solidFill>
                    <w14:schemeClr w14:val="tx1"/>
                  </w14:solidFill>
                </w14:textFill>
              </w:rPr>
              <w:t>1</w:t>
            </w:r>
          </w:p>
        </w:tc>
        <w:tc>
          <w:tcPr>
            <w:tcW w:w="967"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bidi="ar-SA"/>
                <w14:textFill>
                  <w14:solidFill>
                    <w14:schemeClr w14:val="tx1"/>
                  </w14:solidFill>
                </w14:textFill>
              </w:rPr>
              <w:t>约30%副产进入精馏</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424" w:hRule="atLeast"/>
          <w:jc w:val="center"/>
        </w:trPr>
        <w:tc>
          <w:tcPr>
            <w:tcW w:w="347"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14:textFill>
                  <w14:solidFill>
                    <w14:schemeClr w14:val="tx1"/>
                  </w14:solidFill>
                </w14:textFill>
              </w:rPr>
              <w:t>1</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5</w:t>
            </w:r>
          </w:p>
        </w:tc>
        <w:tc>
          <w:tcPr>
            <w:tcW w:w="1250"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eastAsia="zh-CN" w:bidi="ar-SA"/>
                <w14:textFill>
                  <w14:solidFill>
                    <w14:schemeClr w14:val="tx1"/>
                  </w14:solidFill>
                </w14:textFill>
              </w:rPr>
              <w:t>真空缓冲罐</w:t>
            </w:r>
          </w:p>
        </w:tc>
        <w:tc>
          <w:tcPr>
            <w:tcW w:w="1196"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eastAsia="zh-CN" w:bidi="ar-SA"/>
                <w14:textFill>
                  <w14:solidFill>
                    <w14:schemeClr w14:val="tx1"/>
                  </w14:solidFill>
                </w14:textFill>
              </w:rPr>
              <w:t>1m³</w:t>
            </w:r>
          </w:p>
        </w:tc>
        <w:tc>
          <w:tcPr>
            <w:tcW w:w="752"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eastAsia="zh-CN" w:bidi="ar-SA"/>
                <w14:textFill>
                  <w14:solidFill>
                    <w14:schemeClr w14:val="tx1"/>
                  </w14:solidFill>
                </w14:textFill>
              </w:rPr>
              <w:t>个</w:t>
            </w:r>
          </w:p>
        </w:tc>
        <w:tc>
          <w:tcPr>
            <w:tcW w:w="485"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eastAsia="zh-CN" w:bidi="ar-SA"/>
                <w14:textFill>
                  <w14:solidFill>
                    <w14:schemeClr w14:val="tx1"/>
                  </w14:solidFill>
                </w14:textFill>
              </w:rPr>
              <w:t>1</w:t>
            </w:r>
          </w:p>
        </w:tc>
        <w:tc>
          <w:tcPr>
            <w:tcW w:w="967"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424" w:hRule="atLeast"/>
          <w:jc w:val="center"/>
        </w:trPr>
        <w:tc>
          <w:tcPr>
            <w:tcW w:w="347"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14:textFill>
                  <w14:solidFill>
                    <w14:schemeClr w14:val="tx1"/>
                  </w14:solidFill>
                </w14:textFill>
              </w:rPr>
              <w:t>1</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6</w:t>
            </w:r>
          </w:p>
        </w:tc>
        <w:tc>
          <w:tcPr>
            <w:tcW w:w="1250"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eastAsia="zh-CN" w:bidi="ar-SA"/>
                <w14:textFill>
                  <w14:solidFill>
                    <w14:schemeClr w14:val="tx1"/>
                  </w14:solidFill>
                </w14:textFill>
              </w:rPr>
              <w:t>钢带（流延炉）</w:t>
            </w:r>
          </w:p>
        </w:tc>
        <w:tc>
          <w:tcPr>
            <w:tcW w:w="1196"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eastAsia="zh-CN" w:bidi="ar-SA"/>
                <w14:textFill>
                  <w14:solidFill>
                    <w14:schemeClr w14:val="tx1"/>
                  </w14:solidFill>
                </w14:textFill>
              </w:rPr>
              <w:t>宽1.35m*长28m</w:t>
            </w:r>
          </w:p>
        </w:tc>
        <w:tc>
          <w:tcPr>
            <w:tcW w:w="752"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eastAsia="zh-CN" w:bidi="ar-SA"/>
                <w14:textFill>
                  <w14:solidFill>
                    <w14:schemeClr w14:val="tx1"/>
                  </w14:solidFill>
                </w14:textFill>
              </w:rPr>
              <w:t>条</w:t>
            </w:r>
          </w:p>
        </w:tc>
        <w:tc>
          <w:tcPr>
            <w:tcW w:w="485"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eastAsia="zh-CN" w:bidi="ar-SA"/>
                <w14:textFill>
                  <w14:solidFill>
                    <w14:schemeClr w14:val="tx1"/>
                  </w14:solidFill>
                </w14:textFill>
              </w:rPr>
              <w:t>2</w:t>
            </w:r>
          </w:p>
        </w:tc>
        <w:tc>
          <w:tcPr>
            <w:tcW w:w="967"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424" w:hRule="atLeast"/>
          <w:jc w:val="center"/>
        </w:trPr>
        <w:tc>
          <w:tcPr>
            <w:tcW w:w="347"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17</w:t>
            </w:r>
          </w:p>
        </w:tc>
        <w:tc>
          <w:tcPr>
            <w:tcW w:w="1250"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eastAsia="zh-CN" w:bidi="ar-SA"/>
                <w14:textFill>
                  <w14:solidFill>
                    <w14:schemeClr w14:val="tx1"/>
                  </w14:solidFill>
                </w14:textFill>
              </w:rPr>
              <w:t>分切机</w:t>
            </w:r>
          </w:p>
        </w:tc>
        <w:tc>
          <w:tcPr>
            <w:tcW w:w="1196"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eastAsia="zh-CN" w:bidi="ar-SA"/>
                <w14:textFill>
                  <w14:solidFill>
                    <w14:schemeClr w14:val="tx1"/>
                  </w14:solidFill>
                </w14:textFill>
              </w:rPr>
              <w:t>WFQ-1300型</w:t>
            </w:r>
          </w:p>
        </w:tc>
        <w:tc>
          <w:tcPr>
            <w:tcW w:w="752"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eastAsia="zh-CN" w:bidi="ar-SA"/>
                <w14:textFill>
                  <w14:solidFill>
                    <w14:schemeClr w14:val="tx1"/>
                  </w14:solidFill>
                </w14:textFill>
              </w:rPr>
              <w:t>台</w:t>
            </w:r>
          </w:p>
        </w:tc>
        <w:tc>
          <w:tcPr>
            <w:tcW w:w="485"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eastAsia="zh-CN" w:bidi="ar-SA"/>
                <w14:textFill>
                  <w14:solidFill>
                    <w14:schemeClr w14:val="tx1"/>
                  </w14:solidFill>
                </w14:textFill>
              </w:rPr>
              <w:t>2</w:t>
            </w:r>
          </w:p>
        </w:tc>
        <w:tc>
          <w:tcPr>
            <w:tcW w:w="967"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bidi="ar-SA"/>
                <w14:textFill>
                  <w14:solidFill>
                    <w14:schemeClr w14:val="tx1"/>
                  </w14:solidFill>
                </w14:textFill>
              </w:rPr>
              <w:t>分切工序</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424" w:hRule="atLeast"/>
          <w:jc w:val="center"/>
        </w:trPr>
        <w:tc>
          <w:tcPr>
            <w:tcW w:w="347"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18</w:t>
            </w:r>
          </w:p>
        </w:tc>
        <w:tc>
          <w:tcPr>
            <w:tcW w:w="1250"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eastAsia="zh-CN" w:bidi="ar-SA"/>
                <w14:textFill>
                  <w14:solidFill>
                    <w14:schemeClr w14:val="tx1"/>
                  </w14:solidFill>
                </w14:textFill>
              </w:rPr>
              <w:t>负压风机</w:t>
            </w:r>
          </w:p>
        </w:tc>
        <w:tc>
          <w:tcPr>
            <w:tcW w:w="1196"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eastAsia="zh-CN" w:bidi="ar-SA"/>
                <w14:textFill>
                  <w14:solidFill>
                    <w14:schemeClr w14:val="tx1"/>
                  </w14:solidFill>
                </w14:textFill>
              </w:rPr>
              <w:t>Y100L-2.3kw</w:t>
            </w:r>
          </w:p>
        </w:tc>
        <w:tc>
          <w:tcPr>
            <w:tcW w:w="752"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eastAsia="zh-CN" w:bidi="ar-SA"/>
                <w14:textFill>
                  <w14:solidFill>
                    <w14:schemeClr w14:val="tx1"/>
                  </w14:solidFill>
                </w14:textFill>
              </w:rPr>
              <w:t>台</w:t>
            </w:r>
          </w:p>
        </w:tc>
        <w:tc>
          <w:tcPr>
            <w:tcW w:w="485"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eastAsia="zh-CN" w:bidi="ar-SA"/>
                <w14:textFill>
                  <w14:solidFill>
                    <w14:schemeClr w14:val="tx1"/>
                  </w14:solidFill>
                </w14:textFill>
              </w:rPr>
              <w:t>6</w:t>
            </w:r>
          </w:p>
        </w:tc>
        <w:tc>
          <w:tcPr>
            <w:tcW w:w="967"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eastAsia="zh-CN" w:bidi="ar-SA"/>
                <w14:textFill>
                  <w14:solidFill>
                    <w14:schemeClr w14:val="tx1"/>
                  </w14:solidFill>
                </w14:textFill>
              </w:rPr>
              <w:t>3000</w:t>
            </w:r>
            <w:r>
              <w:rPr>
                <w:rFonts w:hint="eastAsia" w:cs="宋体"/>
                <w:b w:val="0"/>
                <w:bCs w:val="0"/>
                <w:color w:val="000000" w:themeColor="text1"/>
                <w:sz w:val="21"/>
                <w:szCs w:val="21"/>
                <w:highlight w:val="none"/>
                <w:lang w:val="zh-CN" w:eastAsia="zh-CN" w:bidi="ar-SA"/>
                <w14:textFill>
                  <w14:solidFill>
                    <w14:schemeClr w14:val="tx1"/>
                  </w14:solidFill>
                </w14:textFill>
              </w:rPr>
              <w:t>～</w:t>
            </w:r>
            <w:r>
              <w:rPr>
                <w:rFonts w:hint="eastAsia" w:ascii="宋体" w:hAnsi="宋体" w:eastAsia="宋体" w:cs="宋体"/>
                <w:b w:val="0"/>
                <w:bCs w:val="0"/>
                <w:color w:val="000000" w:themeColor="text1"/>
                <w:sz w:val="21"/>
                <w:szCs w:val="21"/>
                <w:highlight w:val="none"/>
                <w:lang w:val="zh-CN" w:eastAsia="zh-CN" w:bidi="ar-SA"/>
                <w14:textFill>
                  <w14:solidFill>
                    <w14:schemeClr w14:val="tx1"/>
                  </w14:solidFill>
                </w14:textFill>
              </w:rPr>
              <w:t>5000m³/h</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424" w:hRule="atLeast"/>
          <w:jc w:val="center"/>
        </w:trPr>
        <w:tc>
          <w:tcPr>
            <w:tcW w:w="347"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19</w:t>
            </w:r>
          </w:p>
        </w:tc>
        <w:tc>
          <w:tcPr>
            <w:tcW w:w="1250"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eastAsia="zh-CN" w:bidi="ar-SA"/>
                <w14:textFill>
                  <w14:solidFill>
                    <w14:schemeClr w14:val="tx1"/>
                  </w14:solidFill>
                </w14:textFill>
              </w:rPr>
              <w:t>负压风机</w:t>
            </w:r>
          </w:p>
        </w:tc>
        <w:tc>
          <w:tcPr>
            <w:tcW w:w="1196"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eastAsia="zh-CN" w:bidi="ar-SA"/>
                <w14:textFill>
                  <w14:solidFill>
                    <w14:schemeClr w14:val="tx1"/>
                  </w14:solidFill>
                </w14:textFill>
              </w:rPr>
              <w:t>2.2kw</w:t>
            </w:r>
          </w:p>
        </w:tc>
        <w:tc>
          <w:tcPr>
            <w:tcW w:w="752"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eastAsia="zh-CN" w:bidi="ar-SA"/>
                <w14:textFill>
                  <w14:solidFill>
                    <w14:schemeClr w14:val="tx1"/>
                  </w14:solidFill>
                </w14:textFill>
              </w:rPr>
              <w:t>台</w:t>
            </w:r>
          </w:p>
        </w:tc>
        <w:tc>
          <w:tcPr>
            <w:tcW w:w="485"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eastAsia="zh-CN" w:bidi="ar-SA"/>
                <w14:textFill>
                  <w14:solidFill>
                    <w14:schemeClr w14:val="tx1"/>
                  </w14:solidFill>
                </w14:textFill>
              </w:rPr>
              <w:t>2</w:t>
            </w:r>
          </w:p>
        </w:tc>
        <w:tc>
          <w:tcPr>
            <w:tcW w:w="967"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eastAsia="zh-CN" w:bidi="ar-SA"/>
                <w14:textFill>
                  <w14:solidFill>
                    <w14:schemeClr w14:val="tx1"/>
                  </w14:solidFill>
                </w14:textFill>
              </w:rPr>
              <w:t>2800</w:t>
            </w:r>
            <w:r>
              <w:rPr>
                <w:rFonts w:hint="eastAsia" w:cs="宋体"/>
                <w:b w:val="0"/>
                <w:bCs w:val="0"/>
                <w:color w:val="000000" w:themeColor="text1"/>
                <w:sz w:val="21"/>
                <w:szCs w:val="21"/>
                <w:highlight w:val="none"/>
                <w:lang w:val="zh-CN" w:eastAsia="zh-CN" w:bidi="ar-SA"/>
                <w14:textFill>
                  <w14:solidFill>
                    <w14:schemeClr w14:val="tx1"/>
                  </w14:solidFill>
                </w14:textFill>
              </w:rPr>
              <w:t>～</w:t>
            </w:r>
            <w:r>
              <w:rPr>
                <w:rFonts w:hint="eastAsia" w:ascii="宋体" w:hAnsi="宋体" w:eastAsia="宋体" w:cs="宋体"/>
                <w:b w:val="0"/>
                <w:bCs w:val="0"/>
                <w:color w:val="000000" w:themeColor="text1"/>
                <w:sz w:val="21"/>
                <w:szCs w:val="21"/>
                <w:highlight w:val="none"/>
                <w:lang w:val="zh-CN" w:eastAsia="zh-CN" w:bidi="ar-SA"/>
                <w14:textFill>
                  <w14:solidFill>
                    <w14:schemeClr w14:val="tx1"/>
                  </w14:solidFill>
                </w14:textFill>
              </w:rPr>
              <w:t>5000m³/h</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424" w:hRule="atLeast"/>
          <w:jc w:val="center"/>
        </w:trPr>
        <w:tc>
          <w:tcPr>
            <w:tcW w:w="347"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20</w:t>
            </w:r>
          </w:p>
        </w:tc>
        <w:tc>
          <w:tcPr>
            <w:tcW w:w="1250"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eastAsia="zh-CN" w:bidi="ar-SA"/>
                <w14:textFill>
                  <w14:solidFill>
                    <w14:schemeClr w14:val="tx1"/>
                  </w14:solidFill>
                </w14:textFill>
              </w:rPr>
              <w:t>流延机</w:t>
            </w:r>
          </w:p>
        </w:tc>
        <w:tc>
          <w:tcPr>
            <w:tcW w:w="1196"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eastAsia="zh-CN" w:bidi="ar-SA"/>
                <w14:textFill>
                  <w14:solidFill>
                    <w14:schemeClr w14:val="tx1"/>
                  </w14:solidFill>
                </w14:textFill>
              </w:rPr>
            </w:pPr>
          </w:p>
        </w:tc>
        <w:tc>
          <w:tcPr>
            <w:tcW w:w="752"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eastAsia="zh-CN" w:bidi="ar-SA"/>
                <w14:textFill>
                  <w14:solidFill>
                    <w14:schemeClr w14:val="tx1"/>
                  </w14:solidFill>
                </w14:textFill>
              </w:rPr>
              <w:t>套</w:t>
            </w:r>
          </w:p>
        </w:tc>
        <w:tc>
          <w:tcPr>
            <w:tcW w:w="485"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eastAsia="zh-CN" w:bidi="ar-SA"/>
                <w14:textFill>
                  <w14:solidFill>
                    <w14:schemeClr w14:val="tx1"/>
                  </w14:solidFill>
                </w14:textFill>
              </w:rPr>
              <w:t>2</w:t>
            </w:r>
          </w:p>
        </w:tc>
        <w:tc>
          <w:tcPr>
            <w:tcW w:w="967"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bidi="ar-SA"/>
                <w14:textFill>
                  <w14:solidFill>
                    <w14:schemeClr w14:val="tx1"/>
                  </w14:solidFill>
                </w14:textFill>
              </w:rPr>
              <w:t>单向拉伸</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424" w:hRule="atLeast"/>
          <w:jc w:val="center"/>
        </w:trPr>
        <w:tc>
          <w:tcPr>
            <w:tcW w:w="347"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21</w:t>
            </w:r>
          </w:p>
        </w:tc>
        <w:tc>
          <w:tcPr>
            <w:tcW w:w="1250"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eastAsia="zh-CN" w:bidi="ar-SA"/>
                <w14:textFill>
                  <w14:solidFill>
                    <w14:schemeClr w14:val="tx1"/>
                  </w14:solidFill>
                </w14:textFill>
              </w:rPr>
              <w:t>流延炉热交换器</w:t>
            </w:r>
          </w:p>
        </w:tc>
        <w:tc>
          <w:tcPr>
            <w:tcW w:w="1196"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eastAsia="zh-CN" w:bidi="ar-SA"/>
                <w14:textFill>
                  <w14:solidFill>
                    <w14:schemeClr w14:val="tx1"/>
                  </w14:solidFill>
                </w14:textFill>
              </w:rPr>
            </w:pPr>
          </w:p>
        </w:tc>
        <w:tc>
          <w:tcPr>
            <w:tcW w:w="752"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eastAsia="zh-CN" w:bidi="ar-SA"/>
                <w14:textFill>
                  <w14:solidFill>
                    <w14:schemeClr w14:val="tx1"/>
                  </w14:solidFill>
                </w14:textFill>
              </w:rPr>
              <w:t>套</w:t>
            </w:r>
          </w:p>
        </w:tc>
        <w:tc>
          <w:tcPr>
            <w:tcW w:w="485"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eastAsia="zh-CN" w:bidi="ar-SA"/>
                <w14:textFill>
                  <w14:solidFill>
                    <w14:schemeClr w14:val="tx1"/>
                  </w14:solidFill>
                </w14:textFill>
              </w:rPr>
              <w:t>4</w:t>
            </w:r>
          </w:p>
        </w:tc>
        <w:tc>
          <w:tcPr>
            <w:tcW w:w="967"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424" w:hRule="atLeast"/>
          <w:jc w:val="center"/>
        </w:trPr>
        <w:tc>
          <w:tcPr>
            <w:tcW w:w="347"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22</w:t>
            </w:r>
          </w:p>
        </w:tc>
        <w:tc>
          <w:tcPr>
            <w:tcW w:w="1250"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eastAsia="zh-CN" w:bidi="ar-SA"/>
                <w14:textFill>
                  <w14:solidFill>
                    <w14:schemeClr w14:val="tx1"/>
                  </w14:solidFill>
                </w14:textFill>
              </w:rPr>
              <w:t>亚胺化炉</w:t>
            </w:r>
          </w:p>
        </w:tc>
        <w:tc>
          <w:tcPr>
            <w:tcW w:w="1196"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eastAsia="zh-CN" w:bidi="ar-SA"/>
                <w14:textFill>
                  <w14:solidFill>
                    <w14:schemeClr w14:val="tx1"/>
                  </w14:solidFill>
                </w14:textFill>
              </w:rPr>
            </w:pPr>
          </w:p>
        </w:tc>
        <w:tc>
          <w:tcPr>
            <w:tcW w:w="752"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eastAsia="zh-CN" w:bidi="ar-SA"/>
                <w14:textFill>
                  <w14:solidFill>
                    <w14:schemeClr w14:val="tx1"/>
                  </w14:solidFill>
                </w14:textFill>
              </w:rPr>
              <w:t>套</w:t>
            </w:r>
          </w:p>
        </w:tc>
        <w:tc>
          <w:tcPr>
            <w:tcW w:w="485"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eastAsia="zh-CN" w:bidi="ar-SA"/>
                <w14:textFill>
                  <w14:solidFill>
                    <w14:schemeClr w14:val="tx1"/>
                  </w14:solidFill>
                </w14:textFill>
              </w:rPr>
              <w:t>2</w:t>
            </w:r>
          </w:p>
        </w:tc>
        <w:tc>
          <w:tcPr>
            <w:tcW w:w="967"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eastAsia="zh-CN" w:bidi="ar-SA"/>
                <w14:textFill>
                  <w14:solidFill>
                    <w14:schemeClr w14:val="tx1"/>
                  </w14:solidFill>
                </w14:textFill>
              </w:rPr>
              <w:t>设置在各流</w:t>
            </w:r>
            <w:r>
              <w:rPr>
                <w:rFonts w:hint="eastAsia" w:ascii="宋体" w:hAnsi="宋体" w:eastAsia="宋体" w:cs="宋体"/>
                <w:b w:val="0"/>
                <w:bCs w:val="0"/>
                <w:color w:val="000000" w:themeColor="text1"/>
                <w:sz w:val="21"/>
                <w:szCs w:val="21"/>
                <w:highlight w:val="none"/>
                <w:lang w:val="en-US" w:eastAsia="zh-CN" w:bidi="ar-SA"/>
                <w14:textFill>
                  <w14:solidFill>
                    <w14:schemeClr w14:val="tx1"/>
                  </w14:solidFill>
                </w14:textFill>
              </w:rPr>
              <w:t>延</w:t>
            </w:r>
            <w:r>
              <w:rPr>
                <w:rFonts w:hint="eastAsia" w:ascii="宋体" w:hAnsi="宋体" w:eastAsia="宋体" w:cs="宋体"/>
                <w:b w:val="0"/>
                <w:bCs w:val="0"/>
                <w:color w:val="000000" w:themeColor="text1"/>
                <w:sz w:val="21"/>
                <w:szCs w:val="21"/>
                <w:highlight w:val="none"/>
                <w:lang w:val="zh-CN" w:eastAsia="zh-CN" w:bidi="ar-SA"/>
                <w14:textFill>
                  <w14:solidFill>
                    <w14:schemeClr w14:val="tx1"/>
                  </w14:solidFill>
                </w14:textFill>
              </w:rPr>
              <w:t>机上</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424" w:hRule="atLeast"/>
          <w:jc w:val="center"/>
        </w:trPr>
        <w:tc>
          <w:tcPr>
            <w:tcW w:w="347"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23</w:t>
            </w:r>
          </w:p>
        </w:tc>
        <w:tc>
          <w:tcPr>
            <w:tcW w:w="1250"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eastAsia="zh-CN" w:bidi="ar-SA"/>
                <w14:textFill>
                  <w14:solidFill>
                    <w14:schemeClr w14:val="tx1"/>
                  </w14:solidFill>
                </w14:textFill>
              </w:rPr>
              <w:t>收卷装置</w:t>
            </w:r>
          </w:p>
        </w:tc>
        <w:tc>
          <w:tcPr>
            <w:tcW w:w="1196"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eastAsia="zh-CN" w:bidi="ar-SA"/>
                <w14:textFill>
                  <w14:solidFill>
                    <w14:schemeClr w14:val="tx1"/>
                  </w14:solidFill>
                </w14:textFill>
              </w:rPr>
            </w:pPr>
          </w:p>
        </w:tc>
        <w:tc>
          <w:tcPr>
            <w:tcW w:w="752"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eastAsia="zh-CN" w:bidi="ar-SA"/>
                <w14:textFill>
                  <w14:solidFill>
                    <w14:schemeClr w14:val="tx1"/>
                  </w14:solidFill>
                </w14:textFill>
              </w:rPr>
              <w:t>套</w:t>
            </w:r>
          </w:p>
        </w:tc>
        <w:tc>
          <w:tcPr>
            <w:tcW w:w="485"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eastAsia="zh-CN" w:bidi="ar-SA"/>
                <w14:textFill>
                  <w14:solidFill>
                    <w14:schemeClr w14:val="tx1"/>
                  </w14:solidFill>
                </w14:textFill>
              </w:rPr>
              <w:t>2</w:t>
            </w:r>
          </w:p>
        </w:tc>
        <w:tc>
          <w:tcPr>
            <w:tcW w:w="967"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zh-CN"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eastAsia="zh-CN" w:bidi="ar-SA"/>
                <w14:textFill>
                  <w14:solidFill>
                    <w14:schemeClr w14:val="tx1"/>
                  </w14:solidFill>
                </w14:textFill>
              </w:rPr>
              <w:t>设置在各流</w:t>
            </w:r>
            <w:r>
              <w:rPr>
                <w:rFonts w:hint="eastAsia" w:ascii="宋体" w:hAnsi="宋体" w:eastAsia="宋体" w:cs="宋体"/>
                <w:b w:val="0"/>
                <w:bCs w:val="0"/>
                <w:color w:val="000000" w:themeColor="text1"/>
                <w:sz w:val="21"/>
                <w:szCs w:val="21"/>
                <w:highlight w:val="none"/>
                <w:lang w:val="en-US" w:eastAsia="zh-CN" w:bidi="ar-SA"/>
                <w14:textFill>
                  <w14:solidFill>
                    <w14:schemeClr w14:val="tx1"/>
                  </w14:solidFill>
                </w14:textFill>
              </w:rPr>
              <w:t>延</w:t>
            </w:r>
            <w:r>
              <w:rPr>
                <w:rFonts w:hint="eastAsia" w:ascii="宋体" w:hAnsi="宋体" w:eastAsia="宋体" w:cs="宋体"/>
                <w:b w:val="0"/>
                <w:bCs w:val="0"/>
                <w:color w:val="000000" w:themeColor="text1"/>
                <w:sz w:val="21"/>
                <w:szCs w:val="21"/>
                <w:highlight w:val="none"/>
                <w:lang w:val="zh-CN" w:eastAsia="zh-CN" w:bidi="ar-SA"/>
                <w14:textFill>
                  <w14:solidFill>
                    <w14:schemeClr w14:val="tx1"/>
                  </w14:solidFill>
                </w14:textFill>
              </w:rPr>
              <w:t>机上</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424" w:hRule="atLeast"/>
          <w:jc w:val="center"/>
        </w:trPr>
        <w:tc>
          <w:tcPr>
            <w:tcW w:w="347"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24</w:t>
            </w:r>
          </w:p>
        </w:tc>
        <w:tc>
          <w:tcPr>
            <w:tcW w:w="1250"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u w:val="single"/>
                <w:lang w:val="zh-CN"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u w:val="single"/>
                <w:lang w:val="zh-CN" w:eastAsia="zh-CN" w:bidi="ar-SA"/>
                <w14:textFill>
                  <w14:solidFill>
                    <w14:schemeClr w14:val="tx1"/>
                  </w14:solidFill>
                </w14:textFill>
              </w:rPr>
              <w:t>X射线测厚仪</w:t>
            </w:r>
          </w:p>
        </w:tc>
        <w:tc>
          <w:tcPr>
            <w:tcW w:w="1196"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u w:val="single"/>
                <w:lang w:val="zh-CN" w:eastAsia="zh-CN" w:bidi="ar-SA"/>
                <w14:textFill>
                  <w14:solidFill>
                    <w14:schemeClr w14:val="tx1"/>
                  </w14:solidFill>
                </w14:textFill>
              </w:rPr>
            </w:pPr>
          </w:p>
        </w:tc>
        <w:tc>
          <w:tcPr>
            <w:tcW w:w="752"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u w:val="single"/>
                <w:lang w:val="zh-CN"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u w:val="single"/>
                <w:lang w:val="en-US" w:eastAsia="zh-CN" w:bidi="ar-SA"/>
                <w14:textFill>
                  <w14:solidFill>
                    <w14:schemeClr w14:val="tx1"/>
                  </w14:solidFill>
                </w14:textFill>
              </w:rPr>
              <w:t>套</w:t>
            </w:r>
          </w:p>
        </w:tc>
        <w:tc>
          <w:tcPr>
            <w:tcW w:w="485"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u w:val="single"/>
                <w:lang w:val="zh-CN"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u w:val="single"/>
                <w:lang w:val="en-US" w:eastAsia="zh-CN" w:bidi="ar-SA"/>
                <w14:textFill>
                  <w14:solidFill>
                    <w14:schemeClr w14:val="tx1"/>
                  </w14:solidFill>
                </w14:textFill>
              </w:rPr>
              <w:t>2</w:t>
            </w:r>
          </w:p>
        </w:tc>
        <w:tc>
          <w:tcPr>
            <w:tcW w:w="967"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u w:val="single"/>
                <w:lang w:val="zh-CN"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u w:val="single"/>
                <w:lang w:val="zh-CN" w:eastAsia="zh-CN" w:bidi="ar-SA"/>
                <w14:textFill>
                  <w14:solidFill>
                    <w14:schemeClr w14:val="tx1"/>
                  </w14:solidFill>
                </w14:textFill>
              </w:rPr>
              <w:t>为豁免射线装置，</w:t>
            </w:r>
            <w:r>
              <w:rPr>
                <w:rFonts w:hint="eastAsia" w:ascii="宋体" w:hAnsi="宋体" w:eastAsia="宋体" w:cs="宋体"/>
                <w:b w:val="0"/>
                <w:bCs w:val="0"/>
                <w:color w:val="000000" w:themeColor="text1"/>
                <w:sz w:val="21"/>
                <w:szCs w:val="21"/>
                <w:highlight w:val="none"/>
                <w:u w:val="single"/>
                <w:lang w:val="en-US" w:eastAsia="zh-CN" w:bidi="ar-SA"/>
                <w14:textFill>
                  <w14:solidFill>
                    <w14:schemeClr w14:val="tx1"/>
                  </w14:solidFill>
                </w14:textFill>
              </w:rPr>
              <w:t>豁免备案见附件</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424" w:hRule="atLeast"/>
          <w:jc w:val="center"/>
        </w:trPr>
        <w:tc>
          <w:tcPr>
            <w:tcW w:w="347"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u w:val="singl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u w:val="single"/>
                <w:lang w:val="en-US" w:eastAsia="zh-CN"/>
                <w14:textFill>
                  <w14:solidFill>
                    <w14:schemeClr w14:val="tx1"/>
                  </w14:solidFill>
                </w14:textFill>
              </w:rPr>
              <w:t>25</w:t>
            </w:r>
          </w:p>
        </w:tc>
        <w:tc>
          <w:tcPr>
            <w:tcW w:w="1250"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u w:val="single"/>
                <w:lang w:val="zh-CN"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u w:val="single"/>
                <w:lang w:val="en-US" w:eastAsia="zh-CN" w:bidi="ar-SA"/>
                <w14:textFill>
                  <w14:solidFill>
                    <w14:schemeClr w14:val="tx1"/>
                  </w14:solidFill>
                </w14:textFill>
              </w:rPr>
              <w:t>电晕机</w:t>
            </w:r>
          </w:p>
        </w:tc>
        <w:tc>
          <w:tcPr>
            <w:tcW w:w="1196"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u w:val="single"/>
                <w:lang w:val="zh-CN"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u w:val="single"/>
                <w:lang w:val="zh-CN" w:eastAsia="zh-CN" w:bidi="ar-SA"/>
                <w14:textFill>
                  <w14:solidFill>
                    <w14:schemeClr w14:val="tx1"/>
                  </w14:solidFill>
                </w14:textFill>
              </w:rPr>
              <w:t xml:space="preserve">电晕功率：12Kw </w:t>
            </w:r>
          </w:p>
        </w:tc>
        <w:tc>
          <w:tcPr>
            <w:tcW w:w="752"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u w:val="single"/>
                <w:lang w:val="en-US"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u w:val="single"/>
                <w:lang w:val="zh-CN" w:eastAsia="zh-CN" w:bidi="ar-SA"/>
                <w14:textFill>
                  <w14:solidFill>
                    <w14:schemeClr w14:val="tx1"/>
                  </w14:solidFill>
                </w14:textFill>
              </w:rPr>
              <w:t>台</w:t>
            </w:r>
          </w:p>
        </w:tc>
        <w:tc>
          <w:tcPr>
            <w:tcW w:w="485"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u w:val="single"/>
                <w:lang w:val="en-US"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u w:val="single"/>
                <w:lang w:val="zh-CN" w:eastAsia="zh-CN" w:bidi="ar-SA"/>
                <w14:textFill>
                  <w14:solidFill>
                    <w14:schemeClr w14:val="tx1"/>
                  </w14:solidFill>
                </w14:textFill>
              </w:rPr>
              <w:t>1</w:t>
            </w:r>
          </w:p>
        </w:tc>
        <w:tc>
          <w:tcPr>
            <w:tcW w:w="967"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u w:val="single"/>
                <w:lang w:val="en-US"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u w:val="single"/>
                <w:lang w:val="en-US" w:eastAsia="zh-CN" w:bidi="ar-SA"/>
                <w14:textFill>
                  <w14:solidFill>
                    <w14:schemeClr w14:val="tx1"/>
                  </w14:solidFill>
                </w14:textFill>
              </w:rPr>
              <w:t>电晕工序</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424" w:hRule="atLeast"/>
          <w:jc w:val="center"/>
        </w:trPr>
        <w:tc>
          <w:tcPr>
            <w:tcW w:w="347"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u w:val="singl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u w:val="single"/>
                <w:lang w:val="en-US" w:eastAsia="zh-CN"/>
                <w14:textFill>
                  <w14:solidFill>
                    <w14:schemeClr w14:val="tx1"/>
                  </w14:solidFill>
                </w14:textFill>
              </w:rPr>
              <w:t>26</w:t>
            </w:r>
          </w:p>
        </w:tc>
        <w:tc>
          <w:tcPr>
            <w:tcW w:w="1250"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u w:val="single"/>
                <w:lang w:val="en-US"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u w:val="single"/>
                <w:lang w:val="en-US" w:eastAsia="zh-CN" w:bidi="ar-SA"/>
                <w14:textFill>
                  <w14:solidFill>
                    <w14:schemeClr w14:val="tx1"/>
                  </w14:solidFill>
                </w14:textFill>
              </w:rPr>
              <w:t>四级冷凝回收系统</w:t>
            </w:r>
          </w:p>
        </w:tc>
        <w:tc>
          <w:tcPr>
            <w:tcW w:w="1196"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u w:val="single"/>
                <w:lang w:val="zh-CN" w:eastAsia="zh-CN" w:bidi="ar-SA"/>
                <w14:textFill>
                  <w14:solidFill>
                    <w14:schemeClr w14:val="tx1"/>
                  </w14:solidFill>
                </w14:textFill>
              </w:rPr>
            </w:pPr>
          </w:p>
        </w:tc>
        <w:tc>
          <w:tcPr>
            <w:tcW w:w="752"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u w:val="single"/>
                <w:lang w:val="en-US"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u w:val="single"/>
                <w:lang w:val="en-US" w:eastAsia="zh-CN" w:bidi="ar-SA"/>
                <w14:textFill>
                  <w14:solidFill>
                    <w14:schemeClr w14:val="tx1"/>
                  </w14:solidFill>
                </w14:textFill>
              </w:rPr>
              <w:t>套</w:t>
            </w:r>
          </w:p>
        </w:tc>
        <w:tc>
          <w:tcPr>
            <w:tcW w:w="485"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u w:val="single"/>
                <w:lang w:val="en-US"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u w:val="single"/>
                <w:lang w:val="en-US" w:eastAsia="zh-CN" w:bidi="ar-SA"/>
                <w14:textFill>
                  <w14:solidFill>
                    <w14:schemeClr w14:val="tx1"/>
                  </w14:solidFill>
                </w14:textFill>
              </w:rPr>
              <w:t>2</w:t>
            </w:r>
          </w:p>
        </w:tc>
        <w:tc>
          <w:tcPr>
            <w:tcW w:w="967"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u w:val="single"/>
                <w:lang w:val="en-US"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u w:val="single"/>
                <w:lang w:val="en-US" w:eastAsia="zh-CN" w:bidi="ar-SA"/>
                <w14:textFill>
                  <w14:solidFill>
                    <w14:schemeClr w14:val="tx1"/>
                  </w14:solidFill>
                </w14:textFill>
              </w:rPr>
              <w:t>溶剂回收</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424" w:hRule="atLeast"/>
          <w:jc w:val="center"/>
        </w:trPr>
        <w:tc>
          <w:tcPr>
            <w:tcW w:w="347"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u w:val="singl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u w:val="single"/>
                <w:lang w:val="en-US" w:eastAsia="zh-CN"/>
                <w14:textFill>
                  <w14:solidFill>
                    <w14:schemeClr w14:val="tx1"/>
                  </w14:solidFill>
                </w14:textFill>
              </w:rPr>
              <w:t>27</w:t>
            </w:r>
          </w:p>
        </w:tc>
        <w:tc>
          <w:tcPr>
            <w:tcW w:w="1250"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u w:val="single"/>
                <w:lang w:val="en-US"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u w:val="single"/>
                <w:lang w:val="en-US" w:eastAsia="zh-CN" w:bidi="ar-SA"/>
                <w14:textFill>
                  <w14:solidFill>
                    <w14:schemeClr w14:val="tx1"/>
                  </w14:solidFill>
                </w14:textFill>
              </w:rPr>
              <w:t>废气处理系统</w:t>
            </w:r>
          </w:p>
        </w:tc>
        <w:tc>
          <w:tcPr>
            <w:tcW w:w="1196"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u w:val="single"/>
                <w:lang w:val="en-US"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u w:val="single"/>
                <w:lang w:val="en-US" w:eastAsia="zh-CN" w:bidi="ar-SA"/>
                <w14:textFill>
                  <w14:solidFill>
                    <w14:schemeClr w14:val="tx1"/>
                  </w14:solidFill>
                </w14:textFill>
              </w:rPr>
              <w:t>喷淋+湿电系统</w:t>
            </w:r>
          </w:p>
        </w:tc>
        <w:tc>
          <w:tcPr>
            <w:tcW w:w="752"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u w:val="single"/>
                <w:lang w:val="en-US"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u w:val="single"/>
                <w:lang w:val="en-US" w:eastAsia="zh-CN" w:bidi="ar-SA"/>
                <w14:textFill>
                  <w14:solidFill>
                    <w14:schemeClr w14:val="tx1"/>
                  </w14:solidFill>
                </w14:textFill>
              </w:rPr>
              <w:t>套</w:t>
            </w:r>
          </w:p>
        </w:tc>
        <w:tc>
          <w:tcPr>
            <w:tcW w:w="485"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u w:val="single"/>
                <w:lang w:val="en-US"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u w:val="single"/>
                <w:lang w:val="en-US" w:eastAsia="zh-CN" w:bidi="ar-SA"/>
                <w14:textFill>
                  <w14:solidFill>
                    <w14:schemeClr w14:val="tx1"/>
                  </w14:solidFill>
                </w14:textFill>
              </w:rPr>
              <w:t>2</w:t>
            </w:r>
          </w:p>
        </w:tc>
        <w:tc>
          <w:tcPr>
            <w:tcW w:w="967" w:type="pct"/>
            <w:noWrap w:val="0"/>
            <w:vAlign w:val="center"/>
          </w:tcPr>
          <w:p>
            <w:pPr>
              <w:spacing w:line="240" w:lineRule="auto"/>
              <w:jc w:val="center"/>
              <w:rPr>
                <w:rFonts w:hint="eastAsia" w:ascii="宋体" w:hAnsi="宋体" w:eastAsia="宋体" w:cs="宋体"/>
                <w:b w:val="0"/>
                <w:bCs w:val="0"/>
                <w:color w:val="000000" w:themeColor="text1"/>
                <w:sz w:val="21"/>
                <w:szCs w:val="21"/>
                <w:highlight w:val="none"/>
                <w:u w:val="single"/>
                <w:lang w:val="en-US"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u w:val="single"/>
                <w:lang w:val="en-US" w:eastAsia="zh-CN" w:bidi="ar-SA"/>
                <w14:textFill>
                  <w14:solidFill>
                    <w14:schemeClr w14:val="tx1"/>
                  </w14:solidFill>
                </w14:textFill>
              </w:rPr>
              <w:t>废气处理</w:t>
            </w:r>
          </w:p>
        </w:tc>
      </w:tr>
    </w:tbl>
    <w:p>
      <w:pPr>
        <w:pStyle w:val="8"/>
        <w:keepNext w:val="0"/>
        <w:keepLines w:val="0"/>
        <w:pageBreakBefore w:val="0"/>
        <w:kinsoku/>
        <w:wordWrap/>
        <w:overflowPunct/>
        <w:topLinePunct w:val="0"/>
        <w:bidi w:val="0"/>
        <w:adjustRightInd/>
        <w:snapToGrid/>
        <w:spacing w:line="360" w:lineRule="auto"/>
        <w:ind w:leftChars="0" w:firstLine="482" w:firstLineChars="200"/>
        <w:textAlignment w:val="auto"/>
        <w:rPr>
          <w:rFonts w:hint="eastAsia" w:ascii="宋体" w:hAnsi="宋体" w:eastAsia="宋体" w:cs="宋体"/>
          <w:color w:val="000000" w:themeColor="text1"/>
          <w:highlight w:val="none"/>
          <w:lang w:val="en-US" w:eastAsia="zh-CN"/>
          <w14:textFill>
            <w14:solidFill>
              <w14:schemeClr w14:val="tx1"/>
            </w14:solidFill>
          </w14:textFill>
        </w:rPr>
      </w:pPr>
      <w:bookmarkStart w:id="318" w:name="_Toc26438"/>
      <w:r>
        <w:rPr>
          <w:rFonts w:hint="eastAsia" w:ascii="宋体" w:hAnsi="宋体" w:eastAsia="宋体" w:cs="宋体"/>
          <w:color w:val="000000" w:themeColor="text1"/>
          <w:highlight w:val="none"/>
          <w:lang w:val="en-US" w:eastAsia="zh-CN"/>
          <w14:textFill>
            <w14:solidFill>
              <w14:schemeClr w14:val="tx1"/>
            </w14:solidFill>
          </w14:textFill>
        </w:rPr>
        <w:t>3.2.7公用工程</w:t>
      </w:r>
      <w:bookmarkEnd w:id="318"/>
    </w:p>
    <w:p>
      <w:pPr>
        <w:pStyle w:val="33"/>
        <w:keepNext w:val="0"/>
        <w:keepLines w:val="0"/>
        <w:pageBreakBefore w:val="0"/>
        <w:widowControl w:val="0"/>
        <w:kinsoku/>
        <w:wordWrap/>
        <w:overflowPunct/>
        <w:topLinePunct w:val="0"/>
        <w:autoSpaceDE w:val="0"/>
        <w:autoSpaceDN w:val="0"/>
        <w:bidi w:val="0"/>
        <w:adjustRightInd/>
        <w:snapToGrid/>
        <w:spacing w:line="360" w:lineRule="auto"/>
        <w:ind w:leftChars="0" w:firstLine="482" w:firstLineChars="200"/>
        <w:textAlignment w:val="auto"/>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3.2.7.1给水系统</w:t>
      </w:r>
    </w:p>
    <w:p>
      <w:pPr>
        <w:keepNext w:val="0"/>
        <w:keepLines w:val="0"/>
        <w:pageBreakBefore w:val="0"/>
        <w:widowControl/>
        <w:suppressLineNumbers w:val="0"/>
        <w:kinsoku/>
        <w:wordWrap/>
        <w:overflowPunct/>
        <w:topLinePunct w:val="0"/>
        <w:autoSpaceDE/>
        <w:autoSpaceDN/>
        <w:bidi w:val="0"/>
        <w:adjustRightInd/>
        <w:snapToGrid/>
        <w:spacing w:line="360" w:lineRule="auto"/>
        <w:ind w:leftChars="0" w:firstLine="480" w:firstLineChars="200"/>
        <w:jc w:val="both"/>
        <w:textAlignment w:val="auto"/>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本地块水源为城市自来水，供水压力约为0.25MPa，绝对标高为67.4。本地块从万富路市政给水管引入一根DN200的进水管，该管为DN200消防用水生活用水共用管。另从仙月环路市政给水管引入一根DN150的进水管，该管进入地块后接室外消火栓环管。管道均设有倒流防止器，并设水表计量。两路消防用水管进入地块后与室外消火栓环管连接，并供地下室消防水池用水。</w:t>
      </w:r>
    </w:p>
    <w:p>
      <w:pPr>
        <w:keepNext w:val="0"/>
        <w:keepLines w:val="0"/>
        <w:pageBreakBefore w:val="0"/>
        <w:widowControl/>
        <w:suppressLineNumbers w:val="0"/>
        <w:kinsoku/>
        <w:wordWrap/>
        <w:overflowPunct/>
        <w:topLinePunct w:val="0"/>
        <w:autoSpaceDE/>
        <w:autoSpaceDN/>
        <w:bidi w:val="0"/>
        <w:adjustRightInd/>
        <w:snapToGrid/>
        <w:spacing w:line="360" w:lineRule="auto"/>
        <w:ind w:leftChars="0" w:firstLine="480" w:firstLineChars="20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①冷凝回收系统补充水：</w:t>
      </w:r>
      <w:r>
        <w:rPr>
          <w:rFonts w:hint="eastAsia" w:ascii="宋体" w:hAnsi="宋体" w:eastAsia="宋体" w:cs="宋体"/>
          <w:b w:val="0"/>
          <w:bCs w:val="0"/>
          <w:i w:val="0"/>
          <w:iCs w:val="0"/>
          <w:color w:val="000000" w:themeColor="text1"/>
          <w:sz w:val="24"/>
          <w:szCs w:val="24"/>
          <w14:textFill>
            <w14:solidFill>
              <w14:schemeClr w14:val="tx1"/>
            </w14:solidFill>
          </w14:textFill>
        </w:rPr>
        <w:t>本项目溶剂冷凝回收装置中冷却水由两套</w:t>
      </w:r>
      <w:r>
        <w:rPr>
          <w:rStyle w:val="79"/>
          <w:rFonts w:hint="eastAsia" w:ascii="宋体" w:hAnsi="宋体" w:eastAsia="宋体" w:cs="宋体"/>
          <w:color w:val="000000" w:themeColor="text1"/>
          <w14:textFill>
            <w14:solidFill>
              <w14:schemeClr w14:val="tx1"/>
            </w14:solidFill>
          </w14:textFill>
        </w:rPr>
        <w:t>50t/h</w:t>
      </w:r>
      <w:r>
        <w:rPr>
          <w:rFonts w:hint="eastAsia" w:ascii="宋体" w:hAnsi="宋体" w:eastAsia="宋体" w:cs="宋体"/>
          <w:b w:val="0"/>
          <w:bCs w:val="0"/>
          <w:i w:val="0"/>
          <w:iCs w:val="0"/>
          <w:color w:val="000000" w:themeColor="text1"/>
          <w:sz w:val="24"/>
          <w:szCs w:val="24"/>
          <w14:textFill>
            <w14:solidFill>
              <w14:schemeClr w14:val="tx1"/>
            </w14:solidFill>
          </w14:textFill>
        </w:rPr>
        <w:t>的冷却塔进行冷却，冷却塔配套有循环水池。</w:t>
      </w:r>
      <w:r>
        <w:rPr>
          <w:rFonts w:hint="eastAsia" w:ascii="宋体" w:hAnsi="宋体" w:eastAsia="宋体" w:cs="宋体"/>
          <w:color w:val="000000" w:themeColor="text1"/>
          <w14:textFill>
            <w14:solidFill>
              <w14:schemeClr w14:val="tx1"/>
            </w14:solidFill>
          </w14:textFill>
        </w:rPr>
        <w:t>项目循环冷却系统总循环量</w:t>
      </w:r>
      <w:r>
        <w:rPr>
          <w:rFonts w:hint="eastAsia" w:ascii="宋体" w:hAnsi="宋体" w:eastAsia="宋体" w:cs="宋体"/>
          <w:b w:val="0"/>
          <w:bCs w:val="0"/>
          <w:i w:val="0"/>
          <w:iCs w:val="0"/>
          <w:color w:val="000000" w:themeColor="text1"/>
          <w:sz w:val="24"/>
          <w:szCs w:val="24"/>
          <w14:textFill>
            <w14:solidFill>
              <w14:schemeClr w14:val="tx1"/>
            </w14:solidFill>
          </w14:textFill>
        </w:rPr>
        <w:t>为</w:t>
      </w:r>
      <w:r>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t>1</w:t>
      </w:r>
      <w:r>
        <w:rPr>
          <w:rFonts w:hint="eastAsia" w:ascii="宋体" w:hAnsi="宋体" w:eastAsia="宋体" w:cs="宋体"/>
          <w:b w:val="0"/>
          <w:bCs w:val="0"/>
          <w:i w:val="0"/>
          <w:iCs w:val="0"/>
          <w:color w:val="000000" w:themeColor="text1"/>
          <w:sz w:val="24"/>
          <w:szCs w:val="24"/>
          <w14:textFill>
            <w14:solidFill>
              <w14:schemeClr w14:val="tx1"/>
            </w14:solidFill>
          </w14:textFill>
        </w:rPr>
        <w:t>00t/h</w:t>
      </w:r>
      <w:r>
        <w:rPr>
          <w:rFonts w:hint="eastAsia" w:ascii="宋体" w:hAnsi="宋体" w:eastAsia="宋体" w:cs="宋体"/>
          <w:b w:val="0"/>
          <w:bCs w:val="0"/>
          <w:i w:val="0"/>
          <w:iCs w:val="0"/>
          <w:color w:val="000000" w:themeColor="text1"/>
          <w:sz w:val="24"/>
          <w:szCs w:val="24"/>
          <w:lang w:eastAsia="zh-CN"/>
          <w14:textFill>
            <w14:solidFill>
              <w14:schemeClr w14:val="tx1"/>
            </w14:solidFill>
          </w14:textFill>
        </w:rPr>
        <w:t>，</w:t>
      </w:r>
      <w:r>
        <w:rPr>
          <w:rFonts w:hint="eastAsia" w:ascii="宋体" w:hAnsi="宋体" w:eastAsia="宋体" w:cs="宋体"/>
          <w:b w:val="0"/>
          <w:bCs w:val="0"/>
          <w:i w:val="0"/>
          <w:iCs w:val="0"/>
          <w:color w:val="000000" w:themeColor="text1"/>
          <w:sz w:val="24"/>
          <w:szCs w:val="24"/>
          <w14:textFill>
            <w14:solidFill>
              <w14:schemeClr w14:val="tx1"/>
            </w14:solidFill>
          </w14:textFill>
        </w:rPr>
        <w:t>循环水因蒸发损失、飞溅损失，需要补充新鲜水</w:t>
      </w:r>
      <w:r>
        <w:rPr>
          <w:rFonts w:hint="eastAsia" w:ascii="宋体" w:hAnsi="宋体" w:eastAsia="宋体" w:cs="宋体"/>
          <w:b w:val="0"/>
          <w:bCs w:val="0"/>
          <w:i w:val="0"/>
          <w:iCs w:val="0"/>
          <w:color w:val="000000" w:themeColor="text1"/>
          <w:sz w:val="24"/>
          <w:szCs w:val="24"/>
          <w:lang w:eastAsia="zh-CN"/>
          <w14:textFill>
            <w14:solidFill>
              <w14:schemeClr w14:val="tx1"/>
            </w14:solidFill>
          </w14:textFill>
        </w:rPr>
        <w:t>，</w:t>
      </w:r>
      <w:r>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t>根据产品厂家相关经验参数，</w:t>
      </w:r>
      <w:r>
        <w:rPr>
          <w:rFonts w:hint="eastAsia" w:ascii="宋体" w:hAnsi="宋体" w:eastAsia="宋体" w:cs="宋体"/>
          <w:color w:val="000000" w:themeColor="text1"/>
          <w:sz w:val="24"/>
          <w:szCs w:val="24"/>
          <w14:textFill>
            <w14:solidFill>
              <w14:schemeClr w14:val="tx1"/>
            </w14:solidFill>
          </w14:textFill>
        </w:rPr>
        <w:t>补水量按循环水量的0.1%</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b w:val="0"/>
          <w:bCs w:val="0"/>
          <w:i w:val="0"/>
          <w:iCs w:val="0"/>
          <w:color w:val="000000" w:themeColor="text1"/>
          <w:sz w:val="24"/>
          <w:szCs w:val="24"/>
          <w:lang w:eastAsia="zh-CN"/>
          <w14:textFill>
            <w14:solidFill>
              <w14:schemeClr w14:val="tx1"/>
            </w14:solidFill>
          </w14:textFill>
        </w:rPr>
        <w:t>每天工作时间24小时，年工作3</w:t>
      </w:r>
      <w:r>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t>0</w:t>
      </w:r>
      <w:r>
        <w:rPr>
          <w:rFonts w:hint="eastAsia" w:ascii="宋体" w:hAnsi="宋体" w:eastAsia="宋体" w:cs="宋体"/>
          <w:b w:val="0"/>
          <w:bCs w:val="0"/>
          <w:i w:val="0"/>
          <w:iCs w:val="0"/>
          <w:color w:val="000000" w:themeColor="text1"/>
          <w:sz w:val="24"/>
          <w:szCs w:val="24"/>
          <w:lang w:eastAsia="zh-CN"/>
          <w14:textFill>
            <w14:solidFill>
              <w14:schemeClr w14:val="tx1"/>
            </w14:solidFill>
          </w14:textFill>
        </w:rPr>
        <w:t>0天，则</w:t>
      </w:r>
      <w:r>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t>循环水量为2400t/d，</w:t>
      </w:r>
      <w:r>
        <w:rPr>
          <w:rFonts w:hint="eastAsia" w:ascii="宋体" w:hAnsi="宋体" w:eastAsia="宋体" w:cs="宋体"/>
          <w:b w:val="0"/>
          <w:bCs w:val="0"/>
          <w:i w:val="0"/>
          <w:iCs w:val="0"/>
          <w:color w:val="000000" w:themeColor="text1"/>
          <w:sz w:val="24"/>
          <w:szCs w:val="24"/>
          <w:lang w:eastAsia="zh-CN"/>
          <w14:textFill>
            <w14:solidFill>
              <w14:schemeClr w14:val="tx1"/>
            </w14:solidFill>
          </w14:textFill>
        </w:rPr>
        <w:t>循环冷却补充水为</w:t>
      </w:r>
      <w:r>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t>2.4t/d</w:t>
      </w:r>
      <w:r>
        <w:rPr>
          <w:rFonts w:hint="eastAsia" w:ascii="宋体" w:hAnsi="宋体" w:eastAsia="宋体" w:cs="宋体"/>
          <w:color w:val="000000" w:themeColor="text1"/>
          <w:sz w:val="24"/>
          <w:szCs w:val="24"/>
          <w14:textFill>
            <w14:solidFill>
              <w14:schemeClr w14:val="tx1"/>
            </w14:solidFill>
          </w14:textFill>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leftChars="0" w:firstLine="480" w:firstLineChars="20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②流延机间接冷却系统补充水：</w:t>
      </w:r>
      <w:r>
        <w:rPr>
          <w:rFonts w:hint="eastAsia" w:ascii="宋体" w:hAnsi="宋体" w:eastAsia="宋体" w:cs="宋体"/>
          <w:color w:val="000000" w:themeColor="text1"/>
          <w:sz w:val="24"/>
          <w:szCs w:val="24"/>
          <w:lang w:val="en-US" w:eastAsia="zh-CN"/>
          <w14:textFill>
            <w14:solidFill>
              <w14:schemeClr w14:val="tx1"/>
            </w14:solidFill>
          </w14:textFill>
        </w:rPr>
        <w:t>每条生产线</w:t>
      </w:r>
      <w:r>
        <w:rPr>
          <w:rFonts w:hint="eastAsia" w:ascii="宋体" w:hAnsi="宋体" w:eastAsia="宋体" w:cs="宋体"/>
          <w:color w:val="000000" w:themeColor="text1"/>
          <w:sz w:val="24"/>
          <w:szCs w:val="24"/>
          <w14:textFill>
            <w14:solidFill>
              <w14:schemeClr w14:val="tx1"/>
            </w14:solidFill>
          </w14:textFill>
        </w:rPr>
        <w:t>流延机前滚冷却用水，属于间接冷却，循环水量为20m3 /h，全天运行，循环水量为480m3/d，根据产品厂家相关经验参数，补水量按循环水量的 0.1%，经核算，冷却塔补充水约为0.48m3/d。</w:t>
      </w:r>
    </w:p>
    <w:p>
      <w:pPr>
        <w:keepNext w:val="0"/>
        <w:keepLines w:val="0"/>
        <w:pageBreakBefore w:val="0"/>
        <w:widowControl/>
        <w:suppressLineNumbers w:val="0"/>
        <w:kinsoku/>
        <w:wordWrap/>
        <w:overflowPunct/>
        <w:topLinePunct w:val="0"/>
        <w:autoSpaceDE/>
        <w:autoSpaceDN/>
        <w:bidi w:val="0"/>
        <w:adjustRightInd/>
        <w:snapToGrid/>
        <w:spacing w:line="360" w:lineRule="auto"/>
        <w:ind w:leftChars="0" w:firstLine="480" w:firstLineChars="20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③喷淋塔补充水：根据业主提供的资料，项目产生的</w:t>
      </w:r>
      <w:r>
        <w:rPr>
          <w:rFonts w:hint="eastAsia" w:ascii="宋体" w:hAnsi="宋体" w:eastAsia="宋体" w:cs="宋体"/>
          <w:color w:val="000000" w:themeColor="text1"/>
          <w:sz w:val="24"/>
          <w:szCs w:val="24"/>
          <w:lang w:val="en-US" w:eastAsia="zh-CN"/>
          <w14:textFill>
            <w14:solidFill>
              <w14:schemeClr w14:val="tx1"/>
            </w14:solidFill>
          </w14:textFill>
        </w:rPr>
        <w:t>消泡和流延</w:t>
      </w:r>
      <w:r>
        <w:rPr>
          <w:rFonts w:hint="eastAsia" w:ascii="宋体" w:hAnsi="宋体" w:eastAsia="宋体" w:cs="宋体"/>
          <w:color w:val="000000" w:themeColor="text1"/>
          <w:sz w:val="24"/>
          <w:szCs w:val="24"/>
          <w14:textFill>
            <w14:solidFill>
              <w14:schemeClr w14:val="tx1"/>
            </w14:solidFill>
          </w14:textFill>
        </w:rPr>
        <w:t>废气采用三级水喷淋吸收，</w:t>
      </w:r>
      <w:r>
        <w:rPr>
          <w:rFonts w:hint="eastAsia" w:ascii="宋体" w:hAnsi="宋体" w:eastAsia="宋体" w:cs="宋体"/>
          <w:color w:val="000000" w:themeColor="text1"/>
          <w:sz w:val="24"/>
          <w:szCs w:val="24"/>
          <w:lang w:val="en-US" w:eastAsia="zh-CN"/>
          <w14:textFill>
            <w14:solidFill>
              <w14:schemeClr w14:val="tx1"/>
            </w14:solidFill>
          </w14:textFill>
        </w:rPr>
        <w:t>亚胺化废气采用二级水喷淋</w:t>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各</w:t>
      </w:r>
      <w:r>
        <w:rPr>
          <w:rFonts w:hint="eastAsia" w:ascii="宋体" w:hAnsi="宋体" w:eastAsia="宋体" w:cs="宋体"/>
          <w:color w:val="000000" w:themeColor="text1"/>
          <w:sz w:val="24"/>
          <w:szCs w:val="24"/>
          <w14:textFill>
            <w14:solidFill>
              <w14:schemeClr w14:val="tx1"/>
            </w14:solidFill>
          </w14:textFill>
        </w:rPr>
        <w:t>废气DMAC 能与水、醇、醚、酯、苯、三氯甲烷和芳香化合物等有机溶剂任意混合，根据物料平衡可知，补水量为2</w:t>
      </w:r>
      <w:r>
        <w:rPr>
          <w:rFonts w:hint="eastAsia" w:ascii="宋体" w:hAnsi="宋体" w:eastAsia="宋体" w:cs="宋体"/>
          <w:color w:val="000000" w:themeColor="text1"/>
          <w:sz w:val="24"/>
          <w:szCs w:val="24"/>
          <w:lang w:val="en-US" w:eastAsia="zh-CN"/>
          <w14:textFill>
            <w14:solidFill>
              <w14:schemeClr w14:val="tx1"/>
            </w14:solidFill>
          </w14:textFill>
        </w:rPr>
        <w:t>13.913</w:t>
      </w:r>
      <w:r>
        <w:rPr>
          <w:rFonts w:hint="eastAsia" w:ascii="宋体" w:hAnsi="宋体" w:eastAsia="宋体" w:cs="宋体"/>
          <w:color w:val="000000" w:themeColor="text1"/>
          <w:sz w:val="24"/>
          <w:szCs w:val="24"/>
          <w14:textFill>
            <w14:solidFill>
              <w14:schemeClr w14:val="tx1"/>
            </w14:solidFill>
          </w14:textFill>
        </w:rPr>
        <w:t>m3 /a（0.</w:t>
      </w:r>
      <w:r>
        <w:rPr>
          <w:rFonts w:hint="eastAsia" w:ascii="宋体" w:hAnsi="宋体" w:eastAsia="宋体" w:cs="宋体"/>
          <w:color w:val="000000" w:themeColor="text1"/>
          <w:sz w:val="24"/>
          <w:szCs w:val="24"/>
          <w:lang w:val="en-US" w:eastAsia="zh-CN"/>
          <w14:textFill>
            <w14:solidFill>
              <w14:schemeClr w14:val="tx1"/>
            </w14:solidFill>
          </w14:textFill>
        </w:rPr>
        <w:t>713</w:t>
      </w:r>
      <w:r>
        <w:rPr>
          <w:rFonts w:hint="eastAsia" w:ascii="宋体" w:hAnsi="宋体" w:eastAsia="宋体" w:cs="宋体"/>
          <w:color w:val="000000" w:themeColor="text1"/>
          <w:sz w:val="24"/>
          <w:szCs w:val="24"/>
          <w14:textFill>
            <w14:solidFill>
              <w14:schemeClr w14:val="tx1"/>
            </w14:solidFill>
          </w14:textFill>
        </w:rPr>
        <w:t>m3/d）， 收集后喷淋液全部进入副产品储罐中作为DMAC副产品定期外售。</w:t>
      </w:r>
    </w:p>
    <w:p>
      <w:pPr>
        <w:keepNext w:val="0"/>
        <w:keepLines w:val="0"/>
        <w:pageBreakBefore w:val="0"/>
        <w:widowControl/>
        <w:suppressLineNumbers w:val="0"/>
        <w:kinsoku/>
        <w:wordWrap/>
        <w:overflowPunct/>
        <w:topLinePunct w:val="0"/>
        <w:autoSpaceDE/>
        <w:autoSpaceDN/>
        <w:bidi w:val="0"/>
        <w:adjustRightInd/>
        <w:snapToGrid/>
        <w:spacing w:line="360" w:lineRule="auto"/>
        <w:ind w:leftChars="0" w:firstLine="480" w:firstLineChars="200"/>
        <w:jc w:val="both"/>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④</w:t>
      </w:r>
      <w:r>
        <w:rPr>
          <w:rFonts w:hint="eastAsia" w:ascii="宋体" w:hAnsi="宋体" w:eastAsia="宋体" w:cs="宋体"/>
          <w:bCs/>
          <w:color w:val="000000" w:themeColor="text1"/>
          <w:szCs w:val="18"/>
          <w14:textFill>
            <w14:solidFill>
              <w14:schemeClr w14:val="tx1"/>
            </w14:solidFill>
          </w14:textFill>
        </w:rPr>
        <w:t>地面保洁</w:t>
      </w:r>
      <w:r>
        <w:rPr>
          <w:rFonts w:hint="eastAsia" w:ascii="宋体" w:hAnsi="宋体" w:eastAsia="宋体" w:cs="宋体"/>
          <w:bCs/>
          <w:color w:val="000000" w:themeColor="text1"/>
          <w:szCs w:val="18"/>
          <w:lang w:val="en-US" w:eastAsia="zh-CN"/>
          <w14:textFill>
            <w14:solidFill>
              <w14:schemeClr w14:val="tx1"/>
            </w14:solidFill>
          </w14:textFill>
        </w:rPr>
        <w:t>用</w:t>
      </w:r>
      <w:r>
        <w:rPr>
          <w:rFonts w:hint="eastAsia" w:ascii="宋体" w:hAnsi="宋体" w:eastAsia="宋体" w:cs="宋体"/>
          <w:bCs/>
          <w:color w:val="000000" w:themeColor="text1"/>
          <w:szCs w:val="18"/>
          <w14:textFill>
            <w14:solidFill>
              <w14:schemeClr w14:val="tx1"/>
            </w14:solidFill>
          </w14:textFill>
        </w:rPr>
        <w:t>水</w:t>
      </w:r>
    </w:p>
    <w:p>
      <w:pPr>
        <w:keepNext w:val="0"/>
        <w:keepLines w:val="0"/>
        <w:pageBreakBefore w:val="0"/>
        <w:widowControl/>
        <w:suppressLineNumbers w:val="0"/>
        <w:kinsoku/>
        <w:wordWrap/>
        <w:overflowPunct/>
        <w:topLinePunct w:val="0"/>
        <w:autoSpaceDE/>
        <w:autoSpaceDN/>
        <w:bidi w:val="0"/>
        <w:adjustRightInd/>
        <w:snapToGrid/>
        <w:spacing w:line="360" w:lineRule="auto"/>
        <w:ind w:leftChars="0" w:firstLine="480" w:firstLineChars="200"/>
        <w:jc w:val="both"/>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厂区地面定期进行清洁，平均2天清洁一次，地面保洁用水按0.2L/m²·次，厂区生产车间需保洁面积约为3000m²，则地面保洁用水量为0.3t/d，90t/a。</w:t>
      </w:r>
      <w:r>
        <w:rPr>
          <w:rFonts w:hint="eastAsia" w:ascii="宋体" w:hAnsi="宋体" w:eastAsia="宋体" w:cs="宋体"/>
          <w:b w:val="0"/>
          <w:bCs w:val="0"/>
          <w:i w:val="0"/>
          <w:iCs w:val="0"/>
          <w:color w:val="000000" w:themeColor="text1"/>
          <w:sz w:val="24"/>
          <w:szCs w:val="24"/>
          <w14:textFill>
            <w14:solidFill>
              <w14:schemeClr w14:val="tx1"/>
            </w14:solidFill>
          </w14:textFill>
        </w:rPr>
        <w:t>废水排放系数按0.8计，车间保洁废水量为0.</w:t>
      </w:r>
      <w:r>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t>24</w:t>
      </w:r>
      <w:r>
        <w:rPr>
          <w:rFonts w:hint="eastAsia" w:ascii="宋体" w:hAnsi="宋体" w:eastAsia="宋体" w:cs="宋体"/>
          <w:b w:val="0"/>
          <w:bCs w:val="0"/>
          <w:i w:val="0"/>
          <w:iCs w:val="0"/>
          <w:color w:val="000000" w:themeColor="text1"/>
          <w:sz w:val="24"/>
          <w:szCs w:val="24"/>
          <w14:textFill>
            <w14:solidFill>
              <w14:schemeClr w14:val="tx1"/>
            </w14:solidFill>
          </w14:textFill>
        </w:rPr>
        <w:t>t/d，</w:t>
      </w:r>
      <w:r>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t>72</w:t>
      </w:r>
      <w:r>
        <w:rPr>
          <w:rFonts w:hint="eastAsia" w:ascii="宋体" w:hAnsi="宋体" w:eastAsia="宋体" w:cs="宋体"/>
          <w:b w:val="0"/>
          <w:bCs w:val="0"/>
          <w:i w:val="0"/>
          <w:iCs w:val="0"/>
          <w:color w:val="000000" w:themeColor="text1"/>
          <w:sz w:val="24"/>
          <w:szCs w:val="24"/>
          <w14:textFill>
            <w14:solidFill>
              <w14:schemeClr w14:val="tx1"/>
            </w14:solidFill>
          </w14:textFill>
        </w:rPr>
        <w:t>t/a。</w:t>
      </w:r>
    </w:p>
    <w:p>
      <w:pPr>
        <w:keepNext w:val="0"/>
        <w:keepLines w:val="0"/>
        <w:pageBreakBefore w:val="0"/>
        <w:widowControl/>
        <w:suppressLineNumbers w:val="0"/>
        <w:kinsoku/>
        <w:wordWrap/>
        <w:overflowPunct/>
        <w:topLinePunct w:val="0"/>
        <w:autoSpaceDE/>
        <w:autoSpaceDN/>
        <w:bidi w:val="0"/>
        <w:adjustRightInd/>
        <w:snapToGrid/>
        <w:spacing w:line="360" w:lineRule="auto"/>
        <w:ind w:leftChars="0" w:firstLine="480" w:firstLineChars="200"/>
        <w:jc w:val="both"/>
        <w:textAlignment w:val="auto"/>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本项目用水情况见下表</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0" w:firstLineChars="0"/>
        <w:jc w:val="center"/>
        <w:textAlignment w:val="auto"/>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表3.2.7-1  项目用排水一览表</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72"/>
        <w:gridCol w:w="3254"/>
        <w:gridCol w:w="2463"/>
        <w:gridCol w:w="24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2" w:type="dxa"/>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序号</w:t>
            </w:r>
          </w:p>
        </w:tc>
        <w:tc>
          <w:tcPr>
            <w:tcW w:w="3254" w:type="dxa"/>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名称</w:t>
            </w:r>
          </w:p>
        </w:tc>
        <w:tc>
          <w:tcPr>
            <w:tcW w:w="2463" w:type="dxa"/>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用水量t/d</w:t>
            </w:r>
          </w:p>
        </w:tc>
        <w:tc>
          <w:tcPr>
            <w:tcW w:w="2464" w:type="dxa"/>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排水量t/d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2" w:type="dxa"/>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p>
        </w:tc>
        <w:tc>
          <w:tcPr>
            <w:tcW w:w="3254" w:type="dxa"/>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冷凝回收系统补充水</w:t>
            </w:r>
          </w:p>
        </w:tc>
        <w:tc>
          <w:tcPr>
            <w:tcW w:w="2463" w:type="dxa"/>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2.4</w:t>
            </w:r>
          </w:p>
        </w:tc>
        <w:tc>
          <w:tcPr>
            <w:tcW w:w="2464" w:type="dxa"/>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2" w:type="dxa"/>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c>
          <w:tcPr>
            <w:tcW w:w="3254" w:type="dxa"/>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流延机间接冷却系统补充水</w:t>
            </w:r>
          </w:p>
        </w:tc>
        <w:tc>
          <w:tcPr>
            <w:tcW w:w="2463" w:type="dxa"/>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0.48</w:t>
            </w:r>
          </w:p>
        </w:tc>
        <w:tc>
          <w:tcPr>
            <w:tcW w:w="2464" w:type="dxa"/>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2" w:type="dxa"/>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p>
        </w:tc>
        <w:tc>
          <w:tcPr>
            <w:tcW w:w="3254" w:type="dxa"/>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喷淋塔补充水</w:t>
            </w:r>
          </w:p>
        </w:tc>
        <w:tc>
          <w:tcPr>
            <w:tcW w:w="2463" w:type="dxa"/>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0.713</w:t>
            </w:r>
          </w:p>
        </w:tc>
        <w:tc>
          <w:tcPr>
            <w:tcW w:w="2464" w:type="dxa"/>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2" w:type="dxa"/>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4</w:t>
            </w:r>
          </w:p>
        </w:tc>
        <w:tc>
          <w:tcPr>
            <w:tcW w:w="3254" w:type="dxa"/>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地面保洁用水</w:t>
            </w:r>
          </w:p>
        </w:tc>
        <w:tc>
          <w:tcPr>
            <w:tcW w:w="2463" w:type="dxa"/>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0.3</w:t>
            </w:r>
          </w:p>
        </w:tc>
        <w:tc>
          <w:tcPr>
            <w:tcW w:w="2464" w:type="dxa"/>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0.24</w:t>
            </w:r>
          </w:p>
        </w:tc>
      </w:tr>
    </w:tbl>
    <w:p>
      <w:pPr>
        <w:pStyle w:val="33"/>
        <w:keepNext w:val="0"/>
        <w:keepLines w:val="0"/>
        <w:pageBreakBefore w:val="0"/>
        <w:widowControl w:val="0"/>
        <w:kinsoku/>
        <w:wordWrap/>
        <w:overflowPunct/>
        <w:topLinePunct w:val="0"/>
        <w:autoSpaceDE w:val="0"/>
        <w:autoSpaceDN w:val="0"/>
        <w:bidi w:val="0"/>
        <w:adjustRightInd/>
        <w:snapToGrid/>
        <w:spacing w:line="360" w:lineRule="auto"/>
        <w:ind w:leftChars="0" w:firstLine="480" w:firstLineChars="200"/>
        <w:textAlignment w:val="auto"/>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项目供排水平衡图如下。</w:t>
      </w:r>
    </w:p>
    <w:p>
      <w:pPr>
        <w:pStyle w:val="33"/>
        <w:keepNext w:val="0"/>
        <w:keepLines w:val="0"/>
        <w:pageBreakBefore w:val="0"/>
        <w:widowControl w:val="0"/>
        <w:kinsoku/>
        <w:wordWrap/>
        <w:overflowPunct/>
        <w:topLinePunct w:val="0"/>
        <w:autoSpaceDE w:val="0"/>
        <w:autoSpaceDN w:val="0"/>
        <w:bidi w:val="0"/>
        <w:adjustRightInd/>
        <w:snapToGrid/>
        <w:spacing w:line="360" w:lineRule="auto"/>
        <w:ind w:leftChars="0" w:firstLine="420" w:firstLineChars="200"/>
        <w:textAlignment w:val="auto"/>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drawing>
          <wp:inline distT="0" distB="0" distL="114300" distR="114300">
            <wp:extent cx="5276850" cy="4400550"/>
            <wp:effectExtent l="0" t="0" r="0" b="0"/>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pic:cNvPicPr>
                  </pic:nvPicPr>
                  <pic:blipFill>
                    <a:blip r:embed="rId18"/>
                    <a:stretch>
                      <a:fillRect/>
                    </a:stretch>
                  </pic:blipFill>
                  <pic:spPr>
                    <a:xfrm>
                      <a:off x="0" y="0"/>
                      <a:ext cx="5276850" cy="44005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0" w:firstLineChars="0"/>
        <w:jc w:val="center"/>
        <w:textAlignment w:val="auto"/>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图3.2.7-1 项目水平衡图（单位：t/d）</w:t>
      </w:r>
    </w:p>
    <w:p>
      <w:pPr>
        <w:pStyle w:val="33"/>
        <w:keepNext w:val="0"/>
        <w:keepLines w:val="0"/>
        <w:pageBreakBefore w:val="0"/>
        <w:widowControl w:val="0"/>
        <w:kinsoku/>
        <w:wordWrap/>
        <w:overflowPunct/>
        <w:topLinePunct w:val="0"/>
        <w:autoSpaceDE w:val="0"/>
        <w:autoSpaceDN w:val="0"/>
        <w:bidi w:val="0"/>
        <w:adjustRightInd/>
        <w:snapToGrid/>
        <w:spacing w:line="360" w:lineRule="auto"/>
        <w:ind w:leftChars="0" w:firstLine="482" w:firstLineChars="200"/>
        <w:textAlignment w:val="auto"/>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3.2.7.2排水系统</w:t>
      </w:r>
    </w:p>
    <w:p>
      <w:pPr>
        <w:keepNext w:val="0"/>
        <w:keepLines w:val="0"/>
        <w:pageBreakBefore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000000" w:themeColor="text1"/>
          <w:kern w:val="1"/>
          <w:sz w:val="24"/>
          <w:szCs w:val="24"/>
          <w:highlight w:val="none"/>
          <w:shd w:val="clear" w:color="auto" w:fill="auto"/>
          <w14:textFill>
            <w14:solidFill>
              <w14:schemeClr w14:val="tx1"/>
            </w14:solidFill>
          </w14:textFill>
        </w:rPr>
      </w:pPr>
      <w:r>
        <w:rPr>
          <w:rFonts w:hint="eastAsia" w:ascii="宋体" w:hAnsi="宋体" w:eastAsia="宋体" w:cs="宋体"/>
          <w:color w:val="000000" w:themeColor="text1"/>
          <w:kern w:val="1"/>
          <w:sz w:val="24"/>
          <w:szCs w:val="24"/>
          <w:highlight w:val="none"/>
          <w:shd w:val="clear" w:color="auto" w:fill="auto"/>
          <w14:textFill>
            <w14:solidFill>
              <w14:schemeClr w14:val="tx1"/>
            </w14:solidFill>
          </w14:textFill>
        </w:rPr>
        <w:t>项目厂区排水均采用雨、污分流制。雨水</w:t>
      </w:r>
      <w:r>
        <w:rPr>
          <w:rFonts w:hint="eastAsia" w:ascii="宋体" w:hAnsi="宋体" w:eastAsia="宋体" w:cs="宋体"/>
          <w:color w:val="000000" w:themeColor="text1"/>
          <w:kern w:val="1"/>
          <w:sz w:val="24"/>
          <w:szCs w:val="24"/>
          <w:highlight w:val="none"/>
          <w:shd w:val="clear" w:color="auto" w:fill="auto"/>
          <w:lang w:val="en-US" w:eastAsia="zh-CN"/>
          <w14:textFill>
            <w14:solidFill>
              <w14:schemeClr w14:val="tx1"/>
            </w14:solidFill>
          </w14:textFill>
        </w:rPr>
        <w:t>收集至初期雨水收集池</w:t>
      </w:r>
      <w:r>
        <w:rPr>
          <w:rFonts w:hint="eastAsia" w:ascii="宋体" w:hAnsi="宋体" w:eastAsia="宋体" w:cs="宋体"/>
          <w:color w:val="000000" w:themeColor="text1"/>
          <w:kern w:val="1"/>
          <w:sz w:val="24"/>
          <w:szCs w:val="24"/>
          <w:highlight w:val="none"/>
          <w:shd w:val="clear" w:color="auto" w:fill="auto"/>
          <w14:textFill>
            <w14:solidFill>
              <w14:schemeClr w14:val="tx1"/>
            </w14:solidFill>
          </w14:textFill>
        </w:rPr>
        <w:t>排入市政雨水管网</w:t>
      </w:r>
      <w:r>
        <w:rPr>
          <w:rFonts w:hint="eastAsia" w:ascii="宋体" w:hAnsi="宋体" w:eastAsia="宋体" w:cs="宋体"/>
          <w:color w:val="000000" w:themeColor="text1"/>
          <w:kern w:val="1"/>
          <w:sz w:val="24"/>
          <w:szCs w:val="24"/>
          <w:highlight w:val="none"/>
          <w:shd w:val="clear" w:color="auto" w:fill="auto"/>
          <w:lang w:eastAsia="zh-CN"/>
          <w14:textFill>
            <w14:solidFill>
              <w14:schemeClr w14:val="tx1"/>
            </w14:solidFill>
          </w14:textFill>
        </w:rPr>
        <w:t>。</w:t>
      </w:r>
      <w:r>
        <w:rPr>
          <w:rFonts w:hint="eastAsia" w:ascii="宋体" w:hAnsi="宋体" w:eastAsia="宋体" w:cs="宋体"/>
          <w:bCs/>
          <w:color w:val="000000" w:themeColor="text1"/>
          <w:szCs w:val="18"/>
          <w14:textFill>
            <w14:solidFill>
              <w14:schemeClr w14:val="tx1"/>
            </w14:solidFill>
          </w14:textFill>
        </w:rPr>
        <w:t>地面保洁废水进入化粪池处理，</w:t>
      </w:r>
      <w:r>
        <w:rPr>
          <w:rFonts w:hint="eastAsia" w:ascii="宋体" w:hAnsi="宋体" w:eastAsia="宋体" w:cs="宋体"/>
          <w:bCs/>
          <w:color w:val="000000" w:themeColor="text1"/>
          <w:szCs w:val="18"/>
          <w:lang w:val="en-US" w:eastAsia="zh-CN"/>
          <w14:textFill>
            <w14:solidFill>
              <w14:schemeClr w14:val="tx1"/>
            </w14:solidFill>
          </w14:textFill>
        </w:rPr>
        <w:t>经城市管网进入</w:t>
      </w:r>
      <w:r>
        <w:rPr>
          <w:rFonts w:hint="eastAsia" w:ascii="宋体" w:hAnsi="宋体" w:eastAsia="宋体" w:cs="宋体"/>
          <w:color w:val="000000" w:themeColor="text1"/>
          <w:kern w:val="1"/>
          <w:sz w:val="24"/>
          <w:szCs w:val="24"/>
          <w:highlight w:val="none"/>
          <w:shd w:val="clear" w:color="auto" w:fill="auto"/>
          <w14:textFill>
            <w14:solidFill>
              <w14:schemeClr w14:val="tx1"/>
            </w14:solidFill>
          </w14:textFill>
        </w:rPr>
        <w:t>送</w:t>
      </w:r>
      <w:r>
        <w:rPr>
          <w:rFonts w:hint="eastAsia" w:ascii="宋体" w:hAnsi="宋体" w:eastAsia="宋体" w:cs="宋体"/>
          <w:color w:val="000000" w:themeColor="text1"/>
          <w:kern w:val="1"/>
          <w:sz w:val="24"/>
          <w:szCs w:val="24"/>
          <w:highlight w:val="none"/>
          <w:shd w:val="clear" w:color="auto" w:fill="auto"/>
          <w:lang w:val="en-US" w:eastAsia="zh-CN"/>
          <w14:textFill>
            <w14:solidFill>
              <w14:schemeClr w14:val="tx1"/>
            </w14:solidFill>
          </w14:textFill>
        </w:rPr>
        <w:t>河西</w:t>
      </w:r>
      <w:r>
        <w:rPr>
          <w:rFonts w:hint="eastAsia" w:ascii="宋体" w:hAnsi="宋体" w:eastAsia="宋体" w:cs="宋体"/>
          <w:color w:val="000000" w:themeColor="text1"/>
          <w:kern w:val="1"/>
          <w:sz w:val="24"/>
          <w:szCs w:val="24"/>
          <w:highlight w:val="none"/>
          <w:shd w:val="clear" w:color="auto" w:fill="auto"/>
          <w14:textFill>
            <w14:solidFill>
              <w14:schemeClr w14:val="tx1"/>
            </w14:solidFill>
          </w14:textFill>
        </w:rPr>
        <w:t>污水处理厂处理</w:t>
      </w:r>
      <w:r>
        <w:rPr>
          <w:rFonts w:hint="eastAsia" w:ascii="宋体" w:hAnsi="宋体" w:eastAsia="宋体" w:cs="宋体"/>
          <w:color w:val="000000" w:themeColor="text1"/>
          <w:kern w:val="1"/>
          <w:sz w:val="24"/>
          <w:szCs w:val="24"/>
          <w:highlight w:val="none"/>
          <w:shd w:val="clear" w:color="auto" w:fill="auto"/>
          <w:lang w:val="en-US" w:eastAsia="zh-CN"/>
          <w14:textFill>
            <w14:solidFill>
              <w14:schemeClr w14:val="tx1"/>
            </w14:solidFill>
          </w14:textFill>
        </w:rPr>
        <w:t>后汇入湘江</w:t>
      </w:r>
      <w:r>
        <w:rPr>
          <w:rFonts w:hint="eastAsia" w:ascii="宋体" w:hAnsi="宋体" w:eastAsia="宋体" w:cs="宋体"/>
          <w:color w:val="000000" w:themeColor="text1"/>
          <w:kern w:val="1"/>
          <w:sz w:val="24"/>
          <w:szCs w:val="24"/>
          <w:highlight w:val="none"/>
          <w:shd w:val="clear" w:color="auto" w:fill="auto"/>
          <w14:textFill>
            <w14:solidFill>
              <w14:schemeClr w14:val="tx1"/>
            </w14:solidFill>
          </w14:textFill>
        </w:rPr>
        <w:t>。</w:t>
      </w:r>
    </w:p>
    <w:p>
      <w:pPr>
        <w:pStyle w:val="33"/>
        <w:keepNext w:val="0"/>
        <w:keepLines w:val="0"/>
        <w:pageBreakBefore w:val="0"/>
        <w:widowControl w:val="0"/>
        <w:kinsoku/>
        <w:wordWrap/>
        <w:overflowPunct/>
        <w:topLinePunct w:val="0"/>
        <w:autoSpaceDE w:val="0"/>
        <w:autoSpaceDN w:val="0"/>
        <w:bidi w:val="0"/>
        <w:adjustRightInd/>
        <w:snapToGrid/>
        <w:spacing w:line="360" w:lineRule="auto"/>
        <w:ind w:leftChars="0" w:firstLine="482" w:firstLineChars="200"/>
        <w:textAlignment w:val="auto"/>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3.2.7.3供电系统</w:t>
      </w:r>
    </w:p>
    <w:p>
      <w:pPr>
        <w:keepNext w:val="0"/>
        <w:keepLines w:val="0"/>
        <w:pageBreakBefore w:val="0"/>
        <w:widowControl w:val="0"/>
        <w:kinsoku/>
        <w:wordWrap/>
        <w:overflowPunct/>
        <w:topLinePunct w:val="0"/>
        <w:autoSpaceDE/>
        <w:autoSpaceDN/>
        <w:bidi w:val="0"/>
        <w:adjustRightInd/>
        <w:snapToGrid/>
        <w:spacing w:before="0" w:after="0" w:line="360" w:lineRule="auto"/>
        <w:ind w:left="0" w:leftChars="0" w:firstLine="480" w:firstLineChars="200"/>
        <w:jc w:val="both"/>
        <w:textAlignment w:val="auto"/>
        <w:rPr>
          <w:rFonts w:hint="eastAsia" w:ascii="宋体" w:hAnsi="宋体" w:eastAsia="宋体" w:cs="宋体"/>
          <w:color w:val="000000" w:themeColor="text1"/>
          <w:kern w:val="2"/>
          <w:sz w:val="24"/>
          <w:szCs w:val="24"/>
          <w:highlight w:val="none"/>
          <w:shd w:val="clear" w:color="auto" w:fill="auto"/>
          <w:lang w:val="en-US" w:eastAsia="zh-CN"/>
          <w14:textFill>
            <w14:solidFill>
              <w14:schemeClr w14:val="tx1"/>
            </w14:solidFill>
          </w14:textFill>
        </w:rPr>
      </w:pPr>
      <w:r>
        <w:rPr>
          <w:rFonts w:hint="eastAsia" w:ascii="宋体" w:hAnsi="宋体" w:eastAsia="宋体" w:cs="宋体"/>
          <w:color w:val="000000" w:themeColor="text1"/>
          <w:kern w:val="2"/>
          <w:sz w:val="24"/>
          <w:szCs w:val="24"/>
          <w:highlight w:val="none"/>
          <w:shd w:val="clear" w:color="auto" w:fill="auto"/>
          <w:lang w:val="en-US" w:eastAsia="zh-CN"/>
          <w14:textFill>
            <w14:solidFill>
              <w14:schemeClr w14:val="tx1"/>
            </w14:solidFill>
          </w14:textFill>
        </w:rPr>
        <w:t>本项目从厂区内室外箱变引380V低压电源向本项目5#厂房供电，电缆埋地引入本栋一层。本项目用电负荷为三级负荷，消防用电为二级负荷；配电系统采用TN-C系统。采用单回路电源供电，电压为AC380/220V，进线电缆架空敷设。采用放射式与树干式相结合的供配电方式向全厂负荷供电。新项目用电量约为400万kW·h/a，电源由城区变电所提供。</w:t>
      </w:r>
    </w:p>
    <w:p>
      <w:pPr>
        <w:pStyle w:val="33"/>
        <w:keepNext w:val="0"/>
        <w:keepLines w:val="0"/>
        <w:pageBreakBefore w:val="0"/>
        <w:widowControl w:val="0"/>
        <w:kinsoku/>
        <w:wordWrap/>
        <w:overflowPunct/>
        <w:topLinePunct w:val="0"/>
        <w:autoSpaceDE w:val="0"/>
        <w:autoSpaceDN w:val="0"/>
        <w:bidi w:val="0"/>
        <w:adjustRightInd/>
        <w:snapToGrid/>
        <w:spacing w:line="360" w:lineRule="auto"/>
        <w:ind w:leftChars="0" w:firstLine="482" w:firstLineChars="200"/>
        <w:textAlignment w:val="auto"/>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3.2.7.4空压系统</w:t>
      </w:r>
    </w:p>
    <w:p>
      <w:pPr>
        <w:keepNext w:val="0"/>
        <w:keepLines w:val="0"/>
        <w:pageBreakBefore w:val="0"/>
        <w:widowControl w:val="0"/>
        <w:kinsoku/>
        <w:wordWrap/>
        <w:overflowPunct/>
        <w:topLinePunct w:val="0"/>
        <w:autoSpaceDE/>
        <w:autoSpaceDN/>
        <w:bidi w:val="0"/>
        <w:adjustRightInd/>
        <w:snapToGrid/>
        <w:spacing w:line="360" w:lineRule="auto"/>
        <w:ind w:leftChars="0" w:right="0" w:firstLine="480" w:firstLineChars="200"/>
        <w:jc w:val="both"/>
        <w:textAlignment w:val="auto"/>
        <w:rPr>
          <w:rFonts w:hint="eastAsia" w:ascii="宋体" w:hAnsi="宋体" w:eastAsia="宋体" w:cs="宋体"/>
          <w:color w:val="000000" w:themeColor="text1"/>
          <w:kern w:val="2"/>
          <w:sz w:val="24"/>
          <w:szCs w:val="24"/>
          <w:highlight w:val="none"/>
          <w:shd w:val="clear" w:color="auto" w:fill="auto"/>
          <w:lang w:val="en-US" w:eastAsia="zh-CN"/>
          <w14:textFill>
            <w14:solidFill>
              <w14:schemeClr w14:val="tx1"/>
            </w14:solidFill>
          </w14:textFill>
        </w:rPr>
      </w:pPr>
      <w:r>
        <w:rPr>
          <w:rFonts w:hint="eastAsia" w:ascii="宋体" w:hAnsi="宋体" w:eastAsia="宋体" w:cs="宋体"/>
          <w:color w:val="000000" w:themeColor="text1"/>
          <w:kern w:val="2"/>
          <w:sz w:val="24"/>
          <w:szCs w:val="24"/>
          <w:highlight w:val="none"/>
          <w:shd w:val="clear" w:color="auto" w:fill="auto"/>
          <w:lang w:val="en-US" w:eastAsia="zh-CN"/>
          <w14:textFill>
            <w14:solidFill>
              <w14:schemeClr w14:val="tx1"/>
            </w14:solidFill>
          </w14:textFill>
        </w:rPr>
        <w:t>本项目压缩空气依托企业原有的两台空压机集中供气</w:t>
      </w:r>
      <w:r>
        <w:rPr>
          <w:rFonts w:hint="eastAsia" w:ascii="宋体" w:hAnsi="宋体" w:eastAsia="宋体" w:cs="宋体"/>
          <w:color w:val="000000" w:themeColor="text1"/>
          <w:kern w:val="2"/>
          <w:sz w:val="24"/>
          <w:szCs w:val="24"/>
          <w:highlight w:val="none"/>
          <w:shd w:val="clear" w:color="auto" w:fill="auto"/>
          <w:lang w:eastAsia="zh-CN"/>
          <w14:textFill>
            <w14:solidFill>
              <w14:schemeClr w14:val="tx1"/>
            </w14:solidFill>
          </w14:textFill>
        </w:rPr>
        <w:t>，</w:t>
      </w:r>
      <w:r>
        <w:rPr>
          <w:rFonts w:hint="eastAsia" w:ascii="宋体" w:hAnsi="宋体" w:eastAsia="宋体" w:cs="宋体"/>
          <w:color w:val="000000" w:themeColor="text1"/>
          <w:kern w:val="2"/>
          <w:sz w:val="24"/>
          <w:szCs w:val="24"/>
          <w:highlight w:val="none"/>
          <w:shd w:val="clear" w:color="auto" w:fill="auto"/>
          <w14:textFill>
            <w14:solidFill>
              <w14:schemeClr w14:val="tx1"/>
            </w14:solidFill>
          </w14:textFill>
        </w:rPr>
        <w:t>单台排气量</w:t>
      </w:r>
      <w:r>
        <w:rPr>
          <w:rFonts w:hint="eastAsia" w:ascii="宋体" w:hAnsi="宋体" w:eastAsia="宋体" w:cs="宋体"/>
          <w:color w:val="000000" w:themeColor="text1"/>
          <w:kern w:val="2"/>
          <w:sz w:val="24"/>
          <w:szCs w:val="24"/>
          <w:highlight w:val="none"/>
          <w:shd w:val="clear" w:color="auto" w:fill="auto"/>
          <w:lang w:val="en-US" w:eastAsia="zh-CN"/>
          <w14:textFill>
            <w14:solidFill>
              <w14:schemeClr w14:val="tx1"/>
            </w14:solidFill>
          </w14:textFill>
        </w:rPr>
        <w:t>为</w:t>
      </w:r>
      <w:r>
        <w:rPr>
          <w:rFonts w:hint="eastAsia" w:ascii="宋体" w:hAnsi="宋体" w:eastAsia="宋体" w:cs="宋体"/>
          <w:color w:val="000000" w:themeColor="text1"/>
          <w:kern w:val="2"/>
          <w:sz w:val="24"/>
          <w:szCs w:val="24"/>
          <w:highlight w:val="none"/>
          <w:shd w:val="clear" w:color="auto" w:fill="auto"/>
          <w14:textFill>
            <w14:solidFill>
              <w14:schemeClr w14:val="tx1"/>
            </w14:solidFill>
          </w14:textFill>
        </w:rPr>
        <w:t>6.2</w:t>
      </w:r>
      <w:r>
        <w:rPr>
          <w:rFonts w:hint="eastAsia" w:ascii="宋体" w:hAnsi="宋体" w:eastAsia="宋体" w:cs="宋体"/>
          <w:color w:val="000000" w:themeColor="text1"/>
          <w:kern w:val="2"/>
          <w:sz w:val="24"/>
          <w:szCs w:val="24"/>
          <w:highlight w:val="none"/>
          <w:shd w:val="clear" w:color="auto" w:fill="auto"/>
          <w:lang w:val="en-US" w:eastAsia="zh-CN"/>
          <w14:textFill>
            <w14:solidFill>
              <w14:schemeClr w14:val="tx1"/>
            </w14:solidFill>
          </w14:textFill>
        </w:rPr>
        <w:t>m³</w:t>
      </w:r>
      <w:r>
        <w:rPr>
          <w:rFonts w:hint="eastAsia" w:ascii="宋体" w:hAnsi="宋体" w:eastAsia="宋体" w:cs="宋体"/>
          <w:color w:val="000000" w:themeColor="text1"/>
          <w:kern w:val="2"/>
          <w:sz w:val="24"/>
          <w:szCs w:val="24"/>
          <w:highlight w:val="none"/>
          <w:shd w:val="clear" w:color="auto" w:fill="auto"/>
          <w14:textFill>
            <w14:solidFill>
              <w14:schemeClr w14:val="tx1"/>
            </w14:solidFill>
          </w14:textFill>
        </w:rPr>
        <w:t>/</w:t>
      </w:r>
      <w:r>
        <w:rPr>
          <w:rFonts w:hint="eastAsia" w:ascii="宋体" w:hAnsi="宋体" w:eastAsia="宋体" w:cs="宋体"/>
          <w:color w:val="000000" w:themeColor="text1"/>
          <w:kern w:val="2"/>
          <w:sz w:val="24"/>
          <w:szCs w:val="24"/>
          <w:highlight w:val="none"/>
          <w:shd w:val="clear" w:color="auto" w:fill="auto"/>
          <w:lang w:val="en-US" w:eastAsia="zh-CN"/>
          <w14:textFill>
            <w14:solidFill>
              <w14:schemeClr w14:val="tx1"/>
            </w14:solidFill>
          </w14:textFill>
        </w:rPr>
        <w:t>min，</w:t>
      </w:r>
      <w:r>
        <w:rPr>
          <w:rFonts w:hint="eastAsia" w:ascii="宋体" w:hAnsi="宋体" w:eastAsia="宋体" w:cs="宋体"/>
          <w:color w:val="000000" w:themeColor="text1"/>
          <w:kern w:val="2"/>
          <w:sz w:val="24"/>
          <w:szCs w:val="24"/>
          <w:highlight w:val="none"/>
          <w:shd w:val="clear" w:color="auto" w:fill="auto"/>
          <w14:textFill>
            <w14:solidFill>
              <w14:schemeClr w14:val="tx1"/>
            </w14:solidFill>
          </w14:textFill>
        </w:rPr>
        <w:t>单台排气压力0.8</w:t>
      </w:r>
      <w:r>
        <w:rPr>
          <w:rFonts w:hint="eastAsia" w:ascii="宋体" w:hAnsi="宋体" w:eastAsia="宋体" w:cs="宋体"/>
          <w:color w:val="000000" w:themeColor="text1"/>
          <w:kern w:val="2"/>
          <w:sz w:val="24"/>
          <w:szCs w:val="24"/>
          <w:highlight w:val="none"/>
          <w:shd w:val="clear" w:color="auto" w:fill="auto"/>
          <w:lang w:val="en-US" w:eastAsia="zh-CN"/>
          <w14:textFill>
            <w14:solidFill>
              <w14:schemeClr w14:val="tx1"/>
            </w14:solidFill>
          </w14:textFill>
        </w:rPr>
        <w:t>Mpa，</w:t>
      </w:r>
      <w:r>
        <w:rPr>
          <w:rFonts w:hint="eastAsia" w:ascii="宋体" w:hAnsi="宋体" w:eastAsia="宋体" w:cs="宋体"/>
          <w:color w:val="000000" w:themeColor="text1"/>
          <w:kern w:val="2"/>
          <w:sz w:val="24"/>
          <w:szCs w:val="24"/>
          <w:highlight w:val="none"/>
          <w:shd w:val="clear" w:color="auto" w:fill="auto"/>
          <w14:textFill>
            <w14:solidFill>
              <w14:schemeClr w14:val="tx1"/>
            </w14:solidFill>
          </w14:textFill>
        </w:rPr>
        <w:t>单台</w:t>
      </w:r>
      <w:r>
        <w:rPr>
          <w:rFonts w:hint="eastAsia" w:ascii="宋体" w:hAnsi="宋体" w:eastAsia="宋体" w:cs="宋体"/>
          <w:color w:val="000000" w:themeColor="text1"/>
          <w:kern w:val="2"/>
          <w:sz w:val="24"/>
          <w:szCs w:val="24"/>
          <w:highlight w:val="none"/>
          <w:shd w:val="clear" w:color="auto" w:fill="auto"/>
          <w:lang w:val="en-US" w:eastAsia="zh-CN"/>
          <w14:textFill>
            <w14:solidFill>
              <w14:schemeClr w14:val="tx1"/>
            </w14:solidFill>
          </w14:textFill>
        </w:rPr>
        <w:t>功率为</w:t>
      </w:r>
      <w:r>
        <w:rPr>
          <w:rFonts w:hint="eastAsia" w:ascii="宋体" w:hAnsi="宋体" w:eastAsia="宋体" w:cs="宋体"/>
          <w:color w:val="000000" w:themeColor="text1"/>
          <w:kern w:val="2"/>
          <w:sz w:val="24"/>
          <w:szCs w:val="24"/>
          <w:highlight w:val="none"/>
          <w:shd w:val="clear" w:color="auto" w:fill="auto"/>
          <w14:textFill>
            <w14:solidFill>
              <w14:schemeClr w14:val="tx1"/>
            </w14:solidFill>
          </w14:textFill>
        </w:rPr>
        <w:t>37</w:t>
      </w:r>
      <w:r>
        <w:rPr>
          <w:rFonts w:hint="eastAsia" w:ascii="宋体" w:hAnsi="宋体" w:eastAsia="宋体" w:cs="宋体"/>
          <w:color w:val="000000" w:themeColor="text1"/>
          <w:kern w:val="2"/>
          <w:sz w:val="24"/>
          <w:szCs w:val="24"/>
          <w:highlight w:val="none"/>
          <w:shd w:val="clear" w:color="auto" w:fill="auto"/>
          <w:lang w:val="en-US" w:eastAsia="zh-CN"/>
          <w14:textFill>
            <w14:solidFill>
              <w14:schemeClr w14:val="tx1"/>
            </w14:solidFill>
          </w14:textFill>
        </w:rPr>
        <w:t>kw，压缩空气能够满足要求。</w:t>
      </w:r>
    </w:p>
    <w:p>
      <w:pPr>
        <w:pStyle w:val="8"/>
        <w:keepNext w:val="0"/>
        <w:keepLines w:val="0"/>
        <w:pageBreakBefore w:val="0"/>
        <w:kinsoku/>
        <w:wordWrap/>
        <w:overflowPunct/>
        <w:topLinePunct w:val="0"/>
        <w:bidi w:val="0"/>
        <w:adjustRightInd/>
        <w:snapToGrid/>
        <w:spacing w:line="360" w:lineRule="auto"/>
        <w:ind w:leftChars="0" w:firstLine="482" w:firstLineChars="200"/>
        <w:textAlignment w:val="auto"/>
        <w:rPr>
          <w:rFonts w:hint="eastAsia" w:ascii="宋体" w:hAnsi="宋体" w:eastAsia="宋体" w:cs="宋体"/>
          <w:color w:val="000000" w:themeColor="text1"/>
          <w:highlight w:val="none"/>
          <w:lang w:val="en-US" w:eastAsia="zh-CN"/>
          <w14:textFill>
            <w14:solidFill>
              <w14:schemeClr w14:val="tx1"/>
            </w14:solidFill>
          </w14:textFill>
        </w:rPr>
      </w:pPr>
      <w:bookmarkStart w:id="319" w:name="_Toc15223"/>
      <w:r>
        <w:rPr>
          <w:rFonts w:hint="eastAsia" w:ascii="宋体" w:hAnsi="宋体" w:eastAsia="宋体" w:cs="宋体"/>
          <w:color w:val="000000" w:themeColor="text1"/>
          <w:highlight w:val="none"/>
          <w:lang w:val="en-US" w:eastAsia="zh-CN"/>
          <w14:textFill>
            <w14:solidFill>
              <w14:schemeClr w14:val="tx1"/>
            </w14:solidFill>
          </w14:textFill>
        </w:rPr>
        <w:t>3.2.8工作制度</w:t>
      </w:r>
      <w:bookmarkEnd w:id="319"/>
    </w:p>
    <w:p>
      <w:pPr>
        <w:keepNext w:val="0"/>
        <w:keepLines w:val="0"/>
        <w:pageBreakBefore w:val="0"/>
        <w:kinsoku/>
        <w:wordWrap/>
        <w:overflowPunct/>
        <w:topLinePunct w:val="0"/>
        <w:autoSpaceDE/>
        <w:autoSpaceDN/>
        <w:bidi w:val="0"/>
        <w:adjustRightInd/>
        <w:snapToGrid/>
        <w:spacing w:line="360" w:lineRule="auto"/>
        <w:ind w:leftChars="0" w:firstLine="480" w:firstLineChars="200"/>
        <w:jc w:val="both"/>
        <w:textAlignment w:val="auto"/>
        <w:rPr>
          <w:rFonts w:hint="eastAsia" w:ascii="宋体" w:hAnsi="宋体" w:eastAsia="宋体" w:cs="宋体"/>
          <w:color w:val="000000" w:themeColor="text1"/>
          <w:sz w:val="24"/>
          <w:szCs w:val="24"/>
          <w:highlight w:val="none"/>
          <w:shd w:val="clear" w:color="auto" w:fill="auto"/>
          <w:lang w:eastAsia="zh-CN"/>
          <w14:textFill>
            <w14:solidFill>
              <w14:schemeClr w14:val="tx1"/>
            </w14:solidFill>
          </w14:textFill>
        </w:rPr>
      </w:pPr>
      <w:r>
        <w:rPr>
          <w:rFonts w:hint="eastAsia" w:ascii="宋体" w:hAnsi="宋体" w:eastAsia="宋体" w:cs="宋体"/>
          <w:color w:val="000000" w:themeColor="text1"/>
          <w:highlight w:val="none"/>
          <w:lang w:eastAsia="zh-CN"/>
          <w14:textFill>
            <w14:solidFill>
              <w14:schemeClr w14:val="tx1"/>
            </w14:solidFill>
          </w14:textFill>
        </w:rPr>
        <w:t>拟建</w:t>
      </w:r>
      <w:r>
        <w:rPr>
          <w:rFonts w:hint="eastAsia" w:ascii="宋体" w:hAnsi="宋体" w:eastAsia="宋体" w:cs="宋体"/>
          <w:color w:val="000000" w:themeColor="text1"/>
          <w:highlight w:val="none"/>
          <w:lang w:val="en-US" w:eastAsia="zh-CN"/>
          <w14:textFill>
            <w14:solidFill>
              <w14:schemeClr w14:val="tx1"/>
            </w14:solidFill>
          </w14:textFill>
        </w:rPr>
        <w:t>项目</w:t>
      </w:r>
      <w:r>
        <w:rPr>
          <w:rFonts w:hint="eastAsia" w:ascii="宋体" w:hAnsi="宋体" w:eastAsia="宋体" w:cs="宋体"/>
          <w:color w:val="000000" w:themeColor="text1"/>
          <w:highlight w:val="none"/>
          <w14:textFill>
            <w14:solidFill>
              <w14:schemeClr w14:val="tx1"/>
            </w14:solidFill>
          </w14:textFill>
        </w:rPr>
        <w:t>劳动定员</w:t>
      </w:r>
      <w:r>
        <w:rPr>
          <w:rFonts w:hint="eastAsia" w:ascii="宋体" w:hAnsi="宋体" w:eastAsia="宋体" w:cs="宋体"/>
          <w:color w:val="000000" w:themeColor="text1"/>
          <w:highlight w:val="none"/>
          <w:lang w:val="en-US" w:eastAsia="zh-CN"/>
          <w14:textFill>
            <w14:solidFill>
              <w14:schemeClr w14:val="tx1"/>
            </w14:solidFill>
          </w14:textFill>
        </w:rPr>
        <w:t>20</w:t>
      </w:r>
      <w:r>
        <w:rPr>
          <w:rFonts w:hint="eastAsia" w:ascii="宋体" w:hAnsi="宋体" w:eastAsia="宋体" w:cs="宋体"/>
          <w:color w:val="000000" w:themeColor="text1"/>
          <w:highlight w:val="none"/>
          <w14:textFill>
            <w14:solidFill>
              <w14:schemeClr w14:val="tx1"/>
            </w14:solidFill>
          </w14:textFill>
        </w:rPr>
        <w:t>人。</w:t>
      </w:r>
      <w:r>
        <w:rPr>
          <w:rFonts w:hint="eastAsia" w:ascii="宋体" w:hAnsi="宋体" w:eastAsia="宋体" w:cs="宋体"/>
          <w:color w:val="000000" w:themeColor="text1"/>
          <w:highlight w:val="none"/>
          <w:lang w:val="en-US" w:eastAsia="zh-CN"/>
          <w14:textFill>
            <w14:solidFill>
              <w14:schemeClr w14:val="tx1"/>
            </w14:solidFill>
          </w14:textFill>
        </w:rPr>
        <w:t>由现有工程抽调</w:t>
      </w:r>
      <w:r>
        <w:rPr>
          <w:rFonts w:hint="eastAsia" w:ascii="宋体" w:hAnsi="宋体" w:eastAsia="宋体" w:cs="宋体"/>
          <w:color w:val="000000" w:themeColor="text1"/>
          <w:highlight w:val="none"/>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不新增，</w:t>
      </w:r>
      <w:r>
        <w:rPr>
          <w:rFonts w:hint="eastAsia" w:ascii="宋体" w:hAnsi="宋体" w:eastAsia="宋体" w:cs="宋体"/>
          <w:color w:val="000000" w:themeColor="text1"/>
          <w:highlight w:val="none"/>
          <w14:textFill>
            <w14:solidFill>
              <w14:schemeClr w14:val="tx1"/>
            </w14:solidFill>
          </w14:textFill>
        </w:rPr>
        <w:t>年运行日300天（7200小时）</w:t>
      </w:r>
      <w:r>
        <w:rPr>
          <w:rFonts w:hint="eastAsia" w:ascii="宋体" w:hAnsi="宋体" w:eastAsia="宋体" w:cs="宋体"/>
          <w:color w:val="000000" w:themeColor="text1"/>
          <w:highlight w:val="none"/>
          <w:lang w:eastAsia="zh-CN"/>
          <w14:textFill>
            <w14:solidFill>
              <w14:schemeClr w14:val="tx1"/>
            </w14:solidFill>
          </w14:textFill>
        </w:rPr>
        <w:t>。</w:t>
      </w:r>
    </w:p>
    <w:p>
      <w:pPr>
        <w:pStyle w:val="7"/>
        <w:keepNext w:val="0"/>
        <w:keepLines w:val="0"/>
        <w:pageBreakBefore w:val="0"/>
        <w:numPr>
          <w:ilvl w:val="0"/>
          <w:numId w:val="0"/>
        </w:numPr>
        <w:kinsoku/>
        <w:wordWrap/>
        <w:overflowPunct/>
        <w:topLinePunct w:val="0"/>
        <w:bidi w:val="0"/>
        <w:adjustRightInd/>
        <w:snapToGrid/>
        <w:spacing w:line="360" w:lineRule="auto"/>
        <w:ind w:leftChars="200"/>
        <w:textAlignment w:val="auto"/>
        <w:rPr>
          <w:rFonts w:hint="eastAsia" w:ascii="宋体" w:hAnsi="宋体" w:eastAsia="宋体" w:cs="宋体"/>
          <w:bCs/>
          <w:color w:val="000000" w:themeColor="text1"/>
          <w:sz w:val="24"/>
          <w:szCs w:val="24"/>
          <w:highlight w:val="none"/>
          <w:lang w:val="en-US" w:eastAsia="zh-CN"/>
          <w14:textFill>
            <w14:solidFill>
              <w14:schemeClr w14:val="tx1"/>
            </w14:solidFill>
          </w14:textFill>
        </w:rPr>
      </w:pPr>
      <w:bookmarkStart w:id="320" w:name="_Toc27819"/>
      <w:r>
        <w:rPr>
          <w:rFonts w:hint="eastAsia" w:ascii="宋体" w:hAnsi="宋体" w:eastAsia="宋体" w:cs="宋体"/>
          <w:bCs/>
          <w:color w:val="000000" w:themeColor="text1"/>
          <w:sz w:val="24"/>
          <w:szCs w:val="24"/>
          <w:highlight w:val="none"/>
          <w:lang w:val="en-US" w:eastAsia="zh-CN"/>
          <w14:textFill>
            <w14:solidFill>
              <w14:schemeClr w14:val="tx1"/>
            </w14:solidFill>
          </w14:textFill>
        </w:rPr>
        <w:t>3.3建设项目工程分析</w:t>
      </w:r>
      <w:bookmarkEnd w:id="320"/>
    </w:p>
    <w:p>
      <w:pPr>
        <w:pStyle w:val="8"/>
        <w:keepNext w:val="0"/>
        <w:keepLines w:val="0"/>
        <w:pageBreakBefore w:val="0"/>
        <w:kinsoku/>
        <w:wordWrap/>
        <w:overflowPunct/>
        <w:topLinePunct w:val="0"/>
        <w:bidi w:val="0"/>
        <w:adjustRightInd/>
        <w:snapToGrid/>
        <w:spacing w:line="360" w:lineRule="auto"/>
        <w:ind w:leftChars="0" w:firstLine="482" w:firstLineChars="200"/>
        <w:textAlignment w:val="auto"/>
        <w:rPr>
          <w:rFonts w:hint="eastAsia" w:ascii="宋体" w:hAnsi="宋体" w:eastAsia="宋体" w:cs="宋体"/>
          <w:color w:val="000000" w:themeColor="text1"/>
          <w:highlight w:val="none"/>
          <w:lang w:val="en-US" w:eastAsia="zh-CN"/>
          <w14:textFill>
            <w14:solidFill>
              <w14:schemeClr w14:val="tx1"/>
            </w14:solidFill>
          </w14:textFill>
        </w:rPr>
      </w:pPr>
      <w:bookmarkStart w:id="321" w:name="_Toc27243"/>
      <w:r>
        <w:rPr>
          <w:rFonts w:hint="eastAsia" w:ascii="宋体" w:hAnsi="宋体" w:eastAsia="宋体" w:cs="宋体"/>
          <w:color w:val="000000" w:themeColor="text1"/>
          <w:highlight w:val="none"/>
          <w:lang w:val="en-US" w:eastAsia="zh-CN"/>
          <w14:textFill>
            <w14:solidFill>
              <w14:schemeClr w14:val="tx1"/>
            </w14:solidFill>
          </w14:textFill>
        </w:rPr>
        <w:t>3.3.1热亚胺化法生产工艺及产污节点分析</w:t>
      </w:r>
      <w:bookmarkEnd w:id="321"/>
    </w:p>
    <w:p>
      <w:pPr>
        <w:keepNext w:val="0"/>
        <w:keepLines w:val="0"/>
        <w:pageBreakBefore w:val="0"/>
        <w:kinsoku/>
        <w:wordWrap/>
        <w:overflowPunct/>
        <w:topLinePunct w:val="0"/>
        <w:bidi w:val="0"/>
        <w:adjustRightInd/>
        <w:snapToGrid/>
        <w:spacing w:line="360" w:lineRule="auto"/>
        <w:ind w:leftChars="0" w:firstLine="480" w:firstLineChars="200"/>
        <w:textAlignment w:val="auto"/>
        <w:rPr>
          <w:rFonts w:hint="eastAsia" w:ascii="宋体" w:hAnsi="宋体" w:eastAsia="宋体" w:cs="宋体"/>
          <w:color w:val="000000" w:themeColor="text1"/>
          <w:sz w:val="24"/>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4"/>
          <w:szCs w:val="21"/>
          <w:highlight w:val="none"/>
          <w:lang w:val="en-US" w:eastAsia="zh-CN" w:bidi="ar-SA"/>
          <w14:textFill>
            <w14:solidFill>
              <w14:schemeClr w14:val="tx1"/>
            </w14:solidFill>
          </w14:textFill>
        </w:rPr>
        <w:t>本项目生产线均使用</w:t>
      </w:r>
      <w:r>
        <w:rPr>
          <w:rFonts w:hint="eastAsia" w:ascii="宋体" w:hAnsi="宋体" w:eastAsia="宋体" w:cs="宋体"/>
          <w:color w:val="000000" w:themeColor="text1"/>
          <w14:textFill>
            <w14:solidFill>
              <w14:schemeClr w14:val="tx1"/>
            </w14:solidFill>
          </w14:textFill>
        </w:rPr>
        <w:t>热亚胺化法</w:t>
      </w:r>
      <w:r>
        <w:rPr>
          <w:rFonts w:hint="eastAsia" w:ascii="宋体" w:hAnsi="宋体" w:eastAsia="宋体" w:cs="宋体"/>
          <w:color w:val="000000" w:themeColor="text1"/>
          <w:lang w:eastAsia="zh-CN"/>
          <w14:textFill>
            <w14:solidFill>
              <w14:schemeClr w14:val="tx1"/>
            </w14:solidFill>
          </w14:textFill>
        </w:rPr>
        <w:t>。</w:t>
      </w:r>
    </w:p>
    <w:p>
      <w:pPr>
        <w:pStyle w:val="33"/>
        <w:keepNext w:val="0"/>
        <w:keepLines w:val="0"/>
        <w:pageBreakBefore w:val="0"/>
        <w:widowControl w:val="0"/>
        <w:kinsoku/>
        <w:wordWrap/>
        <w:overflowPunct/>
        <w:topLinePunct w:val="0"/>
        <w:autoSpaceDE w:val="0"/>
        <w:autoSpaceDN w:val="0"/>
        <w:bidi w:val="0"/>
        <w:adjustRightInd/>
        <w:snapToGrid/>
        <w:spacing w:line="360" w:lineRule="auto"/>
        <w:ind w:leftChars="0" w:firstLine="482" w:firstLineChars="200"/>
        <w:textAlignment w:val="auto"/>
        <w:outlineLvl w:val="3"/>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3.3.1.1反应原理</w:t>
      </w:r>
    </w:p>
    <w:p>
      <w:pPr>
        <w:keepNext w:val="0"/>
        <w:keepLines w:val="0"/>
        <w:pageBreakBefore w:val="0"/>
        <w:widowControl w:val="0"/>
        <w:kinsoku/>
        <w:wordWrap/>
        <w:overflowPunct/>
        <w:topLinePunct w:val="0"/>
        <w:bidi w:val="0"/>
        <w:adjustRightInd/>
        <w:snapToGrid/>
        <w:spacing w:line="360" w:lineRule="auto"/>
        <w:ind w:leftChars="0" w:firstLine="480" w:firstLineChars="200"/>
        <w:jc w:val="both"/>
        <w:textAlignment w:val="auto"/>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聚酰亚胺（PI）薄膜生产需要预先合成聚酰胺酸（Polyamicacid，简称PAA）树脂，然后经过亚胺化制得聚酰亚胺。聚合、亚胺化制造化学反应方程如</w:t>
      </w:r>
      <w:r>
        <w:rPr>
          <w:rFonts w:hint="eastAsia" w:ascii="宋体" w:hAnsi="宋体" w:eastAsia="宋体" w:cs="宋体"/>
          <w:color w:val="000000" w:themeColor="text1"/>
          <w:highlight w:val="none"/>
          <w:lang w:val="en-US" w:eastAsia="zh-CN"/>
          <w14:textFill>
            <w14:solidFill>
              <w14:schemeClr w14:val="tx1"/>
            </w14:solidFill>
          </w14:textFill>
        </w:rPr>
        <w:t>下图所示</w:t>
      </w:r>
      <w:r>
        <w:rPr>
          <w:rFonts w:hint="eastAsia" w:ascii="宋体" w:hAnsi="宋体" w:eastAsia="宋体" w:cs="宋体"/>
          <w:color w:val="000000" w:themeColor="text1"/>
          <w:highlight w:val="none"/>
          <w14:textFill>
            <w14:solidFill>
              <w14:schemeClr w14:val="tx1"/>
            </w14:solidFill>
          </w14:textFill>
        </w:rPr>
        <w:t>，为芳香族二酐和芳香族二胺合成制造的均苯、联苯型聚酰亚胺。首先将芳香族二胺溶解在极性溶剂中</w:t>
      </w:r>
      <w:r>
        <w:rPr>
          <w:rFonts w:hint="eastAsia" w:ascii="宋体" w:hAnsi="宋体" w:eastAsia="宋体" w:cs="宋体"/>
          <w:color w:val="000000" w:themeColor="text1"/>
          <w:highlight w:val="none"/>
          <w:lang w:val="en-US" w:eastAsia="zh-CN"/>
          <w14:textFill>
            <w14:solidFill>
              <w14:schemeClr w14:val="tx1"/>
            </w14:solidFill>
          </w14:textFill>
        </w:rPr>
        <w:t>（DMAC）</w:t>
      </w:r>
      <w:r>
        <w:rPr>
          <w:rFonts w:hint="eastAsia" w:ascii="宋体" w:hAnsi="宋体" w:eastAsia="宋体" w:cs="宋体"/>
          <w:color w:val="000000" w:themeColor="text1"/>
          <w:highlight w:val="none"/>
          <w14:textFill>
            <w14:solidFill>
              <w14:schemeClr w14:val="tx1"/>
            </w14:solidFill>
          </w14:textFill>
        </w:rPr>
        <w:t>，然后加入与芳香族二胺等摩尔量的芳香族二酐进行开环反应，聚合得到聚酰胺酸溶液，通过</w:t>
      </w:r>
      <w:r>
        <w:rPr>
          <w:rFonts w:hint="eastAsia" w:ascii="宋体" w:hAnsi="宋体" w:eastAsia="宋体" w:cs="宋体"/>
          <w:color w:val="000000" w:themeColor="text1"/>
          <w:highlight w:val="none"/>
          <w:lang w:val="en-US" w:eastAsia="zh-CN"/>
          <w14:textFill>
            <w14:solidFill>
              <w14:schemeClr w14:val="tx1"/>
            </w14:solidFill>
          </w14:textFill>
        </w:rPr>
        <w:t>电</w:t>
      </w:r>
      <w:r>
        <w:rPr>
          <w:rFonts w:hint="eastAsia" w:ascii="宋体" w:hAnsi="宋体" w:eastAsia="宋体" w:cs="宋体"/>
          <w:color w:val="000000" w:themeColor="text1"/>
          <w:highlight w:val="none"/>
          <w14:textFill>
            <w14:solidFill>
              <w14:schemeClr w14:val="tx1"/>
            </w14:solidFill>
          </w14:textFill>
        </w:rPr>
        <w:t>加热使聚酰胺酸分子内脱水闭环生成聚酰亚胺。</w:t>
      </w:r>
      <w:r>
        <w:rPr>
          <w:rFonts w:hint="eastAsia" w:ascii="宋体" w:hAnsi="宋体" w:eastAsia="宋体" w:cs="宋体"/>
          <w:color w:val="000000" w:themeColor="text1"/>
          <w:highlight w:val="none"/>
          <w:lang w:val="en-US" w:eastAsia="zh-CN"/>
          <w14:textFill>
            <w14:solidFill>
              <w14:schemeClr w14:val="tx1"/>
            </w14:solidFill>
          </w14:textFill>
        </w:rPr>
        <w:t>企业称量适量的</w:t>
      </w:r>
      <w:r>
        <w:rPr>
          <w:rFonts w:hint="eastAsia" w:ascii="宋体" w:hAnsi="宋体" w:eastAsia="宋体" w:cs="宋体"/>
          <w:color w:val="000000" w:themeColor="text1"/>
          <w:highlight w:val="none"/>
          <w14:textFill>
            <w14:solidFill>
              <w14:schemeClr w14:val="tx1"/>
            </w14:solidFill>
          </w14:textFill>
        </w:rPr>
        <w:t>有机溶剂二甲基乙酰胺（DMAC）</w:t>
      </w:r>
      <w:r>
        <w:rPr>
          <w:rFonts w:hint="eastAsia" w:ascii="宋体" w:hAnsi="宋体" w:eastAsia="宋体" w:cs="宋体"/>
          <w:color w:val="000000" w:themeColor="text1"/>
          <w:highlight w:val="none"/>
          <w:lang w:val="en-US" w:eastAsia="zh-CN"/>
          <w14:textFill>
            <w14:solidFill>
              <w14:schemeClr w14:val="tx1"/>
            </w14:solidFill>
          </w14:textFill>
        </w:rPr>
        <w:t>进入搅拌罐</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按配比投入适量的</w:t>
      </w:r>
      <w:r>
        <w:rPr>
          <w:rFonts w:hint="eastAsia" w:ascii="宋体" w:hAnsi="宋体" w:eastAsia="宋体" w:cs="宋体"/>
          <w:color w:val="000000" w:themeColor="text1"/>
          <w:highlight w:val="none"/>
          <w14:textFill>
            <w14:solidFill>
              <w14:schemeClr w14:val="tx1"/>
            </w14:solidFill>
          </w14:textFill>
        </w:rPr>
        <w:t>4，4'-二氨基二苯醚（ODA）</w:t>
      </w:r>
      <w:r>
        <w:rPr>
          <w:rFonts w:hint="eastAsia" w:ascii="宋体" w:hAnsi="宋体" w:eastAsia="宋体" w:cs="宋体"/>
          <w:color w:val="000000" w:themeColor="text1"/>
          <w:highlight w:val="none"/>
          <w:lang w:val="en-US" w:eastAsia="zh-CN"/>
          <w14:textFill>
            <w14:solidFill>
              <w14:schemeClr w14:val="tx1"/>
            </w14:solidFill>
          </w14:textFill>
        </w:rPr>
        <w:t>直至全部溶解后，使用喂料机分批次投入</w:t>
      </w:r>
      <w:r>
        <w:rPr>
          <w:rFonts w:hint="eastAsia" w:ascii="宋体" w:hAnsi="宋体" w:eastAsia="宋体" w:cs="宋体"/>
          <w:color w:val="000000" w:themeColor="text1"/>
          <w:highlight w:val="none"/>
          <w14:textFill>
            <w14:solidFill>
              <w14:schemeClr w14:val="tx1"/>
            </w14:solidFill>
          </w14:textFill>
        </w:rPr>
        <w:t>均苯四甲酸二酐（PMDA）</w:t>
      </w:r>
      <w:r>
        <w:rPr>
          <w:rFonts w:hint="eastAsia" w:ascii="宋体" w:hAnsi="宋体" w:eastAsia="宋体" w:cs="宋体"/>
          <w:color w:val="000000" w:themeColor="text1"/>
          <w:highlight w:val="none"/>
          <w:lang w:val="en-US" w:eastAsia="zh-CN"/>
          <w14:textFill>
            <w14:solidFill>
              <w14:schemeClr w14:val="tx1"/>
            </w14:solidFill>
          </w14:textFill>
        </w:rPr>
        <w:t>至溶液粘度满足使用标准。</w:t>
      </w:r>
    </w:p>
    <w:p>
      <w:pPr>
        <w:keepNext w:val="0"/>
        <w:keepLines w:val="0"/>
        <w:pageBreakBefore w:val="0"/>
        <w:widowControl w:val="0"/>
        <w:kinsoku/>
        <w:wordWrap/>
        <w:overflowPunct/>
        <w:topLinePunct w:val="0"/>
        <w:bidi w:val="0"/>
        <w:adjustRightInd/>
        <w:snapToGrid/>
        <w:spacing w:line="360" w:lineRule="auto"/>
        <w:ind w:leftChars="0" w:firstLine="480" w:firstLineChars="200"/>
        <w:jc w:val="both"/>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缩合反应</w:t>
      </w:r>
      <w:r>
        <w:rPr>
          <w:rFonts w:hint="eastAsia" w:ascii="宋体" w:hAnsi="宋体" w:eastAsia="宋体" w:cs="宋体"/>
          <w:color w:val="000000" w:themeColor="text1"/>
          <w:highlight w:val="none"/>
          <w:lang w:val="en-US" w:eastAsia="zh-CN"/>
          <w14:textFill>
            <w14:solidFill>
              <w14:schemeClr w14:val="tx1"/>
            </w14:solidFill>
          </w14:textFill>
        </w:rPr>
        <w:t>为</w:t>
      </w:r>
      <w:r>
        <w:rPr>
          <w:rFonts w:hint="eastAsia" w:ascii="宋体" w:hAnsi="宋体" w:eastAsia="宋体" w:cs="宋体"/>
          <w:color w:val="000000" w:themeColor="text1"/>
          <w:highlight w:val="none"/>
          <w14:textFill>
            <w14:solidFill>
              <w14:schemeClr w14:val="tx1"/>
            </w14:solidFill>
          </w14:textFill>
        </w:rPr>
        <w:t>放热反应</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反应温度</w:t>
      </w:r>
      <w:r>
        <w:rPr>
          <w:rFonts w:hint="eastAsia" w:ascii="宋体" w:hAnsi="宋体" w:eastAsia="宋体" w:cs="宋体"/>
          <w:color w:val="000000" w:themeColor="text1"/>
          <w:highlight w:val="none"/>
          <w:lang w:val="en-US" w:eastAsia="zh-CN"/>
          <w14:textFill>
            <w14:solidFill>
              <w14:schemeClr w14:val="tx1"/>
            </w14:solidFill>
          </w14:textFill>
        </w:rPr>
        <w:t>随</w:t>
      </w:r>
      <w:r>
        <w:rPr>
          <w:rFonts w:hint="eastAsia" w:ascii="宋体" w:hAnsi="宋体" w:eastAsia="宋体" w:cs="宋体"/>
          <w:color w:val="000000" w:themeColor="text1"/>
          <w:highlight w:val="none"/>
          <w14:textFill>
            <w14:solidFill>
              <w14:schemeClr w14:val="tx1"/>
            </w14:solidFill>
          </w14:textFill>
        </w:rPr>
        <w:t>均苯四甲酸二酐（PMDA）</w:t>
      </w:r>
      <w:r>
        <w:rPr>
          <w:rFonts w:hint="eastAsia" w:ascii="宋体" w:hAnsi="宋体" w:eastAsia="宋体" w:cs="宋体"/>
          <w:color w:val="000000" w:themeColor="text1"/>
          <w:highlight w:val="none"/>
          <w:lang w:val="en-US" w:eastAsia="zh-CN"/>
          <w14:textFill>
            <w14:solidFill>
              <w14:schemeClr w14:val="tx1"/>
            </w14:solidFill>
          </w14:textFill>
        </w:rPr>
        <w:t>投入量增加逐步产生温升，反应温度最高可至70</w:t>
      </w:r>
      <w:r>
        <w:rPr>
          <w:rFonts w:hint="eastAsia" w:ascii="宋体" w:hAnsi="宋体" w:eastAsia="宋体" w:cs="宋体"/>
          <w:color w:val="000000" w:themeColor="text1"/>
          <w:highlight w:val="none"/>
          <w14:textFill>
            <w14:solidFill>
              <w14:schemeClr w14:val="tx1"/>
            </w14:solidFill>
          </w14:textFill>
        </w:rPr>
        <w:t>℃</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反应釜夹套中要通入冷却水（循环使用）</w:t>
      </w:r>
      <w:r>
        <w:rPr>
          <w:rFonts w:hint="eastAsia" w:ascii="宋体" w:hAnsi="宋体" w:eastAsia="宋体" w:cs="宋体"/>
          <w:color w:val="000000" w:themeColor="text1"/>
          <w:highlight w:val="none"/>
          <w:lang w:val="en-US" w:eastAsia="zh-CN"/>
          <w14:textFill>
            <w14:solidFill>
              <w14:schemeClr w14:val="tx1"/>
            </w14:solidFill>
          </w14:textFill>
        </w:rPr>
        <w:t>控制温度在</w:t>
      </w:r>
      <w:r>
        <w:rPr>
          <w:rFonts w:hint="eastAsia" w:ascii="宋体" w:hAnsi="宋体" w:eastAsia="宋体" w:cs="宋体"/>
          <w:color w:val="000000" w:themeColor="text1"/>
          <w:highlight w:val="none"/>
          <w14:textFill>
            <w14:solidFill>
              <w14:schemeClr w14:val="tx1"/>
            </w14:solidFill>
          </w14:textFill>
        </w:rPr>
        <w:t>60℃</w:t>
      </w:r>
      <w:r>
        <w:rPr>
          <w:rFonts w:hint="eastAsia" w:ascii="宋体" w:hAnsi="宋体" w:eastAsia="宋体" w:cs="宋体"/>
          <w:color w:val="000000" w:themeColor="text1"/>
          <w:highlight w:val="none"/>
          <w:lang w:val="en-US" w:eastAsia="zh-CN"/>
          <w14:textFill>
            <w14:solidFill>
              <w14:schemeClr w14:val="tx1"/>
            </w14:solidFill>
          </w14:textFill>
        </w:rPr>
        <w:t>以下，</w:t>
      </w:r>
      <w:r>
        <w:rPr>
          <w:rFonts w:hint="eastAsia" w:ascii="宋体" w:hAnsi="宋体" w:eastAsia="宋体" w:cs="宋体"/>
          <w:color w:val="000000" w:themeColor="text1"/>
          <w:highlight w:val="none"/>
          <w14:textFill>
            <w14:solidFill>
              <w14:schemeClr w14:val="tx1"/>
            </w14:solidFill>
          </w14:textFill>
        </w:rPr>
        <w:t>常压下反应6小时。</w:t>
      </w:r>
    </w:p>
    <w:p>
      <w:pPr>
        <w:keepNext w:val="0"/>
        <w:keepLines w:val="0"/>
        <w:pageBreakBefore w:val="0"/>
        <w:widowControl w:val="0"/>
        <w:numPr>
          <w:ilvl w:val="0"/>
          <w:numId w:val="4"/>
        </w:numPr>
        <w:kinsoku/>
        <w:wordWrap/>
        <w:overflowPunct/>
        <w:topLinePunct w:val="0"/>
        <w:bidi w:val="0"/>
        <w:adjustRightInd/>
        <w:snapToGrid/>
        <w:spacing w:line="360" w:lineRule="auto"/>
        <w:ind w:leftChars="0" w:firstLine="480" w:firstLineChars="200"/>
        <w:jc w:val="both"/>
        <w:textAlignment w:val="auto"/>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缩聚反应：缩聚反应以均苯四甲酸二酐（PMDA）计，反应转化率为99.7%，其中生成聚酰胺酸的占91%，生成互变异构聚酰胺酸的占8.7%。</w:t>
      </w:r>
    </w:p>
    <w:p>
      <w:pPr>
        <w:keepNext w:val="0"/>
        <w:keepLines w:val="0"/>
        <w:pageBreakBefore w:val="0"/>
        <w:widowControl w:val="0"/>
        <w:kinsoku/>
        <w:wordWrap/>
        <w:overflowPunct/>
        <w:topLinePunct w:val="0"/>
        <w:bidi w:val="0"/>
        <w:adjustRightInd/>
        <w:snapToGrid/>
        <w:spacing w:line="360" w:lineRule="auto"/>
        <w:ind w:leftChars="0" w:firstLine="480" w:firstLineChars="200"/>
        <w:jc w:val="both"/>
        <w:textAlignment w:val="auto"/>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eastAsia="zh-CN"/>
          <w14:textFill>
            <w14:solidFill>
              <w14:schemeClr w14:val="tx1"/>
            </w14:solidFill>
          </w14:textFill>
        </w:rPr>
        <w:t>主反应：</w:t>
      </w:r>
    </w:p>
    <w:p>
      <w:pPr>
        <w:keepNext w:val="0"/>
        <w:keepLines w:val="0"/>
        <w:pageBreakBefore w:val="0"/>
        <w:widowControl w:val="0"/>
        <w:kinsoku/>
        <w:wordWrap/>
        <w:overflowPunct/>
        <w:topLinePunct w:val="0"/>
        <w:bidi w:val="0"/>
        <w:adjustRightInd/>
        <w:snapToGrid/>
        <w:spacing w:line="360" w:lineRule="auto"/>
        <w:ind w:leftChars="0" w:firstLine="480" w:firstLineChars="200"/>
        <w:jc w:val="both"/>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drawing>
          <wp:inline distT="0" distB="0" distL="114300" distR="114300">
            <wp:extent cx="5186045" cy="1914525"/>
            <wp:effectExtent l="0" t="0" r="14605" b="952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9"/>
                    <a:stretch>
                      <a:fillRect/>
                    </a:stretch>
                  </pic:blipFill>
                  <pic:spPr>
                    <a:xfrm>
                      <a:off x="0" y="0"/>
                      <a:ext cx="5186045" cy="1914525"/>
                    </a:xfrm>
                    <a:prstGeom prst="rect">
                      <a:avLst/>
                    </a:prstGeom>
                    <a:noFill/>
                    <a:ln>
                      <a:noFill/>
                    </a:ln>
                  </pic:spPr>
                </pic:pic>
              </a:graphicData>
            </a:graphic>
          </wp:inline>
        </w:drawing>
      </w:r>
    </w:p>
    <w:p>
      <w:pPr>
        <w:keepNext w:val="0"/>
        <w:keepLines w:val="0"/>
        <w:pageBreakBefore w:val="0"/>
        <w:widowControl w:val="0"/>
        <w:kinsoku/>
        <w:wordWrap/>
        <w:overflowPunct/>
        <w:topLinePunct w:val="0"/>
        <w:bidi w:val="0"/>
        <w:adjustRightInd/>
        <w:snapToGrid/>
        <w:spacing w:line="360" w:lineRule="auto"/>
        <w:ind w:leftChars="0" w:firstLine="480" w:firstLineChars="200"/>
        <w:jc w:val="both"/>
        <w:textAlignment w:val="auto"/>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eastAsia="zh-CN"/>
          <w14:textFill>
            <w14:solidFill>
              <w14:schemeClr w14:val="tx1"/>
            </w14:solidFill>
          </w14:textFill>
        </w:rPr>
        <w:t>副反应：</w:t>
      </w:r>
    </w:p>
    <w:p>
      <w:pPr>
        <w:jc w:val="center"/>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drawing>
          <wp:inline distT="0" distB="0" distL="114300" distR="114300">
            <wp:extent cx="5257165" cy="2324100"/>
            <wp:effectExtent l="0" t="0" r="635" b="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20"/>
                    <a:stretch>
                      <a:fillRect/>
                    </a:stretch>
                  </pic:blipFill>
                  <pic:spPr>
                    <a:xfrm>
                      <a:off x="0" y="0"/>
                      <a:ext cx="5257165" cy="2324100"/>
                    </a:xfrm>
                    <a:prstGeom prst="rect">
                      <a:avLst/>
                    </a:prstGeom>
                    <a:noFill/>
                    <a:ln>
                      <a:noFill/>
                    </a:ln>
                  </pic:spPr>
                </pic:pic>
              </a:graphicData>
            </a:graphic>
          </wp:inline>
        </w:drawing>
      </w:r>
    </w:p>
    <w:p>
      <w:pPr>
        <w:pStyle w:val="25"/>
        <w:rPr>
          <w:rFonts w:hint="eastAsia" w:ascii="宋体" w:hAnsi="宋体" w:eastAsia="宋体" w:cs="宋体"/>
          <w:color w:val="000000" w:themeColor="text1"/>
          <w:lang w:val="en-US" w:eastAsia="zh-CN"/>
          <w14:textFill>
            <w14:solidFill>
              <w14:schemeClr w14:val="tx1"/>
            </w14:solidFill>
          </w14:textFill>
        </w:rPr>
      </w:pPr>
    </w:p>
    <w:p>
      <w:pPr>
        <w:pStyle w:val="25"/>
        <w:keepNext w:val="0"/>
        <w:keepLines w:val="0"/>
        <w:pageBreakBefore w:val="0"/>
        <w:kinsoku/>
        <w:wordWrap/>
        <w:overflowPunct/>
        <w:topLinePunct w:val="0"/>
        <w:bidi w:val="0"/>
        <w:adjustRightInd/>
        <w:snapToGrid/>
        <w:spacing w:line="360" w:lineRule="auto"/>
        <w:ind w:leftChars="0" w:firstLine="480" w:firstLineChars="200"/>
        <w:textAlignment w:val="auto"/>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b w:val="0"/>
          <w:bCs w:val="0"/>
          <w:i w:val="0"/>
          <w:iCs w:val="0"/>
          <w:color w:val="000000" w:themeColor="text1"/>
          <w:sz w:val="24"/>
          <w:szCs w:val="24"/>
          <w:lang w:eastAsia="zh-CN"/>
          <w14:textFill>
            <w14:solidFill>
              <w14:schemeClr w14:val="tx1"/>
            </w14:solidFill>
          </w14:textFill>
        </w:rPr>
        <w:t>（</w:t>
      </w:r>
      <w:r>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t>2</w:t>
      </w:r>
      <w:r>
        <w:rPr>
          <w:rFonts w:hint="eastAsia" w:ascii="宋体" w:hAnsi="宋体" w:eastAsia="宋体" w:cs="宋体"/>
          <w:b w:val="0"/>
          <w:bCs w:val="0"/>
          <w:i w:val="0"/>
          <w:iCs w:val="0"/>
          <w:color w:val="000000" w:themeColor="text1"/>
          <w:sz w:val="24"/>
          <w:szCs w:val="24"/>
          <w:lang w:eastAsia="zh-CN"/>
          <w14:textFill>
            <w14:solidFill>
              <w14:schemeClr w14:val="tx1"/>
            </w14:solidFill>
          </w14:textFill>
        </w:rPr>
        <w:t>）</w:t>
      </w:r>
      <w:r>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t>亚胺化反应：</w:t>
      </w:r>
      <w:r>
        <w:rPr>
          <w:rFonts w:hint="eastAsia" w:ascii="宋体" w:hAnsi="宋体" w:eastAsia="宋体" w:cs="宋体"/>
          <w:b w:val="0"/>
          <w:bCs w:val="0"/>
          <w:i w:val="0"/>
          <w:iCs w:val="0"/>
          <w:color w:val="000000" w:themeColor="text1"/>
          <w:sz w:val="24"/>
          <w:szCs w:val="24"/>
          <w14:textFill>
            <w14:solidFill>
              <w14:schemeClr w14:val="tx1"/>
            </w14:solidFill>
          </w14:textFill>
        </w:rPr>
        <w:t>亚胺化反应以聚酰胺酸计，反应转化率为99.3%，互变异构聚酰胺酸反应转化率为99.1%，异构聚酰亚胺在加热条件下转为聚酰亚胺的转化率为99%</w:t>
      </w:r>
      <w:r>
        <w:rPr>
          <w:rFonts w:hint="eastAsia" w:ascii="宋体" w:hAnsi="宋体" w:eastAsia="宋体" w:cs="宋体"/>
          <w:b w:val="0"/>
          <w:bCs w:val="0"/>
          <w:i w:val="0"/>
          <w:iCs w:val="0"/>
          <w:color w:val="000000" w:themeColor="text1"/>
          <w:sz w:val="24"/>
          <w:szCs w:val="24"/>
          <w:lang w:eastAsia="zh-CN"/>
          <w14:textFill>
            <w14:solidFill>
              <w14:schemeClr w14:val="tx1"/>
            </w14:solidFill>
          </w14:textFill>
        </w:rPr>
        <w:t>。</w:t>
      </w:r>
    </w:p>
    <w:p>
      <w:pPr>
        <w:pStyle w:val="25"/>
        <w:keepNext w:val="0"/>
        <w:keepLines w:val="0"/>
        <w:pageBreakBefore w:val="0"/>
        <w:kinsoku/>
        <w:wordWrap/>
        <w:overflowPunct/>
        <w:topLinePunct w:val="0"/>
        <w:bidi w:val="0"/>
        <w:adjustRightInd/>
        <w:snapToGrid/>
        <w:spacing w:line="360" w:lineRule="auto"/>
        <w:ind w:leftChars="0" w:firstLine="480" w:firstLineChars="200"/>
        <w:textAlignment w:val="auto"/>
        <w:rPr>
          <w:rFonts w:hint="eastAsia" w:ascii="宋体" w:hAnsi="宋体" w:eastAsia="宋体" w:cs="宋体"/>
          <w:b w:val="0"/>
          <w:bCs w:val="0"/>
          <w:i w:val="0"/>
          <w:iCs w:val="0"/>
          <w:color w:val="000000" w:themeColor="text1"/>
          <w:sz w:val="24"/>
          <w:szCs w:val="24"/>
          <w:lang w:eastAsia="zh-CN"/>
          <w14:textFill>
            <w14:solidFill>
              <w14:schemeClr w14:val="tx1"/>
            </w14:solidFill>
          </w14:textFill>
        </w:rPr>
      </w:pPr>
      <w:r>
        <w:rPr>
          <w:rFonts w:hint="eastAsia" w:ascii="宋体" w:hAnsi="宋体" w:eastAsia="宋体" w:cs="宋体"/>
          <w:b w:val="0"/>
          <w:bCs w:val="0"/>
          <w:i w:val="0"/>
          <w:iCs w:val="0"/>
          <w:color w:val="000000" w:themeColor="text1"/>
          <w:sz w:val="24"/>
          <w:szCs w:val="24"/>
          <w:lang w:eastAsia="zh-CN"/>
          <w14:textFill>
            <w14:solidFill>
              <w14:schemeClr w14:val="tx1"/>
            </w14:solidFill>
          </w14:textFill>
        </w:rPr>
        <w:t>主反应：</w:t>
      </w:r>
    </w:p>
    <w:p>
      <w:pPr>
        <w:pStyle w:val="25"/>
        <w:keepNext w:val="0"/>
        <w:keepLines w:val="0"/>
        <w:pageBreakBefore w:val="0"/>
        <w:kinsoku/>
        <w:wordWrap/>
        <w:overflowPunct/>
        <w:topLinePunct w:val="0"/>
        <w:bidi w:val="0"/>
        <w:adjustRightInd/>
        <w:snapToGrid/>
        <w:spacing w:line="360" w:lineRule="auto"/>
        <w:ind w:leftChars="0" w:firstLine="480" w:firstLineChars="200"/>
        <w:textAlignment w:val="auto"/>
        <w:rPr>
          <w:rFonts w:hint="eastAsia" w:ascii="宋体" w:hAnsi="宋体" w:eastAsia="宋体" w:cs="宋体"/>
          <w:b w:val="0"/>
          <w:bCs w:val="0"/>
          <w:i w:val="0"/>
          <w:iCs w:val="0"/>
          <w:color w:val="000000" w:themeColor="text1"/>
          <w:sz w:val="24"/>
          <w:szCs w:val="24"/>
          <w:lang w:eastAsia="zh-CN"/>
          <w14:textFill>
            <w14:solidFill>
              <w14:schemeClr w14:val="tx1"/>
            </w14:solidFill>
          </w14:textFill>
        </w:rPr>
      </w:pPr>
      <w:r>
        <w:rPr>
          <w:rFonts w:hint="eastAsia" w:ascii="宋体" w:hAnsi="宋体" w:eastAsia="宋体" w:cs="宋体"/>
          <w:b w:val="0"/>
          <w:bCs w:val="0"/>
          <w:i w:val="0"/>
          <w:iCs w:val="0"/>
          <w:color w:val="000000" w:themeColor="text1"/>
          <w:sz w:val="24"/>
          <w:szCs w:val="24"/>
          <w:lang w:eastAsia="zh-CN"/>
          <w14:textFill>
            <w14:solidFill>
              <w14:schemeClr w14:val="tx1"/>
            </w14:solidFill>
          </w14:textFill>
        </w:rPr>
        <w:drawing>
          <wp:inline distT="0" distB="0" distL="114300" distR="114300">
            <wp:extent cx="5244465" cy="2095500"/>
            <wp:effectExtent l="0" t="0" r="13335" b="0"/>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21"/>
                    <a:stretch>
                      <a:fillRect/>
                    </a:stretch>
                  </pic:blipFill>
                  <pic:spPr>
                    <a:xfrm>
                      <a:off x="0" y="0"/>
                      <a:ext cx="5244465" cy="2095500"/>
                    </a:xfrm>
                    <a:prstGeom prst="rect">
                      <a:avLst/>
                    </a:prstGeom>
                    <a:noFill/>
                    <a:ln>
                      <a:noFill/>
                    </a:ln>
                  </pic:spPr>
                </pic:pic>
              </a:graphicData>
            </a:graphic>
          </wp:inline>
        </w:drawing>
      </w:r>
    </w:p>
    <w:p>
      <w:pPr>
        <w:pStyle w:val="25"/>
        <w:keepNext w:val="0"/>
        <w:keepLines w:val="0"/>
        <w:pageBreakBefore w:val="0"/>
        <w:kinsoku/>
        <w:wordWrap/>
        <w:overflowPunct/>
        <w:topLinePunct w:val="0"/>
        <w:bidi w:val="0"/>
        <w:adjustRightInd/>
        <w:snapToGrid/>
        <w:spacing w:line="360" w:lineRule="auto"/>
        <w:ind w:leftChars="0" w:firstLine="480" w:firstLineChars="200"/>
        <w:textAlignment w:val="auto"/>
        <w:rPr>
          <w:rFonts w:hint="eastAsia" w:ascii="宋体" w:hAnsi="宋体" w:eastAsia="宋体" w:cs="宋体"/>
          <w:b w:val="0"/>
          <w:bCs w:val="0"/>
          <w:i w:val="0"/>
          <w:iCs w:val="0"/>
          <w:color w:val="000000" w:themeColor="text1"/>
          <w:sz w:val="24"/>
          <w:szCs w:val="24"/>
          <w:lang w:eastAsia="zh-CN"/>
          <w14:textFill>
            <w14:solidFill>
              <w14:schemeClr w14:val="tx1"/>
            </w14:solidFill>
          </w14:textFill>
        </w:rPr>
      </w:pPr>
      <w:r>
        <w:rPr>
          <w:rFonts w:hint="eastAsia" w:ascii="宋体" w:hAnsi="宋体" w:eastAsia="宋体" w:cs="宋体"/>
          <w:b w:val="0"/>
          <w:bCs w:val="0"/>
          <w:i w:val="0"/>
          <w:iCs w:val="0"/>
          <w:color w:val="000000" w:themeColor="text1"/>
          <w:sz w:val="24"/>
          <w:szCs w:val="24"/>
          <w:lang w:eastAsia="zh-CN"/>
          <w14:textFill>
            <w14:solidFill>
              <w14:schemeClr w14:val="tx1"/>
            </w14:solidFill>
          </w14:textFill>
        </w:rPr>
        <w:t>副反应：</w:t>
      </w:r>
    </w:p>
    <w:p>
      <w:pPr>
        <w:jc w:val="center"/>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drawing>
          <wp:inline distT="0" distB="0" distL="114300" distR="114300">
            <wp:extent cx="5386070" cy="4168775"/>
            <wp:effectExtent l="0" t="0" r="5080" b="3175"/>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22"/>
                    <a:stretch>
                      <a:fillRect/>
                    </a:stretch>
                  </pic:blipFill>
                  <pic:spPr>
                    <a:xfrm>
                      <a:off x="0" y="0"/>
                      <a:ext cx="5386070" cy="4168775"/>
                    </a:xfrm>
                    <a:prstGeom prst="rect">
                      <a:avLst/>
                    </a:prstGeom>
                    <a:noFill/>
                    <a:ln>
                      <a:noFill/>
                    </a:ln>
                  </pic:spPr>
                </pic:pic>
              </a:graphicData>
            </a:graphic>
          </wp:inline>
        </w:drawing>
      </w:r>
    </w:p>
    <w:p>
      <w:pPr>
        <w:pStyle w:val="25"/>
        <w:keepNext w:val="0"/>
        <w:keepLines w:val="0"/>
        <w:pageBreakBefore w:val="0"/>
        <w:kinsoku/>
        <w:wordWrap/>
        <w:overflowPunct/>
        <w:topLinePunct w:val="0"/>
        <w:bidi w:val="0"/>
        <w:adjustRightInd/>
        <w:snapToGrid/>
        <w:spacing w:line="360" w:lineRule="auto"/>
        <w:ind w:leftChars="0" w:firstLine="480" w:firstLineChars="200"/>
        <w:textAlignment w:val="auto"/>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i w:val="0"/>
          <w:iCs w:val="0"/>
          <w:color w:val="000000" w:themeColor="text1"/>
          <w:sz w:val="24"/>
          <w:szCs w:val="24"/>
          <w14:textFill>
            <w14:solidFill>
              <w14:schemeClr w14:val="tx1"/>
            </w14:solidFill>
          </w14:textFill>
        </w:rPr>
        <w:t>根据查阅相关资料，异构聚酰亚胺在加热条件下很容易异构化为聚酰亚胺，本评价考虑99%的异构聚酰亚胺在加热情况下转化为聚酰亚胺，剩余的极少量未反应的PMDA和ODA以及未转化的聚酰胺酸、异构聚酰胺酸、异构聚酰亚胺进入产品。</w:t>
      </w:r>
    </w:p>
    <w:p>
      <w:pPr>
        <w:pStyle w:val="33"/>
        <w:keepNext w:val="0"/>
        <w:keepLines w:val="0"/>
        <w:pageBreakBefore w:val="0"/>
        <w:widowControl w:val="0"/>
        <w:kinsoku/>
        <w:wordWrap/>
        <w:overflowPunct/>
        <w:topLinePunct w:val="0"/>
        <w:autoSpaceDE w:val="0"/>
        <w:autoSpaceDN w:val="0"/>
        <w:bidi w:val="0"/>
        <w:adjustRightInd/>
        <w:snapToGrid/>
        <w:spacing w:line="360" w:lineRule="auto"/>
        <w:ind w:leftChars="0" w:firstLine="482" w:firstLineChars="200"/>
        <w:textAlignment w:val="auto"/>
        <w:outlineLvl w:val="3"/>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3.3.1.2工艺流程</w:t>
      </w:r>
    </w:p>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drawing>
          <wp:inline distT="0" distB="0" distL="114300" distR="114300">
            <wp:extent cx="4724400" cy="5867400"/>
            <wp:effectExtent l="0" t="0" r="0" b="0"/>
            <wp:docPr id="29" name="图片 2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
                    <pic:cNvPicPr>
                      <a:picLocks noChangeAspect="1"/>
                    </pic:cNvPicPr>
                  </pic:nvPicPr>
                  <pic:blipFill>
                    <a:blip r:embed="rId23"/>
                    <a:stretch>
                      <a:fillRect/>
                    </a:stretch>
                  </pic:blipFill>
                  <pic:spPr>
                    <a:xfrm>
                      <a:off x="0" y="0"/>
                      <a:ext cx="4724400" cy="58674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0" w:firstLineChars="0"/>
        <w:jc w:val="center"/>
        <w:textAlignment w:val="auto"/>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图3.3-2工艺流程图</w:t>
      </w:r>
    </w:p>
    <w:p>
      <w:pPr>
        <w:pStyle w:val="25"/>
        <w:keepNext w:val="0"/>
        <w:keepLines w:val="0"/>
        <w:pageBreakBefore w:val="0"/>
        <w:kinsoku/>
        <w:wordWrap/>
        <w:overflowPunct/>
        <w:topLinePunct w:val="0"/>
        <w:bidi w:val="0"/>
        <w:adjustRightInd/>
        <w:snapToGrid/>
        <w:spacing w:line="360" w:lineRule="auto"/>
        <w:ind w:leftChars="0" w:firstLine="480" w:firstLineChars="200"/>
        <w:textAlignment w:val="auto"/>
        <w:rPr>
          <w:rFonts w:hint="eastAsia" w:ascii="宋体" w:hAnsi="宋体" w:eastAsia="宋体" w:cs="宋体"/>
          <w:b w:val="0"/>
          <w:bCs w:val="0"/>
          <w:i w:val="0"/>
          <w:iCs w:val="0"/>
          <w:color w:val="000000" w:themeColor="text1"/>
          <w:sz w:val="24"/>
          <w:szCs w:val="24"/>
          <w:lang w:eastAsia="zh-CN"/>
          <w14:textFill>
            <w14:solidFill>
              <w14:schemeClr w14:val="tx1"/>
            </w14:solidFill>
          </w14:textFill>
        </w:rPr>
      </w:pPr>
      <w:r>
        <w:rPr>
          <w:rFonts w:hint="eastAsia" w:ascii="宋体" w:hAnsi="宋体" w:eastAsia="宋体" w:cs="宋体"/>
          <w:b w:val="0"/>
          <w:bCs w:val="0"/>
          <w:i w:val="0"/>
          <w:iCs w:val="0"/>
          <w:color w:val="000000" w:themeColor="text1"/>
          <w:sz w:val="24"/>
          <w:szCs w:val="24"/>
          <w:lang w:eastAsia="zh-CN"/>
          <w14:textFill>
            <w14:solidFill>
              <w14:schemeClr w14:val="tx1"/>
            </w14:solidFill>
          </w14:textFill>
        </w:rPr>
        <w:t>（</w:t>
      </w:r>
      <w:r>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t>1</w:t>
      </w:r>
      <w:r>
        <w:rPr>
          <w:rFonts w:hint="eastAsia" w:ascii="宋体" w:hAnsi="宋体" w:eastAsia="宋体" w:cs="宋体"/>
          <w:b w:val="0"/>
          <w:bCs w:val="0"/>
          <w:i w:val="0"/>
          <w:iCs w:val="0"/>
          <w:color w:val="000000" w:themeColor="text1"/>
          <w:sz w:val="24"/>
          <w:szCs w:val="24"/>
          <w:lang w:eastAsia="zh-CN"/>
          <w14:textFill>
            <w14:solidFill>
              <w14:schemeClr w14:val="tx1"/>
            </w14:solidFill>
          </w14:textFill>
        </w:rPr>
        <w:t>）</w:t>
      </w:r>
      <w:r>
        <w:rPr>
          <w:rFonts w:hint="eastAsia" w:ascii="宋体" w:hAnsi="宋体" w:eastAsia="宋体" w:cs="宋体"/>
          <w:b w:val="0"/>
          <w:bCs w:val="0"/>
          <w:i w:val="0"/>
          <w:iCs w:val="0"/>
          <w:color w:val="000000" w:themeColor="text1"/>
          <w:sz w:val="24"/>
          <w:szCs w:val="24"/>
          <w14:textFill>
            <w14:solidFill>
              <w14:schemeClr w14:val="tx1"/>
            </w14:solidFill>
          </w14:textFill>
        </w:rPr>
        <w:t>投料</w:t>
      </w:r>
    </w:p>
    <w:p>
      <w:pPr>
        <w:pStyle w:val="25"/>
        <w:keepNext w:val="0"/>
        <w:keepLines w:val="0"/>
        <w:pageBreakBefore w:val="0"/>
        <w:kinsoku/>
        <w:wordWrap/>
        <w:overflowPunct/>
        <w:topLinePunct w:val="0"/>
        <w:bidi w:val="0"/>
        <w:adjustRightInd/>
        <w:snapToGrid/>
        <w:spacing w:line="360" w:lineRule="auto"/>
        <w:ind w:leftChars="0" w:firstLine="480" w:firstLineChars="200"/>
        <w:textAlignment w:val="auto"/>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i w:val="0"/>
          <w:iCs w:val="0"/>
          <w:color w:val="000000" w:themeColor="text1"/>
          <w:sz w:val="24"/>
          <w:szCs w:val="24"/>
          <w14:textFill>
            <w14:solidFill>
              <w14:schemeClr w14:val="tx1"/>
            </w14:solidFill>
          </w14:textFill>
        </w:rPr>
        <w:t>本项目所用N,N-二甲基乙酰胺为液体，采用桶装，使用时通过真空泵抽负压将N,N-二甲基乙酰胺泵入计量罐内，4,4'-二氨基二苯醚由人工通过喂料孔投入计量罐内搅拌溶解，二甲基乙酰胺</w:t>
      </w:r>
      <w:r>
        <w:rPr>
          <w:rFonts w:hint="eastAsia" w:ascii="宋体" w:hAnsi="宋体" w:eastAsia="宋体" w:cs="宋体"/>
          <w:b w:val="0"/>
          <w:bCs w:val="0"/>
          <w:i w:val="0"/>
          <w:iCs w:val="0"/>
          <w:color w:val="000000" w:themeColor="text1"/>
          <w:sz w:val="24"/>
          <w:szCs w:val="24"/>
          <w:lang w:eastAsia="zh-CN"/>
          <w14:textFill>
            <w14:solidFill>
              <w14:schemeClr w14:val="tx1"/>
            </w14:solidFill>
          </w14:textFill>
        </w:rPr>
        <w:t>会挥发产生少量有机废气</w:t>
      </w:r>
      <w:r>
        <w:rPr>
          <w:rFonts w:hint="eastAsia" w:ascii="宋体" w:hAnsi="宋体" w:eastAsia="宋体" w:cs="宋体"/>
          <w:bCs/>
          <w:color w:val="000000" w:themeColor="text1"/>
          <w:szCs w:val="24"/>
          <w:lang w:val="en-US" w:eastAsia="zh-CN"/>
          <w14:textFill>
            <w14:solidFill>
              <w14:schemeClr w14:val="tx1"/>
            </w14:solidFill>
          </w14:textFill>
        </w:rPr>
        <w:t>G</w:t>
      </w:r>
      <w:r>
        <w:rPr>
          <w:rFonts w:hint="eastAsia" w:ascii="宋体" w:hAnsi="宋体" w:eastAsia="宋体" w:cs="宋体"/>
          <w:bCs/>
          <w:color w:val="000000" w:themeColor="text1"/>
          <w:szCs w:val="24"/>
          <w:vertAlign w:val="subscript"/>
          <w:lang w:val="en-US" w:eastAsia="zh-CN"/>
          <w14:textFill>
            <w14:solidFill>
              <w14:schemeClr w14:val="tx1"/>
            </w14:solidFill>
          </w14:textFill>
        </w:rPr>
        <w:t>1-1</w:t>
      </w:r>
      <w:r>
        <w:rPr>
          <w:rFonts w:hint="eastAsia" w:ascii="宋体" w:hAnsi="宋体" w:eastAsia="宋体" w:cs="宋体"/>
          <w:bCs/>
          <w:color w:val="000000" w:themeColor="text1"/>
          <w:szCs w:val="24"/>
          <w:lang w:val="en-US" w:eastAsia="zh-CN"/>
          <w14:textFill>
            <w14:solidFill>
              <w14:schemeClr w14:val="tx1"/>
            </w14:solidFill>
          </w14:textFill>
        </w:rPr>
        <w:t>，根据同类项目生产经验，产生量约占二甲基乙酰胺投放量的0.01%。二氨基二苯醚为颗粒状，</w:t>
      </w:r>
      <w:r>
        <w:rPr>
          <w:rFonts w:hint="eastAsia" w:ascii="宋体" w:hAnsi="宋体" w:eastAsia="宋体" w:cs="宋体"/>
          <w:bCs/>
          <w:color w:val="000000" w:themeColor="text1"/>
          <w:szCs w:val="24"/>
          <w:highlight w:val="none"/>
          <w:lang w:val="en-US" w:eastAsia="zh-CN"/>
          <w14:textFill>
            <w14:solidFill>
              <w14:schemeClr w14:val="tx1"/>
            </w14:solidFill>
          </w14:textFill>
        </w:rPr>
        <w:t>投料工序不会产生投料粉尘。</w:t>
      </w:r>
      <w:r>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t>原料溶解后，</w:t>
      </w:r>
      <w:r>
        <w:rPr>
          <w:rFonts w:hint="eastAsia" w:ascii="宋体" w:hAnsi="宋体" w:eastAsia="宋体" w:cs="宋体"/>
          <w:b w:val="0"/>
          <w:bCs w:val="0"/>
          <w:i w:val="0"/>
          <w:iCs w:val="0"/>
          <w:color w:val="000000" w:themeColor="text1"/>
          <w:sz w:val="24"/>
          <w:szCs w:val="24"/>
          <w14:textFill>
            <w14:solidFill>
              <w14:schemeClr w14:val="tx1"/>
            </w14:solidFill>
          </w14:textFill>
        </w:rPr>
        <w:t>通过管道从计量罐内向搅拌罐内泵入4,4'-二氨基二苯醚和N,N-二甲基乙酰胺的混合溶液，通过喂料口向搅拌罐内按比例加入均苯四甲酸二酐。</w:t>
      </w:r>
      <w:r>
        <w:rPr>
          <w:rFonts w:hint="eastAsia" w:ascii="宋体" w:hAnsi="宋体" w:eastAsia="宋体" w:cs="宋体"/>
          <w:bCs/>
          <w:color w:val="000000" w:themeColor="text1"/>
          <w:szCs w:val="24"/>
          <w:lang w:val="en-US" w:eastAsia="zh-CN"/>
          <w14:textFill>
            <w14:solidFill>
              <w14:schemeClr w14:val="tx1"/>
            </w14:solidFill>
          </w14:textFill>
        </w:rPr>
        <w:t>物料</w:t>
      </w:r>
      <w:r>
        <w:rPr>
          <w:rFonts w:hint="eastAsia" w:ascii="宋体" w:hAnsi="宋体" w:eastAsia="宋体" w:cs="宋体"/>
          <w:bCs/>
          <w:color w:val="000000" w:themeColor="text1"/>
          <w:szCs w:val="24"/>
          <w14:textFill>
            <w14:solidFill>
              <w14:schemeClr w14:val="tx1"/>
            </w14:solidFill>
          </w14:textFill>
        </w:rPr>
        <w:t>在搅拌下进行反应，</w:t>
      </w:r>
      <w:r>
        <w:rPr>
          <w:rFonts w:hint="eastAsia" w:ascii="宋体" w:hAnsi="宋体" w:eastAsia="宋体" w:cs="宋体"/>
          <w:bCs/>
          <w:color w:val="000000" w:themeColor="text1"/>
          <w:szCs w:val="24"/>
          <w:lang w:eastAsia="zh-CN"/>
          <w14:textFill>
            <w14:solidFill>
              <w14:schemeClr w14:val="tx1"/>
            </w14:solidFill>
          </w14:textFill>
        </w:rPr>
        <w:t>该</w:t>
      </w:r>
      <w:r>
        <w:rPr>
          <w:rFonts w:hint="eastAsia" w:ascii="宋体" w:hAnsi="宋体" w:eastAsia="宋体" w:cs="宋体"/>
          <w:bCs/>
          <w:color w:val="000000" w:themeColor="text1"/>
          <w:szCs w:val="24"/>
          <w14:textFill>
            <w14:solidFill>
              <w14:schemeClr w14:val="tx1"/>
            </w14:solidFill>
          </w14:textFill>
        </w:rPr>
        <w:t>反应为放热反应</w:t>
      </w:r>
      <w:r>
        <w:rPr>
          <w:rFonts w:hint="eastAsia" w:ascii="宋体" w:hAnsi="宋体" w:eastAsia="宋体" w:cs="宋体"/>
          <w:bCs/>
          <w:color w:val="000000" w:themeColor="text1"/>
          <w:szCs w:val="24"/>
          <w:lang w:eastAsia="zh-CN"/>
          <w14:textFill>
            <w14:solidFill>
              <w14:schemeClr w14:val="tx1"/>
            </w14:solidFill>
          </w14:textFill>
        </w:rPr>
        <w:t>。当</w:t>
      </w:r>
      <w:r>
        <w:rPr>
          <w:rFonts w:hint="eastAsia" w:ascii="宋体" w:hAnsi="宋体" w:eastAsia="宋体" w:cs="宋体"/>
          <w:bCs/>
          <w:color w:val="000000" w:themeColor="text1"/>
          <w:szCs w:val="24"/>
          <w14:textFill>
            <w14:solidFill>
              <w14:schemeClr w14:val="tx1"/>
            </w14:solidFill>
          </w14:textFill>
        </w:rPr>
        <w:t>均苯四甲酸二酐（PMDA）全部投加完毕后，</w:t>
      </w:r>
      <w:r>
        <w:rPr>
          <w:rFonts w:hint="eastAsia" w:ascii="宋体" w:hAnsi="宋体" w:eastAsia="宋体" w:cs="宋体"/>
          <w:bCs/>
          <w:color w:val="000000" w:themeColor="text1"/>
          <w:szCs w:val="24"/>
          <w:lang w:val="en-US" w:eastAsia="zh-CN"/>
          <w14:textFill>
            <w14:solidFill>
              <w14:schemeClr w14:val="tx1"/>
            </w14:solidFill>
          </w14:textFill>
        </w:rPr>
        <w:t>黏度</w:t>
      </w:r>
      <w:r>
        <w:rPr>
          <w:rFonts w:hint="eastAsia" w:ascii="宋体" w:hAnsi="宋体" w:eastAsia="宋体" w:cs="宋体"/>
          <w:bCs/>
          <w:color w:val="000000" w:themeColor="text1"/>
          <w:szCs w:val="24"/>
          <w14:textFill>
            <w14:solidFill>
              <w14:schemeClr w14:val="tx1"/>
            </w14:solidFill>
          </w14:textFill>
        </w:rPr>
        <w:t>迅速上升</w:t>
      </w:r>
      <w:r>
        <w:rPr>
          <w:rFonts w:hint="eastAsia" w:ascii="宋体" w:hAnsi="宋体" w:eastAsia="宋体" w:cs="宋体"/>
          <w:bCs/>
          <w:color w:val="000000" w:themeColor="text1"/>
          <w:szCs w:val="24"/>
          <w:lang w:eastAsia="zh-CN"/>
          <w14:textFill>
            <w14:solidFill>
              <w14:schemeClr w14:val="tx1"/>
            </w14:solidFill>
          </w14:textFill>
        </w:rPr>
        <w:t>，</w:t>
      </w:r>
      <w:r>
        <w:rPr>
          <w:rFonts w:hint="eastAsia" w:ascii="宋体" w:hAnsi="宋体" w:eastAsia="宋体" w:cs="宋体"/>
          <w:bCs/>
          <w:color w:val="000000" w:themeColor="text1"/>
          <w:szCs w:val="24"/>
          <w14:textFill>
            <w14:solidFill>
              <w14:schemeClr w14:val="tx1"/>
            </w14:solidFill>
          </w14:textFill>
        </w:rPr>
        <w:t>此时开启夹套冷却水，以保持系统的温度在60</w:t>
      </w:r>
      <w:r>
        <w:rPr>
          <w:rFonts w:hint="eastAsia" w:cs="宋体"/>
          <w:bCs/>
          <w:color w:val="000000" w:themeColor="text1"/>
          <w:szCs w:val="24"/>
          <w:lang w:eastAsia="zh-CN"/>
          <w14:textFill>
            <w14:solidFill>
              <w14:schemeClr w14:val="tx1"/>
            </w14:solidFill>
          </w14:textFill>
        </w:rPr>
        <w:t>～</w:t>
      </w:r>
      <w:r>
        <w:rPr>
          <w:rFonts w:hint="eastAsia" w:ascii="宋体" w:hAnsi="宋体" w:eastAsia="宋体" w:cs="宋体"/>
          <w:bCs/>
          <w:color w:val="000000" w:themeColor="text1"/>
          <w:szCs w:val="24"/>
          <w14:textFill>
            <w14:solidFill>
              <w14:schemeClr w14:val="tx1"/>
            </w14:solidFill>
          </w14:textFill>
        </w:rPr>
        <w:t>65℃范围内。</w:t>
      </w:r>
      <w:r>
        <w:rPr>
          <w:rFonts w:hint="eastAsia" w:ascii="宋体" w:hAnsi="宋体" w:eastAsia="宋体" w:cs="宋体"/>
          <w:bCs/>
          <w:color w:val="000000" w:themeColor="text1"/>
          <w:szCs w:val="24"/>
          <w:lang w:eastAsia="zh-CN"/>
          <w14:textFill>
            <w14:solidFill>
              <w14:schemeClr w14:val="tx1"/>
            </w14:solidFill>
          </w14:textFill>
        </w:rPr>
        <w:t>聚合反应时间约</w:t>
      </w:r>
      <w:r>
        <w:rPr>
          <w:rFonts w:hint="eastAsia" w:ascii="宋体" w:hAnsi="宋体" w:eastAsia="宋体" w:cs="宋体"/>
          <w:bCs/>
          <w:color w:val="000000" w:themeColor="text1"/>
          <w:szCs w:val="24"/>
          <w:lang w:val="en-US" w:eastAsia="zh-CN"/>
          <w14:textFill>
            <w14:solidFill>
              <w14:schemeClr w14:val="tx1"/>
            </w14:solidFill>
          </w14:textFill>
        </w:rPr>
        <w:t>2小时，持续搅拌，当树脂黏度达到工艺要求（450Pa.S）时，停止搅拌。</w:t>
      </w:r>
    </w:p>
    <w:p>
      <w:pPr>
        <w:pStyle w:val="25"/>
        <w:keepNext w:val="0"/>
        <w:keepLines w:val="0"/>
        <w:pageBreakBefore w:val="0"/>
        <w:kinsoku/>
        <w:wordWrap/>
        <w:overflowPunct/>
        <w:topLinePunct w:val="0"/>
        <w:bidi w:val="0"/>
        <w:adjustRightInd/>
        <w:snapToGrid/>
        <w:spacing w:line="360" w:lineRule="auto"/>
        <w:ind w:leftChars="0" w:firstLine="480" w:firstLineChars="200"/>
        <w:textAlignment w:val="auto"/>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i w:val="0"/>
          <w:iCs w:val="0"/>
          <w:color w:val="000000" w:themeColor="text1"/>
          <w:sz w:val="24"/>
          <w:szCs w:val="24"/>
          <w14:textFill>
            <w14:solidFill>
              <w14:schemeClr w14:val="tx1"/>
            </w14:solidFill>
          </w14:textFill>
        </w:rPr>
        <w:t>（2）</w:t>
      </w:r>
      <w:r>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t>缩合反应</w:t>
      </w:r>
    </w:p>
    <w:p>
      <w:pPr>
        <w:pStyle w:val="25"/>
        <w:keepNext w:val="0"/>
        <w:keepLines w:val="0"/>
        <w:pageBreakBefore w:val="0"/>
        <w:kinsoku/>
        <w:wordWrap/>
        <w:overflowPunct/>
        <w:topLinePunct w:val="0"/>
        <w:bidi w:val="0"/>
        <w:adjustRightInd/>
        <w:snapToGrid/>
        <w:spacing w:line="360" w:lineRule="auto"/>
        <w:ind w:leftChars="0" w:firstLine="480" w:firstLineChars="200"/>
        <w:textAlignment w:val="auto"/>
        <w:rPr>
          <w:rFonts w:hint="eastAsia" w:ascii="宋体" w:hAnsi="宋体" w:eastAsia="宋体" w:cs="宋体"/>
          <w:b w:val="0"/>
          <w:bCs w:val="0"/>
          <w:i w:val="0"/>
          <w:iCs w:val="0"/>
          <w:color w:val="000000" w:themeColor="text1"/>
          <w:sz w:val="24"/>
          <w:szCs w:val="24"/>
          <w:lang w:eastAsia="zh-CN"/>
          <w14:textFill>
            <w14:solidFill>
              <w14:schemeClr w14:val="tx1"/>
            </w14:solidFill>
          </w14:textFill>
        </w:rPr>
      </w:pPr>
      <w:r>
        <w:rPr>
          <w:rFonts w:hint="eastAsia" w:ascii="宋体" w:hAnsi="宋体" w:eastAsia="宋体" w:cs="宋体"/>
          <w:b w:val="0"/>
          <w:bCs w:val="0"/>
          <w:i w:val="0"/>
          <w:iCs w:val="0"/>
          <w:color w:val="000000" w:themeColor="text1"/>
          <w:sz w:val="24"/>
          <w:szCs w:val="24"/>
          <w14:textFill>
            <w14:solidFill>
              <w14:schemeClr w14:val="tx1"/>
            </w14:solidFill>
          </w14:textFill>
        </w:rPr>
        <w:t>在搅拌罐内按比例加入均苯四甲酸二酐后，继续搅拌8-10小时左右，在搅拌过程中4,4'-二氨基二苯醚和均苯四甲酸二酐发生聚合反应生成聚酰胺酸，搅拌过程均为密闭且在常压下，搅拌过程中会放出少量的热，搅拌过程中通过循环水给搅拌罐进行降温，使温度控制到50℃以下，所用循环水由配套的循环水冷却塔提供。</w:t>
      </w:r>
    </w:p>
    <w:p>
      <w:pPr>
        <w:spacing w:line="360" w:lineRule="auto"/>
        <w:ind w:firstLine="480" w:firstLineChars="200"/>
        <w:jc w:val="both"/>
        <w:rPr>
          <w:rFonts w:hint="eastAsia" w:ascii="宋体" w:hAnsi="宋体" w:eastAsia="宋体" w:cs="宋体"/>
          <w:snapToGrid w:val="0"/>
          <w:color w:val="000000" w:themeColor="text1"/>
          <w:highlight w:val="none"/>
          <w:lang w:eastAsia="zh-CN"/>
          <w14:textFill>
            <w14:solidFill>
              <w14:schemeClr w14:val="tx1"/>
            </w14:solidFill>
          </w14:textFill>
        </w:rPr>
      </w:pPr>
      <w:r>
        <w:rPr>
          <w:rFonts w:hint="eastAsia" w:ascii="宋体" w:hAnsi="宋体" w:eastAsia="宋体" w:cs="宋体"/>
          <w:snapToGrid w:val="0"/>
          <w:color w:val="000000" w:themeColor="text1"/>
          <w:highlight w:val="none"/>
          <w14:textFill>
            <w14:solidFill>
              <w14:schemeClr w14:val="tx1"/>
            </w14:solidFill>
          </w14:textFill>
        </w:rPr>
        <w:t>（3）</w:t>
      </w:r>
      <w:r>
        <w:rPr>
          <w:rFonts w:hint="eastAsia" w:ascii="宋体" w:hAnsi="宋体" w:eastAsia="宋体" w:cs="宋体"/>
          <w:snapToGrid w:val="0"/>
          <w:color w:val="000000" w:themeColor="text1"/>
          <w:highlight w:val="none"/>
          <w:lang w:val="en-US" w:eastAsia="zh-CN"/>
          <w14:textFill>
            <w14:solidFill>
              <w14:schemeClr w14:val="tx1"/>
            </w14:solidFill>
          </w14:textFill>
        </w:rPr>
        <w:t>消泡</w:t>
      </w:r>
    </w:p>
    <w:p>
      <w:pPr>
        <w:spacing w:line="360" w:lineRule="auto"/>
        <w:ind w:firstLine="480" w:firstLineChars="200"/>
        <w:jc w:val="both"/>
        <w:rPr>
          <w:rFonts w:hint="eastAsia" w:ascii="宋体" w:hAnsi="宋体" w:eastAsia="宋体" w:cs="宋体"/>
          <w:snapToGrid w:val="0"/>
          <w:color w:val="000000" w:themeColor="text1"/>
          <w:highlight w:val="none"/>
          <w:lang w:val="en-US" w:eastAsia="zh-CN"/>
          <w14:textFill>
            <w14:solidFill>
              <w14:schemeClr w14:val="tx1"/>
            </w14:solidFill>
          </w14:textFill>
        </w:rPr>
      </w:pPr>
      <w:r>
        <w:rPr>
          <w:rFonts w:hint="eastAsia" w:ascii="宋体" w:hAnsi="宋体" w:eastAsia="宋体" w:cs="宋体"/>
          <w:snapToGrid w:val="0"/>
          <w:color w:val="000000" w:themeColor="text1"/>
          <w:highlight w:val="none"/>
          <w14:textFill>
            <w14:solidFill>
              <w14:schemeClr w14:val="tx1"/>
            </w14:solidFill>
          </w14:textFill>
        </w:rPr>
        <w:t>本项目所用物料经过溶解和搅拌后，制成的胶液其中含有少量气泡，如不消除其中的气泡，会影响后期的成膜效果。制成的胶液由搅拌罐泵入储料罐中后，静置3-4小时，并同时通过真空泵对储料罐进行抽真空，形成微负压，消除胶液中的气泡，消泡过程中不使用消泡剂，仅靠物理消泡。</w:t>
      </w:r>
      <w:r>
        <w:rPr>
          <w:rFonts w:hint="eastAsia" w:ascii="宋体" w:hAnsi="宋体" w:eastAsia="宋体" w:cs="宋体"/>
          <w:snapToGrid w:val="0"/>
          <w:color w:val="000000" w:themeColor="text1"/>
          <w:highlight w:val="none"/>
          <w:lang w:val="en-US" w:eastAsia="zh-CN"/>
          <w14:textFill>
            <w14:solidFill>
              <w14:schemeClr w14:val="tx1"/>
            </w14:solidFill>
          </w14:textFill>
        </w:rPr>
        <w:t>此时会产生消泡废气G</w:t>
      </w:r>
      <w:r>
        <w:rPr>
          <w:rFonts w:hint="eastAsia" w:ascii="宋体" w:hAnsi="宋体" w:eastAsia="宋体" w:cs="宋体"/>
          <w:snapToGrid w:val="0"/>
          <w:color w:val="000000" w:themeColor="text1"/>
          <w:highlight w:val="none"/>
          <w:vertAlign w:val="subscript"/>
          <w:lang w:val="en-US" w:eastAsia="zh-CN"/>
          <w14:textFill>
            <w14:solidFill>
              <w14:schemeClr w14:val="tx1"/>
            </w14:solidFill>
          </w14:textFill>
        </w:rPr>
        <w:t>2</w:t>
      </w:r>
      <w:r>
        <w:rPr>
          <w:rFonts w:hint="eastAsia" w:ascii="宋体" w:hAnsi="宋体" w:eastAsia="宋体" w:cs="宋体"/>
          <w:snapToGrid w:val="0"/>
          <w:color w:val="000000" w:themeColor="text1"/>
          <w:highlight w:val="none"/>
          <w:lang w:val="en-US" w:eastAsia="zh-CN"/>
          <w14:textFill>
            <w14:solidFill>
              <w14:schemeClr w14:val="tx1"/>
            </w14:solidFill>
          </w14:textFill>
        </w:rPr>
        <w:t>。</w:t>
      </w:r>
    </w:p>
    <w:p>
      <w:pPr>
        <w:spacing w:line="360" w:lineRule="auto"/>
        <w:ind w:firstLine="480" w:firstLineChars="200"/>
        <w:jc w:val="both"/>
        <w:rPr>
          <w:rFonts w:hint="eastAsia" w:ascii="宋体" w:hAnsi="宋体" w:eastAsia="宋体" w:cs="宋体"/>
          <w:snapToGrid w:val="0"/>
          <w:color w:val="000000" w:themeColor="text1"/>
          <w:highlight w:val="none"/>
          <w:lang w:val="en-US" w:eastAsia="zh-CN"/>
          <w14:textFill>
            <w14:solidFill>
              <w14:schemeClr w14:val="tx1"/>
            </w14:solidFill>
          </w14:textFill>
        </w:rPr>
      </w:pPr>
      <w:r>
        <w:rPr>
          <w:rFonts w:hint="eastAsia" w:ascii="宋体" w:hAnsi="宋体" w:eastAsia="宋体" w:cs="宋体"/>
          <w:snapToGrid w:val="0"/>
          <w:color w:val="000000" w:themeColor="text1"/>
          <w:highlight w:val="none"/>
          <w14:textFill>
            <w14:solidFill>
              <w14:schemeClr w14:val="tx1"/>
            </w14:solidFill>
          </w14:textFill>
        </w:rPr>
        <w:t>（4）流涎</w:t>
      </w:r>
      <w:r>
        <w:rPr>
          <w:rFonts w:hint="eastAsia" w:ascii="宋体" w:hAnsi="宋体" w:eastAsia="宋体" w:cs="宋体"/>
          <w:snapToGrid w:val="0"/>
          <w:color w:val="000000" w:themeColor="text1"/>
          <w:highlight w:val="none"/>
          <w:lang w:val="en-US" w:eastAsia="zh-CN"/>
          <w14:textFill>
            <w14:solidFill>
              <w14:schemeClr w14:val="tx1"/>
            </w14:solidFill>
          </w14:textFill>
        </w:rPr>
        <w:t>成膜</w:t>
      </w:r>
    </w:p>
    <w:p>
      <w:pPr>
        <w:spacing w:line="360" w:lineRule="auto"/>
        <w:ind w:firstLine="480" w:firstLineChars="200"/>
        <w:jc w:val="both"/>
        <w:rPr>
          <w:rFonts w:hint="eastAsia" w:ascii="宋体" w:hAnsi="宋体" w:eastAsia="宋体" w:cs="宋体"/>
          <w:snapToGrid w:val="0"/>
          <w:color w:val="000000" w:themeColor="text1"/>
          <w:highlight w:val="none"/>
          <w:lang w:val="en-US" w:eastAsia="zh-CN"/>
          <w14:textFill>
            <w14:solidFill>
              <w14:schemeClr w14:val="tx1"/>
            </w14:solidFill>
          </w14:textFill>
        </w:rPr>
      </w:pPr>
      <w:r>
        <w:rPr>
          <w:rFonts w:hint="eastAsia" w:ascii="宋体" w:hAnsi="宋体" w:eastAsia="宋体" w:cs="宋体"/>
          <w:snapToGrid w:val="0"/>
          <w:color w:val="000000" w:themeColor="text1"/>
          <w:highlight w:val="none"/>
          <w:lang w:eastAsia="zh-CN"/>
          <w14:textFill>
            <w14:solidFill>
              <w14:schemeClr w14:val="tx1"/>
            </w14:solidFill>
          </w14:textFill>
        </w:rPr>
        <w:t>将静置</w:t>
      </w:r>
      <w:r>
        <w:rPr>
          <w:rFonts w:hint="eastAsia" w:ascii="宋体" w:hAnsi="宋体" w:eastAsia="宋体" w:cs="宋体"/>
          <w:snapToGrid w:val="0"/>
          <w:color w:val="000000" w:themeColor="text1"/>
          <w:highlight w:val="none"/>
          <w14:textFill>
            <w14:solidFill>
              <w14:schemeClr w14:val="tx1"/>
            </w14:solidFill>
          </w14:textFill>
        </w:rPr>
        <w:t>消泡</w:t>
      </w:r>
      <w:r>
        <w:rPr>
          <w:rFonts w:hint="eastAsia" w:ascii="宋体" w:hAnsi="宋体" w:eastAsia="宋体" w:cs="宋体"/>
          <w:snapToGrid w:val="0"/>
          <w:color w:val="000000" w:themeColor="text1"/>
          <w:highlight w:val="none"/>
          <w:lang w:eastAsia="zh-CN"/>
          <w14:textFill>
            <w14:solidFill>
              <w14:schemeClr w14:val="tx1"/>
            </w14:solidFill>
          </w14:textFill>
        </w:rPr>
        <w:t>处理后的</w:t>
      </w:r>
      <w:r>
        <w:rPr>
          <w:rFonts w:hint="eastAsia" w:ascii="宋体" w:hAnsi="宋体" w:eastAsia="宋体" w:cs="宋体"/>
          <w:snapToGrid w:val="0"/>
          <w:color w:val="000000" w:themeColor="text1"/>
          <w:highlight w:val="none"/>
          <w14:textFill>
            <w14:solidFill>
              <w14:schemeClr w14:val="tx1"/>
            </w14:solidFill>
          </w14:textFill>
        </w:rPr>
        <w:t>聚酰胺酸(聚酰亚胺薄膜胶水)溶液，由不锈钢溶液储罐经管路压入</w:t>
      </w:r>
      <w:r>
        <w:rPr>
          <w:rFonts w:hint="eastAsia" w:ascii="宋体" w:hAnsi="宋体" w:eastAsia="宋体" w:cs="宋体"/>
          <w:snapToGrid w:val="0"/>
          <w:color w:val="000000" w:themeColor="text1"/>
          <w:highlight w:val="none"/>
          <w:lang w:eastAsia="zh-CN"/>
          <w14:textFill>
            <w14:solidFill>
              <w14:schemeClr w14:val="tx1"/>
            </w14:solidFill>
          </w14:textFill>
        </w:rPr>
        <w:t>流涎机</w:t>
      </w:r>
      <w:r>
        <w:rPr>
          <w:rFonts w:hint="eastAsia" w:ascii="宋体" w:hAnsi="宋体" w:eastAsia="宋体" w:cs="宋体"/>
          <w:snapToGrid w:val="0"/>
          <w:color w:val="000000" w:themeColor="text1"/>
          <w:highlight w:val="none"/>
          <w14:textFill>
            <w14:solidFill>
              <w14:schemeClr w14:val="tx1"/>
            </w14:solidFill>
          </w14:textFill>
        </w:rPr>
        <w:t>前机头上的流涎嘴(含消泡器)储槽中。</w:t>
      </w:r>
      <w:r>
        <w:rPr>
          <w:rFonts w:hint="eastAsia" w:ascii="宋体" w:hAnsi="宋体" w:eastAsia="宋体" w:cs="宋体"/>
          <w:snapToGrid w:val="0"/>
          <w:color w:val="000000" w:themeColor="text1"/>
          <w:highlight w:val="none"/>
          <w:lang w:eastAsia="zh-CN"/>
          <w14:textFill>
            <w14:solidFill>
              <w14:schemeClr w14:val="tx1"/>
            </w14:solidFill>
          </w14:textFill>
        </w:rPr>
        <w:t>树脂通过流涎机头流涎到循环转动的钢带上形成有溶剂的聚酰胺酸薄膜，</w:t>
      </w:r>
      <w:r>
        <w:rPr>
          <w:rFonts w:hint="eastAsia" w:ascii="宋体" w:hAnsi="宋体" w:eastAsia="宋体" w:cs="宋体"/>
          <w:snapToGrid w:val="0"/>
          <w:color w:val="000000" w:themeColor="text1"/>
          <w:highlight w:val="none"/>
          <w14:textFill>
            <w14:solidFill>
              <w14:schemeClr w14:val="tx1"/>
            </w14:solidFill>
          </w14:textFill>
        </w:rPr>
        <w:t>钢带</w:t>
      </w:r>
      <w:r>
        <w:rPr>
          <w:rFonts w:hint="eastAsia" w:ascii="宋体" w:hAnsi="宋体" w:eastAsia="宋体" w:cs="宋体"/>
          <w:snapToGrid w:val="0"/>
          <w:color w:val="000000" w:themeColor="text1"/>
          <w:highlight w:val="none"/>
          <w:lang w:eastAsia="zh-CN"/>
          <w14:textFill>
            <w14:solidFill>
              <w14:schemeClr w14:val="tx1"/>
            </w14:solidFill>
          </w14:textFill>
        </w:rPr>
        <w:t>在流涎机烘箱内循环转动过程中，有溶剂的聚酰胺酸薄膜在约</w:t>
      </w:r>
      <w:r>
        <w:rPr>
          <w:rFonts w:hint="eastAsia" w:ascii="宋体" w:hAnsi="宋体" w:eastAsia="宋体" w:cs="宋体"/>
          <w:snapToGrid w:val="0"/>
          <w:color w:val="000000" w:themeColor="text1"/>
          <w:highlight w:val="none"/>
          <w:lang w:val="en-US" w:eastAsia="zh-CN"/>
          <w14:textFill>
            <w14:solidFill>
              <w14:schemeClr w14:val="tx1"/>
            </w14:solidFill>
          </w14:textFill>
        </w:rPr>
        <w:t>200℃的高温作用下完成溶剂挥发，形成</w:t>
      </w:r>
      <w:bookmarkStart w:id="322" w:name="OLE_LINK10"/>
      <w:r>
        <w:rPr>
          <w:rFonts w:hint="eastAsia" w:ascii="宋体" w:hAnsi="宋体" w:eastAsia="宋体" w:cs="宋体"/>
          <w:snapToGrid w:val="0"/>
          <w:color w:val="000000" w:themeColor="text1"/>
          <w:highlight w:val="none"/>
          <w:lang w:val="en-US" w:eastAsia="zh-CN"/>
          <w14:textFill>
            <w14:solidFill>
              <w14:schemeClr w14:val="tx1"/>
            </w14:solidFill>
          </w14:textFill>
        </w:rPr>
        <w:t>聚酰胺酸薄膜</w:t>
      </w:r>
      <w:bookmarkEnd w:id="322"/>
      <w:r>
        <w:rPr>
          <w:rFonts w:hint="eastAsia" w:ascii="宋体" w:hAnsi="宋体" w:eastAsia="宋体" w:cs="宋体"/>
          <w:snapToGrid w:val="0"/>
          <w:color w:val="000000" w:themeColor="text1"/>
          <w:highlight w:val="none"/>
          <w:lang w:val="en-US" w:eastAsia="zh-CN"/>
          <w14:textFill>
            <w14:solidFill>
              <w14:schemeClr w14:val="tx1"/>
            </w14:solidFill>
          </w14:textFill>
        </w:rPr>
        <w:t>，有机溶剂含量约40%。尚含有一定量溶剂的具有自支持性的凝胶薄膜通过剥离辊剥离下来，随后进入拉伸工段。为了使溶剂均匀挥发，</w:t>
      </w:r>
      <w:r>
        <w:rPr>
          <w:rFonts w:hint="eastAsia" w:ascii="宋体" w:hAnsi="宋体" w:eastAsia="宋体" w:cs="宋体"/>
          <w:snapToGrid w:val="0"/>
          <w:color w:val="000000" w:themeColor="text1"/>
          <w:highlight w:val="none"/>
          <w14:textFill>
            <w14:solidFill>
              <w14:schemeClr w14:val="tx1"/>
            </w14:solidFill>
          </w14:textFill>
        </w:rPr>
        <w:t>热风流动方向</w:t>
      </w:r>
      <w:r>
        <w:rPr>
          <w:rFonts w:hint="eastAsia" w:ascii="宋体" w:hAnsi="宋体" w:eastAsia="宋体" w:cs="宋体"/>
          <w:snapToGrid w:val="0"/>
          <w:color w:val="000000" w:themeColor="text1"/>
          <w:highlight w:val="none"/>
          <w:lang w:eastAsia="zh-CN"/>
          <w14:textFill>
            <w14:solidFill>
              <w14:schemeClr w14:val="tx1"/>
            </w14:solidFill>
          </w14:textFill>
        </w:rPr>
        <w:t>应</w:t>
      </w:r>
      <w:r>
        <w:rPr>
          <w:rFonts w:hint="eastAsia" w:ascii="宋体" w:hAnsi="宋体" w:eastAsia="宋体" w:cs="宋体"/>
          <w:snapToGrid w:val="0"/>
          <w:color w:val="000000" w:themeColor="text1"/>
          <w:highlight w:val="none"/>
          <w14:textFill>
            <w14:solidFill>
              <w14:schemeClr w14:val="tx1"/>
            </w14:solidFill>
          </w14:textFill>
        </w:rPr>
        <w:t>与钢带运行方向相反。</w:t>
      </w:r>
      <w:r>
        <w:rPr>
          <w:rFonts w:hint="eastAsia" w:ascii="宋体" w:hAnsi="宋体" w:eastAsia="宋体" w:cs="宋体"/>
          <w:snapToGrid w:val="0"/>
          <w:color w:val="000000" w:themeColor="text1"/>
          <w:highlight w:val="none"/>
          <w:lang w:val="en-US" w:eastAsia="zh-CN"/>
          <w14:textFill>
            <w14:solidFill>
              <w14:schemeClr w14:val="tx1"/>
            </w14:solidFill>
          </w14:textFill>
        </w:rPr>
        <w:t>钢带传动速度为5m/min。烘箱采用电加热。</w:t>
      </w:r>
    </w:p>
    <w:p>
      <w:pPr>
        <w:pStyle w:val="16"/>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bCs/>
          <w:color w:val="000000" w:themeColor="text1"/>
          <w:szCs w:val="24"/>
          <w14:textFill>
            <w14:solidFill>
              <w14:schemeClr w14:val="tx1"/>
            </w14:solidFill>
          </w14:textFill>
        </w:rPr>
        <w:drawing>
          <wp:inline distT="0" distB="0" distL="114300" distR="114300">
            <wp:extent cx="5680075" cy="2350770"/>
            <wp:effectExtent l="0" t="0" r="15875" b="11430"/>
            <wp:docPr id="14" name="图片 2" descr="2009411233713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2009411233713358"/>
                    <pic:cNvPicPr>
                      <a:picLocks noChangeAspect="1"/>
                    </pic:cNvPicPr>
                  </pic:nvPicPr>
                  <pic:blipFill>
                    <a:blip r:embed="rId24"/>
                    <a:stretch>
                      <a:fillRect/>
                    </a:stretch>
                  </pic:blipFill>
                  <pic:spPr>
                    <a:xfrm>
                      <a:off x="0" y="0"/>
                      <a:ext cx="5680075" cy="235077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0" w:firstLineChars="0"/>
        <w:jc w:val="center"/>
        <w:textAlignment w:val="auto"/>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图3.3-3流涎生产工序</w:t>
      </w:r>
    </w:p>
    <w:p>
      <w:pPr>
        <w:spacing w:line="360" w:lineRule="auto"/>
        <w:ind w:firstLine="480" w:firstLineChars="200"/>
        <w:jc w:val="both"/>
        <w:rPr>
          <w:rFonts w:hint="eastAsia" w:ascii="宋体" w:hAnsi="宋体" w:eastAsia="宋体" w:cs="宋体"/>
          <w:snapToGrid w:val="0"/>
          <w:color w:val="000000" w:themeColor="text1"/>
          <w:highlight w:val="none"/>
          <w:lang w:val="en-US" w:eastAsia="zh-CN"/>
          <w14:textFill>
            <w14:solidFill>
              <w14:schemeClr w14:val="tx1"/>
            </w14:solidFill>
          </w14:textFill>
        </w:rPr>
      </w:pPr>
      <w:r>
        <w:rPr>
          <w:rFonts w:hint="eastAsia" w:ascii="宋体" w:hAnsi="宋体" w:eastAsia="宋体" w:cs="宋体"/>
          <w:snapToGrid w:val="0"/>
          <w:color w:val="000000" w:themeColor="text1"/>
          <w:highlight w:val="none"/>
          <w:lang w:val="en-US" w:eastAsia="zh-CN"/>
          <w14:textFill>
            <w14:solidFill>
              <w14:schemeClr w14:val="tx1"/>
            </w14:solidFill>
          </w14:textFill>
        </w:rPr>
        <w:t>聚酰胺酸薄膜（溶剂含量40%）进入密闭的拉伸机，</w:t>
      </w:r>
      <w:r>
        <w:rPr>
          <w:rFonts w:hint="eastAsia" w:ascii="宋体" w:hAnsi="宋体" w:eastAsia="宋体" w:cs="宋体"/>
          <w:snapToGrid w:val="0"/>
          <w:color w:val="000000" w:themeColor="text1"/>
          <w:highlight w:val="none"/>
          <w:lang w:eastAsia="zh-CN"/>
          <w14:textFill>
            <w14:solidFill>
              <w14:schemeClr w14:val="tx1"/>
            </w14:solidFill>
          </w14:textFill>
        </w:rPr>
        <w:t>单向拉伸生产线物料直接进入纵向拉伸机，预热辊加热至</w:t>
      </w:r>
      <w:r>
        <w:rPr>
          <w:rFonts w:hint="eastAsia" w:ascii="宋体" w:hAnsi="宋体" w:eastAsia="宋体" w:cs="宋体"/>
          <w:snapToGrid w:val="0"/>
          <w:color w:val="000000" w:themeColor="text1"/>
          <w:highlight w:val="none"/>
          <w:lang w:val="en-US" w:eastAsia="zh-CN"/>
          <w14:textFill>
            <w14:solidFill>
              <w14:schemeClr w14:val="tx1"/>
            </w14:solidFill>
          </w14:textFill>
        </w:rPr>
        <w:t>160℃，进行干燥纵向拉伸，</w:t>
      </w:r>
      <w:r>
        <w:rPr>
          <w:rFonts w:hint="eastAsia" w:ascii="宋体" w:hAnsi="宋体" w:eastAsia="宋体" w:cs="宋体"/>
          <w:snapToGrid w:val="0"/>
          <w:color w:val="000000" w:themeColor="text1"/>
          <w:highlight w:val="none"/>
          <w:lang w:eastAsia="zh-CN"/>
          <w14:textFill>
            <w14:solidFill>
              <w14:schemeClr w14:val="tx1"/>
            </w14:solidFill>
          </w14:textFill>
        </w:rPr>
        <w:t>纵向拉伸比为</w:t>
      </w:r>
      <w:r>
        <w:rPr>
          <w:rFonts w:hint="eastAsia" w:ascii="宋体" w:hAnsi="宋体" w:eastAsia="宋体" w:cs="宋体"/>
          <w:snapToGrid w:val="0"/>
          <w:color w:val="000000" w:themeColor="text1"/>
          <w:highlight w:val="none"/>
          <w:lang w:val="en-US" w:eastAsia="zh-CN"/>
          <w14:textFill>
            <w14:solidFill>
              <w14:schemeClr w14:val="tx1"/>
            </w14:solidFill>
          </w14:textFill>
        </w:rPr>
        <w:t>1:5，预热辊采用电加热。拉伸完成后，薄膜的溶剂含量不大于10%。</w:t>
      </w:r>
    </w:p>
    <w:p>
      <w:pPr>
        <w:spacing w:line="360" w:lineRule="auto"/>
        <w:ind w:firstLine="480" w:firstLineChars="200"/>
        <w:jc w:val="both"/>
        <w:rPr>
          <w:rFonts w:hint="eastAsia" w:ascii="宋体" w:hAnsi="宋体" w:eastAsia="宋体" w:cs="宋体"/>
          <w:snapToGrid w:val="0"/>
          <w:color w:val="000000" w:themeColor="text1"/>
          <w:highlight w:val="none"/>
          <w14:textFill>
            <w14:solidFill>
              <w14:schemeClr w14:val="tx1"/>
            </w14:solidFill>
          </w14:textFill>
        </w:rPr>
      </w:pPr>
      <w:r>
        <w:rPr>
          <w:rFonts w:hint="eastAsia" w:ascii="宋体" w:hAnsi="宋体" w:eastAsia="宋体" w:cs="宋体"/>
          <w:snapToGrid w:val="0"/>
          <w:color w:val="000000" w:themeColor="text1"/>
          <w:highlight w:val="none"/>
          <w:lang w:eastAsia="zh-CN"/>
          <w14:textFill>
            <w14:solidFill>
              <w14:schemeClr w14:val="tx1"/>
            </w14:solidFill>
          </w14:textFill>
        </w:rPr>
        <w:t>流涎成膜工序温度较高，超过溶剂DMAC 的沸点温度，会有</w:t>
      </w:r>
      <w:r>
        <w:rPr>
          <w:rFonts w:hint="eastAsia" w:ascii="宋体" w:hAnsi="宋体" w:eastAsia="宋体" w:cs="宋体"/>
          <w:snapToGrid w:val="0"/>
          <w:color w:val="000000" w:themeColor="text1"/>
          <w:highlight w:val="none"/>
          <w:lang w:val="en-US" w:eastAsia="zh-CN"/>
          <w14:textFill>
            <w14:solidFill>
              <w14:schemeClr w14:val="tx1"/>
            </w14:solidFill>
          </w14:textFill>
        </w:rPr>
        <w:t>85</w:t>
      </w:r>
      <w:r>
        <w:rPr>
          <w:rFonts w:hint="eastAsia" w:ascii="宋体" w:hAnsi="宋体" w:eastAsia="宋体" w:cs="宋体"/>
          <w:snapToGrid w:val="0"/>
          <w:color w:val="000000" w:themeColor="text1"/>
          <w:highlight w:val="none"/>
          <w:lang w:eastAsia="zh-CN"/>
          <w14:textFill>
            <w14:solidFill>
              <w14:schemeClr w14:val="tx1"/>
            </w14:solidFill>
          </w14:textFill>
        </w:rPr>
        <w:t>%</w:t>
      </w:r>
      <w:r>
        <w:rPr>
          <w:rFonts w:hint="eastAsia" w:cs="宋体"/>
          <w:snapToGrid w:val="0"/>
          <w:color w:val="000000" w:themeColor="text1"/>
          <w:highlight w:val="none"/>
          <w:lang w:val="en-US" w:eastAsia="zh-CN"/>
          <w14:textFill>
            <w14:solidFill>
              <w14:schemeClr w14:val="tx1"/>
            </w14:solidFill>
          </w14:textFill>
        </w:rPr>
        <w:t>～</w:t>
      </w:r>
      <w:r>
        <w:rPr>
          <w:rFonts w:hint="eastAsia" w:ascii="宋体" w:hAnsi="宋体" w:eastAsia="宋体" w:cs="宋体"/>
          <w:snapToGrid w:val="0"/>
          <w:color w:val="000000" w:themeColor="text1"/>
          <w:highlight w:val="none"/>
          <w:lang w:val="en-US" w:eastAsia="zh-CN"/>
          <w14:textFill>
            <w14:solidFill>
              <w14:schemeClr w14:val="tx1"/>
            </w14:solidFill>
          </w14:textFill>
        </w:rPr>
        <w:t>95%</w:t>
      </w:r>
      <w:r>
        <w:rPr>
          <w:rFonts w:hint="eastAsia" w:ascii="宋体" w:hAnsi="宋体" w:eastAsia="宋体" w:cs="宋体"/>
          <w:snapToGrid w:val="0"/>
          <w:color w:val="000000" w:themeColor="text1"/>
          <w:highlight w:val="none"/>
          <w:lang w:eastAsia="zh-CN"/>
          <w14:textFill>
            <w14:solidFill>
              <w14:schemeClr w14:val="tx1"/>
            </w14:solidFill>
          </w14:textFill>
        </w:rPr>
        <w:t>的DMAC挥发，</w:t>
      </w:r>
      <w:r>
        <w:rPr>
          <w:rFonts w:hint="eastAsia" w:ascii="宋体" w:hAnsi="宋体" w:eastAsia="宋体" w:cs="宋体"/>
          <w:snapToGrid w:val="0"/>
          <w:color w:val="000000" w:themeColor="text1"/>
          <w:highlight w:val="none"/>
          <w:lang w:val="en-US" w:eastAsia="zh-CN"/>
          <w14:textFill>
            <w14:solidFill>
              <w14:schemeClr w14:val="tx1"/>
            </w14:solidFill>
          </w14:textFill>
        </w:rPr>
        <w:t>按90%计</w:t>
      </w:r>
      <w:r>
        <w:rPr>
          <w:rFonts w:hint="eastAsia" w:ascii="宋体" w:hAnsi="宋体" w:eastAsia="宋体" w:cs="宋体"/>
          <w:snapToGrid w:val="0"/>
          <w:color w:val="000000" w:themeColor="text1"/>
          <w:highlight w:val="none"/>
          <w:lang w:eastAsia="zh-CN"/>
          <w14:textFill>
            <w14:solidFill>
              <w14:schemeClr w14:val="tx1"/>
            </w14:solidFill>
          </w14:textFill>
        </w:rPr>
        <w:t>产生流涎废气</w:t>
      </w:r>
      <w:r>
        <w:rPr>
          <w:rFonts w:hint="eastAsia" w:ascii="宋体" w:hAnsi="宋体" w:eastAsia="宋体" w:cs="宋体"/>
          <w:snapToGrid w:val="0"/>
          <w:color w:val="000000" w:themeColor="text1"/>
          <w:highlight w:val="none"/>
          <w:lang w:val="en-US" w:eastAsia="zh-CN"/>
          <w14:textFill>
            <w14:solidFill>
              <w14:schemeClr w14:val="tx1"/>
            </w14:solidFill>
          </w14:textFill>
        </w:rPr>
        <w:t>G3</w:t>
      </w:r>
      <w:r>
        <w:rPr>
          <w:rFonts w:hint="eastAsia" w:ascii="宋体" w:hAnsi="宋体" w:eastAsia="宋体" w:cs="宋体"/>
          <w:snapToGrid w:val="0"/>
          <w:color w:val="000000" w:themeColor="text1"/>
          <w:highlight w:val="none"/>
          <w:lang w:eastAsia="zh-CN"/>
          <w14:textFill>
            <w14:solidFill>
              <w14:schemeClr w14:val="tx1"/>
            </w14:solidFill>
          </w14:textFill>
        </w:rPr>
        <w:t>，每条流涎生产线装置上装有DMAC 溶剂废气抽吸装置，为了保证流涎蒸发气体能够充分回收，流涎设备及气体抽吸设备均为密闭装置，挥发的DMAC 气体通过管道抽吸后进入</w:t>
      </w:r>
      <w:r>
        <w:rPr>
          <w:rFonts w:hint="eastAsia" w:ascii="宋体" w:hAnsi="宋体" w:eastAsia="宋体" w:cs="宋体"/>
          <w:snapToGrid w:val="0"/>
          <w:color w:val="000000" w:themeColor="text1"/>
          <w:highlight w:val="none"/>
          <w:lang w:val="en-US" w:eastAsia="zh-CN"/>
          <w14:textFill>
            <w14:solidFill>
              <w14:schemeClr w14:val="tx1"/>
            </w14:solidFill>
          </w14:textFill>
        </w:rPr>
        <w:t>四级</w:t>
      </w:r>
      <w:r>
        <w:rPr>
          <w:rFonts w:hint="eastAsia" w:ascii="宋体" w:hAnsi="宋体" w:eastAsia="宋体" w:cs="宋体"/>
          <w:snapToGrid w:val="0"/>
          <w:color w:val="000000" w:themeColor="text1"/>
          <w:highlight w:val="none"/>
          <w:lang w:eastAsia="zh-CN"/>
          <w14:textFill>
            <w14:solidFill>
              <w14:schemeClr w14:val="tx1"/>
            </w14:solidFill>
          </w14:textFill>
        </w:rPr>
        <w:t>冷凝系统，冷凝介质为循环冷却水。冷凝后的DMAC 溶剂作为副产品外售。不凝气</w:t>
      </w:r>
      <w:r>
        <w:rPr>
          <w:rFonts w:hint="eastAsia" w:ascii="宋体" w:hAnsi="宋体" w:eastAsia="宋体" w:cs="宋体"/>
          <w:snapToGrid w:val="0"/>
          <w:color w:val="000000" w:themeColor="text1"/>
          <w:highlight w:val="none"/>
          <w14:textFill>
            <w14:solidFill>
              <w14:schemeClr w14:val="tx1"/>
            </w14:solidFill>
          </w14:textFill>
        </w:rPr>
        <w:t>通过</w:t>
      </w:r>
      <w:r>
        <w:rPr>
          <w:rFonts w:hint="eastAsia" w:ascii="宋体" w:hAnsi="宋体" w:eastAsia="宋体" w:cs="宋体"/>
          <w:snapToGrid w:val="0"/>
          <w:color w:val="000000" w:themeColor="text1"/>
          <w:highlight w:val="none"/>
          <w:lang w:val="en-US" w:eastAsia="zh-CN"/>
          <w14:textFill>
            <w14:solidFill>
              <w14:schemeClr w14:val="tx1"/>
            </w14:solidFill>
          </w14:textFill>
        </w:rPr>
        <w:t>三</w:t>
      </w:r>
      <w:r>
        <w:rPr>
          <w:rFonts w:hint="eastAsia" w:ascii="宋体" w:hAnsi="宋体" w:eastAsia="宋体" w:cs="宋体"/>
          <w:snapToGrid w:val="0"/>
          <w:color w:val="000000" w:themeColor="text1"/>
          <w:highlight w:val="none"/>
          <w:lang w:eastAsia="zh-CN"/>
          <w14:textFill>
            <w14:solidFill>
              <w14:schemeClr w14:val="tx1"/>
            </w14:solidFill>
          </w14:textFill>
        </w:rPr>
        <w:t>级喷淋</w:t>
      </w:r>
      <w:r>
        <w:rPr>
          <w:rFonts w:hint="eastAsia" w:ascii="宋体" w:hAnsi="宋体" w:eastAsia="宋体" w:cs="宋体"/>
          <w:snapToGrid w:val="0"/>
          <w:color w:val="000000" w:themeColor="text1"/>
          <w:highlight w:val="none"/>
          <w:lang w:val="en-US" w:eastAsia="zh-CN"/>
          <w14:textFill>
            <w14:solidFill>
              <w14:schemeClr w14:val="tx1"/>
            </w14:solidFill>
          </w14:textFill>
        </w:rPr>
        <w:t>+湿电系统</w:t>
      </w:r>
      <w:r>
        <w:rPr>
          <w:rFonts w:hint="eastAsia" w:ascii="宋体" w:hAnsi="宋体" w:eastAsia="宋体" w:cs="宋体"/>
          <w:snapToGrid w:val="0"/>
          <w:color w:val="000000" w:themeColor="text1"/>
          <w:highlight w:val="none"/>
          <w14:textFill>
            <w14:solidFill>
              <w14:schemeClr w14:val="tx1"/>
            </w14:solidFill>
          </w14:textFill>
        </w:rPr>
        <w:t>处理</w:t>
      </w:r>
      <w:r>
        <w:rPr>
          <w:rFonts w:hint="eastAsia" w:ascii="宋体" w:hAnsi="宋体" w:eastAsia="宋体" w:cs="宋体"/>
          <w:snapToGrid w:val="0"/>
          <w:color w:val="000000" w:themeColor="text1"/>
          <w:highlight w:val="none"/>
          <w:lang w:eastAsia="zh-CN"/>
          <w14:textFill>
            <w14:solidFill>
              <w14:schemeClr w14:val="tx1"/>
            </w14:solidFill>
          </w14:textFill>
        </w:rPr>
        <w:t>，</w:t>
      </w:r>
      <w:r>
        <w:rPr>
          <w:rFonts w:hint="eastAsia" w:ascii="宋体" w:hAnsi="宋体" w:eastAsia="宋体" w:cs="宋体"/>
          <w:snapToGrid w:val="0"/>
          <w:color w:val="000000" w:themeColor="text1"/>
          <w:highlight w:val="none"/>
          <w:lang w:val="en-US" w:eastAsia="zh-CN"/>
          <w14:textFill>
            <w14:solidFill>
              <w14:schemeClr w14:val="tx1"/>
            </w14:solidFill>
          </w14:textFill>
        </w:rPr>
        <w:t>喷淋废液通过精馏系统回收为副产品，再</w:t>
      </w:r>
      <w:r>
        <w:rPr>
          <w:rFonts w:hint="eastAsia" w:ascii="宋体" w:hAnsi="宋体" w:eastAsia="宋体" w:cs="宋体"/>
          <w:snapToGrid w:val="0"/>
          <w:color w:val="000000" w:themeColor="text1"/>
          <w:highlight w:val="none"/>
          <w14:textFill>
            <w14:solidFill>
              <w14:schemeClr w14:val="tx1"/>
            </w14:solidFill>
          </w14:textFill>
        </w:rPr>
        <w:t>通过</w:t>
      </w:r>
      <w:r>
        <w:rPr>
          <w:rFonts w:hint="eastAsia" w:ascii="宋体" w:hAnsi="宋体" w:eastAsia="宋体" w:cs="宋体"/>
          <w:snapToGrid w:val="0"/>
          <w:color w:val="000000" w:themeColor="text1"/>
          <w:highlight w:val="none"/>
          <w:lang w:val="en-US" w:eastAsia="zh-CN"/>
          <w14:textFill>
            <w14:solidFill>
              <w14:schemeClr w14:val="tx1"/>
            </w14:solidFill>
          </w14:textFill>
        </w:rPr>
        <w:t>20</w:t>
      </w:r>
      <w:r>
        <w:rPr>
          <w:rFonts w:hint="eastAsia" w:ascii="宋体" w:hAnsi="宋体" w:eastAsia="宋体" w:cs="宋体"/>
          <w:snapToGrid w:val="0"/>
          <w:color w:val="000000" w:themeColor="text1"/>
          <w:highlight w:val="none"/>
          <w14:textFill>
            <w14:solidFill>
              <w14:schemeClr w14:val="tx1"/>
            </w14:solidFill>
          </w14:textFill>
        </w:rPr>
        <w:t>米排气筒</w:t>
      </w:r>
      <w:r>
        <w:rPr>
          <w:rFonts w:hint="eastAsia" w:ascii="宋体" w:hAnsi="宋体" w:eastAsia="宋体" w:cs="宋体"/>
          <w:snapToGrid w:val="0"/>
          <w:color w:val="000000" w:themeColor="text1"/>
          <w:highlight w:val="none"/>
          <w:lang w:val="en-US" w:eastAsia="zh-CN"/>
          <w14:textFill>
            <w14:solidFill>
              <w14:schemeClr w14:val="tx1"/>
            </w14:solidFill>
          </w14:textFill>
        </w:rPr>
        <w:t>DA001</w:t>
      </w:r>
      <w:r>
        <w:rPr>
          <w:rFonts w:hint="eastAsia" w:ascii="宋体" w:hAnsi="宋体" w:eastAsia="宋体" w:cs="宋体"/>
          <w:snapToGrid w:val="0"/>
          <w:color w:val="000000" w:themeColor="text1"/>
          <w:highlight w:val="none"/>
          <w14:textFill>
            <w14:solidFill>
              <w14:schemeClr w14:val="tx1"/>
            </w14:solidFill>
          </w14:textFill>
        </w:rPr>
        <w:t>排放。</w:t>
      </w:r>
    </w:p>
    <w:p>
      <w:pPr>
        <w:spacing w:line="360" w:lineRule="auto"/>
        <w:ind w:firstLine="480" w:firstLineChars="200"/>
        <w:jc w:val="both"/>
        <w:rPr>
          <w:rFonts w:hint="eastAsia" w:ascii="宋体" w:hAnsi="宋体" w:eastAsia="宋体" w:cs="宋体"/>
          <w:snapToGrid w:val="0"/>
          <w:color w:val="000000" w:themeColor="text1"/>
          <w:highlight w:val="none"/>
          <w:lang w:val="en-US" w:eastAsia="zh-CN"/>
          <w14:textFill>
            <w14:solidFill>
              <w14:schemeClr w14:val="tx1"/>
            </w14:solidFill>
          </w14:textFill>
        </w:rPr>
      </w:pPr>
      <w:r>
        <w:rPr>
          <w:rFonts w:hint="eastAsia" w:ascii="宋体" w:hAnsi="宋体" w:eastAsia="宋体" w:cs="宋体"/>
          <w:snapToGrid w:val="0"/>
          <w:color w:val="000000" w:themeColor="text1"/>
          <w:highlight w:val="none"/>
          <w:lang w:val="en-US" w:eastAsia="zh-CN"/>
          <w14:textFill>
            <w14:solidFill>
              <w14:schemeClr w14:val="tx1"/>
            </w14:solidFill>
          </w14:textFill>
        </w:rPr>
        <w:t>喷淋废水循环使用</w:t>
      </w:r>
      <w:r>
        <w:rPr>
          <w:rFonts w:hint="eastAsia" w:ascii="宋体" w:hAnsi="宋体" w:eastAsia="宋体" w:cs="宋体"/>
          <w:snapToGrid w:val="0"/>
          <w:color w:val="000000" w:themeColor="text1"/>
          <w:highlight w:val="none"/>
          <w14:textFill>
            <w14:solidFill>
              <w14:schemeClr w14:val="tx1"/>
            </w14:solidFill>
          </w14:textFill>
        </w:rPr>
        <w:t>，当其中的DMAC达到一定的浓度后（约3</w:t>
      </w:r>
      <w:r>
        <w:rPr>
          <w:rFonts w:hint="eastAsia" w:ascii="宋体" w:hAnsi="宋体" w:eastAsia="宋体" w:cs="宋体"/>
          <w:snapToGrid w:val="0"/>
          <w:color w:val="000000" w:themeColor="text1"/>
          <w:highlight w:val="none"/>
          <w:lang w:val="en-US" w:eastAsia="zh-CN"/>
          <w14:textFill>
            <w14:solidFill>
              <w14:schemeClr w14:val="tx1"/>
            </w14:solidFill>
          </w14:textFill>
        </w:rPr>
        <w:t>5</w:t>
      </w:r>
      <w:r>
        <w:rPr>
          <w:rFonts w:hint="eastAsia" w:ascii="宋体" w:hAnsi="宋体" w:eastAsia="宋体" w:cs="宋体"/>
          <w:snapToGrid w:val="0"/>
          <w:color w:val="000000" w:themeColor="text1"/>
          <w:highlight w:val="none"/>
          <w14:textFill>
            <w14:solidFill>
              <w14:schemeClr w14:val="tx1"/>
            </w14:solidFill>
          </w14:textFill>
        </w:rPr>
        <w:t>%），通过</w:t>
      </w:r>
      <w:r>
        <w:rPr>
          <w:rFonts w:hint="eastAsia" w:ascii="宋体" w:hAnsi="宋体" w:eastAsia="宋体" w:cs="宋体"/>
          <w:snapToGrid w:val="0"/>
          <w:color w:val="000000" w:themeColor="text1"/>
          <w:highlight w:val="none"/>
          <w:lang w:val="en-US" w:eastAsia="zh-CN"/>
          <w14:textFill>
            <w14:solidFill>
              <w14:schemeClr w14:val="tx1"/>
            </w14:solidFill>
          </w14:textFill>
        </w:rPr>
        <w:t>灌装</w:t>
      </w:r>
      <w:r>
        <w:rPr>
          <w:rFonts w:hint="eastAsia" w:ascii="宋体" w:hAnsi="宋体" w:eastAsia="宋体" w:cs="宋体"/>
          <w:snapToGrid w:val="0"/>
          <w:color w:val="000000" w:themeColor="text1"/>
          <w:highlight w:val="none"/>
          <w14:textFill>
            <w14:solidFill>
              <w14:schemeClr w14:val="tx1"/>
            </w14:solidFill>
          </w14:textFill>
        </w:rPr>
        <w:t>收集，</w:t>
      </w:r>
      <w:r>
        <w:rPr>
          <w:rFonts w:hint="eastAsia" w:ascii="宋体" w:hAnsi="宋体" w:eastAsia="宋体" w:cs="宋体"/>
          <w:snapToGrid w:val="0"/>
          <w:color w:val="000000" w:themeColor="text1"/>
          <w:highlight w:val="none"/>
          <w:lang w:val="en-US" w:eastAsia="zh-CN"/>
          <w14:textFill>
            <w14:solidFill>
              <w14:schemeClr w14:val="tx1"/>
            </w14:solidFill>
          </w14:textFill>
        </w:rPr>
        <w:t>作为副产品外售。</w:t>
      </w:r>
    </w:p>
    <w:p>
      <w:pPr>
        <w:spacing w:line="360" w:lineRule="auto"/>
        <w:ind w:firstLine="480" w:firstLineChars="200"/>
        <w:jc w:val="both"/>
        <w:rPr>
          <w:rFonts w:hint="eastAsia" w:ascii="宋体" w:hAnsi="宋体" w:eastAsia="宋体" w:cs="宋体"/>
          <w:snapToGrid w:val="0"/>
          <w:color w:val="000000" w:themeColor="text1"/>
          <w:highlight w:val="none"/>
          <w:lang w:val="en-US" w:eastAsia="zh-CN"/>
          <w14:textFill>
            <w14:solidFill>
              <w14:schemeClr w14:val="tx1"/>
            </w14:solidFill>
          </w14:textFill>
        </w:rPr>
      </w:pPr>
      <w:r>
        <w:rPr>
          <w:rFonts w:hint="eastAsia" w:ascii="宋体" w:hAnsi="宋体" w:eastAsia="宋体" w:cs="宋体"/>
          <w:snapToGrid w:val="0"/>
          <w:color w:val="000000" w:themeColor="text1"/>
          <w:highlight w:val="none"/>
          <w:lang w:val="en-US" w:eastAsia="zh-CN"/>
          <w14:textFill>
            <w14:solidFill>
              <w14:schemeClr w14:val="tx1"/>
            </w14:solidFill>
          </w14:textFill>
        </w:rPr>
        <w:t>流延喷嘴清洗：为了防止流延喷嘴堵塞，需要定期进行清洗。采用 DMAC 溶剂进 行清洗，利用相似相溶原理，喷嘴上残留的PAA固体可软化冲洗下来。清洗周期为 1～2 次/月。流延嘴清洗产生的DMAC溶剂废液与冷凝液和喷淋液一起作为副产品外售。</w:t>
      </w:r>
    </w:p>
    <w:p>
      <w:pPr>
        <w:spacing w:line="360" w:lineRule="auto"/>
        <w:ind w:firstLine="480" w:firstLineChars="200"/>
        <w:jc w:val="both"/>
        <w:rPr>
          <w:rFonts w:hint="eastAsia" w:ascii="宋体" w:hAnsi="宋体" w:eastAsia="宋体" w:cs="宋体"/>
          <w:snapToGrid w:val="0"/>
          <w:color w:val="000000" w:themeColor="text1"/>
          <w:highlight w:val="none"/>
          <w:lang w:eastAsia="zh-CN"/>
          <w14:textFill>
            <w14:solidFill>
              <w14:schemeClr w14:val="tx1"/>
            </w14:solidFill>
          </w14:textFill>
        </w:rPr>
      </w:pPr>
      <w:r>
        <w:rPr>
          <w:rFonts w:hint="eastAsia" w:ascii="宋体" w:hAnsi="宋体" w:eastAsia="宋体" w:cs="宋体"/>
          <w:snapToGrid w:val="0"/>
          <w:color w:val="000000" w:themeColor="text1"/>
          <w:highlight w:val="none"/>
          <w14:textFill>
            <w14:solidFill>
              <w14:schemeClr w14:val="tx1"/>
            </w14:solidFill>
          </w14:textFill>
        </w:rPr>
        <w:t>（5）</w:t>
      </w:r>
      <w:r>
        <w:rPr>
          <w:rFonts w:hint="eastAsia" w:ascii="宋体" w:hAnsi="宋体" w:eastAsia="宋体" w:cs="宋体"/>
          <w:snapToGrid w:val="0"/>
          <w:color w:val="000000" w:themeColor="text1"/>
          <w:highlight w:val="none"/>
          <w:lang w:val="en-US" w:eastAsia="zh-CN"/>
          <w14:textFill>
            <w14:solidFill>
              <w14:schemeClr w14:val="tx1"/>
            </w14:solidFill>
          </w14:textFill>
        </w:rPr>
        <w:t>亚胺化</w:t>
      </w:r>
    </w:p>
    <w:p>
      <w:pPr>
        <w:spacing w:line="360" w:lineRule="auto"/>
        <w:ind w:firstLine="480" w:firstLineChars="200"/>
        <w:jc w:val="both"/>
        <w:rPr>
          <w:rFonts w:hint="eastAsia" w:ascii="宋体" w:hAnsi="宋体" w:eastAsia="宋体" w:cs="宋体"/>
          <w:snapToGrid w:val="0"/>
          <w:color w:val="000000" w:themeColor="text1"/>
          <w:highlight w:val="none"/>
          <w:lang w:eastAsia="zh-CN"/>
          <w14:textFill>
            <w14:solidFill>
              <w14:schemeClr w14:val="tx1"/>
            </w14:solidFill>
          </w14:textFill>
        </w:rPr>
      </w:pPr>
      <w:r>
        <w:rPr>
          <w:rFonts w:hint="eastAsia" w:ascii="宋体" w:hAnsi="宋体" w:eastAsia="宋体" w:cs="宋体"/>
          <w:snapToGrid w:val="0"/>
          <w:color w:val="000000" w:themeColor="text1"/>
          <w:highlight w:val="none"/>
          <w14:textFill>
            <w14:solidFill>
              <w14:schemeClr w14:val="tx1"/>
            </w14:solidFill>
          </w14:textFill>
        </w:rPr>
        <w:t>聚酰胺酸薄膜在钢带上随其运行一周，溶剂蒸发成为固态薄膜，从钢带上剥离下的薄膜经导向辊引向烘干拉伸机，进行高温脱水亚胺化处理并同步进行烘干拉伸。</w:t>
      </w:r>
    </w:p>
    <w:p>
      <w:pPr>
        <w:spacing w:line="360" w:lineRule="auto"/>
        <w:ind w:firstLine="480" w:firstLineChars="200"/>
        <w:jc w:val="both"/>
        <w:rPr>
          <w:rFonts w:hint="eastAsia" w:ascii="宋体" w:hAnsi="宋体" w:eastAsia="宋体" w:cs="宋体"/>
          <w:snapToGrid w:val="0"/>
          <w:color w:val="000000" w:themeColor="text1"/>
          <w:highlight w:val="none"/>
          <w:lang w:eastAsia="zh-CN"/>
          <w14:textFill>
            <w14:solidFill>
              <w14:schemeClr w14:val="tx1"/>
            </w14:solidFill>
          </w14:textFill>
        </w:rPr>
      </w:pPr>
      <w:r>
        <w:rPr>
          <w:rFonts w:hint="eastAsia" w:ascii="宋体" w:hAnsi="宋体" w:eastAsia="宋体" w:cs="宋体"/>
          <w:snapToGrid w:val="0"/>
          <w:color w:val="000000" w:themeColor="text1"/>
          <w:highlight w:val="none"/>
          <w14:textFill>
            <w14:solidFill>
              <w14:schemeClr w14:val="tx1"/>
            </w14:solidFill>
          </w14:textFill>
        </w:rPr>
        <w:t>烘干拉伸机通过电加热，温度控制在400℃，加热时间约3分钟，在此过程中聚酰胺酸薄膜经过亚胺化反应后即形成聚酰亚胺薄膜。</w:t>
      </w:r>
    </w:p>
    <w:p>
      <w:pPr>
        <w:spacing w:line="360" w:lineRule="auto"/>
        <w:ind w:firstLine="480" w:firstLineChars="200"/>
        <w:jc w:val="both"/>
        <w:rPr>
          <w:rFonts w:hint="eastAsia" w:ascii="宋体" w:hAnsi="宋体" w:eastAsia="宋体" w:cs="宋体"/>
          <w:snapToGrid w:val="0"/>
          <w:color w:val="000000" w:themeColor="text1"/>
          <w:highlight w:val="none"/>
          <w:lang w:eastAsia="zh-CN"/>
          <w14:textFill>
            <w14:solidFill>
              <w14:schemeClr w14:val="tx1"/>
            </w14:solidFill>
          </w14:textFill>
        </w:rPr>
      </w:pPr>
      <w:r>
        <w:rPr>
          <w:rFonts w:hint="eastAsia" w:ascii="宋体" w:hAnsi="宋体" w:eastAsia="宋体" w:cs="宋体"/>
          <w:snapToGrid w:val="0"/>
          <w:color w:val="000000" w:themeColor="text1"/>
          <w:highlight w:val="none"/>
          <w14:textFill>
            <w14:solidFill>
              <w14:schemeClr w14:val="tx1"/>
            </w14:solidFill>
          </w14:textFill>
        </w:rPr>
        <w:t>烘干拉伸生产线与流涎生产线一样都是在密闭设备中完成，剩余的少量的DMAC溶剂会因为高温挥发成废气，这部分废气经过二级换热器后，通过冷凝回收系统回收溶剂后，不凝气进入“</w:t>
      </w:r>
      <w:r>
        <w:rPr>
          <w:rFonts w:hint="eastAsia" w:ascii="宋体" w:hAnsi="宋体" w:eastAsia="宋体" w:cs="宋体"/>
          <w:snapToGrid w:val="0"/>
          <w:color w:val="000000" w:themeColor="text1"/>
          <w:highlight w:val="none"/>
          <w:lang w:val="en-US" w:eastAsia="zh-CN"/>
          <w14:textFill>
            <w14:solidFill>
              <w14:schemeClr w14:val="tx1"/>
            </w14:solidFill>
          </w14:textFill>
        </w:rPr>
        <w:t>二级喷淋+湿电系统</w:t>
      </w:r>
      <w:r>
        <w:rPr>
          <w:rFonts w:hint="eastAsia" w:ascii="宋体" w:hAnsi="宋体" w:eastAsia="宋体" w:cs="宋体"/>
          <w:snapToGrid w:val="0"/>
          <w:color w:val="000000" w:themeColor="text1"/>
          <w:highlight w:val="none"/>
          <w14:textFill>
            <w14:solidFill>
              <w14:schemeClr w14:val="tx1"/>
            </w14:solidFill>
          </w14:textFill>
        </w:rPr>
        <w:t>”处理后，经20米高排气筒</w:t>
      </w:r>
      <w:r>
        <w:rPr>
          <w:rFonts w:hint="eastAsia" w:ascii="宋体" w:hAnsi="宋体" w:eastAsia="宋体" w:cs="宋体"/>
          <w:snapToGrid w:val="0"/>
          <w:color w:val="000000" w:themeColor="text1"/>
          <w:highlight w:val="none"/>
          <w:lang w:val="en-US" w:eastAsia="zh-CN"/>
          <w14:textFill>
            <w14:solidFill>
              <w14:schemeClr w14:val="tx1"/>
            </w14:solidFill>
          </w14:textFill>
        </w:rPr>
        <w:t>DA002</w:t>
      </w:r>
      <w:r>
        <w:rPr>
          <w:rFonts w:hint="eastAsia" w:ascii="宋体" w:hAnsi="宋体" w:eastAsia="宋体" w:cs="宋体"/>
          <w:snapToGrid w:val="0"/>
          <w:color w:val="000000" w:themeColor="text1"/>
          <w:highlight w:val="none"/>
          <w14:textFill>
            <w14:solidFill>
              <w14:schemeClr w14:val="tx1"/>
            </w14:solidFill>
          </w14:textFill>
        </w:rPr>
        <w:t>排放</w:t>
      </w:r>
      <w:r>
        <w:rPr>
          <w:rFonts w:hint="eastAsia" w:ascii="宋体" w:hAnsi="宋体" w:eastAsia="宋体" w:cs="宋体"/>
          <w:snapToGrid w:val="0"/>
          <w:color w:val="000000" w:themeColor="text1"/>
          <w:highlight w:val="none"/>
          <w:lang w:eastAsia="zh-CN"/>
          <w14:textFill>
            <w14:solidFill>
              <w14:schemeClr w14:val="tx1"/>
            </w14:solidFill>
          </w14:textFill>
        </w:rPr>
        <w:t>。</w:t>
      </w:r>
    </w:p>
    <w:p>
      <w:pPr>
        <w:spacing w:line="360" w:lineRule="auto"/>
        <w:ind w:firstLine="480" w:firstLineChars="200"/>
        <w:jc w:val="both"/>
        <w:rPr>
          <w:rFonts w:hint="eastAsia" w:ascii="宋体" w:hAnsi="宋体" w:eastAsia="宋体" w:cs="宋体"/>
          <w:snapToGrid w:val="0"/>
          <w:color w:val="000000" w:themeColor="text1"/>
          <w:highlight w:val="none"/>
          <w14:textFill>
            <w14:solidFill>
              <w14:schemeClr w14:val="tx1"/>
            </w14:solidFill>
          </w14:textFill>
        </w:rPr>
      </w:pPr>
      <w:r>
        <w:rPr>
          <w:rFonts w:hint="eastAsia" w:ascii="宋体" w:hAnsi="宋体" w:eastAsia="宋体" w:cs="宋体"/>
          <w:snapToGrid w:val="0"/>
          <w:color w:val="000000" w:themeColor="text1"/>
          <w:highlight w:val="none"/>
          <w:lang w:val="en-US" w:eastAsia="zh-CN"/>
          <w14:textFill>
            <w14:solidFill>
              <w14:schemeClr w14:val="tx1"/>
            </w14:solidFill>
          </w14:textFill>
        </w:rPr>
        <w:t>DMAC溶剂在流延成膜工序阶段大部分已经完成挥发以有机废气形态进入冷凝回收系统，亚胺化过程温度较高，仍会有少量的DMAC溶剂挥发，会产生亚胺化废气（G3）。亚胺化废气包含二甲基乙酰胺和氨。亚胺化温度在 240-300℃，聚酰胺酸在此温度下进行脱水反应，生成水蒸气，同时物料中含有极少量游离的氨在流延、亚胺化等高温过程中挥发出来。</w:t>
      </w:r>
    </w:p>
    <w:p>
      <w:pPr>
        <w:spacing w:line="360" w:lineRule="auto"/>
        <w:ind w:firstLine="480" w:firstLineChars="200"/>
        <w:jc w:val="both"/>
        <w:rPr>
          <w:rFonts w:hint="eastAsia" w:ascii="宋体" w:hAnsi="宋体" w:eastAsia="宋体" w:cs="宋体"/>
          <w:snapToGrid w:val="0"/>
          <w:color w:val="000000" w:themeColor="text1"/>
          <w:highlight w:val="none"/>
          <w:lang w:val="en-US" w:eastAsia="zh-CN"/>
          <w14:textFill>
            <w14:solidFill>
              <w14:schemeClr w14:val="tx1"/>
            </w14:solidFill>
          </w14:textFill>
        </w:rPr>
      </w:pPr>
      <w:r>
        <w:rPr>
          <w:rFonts w:hint="eastAsia" w:ascii="宋体" w:hAnsi="宋体" w:eastAsia="宋体" w:cs="宋体"/>
          <w:snapToGrid w:val="0"/>
          <w:color w:val="000000" w:themeColor="text1"/>
          <w:highlight w:val="none"/>
          <w:lang w:eastAsia="zh-CN"/>
          <w14:textFill>
            <w14:solidFill>
              <w14:schemeClr w14:val="tx1"/>
            </w14:solidFill>
          </w14:textFill>
        </w:rPr>
        <w:t>（</w:t>
      </w:r>
      <w:r>
        <w:rPr>
          <w:rFonts w:hint="eastAsia" w:ascii="宋体" w:hAnsi="宋体" w:eastAsia="宋体" w:cs="宋体"/>
          <w:snapToGrid w:val="0"/>
          <w:color w:val="000000" w:themeColor="text1"/>
          <w:highlight w:val="none"/>
          <w:lang w:val="en-US" w:eastAsia="zh-CN"/>
          <w14:textFill>
            <w14:solidFill>
              <w14:schemeClr w14:val="tx1"/>
            </w14:solidFill>
          </w14:textFill>
        </w:rPr>
        <w:t>5</w:t>
      </w:r>
      <w:r>
        <w:rPr>
          <w:rFonts w:hint="eastAsia" w:ascii="宋体" w:hAnsi="宋体" w:eastAsia="宋体" w:cs="宋体"/>
          <w:snapToGrid w:val="0"/>
          <w:color w:val="000000" w:themeColor="text1"/>
          <w:highlight w:val="none"/>
          <w:lang w:eastAsia="zh-CN"/>
          <w14:textFill>
            <w14:solidFill>
              <w14:schemeClr w14:val="tx1"/>
            </w14:solidFill>
          </w14:textFill>
        </w:rPr>
        <w:t>）</w:t>
      </w:r>
      <w:r>
        <w:rPr>
          <w:rFonts w:hint="eastAsia" w:ascii="宋体" w:hAnsi="宋体" w:eastAsia="宋体" w:cs="宋体"/>
          <w:snapToGrid w:val="0"/>
          <w:color w:val="000000" w:themeColor="text1"/>
          <w:highlight w:val="none"/>
          <w:lang w:val="en-US" w:eastAsia="zh-CN"/>
          <w14:textFill>
            <w14:solidFill>
              <w14:schemeClr w14:val="tx1"/>
            </w14:solidFill>
          </w14:textFill>
        </w:rPr>
        <w:t>电晕</w:t>
      </w:r>
    </w:p>
    <w:p>
      <w:pPr>
        <w:spacing w:line="360" w:lineRule="auto"/>
        <w:ind w:firstLine="480" w:firstLineChars="200"/>
        <w:jc w:val="both"/>
        <w:rPr>
          <w:rFonts w:hint="eastAsia" w:ascii="宋体" w:hAnsi="宋体" w:eastAsia="宋体" w:cs="宋体"/>
          <w:snapToGrid w:val="0"/>
          <w:color w:val="000000" w:themeColor="text1"/>
          <w:highlight w:val="none"/>
          <w14:textFill>
            <w14:solidFill>
              <w14:schemeClr w14:val="tx1"/>
            </w14:solidFill>
          </w14:textFill>
        </w:rPr>
      </w:pPr>
      <w:r>
        <w:rPr>
          <w:rFonts w:hint="eastAsia" w:ascii="宋体" w:hAnsi="宋体" w:eastAsia="宋体" w:cs="宋体"/>
          <w:snapToGrid w:val="0"/>
          <w:color w:val="000000" w:themeColor="text1"/>
          <w:highlight w:val="none"/>
          <w:lang w:val="en-US" w:eastAsia="zh-CN"/>
          <w14:textFill>
            <w14:solidFill>
              <w14:schemeClr w14:val="tx1"/>
            </w14:solidFill>
          </w14:textFill>
        </w:rPr>
        <w:t>通过高压放电对聚酰亚胺塑料薄膜表面进行电晕处理，根据薄膜的厚度设定 具体的电晕功率，电晕使其表面形成肉眼看不见的微凹状从而增加表面的可接着特性，使得经过处理 过后的聚酰亚胺塑料薄膜有更小的收缩率。</w:t>
      </w:r>
    </w:p>
    <w:p>
      <w:pPr>
        <w:spacing w:line="360" w:lineRule="auto"/>
        <w:ind w:firstLine="480" w:firstLineChars="200"/>
        <w:jc w:val="both"/>
        <w:rPr>
          <w:rFonts w:hint="eastAsia" w:ascii="宋体" w:hAnsi="宋体" w:eastAsia="宋体" w:cs="宋体"/>
          <w:snapToGrid w:val="0"/>
          <w:color w:val="000000" w:themeColor="text1"/>
          <w:highlight w:val="none"/>
          <w14:textFill>
            <w14:solidFill>
              <w14:schemeClr w14:val="tx1"/>
            </w14:solidFill>
          </w14:textFill>
        </w:rPr>
      </w:pPr>
      <w:r>
        <w:rPr>
          <w:rFonts w:hint="eastAsia" w:ascii="宋体" w:hAnsi="宋体" w:eastAsia="宋体" w:cs="宋体"/>
          <w:snapToGrid w:val="0"/>
          <w:color w:val="000000" w:themeColor="text1"/>
          <w:highlight w:val="none"/>
          <w:lang w:val="en-US" w:eastAsia="zh-CN"/>
          <w14:textFill>
            <w14:solidFill>
              <w14:schemeClr w14:val="tx1"/>
            </w14:solidFill>
          </w14:textFill>
        </w:rPr>
        <w:t>电晕工序产生的臭氧（G5），通过风机将其抽至楼顶高空排放。</w:t>
      </w:r>
    </w:p>
    <w:p>
      <w:pPr>
        <w:spacing w:line="360" w:lineRule="auto"/>
        <w:ind w:firstLine="480" w:firstLineChars="200"/>
        <w:jc w:val="both"/>
        <w:rPr>
          <w:rFonts w:hint="eastAsia" w:ascii="宋体" w:hAnsi="宋体" w:eastAsia="宋体" w:cs="宋体"/>
          <w:snapToGrid w:val="0"/>
          <w:color w:val="000000" w:themeColor="text1"/>
          <w:highlight w:val="none"/>
          <w:lang w:eastAsia="zh-CN"/>
          <w14:textFill>
            <w14:solidFill>
              <w14:schemeClr w14:val="tx1"/>
            </w14:solidFill>
          </w14:textFill>
        </w:rPr>
      </w:pPr>
      <w:r>
        <w:rPr>
          <w:rFonts w:hint="eastAsia" w:ascii="宋体" w:hAnsi="宋体" w:eastAsia="宋体" w:cs="宋体"/>
          <w:snapToGrid w:val="0"/>
          <w:color w:val="000000" w:themeColor="text1"/>
          <w:highlight w:val="none"/>
          <w14:textFill>
            <w14:solidFill>
              <w14:schemeClr w14:val="tx1"/>
            </w14:solidFill>
          </w14:textFill>
        </w:rPr>
        <w:t>（6）溶剂回收工艺流程</w:t>
      </w:r>
    </w:p>
    <w:p>
      <w:pPr>
        <w:spacing w:line="360" w:lineRule="auto"/>
        <w:ind w:firstLine="480" w:firstLineChars="200"/>
        <w:jc w:val="both"/>
        <w:rPr>
          <w:rFonts w:hint="eastAsia" w:ascii="宋体" w:hAnsi="宋体" w:eastAsia="宋体" w:cs="宋体"/>
          <w:snapToGrid w:val="0"/>
          <w:color w:val="000000" w:themeColor="text1"/>
          <w:highlight w:val="none"/>
          <w:u w:val="single"/>
          <w:lang w:val="en-US" w:eastAsia="zh-CN"/>
          <w14:textFill>
            <w14:solidFill>
              <w14:schemeClr w14:val="tx1"/>
            </w14:solidFill>
          </w14:textFill>
        </w:rPr>
      </w:pPr>
      <w:r>
        <w:rPr>
          <w:rFonts w:hint="eastAsia" w:ascii="宋体" w:hAnsi="宋体" w:eastAsia="宋体" w:cs="宋体"/>
          <w:snapToGrid w:val="0"/>
          <w:color w:val="000000" w:themeColor="text1"/>
          <w:highlight w:val="none"/>
          <w:lang w:eastAsia="zh-CN"/>
          <w14:textFill>
            <w14:solidFill>
              <w14:schemeClr w14:val="tx1"/>
            </w14:solidFill>
          </w14:textFill>
        </w:rPr>
        <w:t>根据项目生产工艺，</w:t>
      </w:r>
      <w:r>
        <w:rPr>
          <w:rFonts w:hint="eastAsia" w:ascii="宋体" w:hAnsi="宋体" w:eastAsia="宋体" w:cs="宋体"/>
          <w:snapToGrid w:val="0"/>
          <w:color w:val="000000" w:themeColor="text1"/>
          <w:highlight w:val="none"/>
          <w14:textFill>
            <w14:solidFill>
              <w14:schemeClr w14:val="tx1"/>
            </w14:solidFill>
          </w14:textFill>
        </w:rPr>
        <w:t>流涎机的加热过程为空气对钢带和树脂加热，</w:t>
      </w:r>
      <w:r>
        <w:rPr>
          <w:rFonts w:hint="eastAsia" w:ascii="宋体" w:hAnsi="宋体" w:eastAsia="宋体" w:cs="宋体"/>
          <w:snapToGrid w:val="0"/>
          <w:color w:val="000000" w:themeColor="text1"/>
          <w:highlight w:val="none"/>
          <w:lang w:eastAsia="zh-CN"/>
          <w14:textFill>
            <w14:solidFill>
              <w14:schemeClr w14:val="tx1"/>
            </w14:solidFill>
          </w14:textFill>
        </w:rPr>
        <w:t>将树脂中溶剂蒸发</w:t>
      </w:r>
      <w:r>
        <w:rPr>
          <w:rFonts w:hint="eastAsia" w:ascii="宋体" w:hAnsi="宋体" w:eastAsia="宋体" w:cs="宋体"/>
          <w:snapToGrid w:val="0"/>
          <w:color w:val="000000" w:themeColor="text1"/>
          <w:highlight w:val="none"/>
          <w14:textFill>
            <w14:solidFill>
              <w14:schemeClr w14:val="tx1"/>
            </w14:solidFill>
          </w14:textFill>
        </w:rPr>
        <w:t>带出，</w:t>
      </w:r>
      <w:r>
        <w:rPr>
          <w:rFonts w:hint="eastAsia" w:ascii="宋体" w:hAnsi="宋体" w:eastAsia="宋体" w:cs="宋体"/>
          <w:snapToGrid w:val="0"/>
          <w:color w:val="000000" w:themeColor="text1"/>
          <w:highlight w:val="none"/>
          <w:lang w:eastAsia="zh-CN"/>
          <w14:textFill>
            <w14:solidFill>
              <w14:schemeClr w14:val="tx1"/>
            </w14:solidFill>
          </w14:textFill>
        </w:rPr>
        <w:t>在亚胺化工序将</w:t>
      </w:r>
      <w:r>
        <w:rPr>
          <w:rFonts w:hint="eastAsia" w:ascii="宋体" w:hAnsi="宋体" w:eastAsia="宋体" w:cs="宋体"/>
          <w:snapToGrid w:val="0"/>
          <w:color w:val="000000" w:themeColor="text1"/>
          <w:highlight w:val="none"/>
          <w14:textFill>
            <w14:solidFill>
              <w14:schemeClr w14:val="tx1"/>
            </w14:solidFill>
          </w14:textFill>
        </w:rPr>
        <w:t>反应放出的</w:t>
      </w:r>
      <w:r>
        <w:rPr>
          <w:rFonts w:hint="eastAsia" w:ascii="宋体" w:hAnsi="宋体" w:eastAsia="宋体" w:cs="宋体"/>
          <w:snapToGrid w:val="0"/>
          <w:color w:val="000000" w:themeColor="text1"/>
          <w:highlight w:val="none"/>
          <w:lang w:eastAsia="zh-CN"/>
          <w14:textFill>
            <w14:solidFill>
              <w14:schemeClr w14:val="tx1"/>
            </w14:solidFill>
          </w14:textFill>
        </w:rPr>
        <w:t>溶剂和</w:t>
      </w:r>
      <w:r>
        <w:rPr>
          <w:rFonts w:hint="eastAsia" w:ascii="宋体" w:hAnsi="宋体" w:eastAsia="宋体" w:cs="宋体"/>
          <w:snapToGrid w:val="0"/>
          <w:color w:val="000000" w:themeColor="text1"/>
          <w:highlight w:val="none"/>
          <w14:textFill>
            <w14:solidFill>
              <w14:schemeClr w14:val="tx1"/>
            </w14:solidFill>
          </w14:textFill>
        </w:rPr>
        <w:t>水分带出</w:t>
      </w:r>
      <w:r>
        <w:rPr>
          <w:rFonts w:hint="eastAsia" w:ascii="宋体" w:hAnsi="宋体" w:eastAsia="宋体" w:cs="宋体"/>
          <w:snapToGrid w:val="0"/>
          <w:color w:val="000000" w:themeColor="text1"/>
          <w:highlight w:val="none"/>
          <w:lang w:eastAsia="zh-CN"/>
          <w14:textFill>
            <w14:solidFill>
              <w14:schemeClr w14:val="tx1"/>
            </w14:solidFill>
          </w14:textFill>
        </w:rPr>
        <w:t>。为降低二甲基乙酰胺原料消耗、减少后续废气处理负荷，流涎、亚胺化工序产生的废气经收集进入冷凝器回收二甲基乙酰胺溶液。</w:t>
      </w:r>
      <w:r>
        <w:rPr>
          <w:rFonts w:hint="eastAsia" w:ascii="宋体" w:hAnsi="宋体" w:eastAsia="宋体" w:cs="宋体"/>
          <w:snapToGrid w:val="0"/>
          <w:color w:val="000000" w:themeColor="text1"/>
          <w:highlight w:val="none"/>
          <w14:textFill>
            <w14:solidFill>
              <w14:schemeClr w14:val="tx1"/>
            </w14:solidFill>
          </w14:textFill>
        </w:rPr>
        <w:t>由于空气中含有大量的水分，而溶剂是亲水性的，与水完全互溶</w:t>
      </w:r>
      <w:r>
        <w:rPr>
          <w:rFonts w:hint="eastAsia" w:ascii="宋体" w:hAnsi="宋体" w:eastAsia="宋体" w:cs="宋体"/>
          <w:snapToGrid w:val="0"/>
          <w:color w:val="000000" w:themeColor="text1"/>
          <w:highlight w:val="none"/>
          <w:lang w:eastAsia="zh-CN"/>
          <w14:textFill>
            <w14:solidFill>
              <w14:schemeClr w14:val="tx1"/>
            </w14:solidFill>
          </w14:textFill>
        </w:rPr>
        <w:t>，</w:t>
      </w:r>
      <w:r>
        <w:rPr>
          <w:rFonts w:hint="eastAsia" w:ascii="宋体" w:hAnsi="宋体" w:eastAsia="宋体" w:cs="宋体"/>
          <w:snapToGrid w:val="0"/>
          <w:color w:val="000000" w:themeColor="text1"/>
          <w:highlight w:val="none"/>
          <w14:textFill>
            <w14:solidFill>
              <w14:schemeClr w14:val="tx1"/>
            </w14:solidFill>
          </w14:textFill>
        </w:rPr>
        <w:t>所以载热体在空气中的水分被溶剂吸收</w:t>
      </w:r>
      <w:r>
        <w:rPr>
          <w:rFonts w:hint="eastAsia" w:ascii="宋体" w:hAnsi="宋体" w:eastAsia="宋体" w:cs="宋体"/>
          <w:snapToGrid w:val="0"/>
          <w:color w:val="000000" w:themeColor="text1"/>
          <w:highlight w:val="none"/>
          <w:lang w:eastAsia="zh-CN"/>
          <w14:textFill>
            <w14:solidFill>
              <w14:schemeClr w14:val="tx1"/>
            </w14:solidFill>
          </w14:textFill>
        </w:rPr>
        <w:t>，</w:t>
      </w:r>
      <w:r>
        <w:rPr>
          <w:rFonts w:hint="eastAsia" w:ascii="宋体" w:hAnsi="宋体" w:eastAsia="宋体" w:cs="宋体"/>
          <w:snapToGrid w:val="0"/>
          <w:color w:val="000000" w:themeColor="text1"/>
          <w:highlight w:val="none"/>
          <w14:textFill>
            <w14:solidFill>
              <w14:schemeClr w14:val="tx1"/>
            </w14:solidFill>
          </w14:textFill>
        </w:rPr>
        <w:t>少量来自亚胺化反应</w:t>
      </w:r>
      <w:r>
        <w:rPr>
          <w:rFonts w:hint="eastAsia" w:ascii="宋体" w:hAnsi="宋体" w:eastAsia="宋体" w:cs="宋体"/>
          <w:snapToGrid w:val="0"/>
          <w:color w:val="000000" w:themeColor="text1"/>
          <w:highlight w:val="none"/>
          <w:lang w:eastAsia="zh-CN"/>
          <w14:textFill>
            <w14:solidFill>
              <w14:schemeClr w14:val="tx1"/>
            </w14:solidFill>
          </w14:textFill>
        </w:rPr>
        <w:t>产生</w:t>
      </w:r>
      <w:r>
        <w:rPr>
          <w:rFonts w:hint="eastAsia" w:ascii="宋体" w:hAnsi="宋体" w:eastAsia="宋体" w:cs="宋体"/>
          <w:snapToGrid w:val="0"/>
          <w:color w:val="000000" w:themeColor="text1"/>
          <w:highlight w:val="none"/>
          <w14:textFill>
            <w14:solidFill>
              <w14:schemeClr w14:val="tx1"/>
            </w14:solidFill>
          </w14:textFill>
        </w:rPr>
        <w:t>的水分</w:t>
      </w:r>
      <w:r>
        <w:rPr>
          <w:rFonts w:hint="eastAsia" w:ascii="宋体" w:hAnsi="宋体" w:eastAsia="宋体" w:cs="宋体"/>
          <w:snapToGrid w:val="0"/>
          <w:color w:val="000000" w:themeColor="text1"/>
          <w:highlight w:val="none"/>
          <w:lang w:eastAsia="zh-CN"/>
          <w14:textFill>
            <w14:solidFill>
              <w14:schemeClr w14:val="tx1"/>
            </w14:solidFill>
          </w14:textFill>
        </w:rPr>
        <w:t>，</w:t>
      </w:r>
      <w:r>
        <w:rPr>
          <w:rFonts w:hint="eastAsia" w:ascii="宋体" w:hAnsi="宋体" w:eastAsia="宋体" w:cs="宋体"/>
          <w:snapToGrid w:val="0"/>
          <w:color w:val="000000" w:themeColor="text1"/>
          <w:highlight w:val="none"/>
          <w:lang w:val="en-US" w:eastAsia="zh-CN"/>
          <w14:textFill>
            <w14:solidFill>
              <w14:schemeClr w14:val="tx1"/>
            </w14:solidFill>
          </w14:textFill>
        </w:rPr>
        <w:t>并通过精馏系统</w:t>
      </w:r>
      <w:r>
        <w:rPr>
          <w:rFonts w:hint="eastAsia" w:ascii="宋体" w:hAnsi="宋体" w:eastAsia="宋体" w:cs="宋体"/>
          <w:snapToGrid w:val="0"/>
          <w:color w:val="000000" w:themeColor="text1"/>
          <w:highlight w:val="none"/>
          <w14:textFill>
            <w14:solidFill>
              <w14:schemeClr w14:val="tx1"/>
            </w14:solidFill>
          </w14:textFill>
        </w:rPr>
        <w:t>。</w:t>
      </w:r>
      <w:r>
        <w:rPr>
          <w:rFonts w:hint="eastAsia" w:ascii="宋体" w:hAnsi="宋体" w:eastAsia="宋体" w:cs="宋体"/>
          <w:snapToGrid w:val="0"/>
          <w:color w:val="000000" w:themeColor="text1"/>
          <w:highlight w:val="none"/>
          <w:u w:val="single"/>
          <w:lang w:val="en-US" w:eastAsia="zh-CN"/>
          <w14:textFill>
            <w14:solidFill>
              <w14:schemeClr w14:val="tx1"/>
            </w14:solidFill>
          </w14:textFill>
        </w:rPr>
        <w:t>项目精馏过程密闭，再进入流延和亚胺化工序，进行冷凝+喷淋+湿电系统处理，精馏工序中产生的废气考虑在流延和亚胺化废气中。根据建设单位提供资料，精馏工序约占总副产品的30%。</w:t>
      </w:r>
    </w:p>
    <w:p>
      <w:pPr>
        <w:spacing w:line="360" w:lineRule="auto"/>
        <w:ind w:firstLine="480" w:firstLineChars="200"/>
        <w:jc w:val="both"/>
        <w:rPr>
          <w:rFonts w:hint="eastAsia" w:ascii="宋体" w:hAnsi="宋体" w:eastAsia="宋体" w:cs="宋体"/>
          <w:snapToGrid w:val="0"/>
          <w:color w:val="000000" w:themeColor="text1"/>
          <w:highlight w:val="none"/>
          <w:u w:val="single"/>
          <w:lang w:val="en-US" w:eastAsia="zh-CN"/>
          <w14:textFill>
            <w14:solidFill>
              <w14:schemeClr w14:val="tx1"/>
            </w14:solidFill>
          </w14:textFill>
        </w:rPr>
      </w:pPr>
      <w:r>
        <w:rPr>
          <w:rFonts w:hint="eastAsia" w:ascii="宋体" w:hAnsi="宋体" w:eastAsia="宋体" w:cs="宋体"/>
          <w:snapToGrid w:val="0"/>
          <w:color w:val="000000" w:themeColor="text1"/>
          <w:highlight w:val="none"/>
          <w:u w:val="single"/>
          <w:lang w:val="en-US" w:eastAsia="zh-CN"/>
          <w14:textFill>
            <w14:solidFill>
              <w14:schemeClr w14:val="tx1"/>
            </w14:solidFill>
          </w14:textFill>
        </w:rPr>
        <w:t>精馏工序：DMAC水溶液首先与循环液混合经过进料加热器和进料加热器加热后部分汽化，在闪蒸罐中发生闪蒸，气相进入气液分离器，液相通过进料循环泵打循环，从闪蒸罐出来的气相通过气液分离器气相送入精馏塔，液相进入进料循环泵。通过电提供热源，进行减压精馏，由于水沸点较低，精馏塔顶产生的是高纯度的水蒸汽，蒸汽通过精馏塔顶冷凝器冷凝后进入精馏塔塔顶液罐，分液后的水含有微量的DMAC（≤200PPm），精馏水回用于废气喷淋洗涤装置。保证DMAC出料浓度在99.9%以上，精馏残渣作为危险废物处理。</w:t>
      </w:r>
    </w:p>
    <w:p>
      <w:pPr>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5024755</wp:posOffset>
                </wp:positionH>
                <wp:positionV relativeFrom="paragraph">
                  <wp:posOffset>1139190</wp:posOffset>
                </wp:positionV>
                <wp:extent cx="1038225" cy="333375"/>
                <wp:effectExtent l="4445" t="4445" r="5080" b="5080"/>
                <wp:wrapNone/>
                <wp:docPr id="3" name="文本框 3"/>
                <wp:cNvGraphicFramePr/>
                <a:graphic xmlns:a="http://schemas.openxmlformats.org/drawingml/2006/main">
                  <a:graphicData uri="http://schemas.microsoft.com/office/word/2010/wordprocessingShape">
                    <wps:wsp>
                      <wps:cNvSpPr txBox="1"/>
                      <wps:spPr>
                        <a:xfrm>
                          <a:off x="5687695" y="4084320"/>
                          <a:ext cx="1038225" cy="3333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sz w:val="21"/>
                                <w:szCs w:val="21"/>
                                <w:lang w:val="en-US" w:eastAsia="zh-CN"/>
                              </w:rPr>
                            </w:pPr>
                            <w:r>
                              <w:rPr>
                                <w:rFonts w:hint="eastAsia"/>
                                <w:sz w:val="21"/>
                                <w:szCs w:val="21"/>
                                <w:lang w:val="en-US" w:eastAsia="zh-CN"/>
                              </w:rPr>
                              <w:t>精馏系统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5.65pt;margin-top:89.7pt;height:26.25pt;width:81.75pt;z-index:251665408;mso-width-relative:page;mso-height-relative:page;" fillcolor="#FFFFFF [3201]" filled="t" stroked="t" coordsize="21600,21600" o:gfxdata="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IcM3kHYAAAACwEAAA8AAAAAAAAAAQAgAAAAIgAAAGRycy9kb3ducmV2LnhtbFBLAQIUABQA&#10;AAAIAIdO4kAY04NmYgIAAMMEAAAOAAAAAAAAAAEAIAAAACcBAABkcnMvZTJvRG9jLnhtbFBLBQYA&#10;AAAABgAGAFkBAAD7BQAAAAA=&#10;">
                <v:fill on="t" focussize="0,0"/>
                <v:stroke weight="0.5pt" color="#000000 [3204]" joinstyle="round"/>
                <v:imagedata o:title=""/>
                <o:lock v:ext="edit" aspectratio="f"/>
                <v:textbox>
                  <w:txbxContent>
                    <w:p>
                      <w:pPr>
                        <w:jc w:val="center"/>
                        <w:rPr>
                          <w:rFonts w:hint="default" w:eastAsia="宋体"/>
                          <w:sz w:val="21"/>
                          <w:szCs w:val="21"/>
                          <w:lang w:val="en-US" w:eastAsia="zh-CN"/>
                        </w:rPr>
                      </w:pPr>
                      <w:r>
                        <w:rPr>
                          <w:rFonts w:hint="eastAsia"/>
                          <w:sz w:val="21"/>
                          <w:szCs w:val="21"/>
                          <w:lang w:val="en-US" w:eastAsia="zh-CN"/>
                        </w:rPr>
                        <w:t>精馏系统</w:t>
                      </w:r>
                    </w:p>
                  </w:txbxContent>
                </v:textbox>
              </v:shape>
            </w:pict>
          </mc:Fallback>
        </mc:AlternateContent>
      </w:r>
      <w:r>
        <w:rPr>
          <w:rFonts w:hint="eastAsia" w:ascii="宋体" w:hAnsi="宋体" w:eastAsia="宋体" w:cs="宋体"/>
          <w:color w:val="000000" w:themeColor="text1"/>
          <w14:textFill>
            <w14:solidFill>
              <w14:schemeClr w14:val="tx1"/>
            </w14:solidFill>
          </w14:textFill>
        </w:rPr>
        <w:object>
          <v:shape id="_x0000_i1025" o:spt="75" type="#_x0000_t75" style="height:203.25pt;width:399.75pt;" o:ole="t" filled="f" o:preferrelative="t" stroked="f" coordsize="21600,21600">
            <v:path/>
            <v:fill on="f" focussize="0,0"/>
            <v:stroke on="f"/>
            <v:imagedata r:id="rId26" o:title=""/>
            <o:lock v:ext="edit" aspectratio="f"/>
            <w10:wrap type="none"/>
            <w10:anchorlock/>
          </v:shape>
          <o:OLEObject Type="Embed" ProgID="Visio.Drawing.11" ShapeID="_x0000_i1025" DrawAspect="Content" ObjectID="_1468075725" r:id="rId25">
            <o:LockedField>false</o:LockedField>
          </o:OLEObject>
        </w:object>
      </w:r>
    </w:p>
    <w:p>
      <w:pPr>
        <w:keepNext w:val="0"/>
        <w:keepLines w:val="0"/>
        <w:pageBreakBefore w:val="0"/>
        <w:widowControl/>
        <w:kinsoku/>
        <w:wordWrap/>
        <w:overflowPunct/>
        <w:topLinePunct w:val="0"/>
        <w:autoSpaceDE/>
        <w:autoSpaceDN/>
        <w:bidi w:val="0"/>
        <w:adjustRightInd/>
        <w:snapToGrid/>
        <w:spacing w:before="167" w:beforeLines="50" w:after="167" w:afterLines="50" w:line="360" w:lineRule="auto"/>
        <w:ind w:right="0" w:rightChars="0" w:firstLine="0"/>
        <w:jc w:val="center"/>
        <w:textAlignment w:val="auto"/>
        <w:rPr>
          <w:rFonts w:hint="eastAsia" w:ascii="宋体" w:hAnsi="宋体" w:eastAsia="宋体" w:cs="宋体"/>
          <w:b/>
          <w:color w:val="000000" w:themeColor="text1"/>
          <w:szCs w:val="21"/>
          <w:lang w:val="en-US" w:eastAsia="zh-CN"/>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图</w:t>
      </w:r>
      <w:r>
        <w:rPr>
          <w:rFonts w:hint="eastAsia" w:ascii="宋体" w:hAnsi="宋体" w:eastAsia="宋体" w:cs="宋体"/>
          <w:b/>
          <w:color w:val="000000" w:themeColor="text1"/>
          <w:szCs w:val="21"/>
          <w:lang w:val="en-US" w:eastAsia="zh-CN"/>
          <w14:textFill>
            <w14:solidFill>
              <w14:schemeClr w14:val="tx1"/>
            </w14:solidFill>
          </w14:textFill>
        </w:rPr>
        <w:t>3.3</w:t>
      </w:r>
      <w:r>
        <w:rPr>
          <w:rFonts w:hint="eastAsia" w:ascii="宋体" w:hAnsi="宋体" w:eastAsia="宋体" w:cs="宋体"/>
          <w:b/>
          <w:color w:val="000000" w:themeColor="text1"/>
          <w:szCs w:val="21"/>
          <w14:textFill>
            <w14:solidFill>
              <w14:schemeClr w14:val="tx1"/>
            </w14:solidFill>
          </w14:textFill>
        </w:rPr>
        <w:t>.</w:t>
      </w:r>
      <w:r>
        <w:rPr>
          <w:rFonts w:hint="eastAsia" w:ascii="宋体" w:hAnsi="宋体" w:eastAsia="宋体" w:cs="宋体"/>
          <w:b/>
          <w:color w:val="000000" w:themeColor="text1"/>
          <w:szCs w:val="21"/>
          <w:lang w:val="en-US" w:eastAsia="zh-CN"/>
          <w14:textFill>
            <w14:solidFill>
              <w14:schemeClr w14:val="tx1"/>
            </w14:solidFill>
          </w14:textFill>
        </w:rPr>
        <w:t>1</w:t>
      </w:r>
      <w:r>
        <w:rPr>
          <w:rFonts w:hint="eastAsia" w:ascii="宋体" w:hAnsi="宋体" w:eastAsia="宋体" w:cs="宋体"/>
          <w:b/>
          <w:color w:val="000000" w:themeColor="text1"/>
          <w:szCs w:val="21"/>
          <w14:textFill>
            <w14:solidFill>
              <w14:schemeClr w14:val="tx1"/>
            </w14:solidFill>
          </w14:textFill>
        </w:rPr>
        <w:t>-</w:t>
      </w:r>
      <w:r>
        <w:rPr>
          <w:rFonts w:hint="eastAsia" w:ascii="宋体" w:hAnsi="宋体" w:eastAsia="宋体" w:cs="宋体"/>
          <w:b/>
          <w:color w:val="000000" w:themeColor="text1"/>
          <w:szCs w:val="21"/>
          <w:lang w:val="en-US" w:eastAsia="zh-CN"/>
          <w14:textFill>
            <w14:solidFill>
              <w14:schemeClr w14:val="tx1"/>
            </w14:solidFill>
          </w14:textFill>
        </w:rPr>
        <w:t>3溶剂回收工艺流程图</w:t>
      </w:r>
    </w:p>
    <w:p>
      <w:pPr>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480" w:firstLineChars="200"/>
        <w:jc w:val="left"/>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项目</w:t>
      </w:r>
      <w:r>
        <w:rPr>
          <w:rFonts w:hint="eastAsia" w:ascii="宋体" w:hAnsi="宋体" w:eastAsia="宋体" w:cs="宋体"/>
          <w:color w:val="000000" w:themeColor="text1"/>
          <w:sz w:val="24"/>
          <w14:textFill>
            <w14:solidFill>
              <w14:schemeClr w14:val="tx1"/>
            </w14:solidFill>
          </w14:textFill>
        </w:rPr>
        <w:t>聚酰亚胺薄膜生产过程中</w:t>
      </w:r>
      <w:r>
        <w:rPr>
          <w:rFonts w:hint="eastAsia" w:ascii="宋体" w:hAnsi="宋体" w:eastAsia="宋体" w:cs="宋体"/>
          <w:color w:val="000000" w:themeColor="text1"/>
          <w:sz w:val="24"/>
          <w:lang w:eastAsia="zh-CN"/>
          <w14:textFill>
            <w14:solidFill>
              <w14:schemeClr w14:val="tx1"/>
            </w14:solidFill>
          </w14:textFill>
        </w:rPr>
        <w:t>流涎工序产生的</w:t>
      </w:r>
      <w:r>
        <w:rPr>
          <w:rFonts w:hint="eastAsia" w:ascii="宋体" w:hAnsi="宋体" w:eastAsia="宋体" w:cs="宋体"/>
          <w:color w:val="000000" w:themeColor="text1"/>
          <w:sz w:val="24"/>
          <w14:textFill>
            <w14:solidFill>
              <w14:schemeClr w14:val="tx1"/>
            </w14:solidFill>
          </w14:textFill>
        </w:rPr>
        <w:t>非甲烷总烃、氨、水蒸气</w:t>
      </w:r>
      <w:r>
        <w:rPr>
          <w:rFonts w:hint="eastAsia" w:ascii="宋体" w:hAnsi="宋体" w:eastAsia="宋体" w:cs="宋体"/>
          <w:color w:val="000000" w:themeColor="text1"/>
          <w:lang w:eastAsia="zh-CN"/>
          <w14:textFill>
            <w14:solidFill>
              <w14:schemeClr w14:val="tx1"/>
            </w14:solidFill>
          </w14:textFill>
        </w:rPr>
        <w:t>采取“生产线全封闭，负压抽气”的方式收集，进入四级冷凝装置，</w:t>
      </w:r>
      <w:r>
        <w:rPr>
          <w:rFonts w:hint="eastAsia" w:ascii="宋体" w:hAnsi="宋体" w:eastAsia="宋体" w:cs="宋体"/>
          <w:color w:val="000000" w:themeColor="text1"/>
          <w14:textFill>
            <w14:solidFill>
              <w14:schemeClr w14:val="tx1"/>
            </w14:solidFill>
          </w14:textFill>
        </w:rPr>
        <w:t>项目</w:t>
      </w:r>
      <w:r>
        <w:rPr>
          <w:rFonts w:hint="eastAsia" w:ascii="宋体" w:hAnsi="宋体" w:eastAsia="宋体" w:cs="宋体"/>
          <w:color w:val="000000" w:themeColor="text1"/>
          <w:sz w:val="24"/>
          <w14:textFill>
            <w14:solidFill>
              <w14:schemeClr w14:val="tx1"/>
            </w14:solidFill>
          </w14:textFill>
        </w:rPr>
        <w:t>聚酰亚胺薄膜生产过程中</w:t>
      </w:r>
      <w:r>
        <w:rPr>
          <w:rFonts w:hint="eastAsia" w:ascii="宋体" w:hAnsi="宋体" w:eastAsia="宋体" w:cs="宋体"/>
          <w:color w:val="000000" w:themeColor="text1"/>
          <w:lang w:eastAsia="zh-CN"/>
          <w14:textFill>
            <w14:solidFill>
              <w14:schemeClr w14:val="tx1"/>
            </w14:solidFill>
          </w14:textFill>
        </w:rPr>
        <w:t>亚胺化</w:t>
      </w:r>
      <w:r>
        <w:rPr>
          <w:rFonts w:hint="eastAsia" w:ascii="宋体" w:hAnsi="宋体" w:eastAsia="宋体" w:cs="宋体"/>
          <w:color w:val="000000" w:themeColor="text1"/>
          <w:sz w:val="24"/>
          <w:lang w:eastAsia="zh-CN"/>
          <w14:textFill>
            <w14:solidFill>
              <w14:schemeClr w14:val="tx1"/>
            </w14:solidFill>
          </w14:textFill>
        </w:rPr>
        <w:t>工序产生的</w:t>
      </w:r>
      <w:r>
        <w:rPr>
          <w:rFonts w:hint="eastAsia" w:ascii="宋体" w:hAnsi="宋体" w:eastAsia="宋体" w:cs="宋体"/>
          <w:color w:val="000000" w:themeColor="text1"/>
          <w:sz w:val="24"/>
          <w14:textFill>
            <w14:solidFill>
              <w14:schemeClr w14:val="tx1"/>
            </w14:solidFill>
          </w14:textFill>
        </w:rPr>
        <w:t>非甲烷总烃、氨、水蒸气</w:t>
      </w:r>
      <w:r>
        <w:rPr>
          <w:rFonts w:hint="eastAsia" w:ascii="宋体" w:hAnsi="宋体" w:eastAsia="宋体" w:cs="宋体"/>
          <w:color w:val="000000" w:themeColor="text1"/>
          <w14:textFill>
            <w14:solidFill>
              <w14:schemeClr w14:val="tx1"/>
            </w14:solidFill>
          </w14:textFill>
        </w:rPr>
        <w:t>采取“生产线全封闭，负压抽气”的方式收集，进入</w:t>
      </w:r>
      <w:r>
        <w:rPr>
          <w:rFonts w:hint="eastAsia" w:ascii="宋体" w:hAnsi="宋体" w:eastAsia="宋体" w:cs="宋体"/>
          <w:color w:val="000000" w:themeColor="text1"/>
          <w:lang w:val="en-US" w:eastAsia="zh-CN"/>
          <w14:textFill>
            <w14:solidFill>
              <w14:schemeClr w14:val="tx1"/>
            </w14:solidFill>
          </w14:textFill>
        </w:rPr>
        <w:t>一</w:t>
      </w:r>
      <w:r>
        <w:rPr>
          <w:rFonts w:hint="eastAsia" w:ascii="宋体" w:hAnsi="宋体" w:eastAsia="宋体" w:cs="宋体"/>
          <w:color w:val="000000" w:themeColor="text1"/>
          <w14:textFill>
            <w14:solidFill>
              <w14:schemeClr w14:val="tx1"/>
            </w14:solidFill>
          </w14:textFill>
        </w:rPr>
        <w:t>级冷凝装置回收副产；</w:t>
      </w:r>
      <w:r>
        <w:rPr>
          <w:rFonts w:hint="eastAsia" w:ascii="宋体" w:hAnsi="宋体" w:eastAsia="宋体" w:cs="宋体"/>
          <w:color w:val="000000" w:themeColor="text1"/>
          <w:lang w:eastAsia="zh-CN"/>
          <w14:textFill>
            <w14:solidFill>
              <w14:schemeClr w14:val="tx1"/>
            </w14:solidFill>
          </w14:textFill>
        </w:rPr>
        <w:t>流涎工序不凝气</w:t>
      </w:r>
      <w:r>
        <w:rPr>
          <w:rFonts w:hint="eastAsia" w:ascii="宋体" w:hAnsi="宋体" w:eastAsia="宋体" w:cs="宋体"/>
          <w:color w:val="000000" w:themeColor="text1"/>
          <w14:textFill>
            <w14:solidFill>
              <w14:schemeClr w14:val="tx1"/>
            </w14:solidFill>
          </w14:textFill>
        </w:rPr>
        <w:t>出风口风机风量约</w:t>
      </w:r>
      <w:r>
        <w:rPr>
          <w:rFonts w:hint="eastAsia" w:ascii="宋体" w:hAnsi="宋体" w:eastAsia="宋体" w:cs="宋体"/>
          <w:color w:val="000000" w:themeColor="text1"/>
          <w:lang w:val="en-US" w:eastAsia="zh-CN"/>
          <w14:textFill>
            <w14:solidFill>
              <w14:schemeClr w14:val="tx1"/>
            </w14:solidFill>
          </w14:textFill>
        </w:rPr>
        <w:t>15000m³</w:t>
      </w:r>
      <w:r>
        <w:rPr>
          <w:rFonts w:hint="eastAsia" w:ascii="宋体" w:hAnsi="宋体" w:eastAsia="宋体" w:cs="宋体"/>
          <w:color w:val="000000" w:themeColor="text1"/>
          <w14:textFill>
            <w14:solidFill>
              <w14:schemeClr w14:val="tx1"/>
            </w14:solidFill>
          </w14:textFill>
        </w:rPr>
        <w:t>/h，</w:t>
      </w:r>
      <w:r>
        <w:rPr>
          <w:rFonts w:hint="eastAsia" w:ascii="宋体" w:hAnsi="宋体" w:eastAsia="宋体" w:cs="宋体"/>
          <w:color w:val="000000" w:themeColor="text1"/>
          <w:lang w:eastAsia="zh-CN"/>
          <w14:textFill>
            <w14:solidFill>
              <w14:schemeClr w14:val="tx1"/>
            </w14:solidFill>
          </w14:textFill>
        </w:rPr>
        <w:t>亚胺化工序不凝气</w:t>
      </w:r>
      <w:r>
        <w:rPr>
          <w:rFonts w:hint="eastAsia" w:ascii="宋体" w:hAnsi="宋体" w:eastAsia="宋体" w:cs="宋体"/>
          <w:color w:val="000000" w:themeColor="text1"/>
          <w14:textFill>
            <w14:solidFill>
              <w14:schemeClr w14:val="tx1"/>
            </w14:solidFill>
          </w14:textFill>
        </w:rPr>
        <w:t>出风口风机风量约</w:t>
      </w:r>
      <w:r>
        <w:rPr>
          <w:rFonts w:hint="eastAsia" w:ascii="宋体" w:hAnsi="宋体" w:eastAsia="宋体" w:cs="宋体"/>
          <w:color w:val="000000" w:themeColor="text1"/>
          <w:lang w:val="en-US" w:eastAsia="zh-CN"/>
          <w14:textFill>
            <w14:solidFill>
              <w14:schemeClr w14:val="tx1"/>
            </w14:solidFill>
          </w14:textFill>
        </w:rPr>
        <w:t>8000</w:t>
      </w:r>
      <w:r>
        <w:rPr>
          <w:rFonts w:hint="eastAsia" w:ascii="宋体" w:hAnsi="宋体" w:eastAsia="宋体" w:cs="宋体"/>
          <w:color w:val="000000" w:themeColor="text1"/>
          <w14:textFill>
            <w14:solidFill>
              <w14:schemeClr w14:val="tx1"/>
            </w14:solidFill>
          </w14:textFill>
        </w:rPr>
        <w:t>m3/h。</w:t>
      </w:r>
    </w:p>
    <w:p>
      <w:pPr>
        <w:pStyle w:val="15"/>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t>项目主要产污环节与主要污染物详见下表</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0" w:firstLineChars="0"/>
        <w:jc w:val="center"/>
        <w:textAlignment w:val="auto"/>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表3.3.1-1项目产污环节及主要污染物</w:t>
      </w:r>
    </w:p>
    <w:tbl>
      <w:tblPr>
        <w:tblStyle w:val="30"/>
        <w:tblW w:w="4991"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001"/>
        <w:gridCol w:w="959"/>
        <w:gridCol w:w="1669"/>
        <w:gridCol w:w="1716"/>
        <w:gridCol w:w="3045"/>
        <w:gridCol w:w="144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509"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项目</w:t>
            </w:r>
          </w:p>
        </w:tc>
        <w:tc>
          <w:tcPr>
            <w:tcW w:w="487"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污染种类</w:t>
            </w:r>
          </w:p>
        </w:tc>
        <w:tc>
          <w:tcPr>
            <w:tcW w:w="848"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排污节点</w:t>
            </w:r>
          </w:p>
        </w:tc>
        <w:tc>
          <w:tcPr>
            <w:tcW w:w="872"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污染物</w:t>
            </w:r>
          </w:p>
        </w:tc>
        <w:tc>
          <w:tcPr>
            <w:tcW w:w="1547"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处理措施</w:t>
            </w:r>
          </w:p>
        </w:tc>
        <w:tc>
          <w:tcPr>
            <w:tcW w:w="734"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排放方式</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509" w:type="pct"/>
            <w:vMerge w:val="restar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废气G</w:t>
            </w:r>
          </w:p>
        </w:tc>
        <w:tc>
          <w:tcPr>
            <w:tcW w:w="487"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G1</w:t>
            </w:r>
          </w:p>
        </w:tc>
        <w:tc>
          <w:tcPr>
            <w:tcW w:w="848"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投料</w:t>
            </w:r>
            <w:r>
              <w:rPr>
                <w:rFonts w:hint="eastAsia" w:ascii="宋体" w:hAnsi="宋体" w:eastAsia="宋体" w:cs="宋体"/>
                <w:b w:val="0"/>
                <w:bCs w:val="0"/>
                <w:color w:val="000000" w:themeColor="text1"/>
                <w:sz w:val="21"/>
                <w:szCs w:val="21"/>
                <w:highlight w:val="none"/>
                <w:lang w:eastAsia="zh-CN"/>
                <w14:textFill>
                  <w14:solidFill>
                    <w14:schemeClr w14:val="tx1"/>
                  </w14:solidFill>
                </w14:textFill>
              </w:rPr>
              <w:t>废气</w:t>
            </w:r>
          </w:p>
        </w:tc>
        <w:tc>
          <w:tcPr>
            <w:tcW w:w="872"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eastAsia="zh-CN"/>
                <w14:textFill>
                  <w14:solidFill>
                    <w14:schemeClr w14:val="tx1"/>
                  </w14:solidFill>
                </w14:textFill>
              </w:rPr>
              <w:t>非甲烷总烃</w:t>
            </w:r>
          </w:p>
        </w:tc>
        <w:tc>
          <w:tcPr>
            <w:tcW w:w="1547"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生产期间，密闭车间门窗。VOCs物料转移均通过密闭管道输送。加强设备检修频率，杜绝跑冒滴漏，提高密闭性。</w:t>
            </w:r>
          </w:p>
        </w:tc>
        <w:tc>
          <w:tcPr>
            <w:tcW w:w="734"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eastAsia="zh-CN"/>
                <w14:textFill>
                  <w14:solidFill>
                    <w14:schemeClr w14:val="tx1"/>
                  </w14:solidFill>
                </w14:textFill>
              </w:rPr>
              <w:t>车间内无组织排放</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509" w:type="pct"/>
            <w:vMerge w:val="continue"/>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14:textFill>
                  <w14:solidFill>
                    <w14:schemeClr w14:val="tx1"/>
                  </w14:solidFill>
                </w14:textFill>
              </w:rPr>
            </w:pPr>
          </w:p>
        </w:tc>
        <w:tc>
          <w:tcPr>
            <w:tcW w:w="487"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G2</w:t>
            </w:r>
          </w:p>
        </w:tc>
        <w:tc>
          <w:tcPr>
            <w:tcW w:w="848"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消泡废气</w:t>
            </w:r>
          </w:p>
        </w:tc>
        <w:tc>
          <w:tcPr>
            <w:tcW w:w="872"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非甲烷总烃</w:t>
            </w:r>
          </w:p>
        </w:tc>
        <w:tc>
          <w:tcPr>
            <w:tcW w:w="1547"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真空泵收集进入三级喷淋+湿电系统</w:t>
            </w:r>
          </w:p>
        </w:tc>
        <w:tc>
          <w:tcPr>
            <w:tcW w:w="734" w:type="pct"/>
            <w:vMerge w:val="restar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有组织排放</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509" w:type="pct"/>
            <w:vMerge w:val="continue"/>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14:textFill>
                  <w14:solidFill>
                    <w14:schemeClr w14:val="tx1"/>
                  </w14:solidFill>
                </w14:textFill>
              </w:rPr>
            </w:pPr>
          </w:p>
        </w:tc>
        <w:tc>
          <w:tcPr>
            <w:tcW w:w="487"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G3</w:t>
            </w:r>
          </w:p>
        </w:tc>
        <w:tc>
          <w:tcPr>
            <w:tcW w:w="848"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流涎废气</w:t>
            </w:r>
          </w:p>
        </w:tc>
        <w:tc>
          <w:tcPr>
            <w:tcW w:w="872"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非甲烷总烃、氨</w:t>
            </w:r>
          </w:p>
        </w:tc>
        <w:tc>
          <w:tcPr>
            <w:tcW w:w="1547"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eastAsia="zh-CN"/>
                <w14:textFill>
                  <w14:solidFill>
                    <w14:schemeClr w14:val="tx1"/>
                  </w14:solidFill>
                </w14:textFill>
              </w:rPr>
            </w:pPr>
            <w:bookmarkStart w:id="323" w:name="OLE_LINK9"/>
            <w:r>
              <w:rPr>
                <w:rFonts w:hint="eastAsia" w:ascii="宋体" w:hAnsi="宋体" w:eastAsia="宋体" w:cs="宋体"/>
                <w:b w:val="0"/>
                <w:bCs w:val="0"/>
                <w:color w:val="000000" w:themeColor="text1"/>
                <w:sz w:val="21"/>
                <w:szCs w:val="21"/>
                <w:highlight w:val="none"/>
                <w14:textFill>
                  <w14:solidFill>
                    <w14:schemeClr w14:val="tx1"/>
                  </w14:solidFill>
                </w14:textFill>
              </w:rPr>
              <w:t>有机废气采取“生产线全封闭，负压抽气”的方式收集，</w:t>
            </w:r>
            <w:r>
              <w:rPr>
                <w:rFonts w:hint="eastAsia" w:ascii="宋体" w:hAnsi="宋体" w:eastAsia="宋体" w:cs="宋体"/>
                <w:b w:val="0"/>
                <w:bCs w:val="0"/>
                <w:color w:val="000000" w:themeColor="text1"/>
                <w:sz w:val="21"/>
                <w:szCs w:val="21"/>
                <w:highlight w:val="none"/>
                <w:lang w:eastAsia="zh-CN"/>
                <w14:textFill>
                  <w14:solidFill>
                    <w14:schemeClr w14:val="tx1"/>
                  </w14:solidFill>
                </w14:textFill>
              </w:rPr>
              <w:t>进入</w:t>
            </w:r>
            <w:r>
              <w:rPr>
                <w:rFonts w:hint="eastAsia" w:ascii="宋体" w:hAnsi="宋体" w:eastAsia="宋体" w:cs="宋体"/>
                <w:b w:val="0"/>
                <w:bCs w:val="0"/>
                <w:color w:val="000000" w:themeColor="text1"/>
                <w:sz w:val="21"/>
                <w:szCs w:val="21"/>
                <w:highlight w:val="none"/>
                <w14:textFill>
                  <w14:solidFill>
                    <w14:schemeClr w14:val="tx1"/>
                  </w14:solidFill>
                </w14:textFill>
              </w:rPr>
              <w:t>四级冷凝装置回收副产，</w:t>
            </w:r>
            <w:r>
              <w:rPr>
                <w:rFonts w:hint="eastAsia" w:ascii="宋体" w:hAnsi="宋体" w:eastAsia="宋体" w:cs="宋体"/>
                <w:b w:val="0"/>
                <w:bCs w:val="0"/>
                <w:color w:val="000000" w:themeColor="text1"/>
                <w:sz w:val="21"/>
                <w:szCs w:val="21"/>
                <w:highlight w:val="none"/>
                <w:lang w:eastAsia="zh-CN"/>
                <w14:textFill>
                  <w14:solidFill>
                    <w14:schemeClr w14:val="tx1"/>
                  </w14:solidFill>
                </w14:textFill>
              </w:rPr>
              <w:t>不凝气进入</w:t>
            </w:r>
            <w:bookmarkEnd w:id="323"/>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三级喷淋+湿电系统</w:t>
            </w:r>
          </w:p>
        </w:tc>
        <w:tc>
          <w:tcPr>
            <w:tcW w:w="734" w:type="pct"/>
            <w:vMerge w:val="continue"/>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509" w:type="pct"/>
            <w:vMerge w:val="continue"/>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14:textFill>
                  <w14:solidFill>
                    <w14:schemeClr w14:val="tx1"/>
                  </w14:solidFill>
                </w14:textFill>
              </w:rPr>
            </w:pPr>
          </w:p>
        </w:tc>
        <w:tc>
          <w:tcPr>
            <w:tcW w:w="487"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G</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4</w:t>
            </w:r>
          </w:p>
        </w:tc>
        <w:tc>
          <w:tcPr>
            <w:tcW w:w="848"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亚胺化废气</w:t>
            </w:r>
          </w:p>
        </w:tc>
        <w:tc>
          <w:tcPr>
            <w:tcW w:w="872"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非甲烷总烃、氨</w:t>
            </w:r>
          </w:p>
        </w:tc>
        <w:tc>
          <w:tcPr>
            <w:tcW w:w="1547"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有机废气</w:t>
            </w:r>
            <w:bookmarkStart w:id="324" w:name="OLE_LINK7"/>
            <w:r>
              <w:rPr>
                <w:rFonts w:hint="eastAsia" w:ascii="宋体" w:hAnsi="宋体" w:eastAsia="宋体" w:cs="宋体"/>
                <w:b w:val="0"/>
                <w:bCs w:val="0"/>
                <w:color w:val="000000" w:themeColor="text1"/>
                <w:sz w:val="21"/>
                <w:szCs w:val="21"/>
                <w:highlight w:val="none"/>
                <w14:textFill>
                  <w14:solidFill>
                    <w14:schemeClr w14:val="tx1"/>
                  </w14:solidFill>
                </w14:textFill>
              </w:rPr>
              <w:t>采取“生产线全封闭，负压抽气”的方式收集，</w:t>
            </w:r>
            <w:r>
              <w:rPr>
                <w:rFonts w:hint="eastAsia" w:ascii="宋体" w:hAnsi="宋体" w:eastAsia="宋体" w:cs="宋体"/>
                <w:b w:val="0"/>
                <w:bCs w:val="0"/>
                <w:color w:val="000000" w:themeColor="text1"/>
                <w:sz w:val="21"/>
                <w:szCs w:val="21"/>
                <w:highlight w:val="none"/>
                <w:lang w:eastAsia="zh-CN"/>
                <w14:textFill>
                  <w14:solidFill>
                    <w14:schemeClr w14:val="tx1"/>
                  </w14:solidFill>
                </w14:textFill>
              </w:rPr>
              <w:t>进入</w:t>
            </w:r>
            <w:r>
              <w:rPr>
                <w:rFonts w:hint="eastAsia" w:ascii="宋体" w:hAnsi="宋体" w:eastAsia="宋体" w:cs="宋体"/>
                <w:b w:val="0"/>
                <w:bCs w:val="0"/>
                <w:color w:val="000000" w:themeColor="text1"/>
                <w:sz w:val="21"/>
                <w:szCs w:val="21"/>
                <w:highlight w:val="none"/>
                <w14:textFill>
                  <w14:solidFill>
                    <w14:schemeClr w14:val="tx1"/>
                  </w14:solidFill>
                </w14:textFill>
              </w:rPr>
              <w:t>冷凝装置回收副产</w:t>
            </w:r>
            <w:bookmarkEnd w:id="324"/>
            <w:r>
              <w:rPr>
                <w:rFonts w:hint="eastAsia" w:ascii="宋体" w:hAnsi="宋体" w:eastAsia="宋体" w:cs="宋体"/>
                <w:b w:val="0"/>
                <w:bCs w:val="0"/>
                <w:color w:val="000000" w:themeColor="text1"/>
                <w:sz w:val="21"/>
                <w:szCs w:val="21"/>
                <w:highlight w:val="none"/>
                <w14:textFill>
                  <w14:solidFill>
                    <w14:schemeClr w14:val="tx1"/>
                  </w14:solidFill>
                </w14:textFill>
              </w:rPr>
              <w:t>，</w:t>
            </w:r>
            <w:r>
              <w:rPr>
                <w:rFonts w:hint="eastAsia" w:ascii="宋体" w:hAnsi="宋体" w:eastAsia="宋体" w:cs="宋体"/>
                <w:b w:val="0"/>
                <w:bCs w:val="0"/>
                <w:color w:val="000000" w:themeColor="text1"/>
                <w:sz w:val="21"/>
                <w:szCs w:val="21"/>
                <w:highlight w:val="none"/>
                <w:lang w:eastAsia="zh-CN"/>
                <w14:textFill>
                  <w14:solidFill>
                    <w14:schemeClr w14:val="tx1"/>
                  </w14:solidFill>
                </w14:textFill>
              </w:rPr>
              <w:t>不凝气进入</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二级喷淋+湿电系统</w:t>
            </w:r>
          </w:p>
        </w:tc>
        <w:tc>
          <w:tcPr>
            <w:tcW w:w="734" w:type="pct"/>
            <w:vMerge w:val="continue"/>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509" w:type="pct"/>
            <w:vMerge w:val="continue"/>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14:textFill>
                  <w14:solidFill>
                    <w14:schemeClr w14:val="tx1"/>
                  </w14:solidFill>
                </w14:textFill>
              </w:rPr>
            </w:pPr>
          </w:p>
        </w:tc>
        <w:tc>
          <w:tcPr>
            <w:tcW w:w="487"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G5</w:t>
            </w:r>
          </w:p>
        </w:tc>
        <w:tc>
          <w:tcPr>
            <w:tcW w:w="848"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电晕废气</w:t>
            </w:r>
          </w:p>
        </w:tc>
        <w:tc>
          <w:tcPr>
            <w:tcW w:w="872"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臭氧</w:t>
            </w:r>
          </w:p>
        </w:tc>
        <w:tc>
          <w:tcPr>
            <w:tcW w:w="1547"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通过风机引至</w:t>
            </w:r>
            <w:r>
              <w:rPr>
                <w:rFonts w:hint="eastAsia" w:cs="宋体"/>
                <w:b w:val="0"/>
                <w:bCs w:val="0"/>
                <w:color w:val="000000" w:themeColor="text1"/>
                <w:sz w:val="21"/>
                <w:szCs w:val="21"/>
                <w:highlight w:val="none"/>
                <w:lang w:val="en-US" w:eastAsia="zh-CN"/>
                <w14:textFill>
                  <w14:solidFill>
                    <w14:schemeClr w14:val="tx1"/>
                  </w14:solidFill>
                </w14:textFill>
              </w:rPr>
              <w:t>DA002排气筒</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排放</w:t>
            </w:r>
          </w:p>
        </w:tc>
        <w:tc>
          <w:tcPr>
            <w:tcW w:w="734" w:type="pct"/>
            <w:vMerge w:val="continue"/>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509" w:type="pct"/>
            <w:vMerge w:val="restar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废水W</w:t>
            </w:r>
          </w:p>
        </w:tc>
        <w:tc>
          <w:tcPr>
            <w:tcW w:w="487"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W1</w:t>
            </w:r>
          </w:p>
        </w:tc>
        <w:tc>
          <w:tcPr>
            <w:tcW w:w="848"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eastAsia="zh-CN"/>
                <w14:textFill>
                  <w14:solidFill>
                    <w14:schemeClr w14:val="tx1"/>
                  </w14:solidFill>
                </w14:textFill>
              </w:rPr>
              <w:t>喷淋废水</w:t>
            </w:r>
          </w:p>
        </w:tc>
        <w:tc>
          <w:tcPr>
            <w:tcW w:w="872"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eastAsia="zh-CN"/>
                <w14:textFill>
                  <w14:solidFill>
                    <w14:schemeClr w14:val="tx1"/>
                  </w14:solidFill>
                </w14:textFill>
              </w:rPr>
              <w:t>二甲基乙酰胺等</w:t>
            </w:r>
          </w:p>
        </w:tc>
        <w:tc>
          <w:tcPr>
            <w:tcW w:w="1547"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w:t>
            </w:r>
          </w:p>
        </w:tc>
        <w:tc>
          <w:tcPr>
            <w:tcW w:w="734" w:type="pct"/>
            <w:vMerge w:val="restar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eastAsia="zh-CN"/>
                <w14:textFill>
                  <w14:solidFill>
                    <w14:schemeClr w14:val="tx1"/>
                  </w14:solidFill>
                </w14:textFill>
              </w:rPr>
              <w:t>集中收集，在厂区规范暂存后，作为副产品外售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509" w:type="pct"/>
            <w:vMerge w:val="continue"/>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14:textFill>
                  <w14:solidFill>
                    <w14:schemeClr w14:val="tx1"/>
                  </w14:solidFill>
                </w14:textFill>
              </w:rPr>
            </w:pPr>
          </w:p>
        </w:tc>
        <w:tc>
          <w:tcPr>
            <w:tcW w:w="487"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W</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2</w:t>
            </w:r>
          </w:p>
        </w:tc>
        <w:tc>
          <w:tcPr>
            <w:tcW w:w="848"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流涎嘴清洗废液</w:t>
            </w:r>
          </w:p>
        </w:tc>
        <w:tc>
          <w:tcPr>
            <w:tcW w:w="872"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eastAsia="zh-CN"/>
                <w14:textFill>
                  <w14:solidFill>
                    <w14:schemeClr w14:val="tx1"/>
                  </w14:solidFill>
                </w14:textFill>
              </w:rPr>
              <w:t>二甲基乙酰胺等</w:t>
            </w:r>
          </w:p>
        </w:tc>
        <w:tc>
          <w:tcPr>
            <w:tcW w:w="1547"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w:t>
            </w:r>
          </w:p>
        </w:tc>
        <w:tc>
          <w:tcPr>
            <w:tcW w:w="734" w:type="pct"/>
            <w:vMerge w:val="continue"/>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509" w:type="pct"/>
            <w:vMerge w:val="continue"/>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14:textFill>
                  <w14:solidFill>
                    <w14:schemeClr w14:val="tx1"/>
                  </w14:solidFill>
                </w14:textFill>
              </w:rPr>
            </w:pPr>
          </w:p>
        </w:tc>
        <w:tc>
          <w:tcPr>
            <w:tcW w:w="487"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W</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3</w:t>
            </w:r>
          </w:p>
        </w:tc>
        <w:tc>
          <w:tcPr>
            <w:tcW w:w="848"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地面保洁废水</w:t>
            </w:r>
          </w:p>
        </w:tc>
        <w:tc>
          <w:tcPr>
            <w:tcW w:w="872"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COD、BOD5、SS、氨氮</w:t>
            </w:r>
          </w:p>
        </w:tc>
        <w:tc>
          <w:tcPr>
            <w:tcW w:w="1547"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化粪池</w:t>
            </w:r>
          </w:p>
        </w:tc>
        <w:tc>
          <w:tcPr>
            <w:tcW w:w="734"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通过市政污水管网进入</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河西</w:t>
            </w:r>
            <w:r>
              <w:rPr>
                <w:rFonts w:hint="eastAsia" w:ascii="宋体" w:hAnsi="宋体" w:eastAsia="宋体" w:cs="宋体"/>
                <w:b w:val="0"/>
                <w:bCs w:val="0"/>
                <w:color w:val="000000" w:themeColor="text1"/>
                <w:sz w:val="21"/>
                <w:szCs w:val="21"/>
                <w:highlight w:val="none"/>
                <w14:textFill>
                  <w14:solidFill>
                    <w14:schemeClr w14:val="tx1"/>
                  </w14:solidFill>
                </w14:textFill>
              </w:rPr>
              <w:t>污水处理厂处理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509"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噪声N</w:t>
            </w:r>
          </w:p>
        </w:tc>
        <w:tc>
          <w:tcPr>
            <w:tcW w:w="487"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N</w:t>
            </w:r>
          </w:p>
        </w:tc>
        <w:tc>
          <w:tcPr>
            <w:tcW w:w="848"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设备运行</w:t>
            </w:r>
          </w:p>
        </w:tc>
        <w:tc>
          <w:tcPr>
            <w:tcW w:w="872"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噪声</w:t>
            </w:r>
          </w:p>
        </w:tc>
        <w:tc>
          <w:tcPr>
            <w:tcW w:w="1547"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选用低噪声设备、对生产设备采取基础减震，风机等加装消声器，冷却塔采用低噪声填料，加强厂区绿化</w:t>
            </w:r>
          </w:p>
        </w:tc>
        <w:tc>
          <w:tcPr>
            <w:tcW w:w="734"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达标排放</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509" w:type="pct"/>
            <w:vMerge w:val="restar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固体废物S</w:t>
            </w:r>
          </w:p>
        </w:tc>
        <w:tc>
          <w:tcPr>
            <w:tcW w:w="487"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S1</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-1</w:t>
            </w:r>
          </w:p>
        </w:tc>
        <w:tc>
          <w:tcPr>
            <w:tcW w:w="848"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eastAsia="zh-CN"/>
                <w14:textFill>
                  <w14:solidFill>
                    <w14:schemeClr w14:val="tx1"/>
                  </w14:solidFill>
                </w14:textFill>
              </w:rPr>
              <w:t>废内包材料、</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精馏残渣</w:t>
            </w:r>
          </w:p>
        </w:tc>
        <w:tc>
          <w:tcPr>
            <w:tcW w:w="872"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w:t>
            </w:r>
          </w:p>
        </w:tc>
        <w:tc>
          <w:tcPr>
            <w:tcW w:w="1547"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厂区设置危险废物暂存库，在厂区危险废物暂存库暂存后，委托有资质单位处理</w:t>
            </w:r>
          </w:p>
        </w:tc>
        <w:tc>
          <w:tcPr>
            <w:tcW w:w="734" w:type="pct"/>
            <w:vMerge w:val="restar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妥善处置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509" w:type="pct"/>
            <w:vMerge w:val="continue"/>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14:textFill>
                  <w14:solidFill>
                    <w14:schemeClr w14:val="tx1"/>
                  </w14:solidFill>
                </w14:textFill>
              </w:rPr>
            </w:pPr>
          </w:p>
        </w:tc>
        <w:tc>
          <w:tcPr>
            <w:tcW w:w="487"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S1</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-2</w:t>
            </w:r>
          </w:p>
        </w:tc>
        <w:tc>
          <w:tcPr>
            <w:tcW w:w="848"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eastAsia="zh-CN"/>
                <w14:textFill>
                  <w14:solidFill>
                    <w14:schemeClr w14:val="tx1"/>
                  </w14:solidFill>
                </w14:textFill>
              </w:rPr>
              <w:t>废外包材料</w:t>
            </w:r>
          </w:p>
        </w:tc>
        <w:tc>
          <w:tcPr>
            <w:tcW w:w="872"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w:t>
            </w:r>
          </w:p>
        </w:tc>
        <w:tc>
          <w:tcPr>
            <w:tcW w:w="1547"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厂区设置一般固体废物暂存库，厂区集中收集暂存后，外售综合利用</w:t>
            </w:r>
          </w:p>
        </w:tc>
        <w:tc>
          <w:tcPr>
            <w:tcW w:w="734" w:type="pct"/>
            <w:vMerge w:val="continue"/>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509" w:type="pct"/>
            <w:vMerge w:val="continue"/>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14:textFill>
                  <w14:solidFill>
                    <w14:schemeClr w14:val="tx1"/>
                  </w14:solidFill>
                </w14:textFill>
              </w:rPr>
            </w:pPr>
          </w:p>
        </w:tc>
        <w:tc>
          <w:tcPr>
            <w:tcW w:w="487"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S2</w:t>
            </w:r>
            <w:r>
              <w:rPr>
                <w:rFonts w:hint="eastAsia" w:ascii="宋体" w:hAnsi="宋体" w:eastAsia="宋体" w:cs="宋体"/>
                <w:b w:val="0"/>
                <w:bCs w:val="0"/>
                <w:color w:val="000000" w:themeColor="text1"/>
                <w:sz w:val="21"/>
                <w:szCs w:val="21"/>
                <w:highlight w:val="none"/>
                <w:lang w:eastAsia="zh-CN"/>
                <w14:textFill>
                  <w14:solidFill>
                    <w14:schemeClr w14:val="tx1"/>
                  </w14:solidFill>
                </w14:textFill>
              </w:rPr>
              <w:t>、</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S3</w:t>
            </w:r>
          </w:p>
        </w:tc>
        <w:tc>
          <w:tcPr>
            <w:tcW w:w="848"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不合格品、</w:t>
            </w:r>
            <w:r>
              <w:rPr>
                <w:rFonts w:hint="eastAsia" w:ascii="宋体" w:hAnsi="宋体" w:eastAsia="宋体" w:cs="宋体"/>
                <w:b w:val="0"/>
                <w:bCs w:val="0"/>
                <w:color w:val="000000" w:themeColor="text1"/>
                <w:sz w:val="21"/>
                <w:szCs w:val="21"/>
                <w:highlight w:val="none"/>
                <w14:textFill>
                  <w14:solidFill>
                    <w14:schemeClr w14:val="tx1"/>
                  </w14:solidFill>
                </w14:textFill>
              </w:rPr>
              <w:t>废边角料</w:t>
            </w:r>
          </w:p>
        </w:tc>
        <w:tc>
          <w:tcPr>
            <w:tcW w:w="872"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w:t>
            </w:r>
          </w:p>
        </w:tc>
        <w:tc>
          <w:tcPr>
            <w:tcW w:w="1547" w:type="pct"/>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厂区设置一般固体废物暂存库，厂区集中收集暂存后，外售</w:t>
            </w:r>
          </w:p>
        </w:tc>
        <w:tc>
          <w:tcPr>
            <w:tcW w:w="734" w:type="pct"/>
            <w:vMerge w:val="continue"/>
            <w:tcBorders>
              <w:tl2br w:val="nil"/>
              <w:tr2bl w:val="nil"/>
            </w:tcBorders>
            <w:noWrap w:val="0"/>
            <w:vAlign w:val="center"/>
          </w:tcPr>
          <w:p>
            <w:pPr>
              <w:spacing w:line="240" w:lineRule="auto"/>
              <w:jc w:val="center"/>
              <w:rPr>
                <w:rFonts w:hint="eastAsia" w:ascii="宋体" w:hAnsi="宋体" w:eastAsia="宋体" w:cs="宋体"/>
                <w:b w:val="0"/>
                <w:bCs w:val="0"/>
                <w:color w:val="000000" w:themeColor="text1"/>
                <w:sz w:val="21"/>
                <w:szCs w:val="21"/>
                <w:highlight w:val="none"/>
                <w14:textFill>
                  <w14:solidFill>
                    <w14:schemeClr w14:val="tx1"/>
                  </w14:solidFill>
                </w14:textFill>
              </w:rPr>
            </w:pPr>
          </w:p>
        </w:tc>
      </w:tr>
    </w:tbl>
    <w:p>
      <w:pPr>
        <w:spacing w:line="360" w:lineRule="auto"/>
        <w:ind w:firstLine="480" w:firstLineChars="200"/>
        <w:jc w:val="both"/>
        <w:rPr>
          <w:rFonts w:hint="eastAsia" w:ascii="宋体" w:hAnsi="宋体" w:eastAsia="宋体" w:cs="宋体"/>
          <w:snapToGrid w:val="0"/>
          <w:color w:val="000000" w:themeColor="text1"/>
          <w:highlight w:val="none"/>
          <w:lang w:val="en-US" w:eastAsia="zh-CN"/>
          <w14:textFill>
            <w14:solidFill>
              <w14:schemeClr w14:val="tx1"/>
            </w14:solidFill>
          </w14:textFill>
        </w:rPr>
      </w:pPr>
      <w:r>
        <w:rPr>
          <w:rFonts w:hint="eastAsia" w:ascii="宋体" w:hAnsi="宋体" w:eastAsia="宋体" w:cs="宋体"/>
          <w:snapToGrid w:val="0"/>
          <w:color w:val="000000" w:themeColor="text1"/>
          <w:highlight w:val="none"/>
          <w:lang w:val="en-US" w:eastAsia="zh-CN"/>
          <w14:textFill>
            <w14:solidFill>
              <w14:schemeClr w14:val="tx1"/>
            </w14:solidFill>
          </w14:textFill>
        </w:rPr>
        <w:t>（7）设备产能匹配性分析</w:t>
      </w:r>
    </w:p>
    <w:p>
      <w:pPr>
        <w:spacing w:line="360" w:lineRule="auto"/>
        <w:ind w:firstLine="480" w:firstLineChars="200"/>
        <w:jc w:val="both"/>
        <w:rPr>
          <w:rFonts w:hint="eastAsia" w:ascii="宋体" w:hAnsi="宋体" w:eastAsia="宋体" w:cs="宋体"/>
          <w:snapToGrid w:val="0"/>
          <w:color w:val="000000" w:themeColor="text1"/>
          <w:highlight w:val="none"/>
          <w:lang w:val="en-US" w:eastAsia="zh-CN"/>
          <w14:textFill>
            <w14:solidFill>
              <w14:schemeClr w14:val="tx1"/>
            </w14:solidFill>
          </w14:textFill>
        </w:rPr>
      </w:pPr>
      <w:r>
        <w:rPr>
          <w:rFonts w:hint="eastAsia" w:ascii="宋体" w:hAnsi="宋体" w:eastAsia="宋体" w:cs="宋体"/>
          <w:snapToGrid w:val="0"/>
          <w:color w:val="000000" w:themeColor="text1"/>
          <w:highlight w:val="none"/>
          <w:lang w:val="en-US" w:eastAsia="zh-CN"/>
          <w14:textFill>
            <w14:solidFill>
              <w14:schemeClr w14:val="tx1"/>
            </w14:solidFill>
          </w14:textFill>
        </w:rPr>
        <w:t>本次项目共建设两条生产线，共建设有2个2m³的搅拌罐，一次加料量最大为搅拌罐容积的80%，所配置的胶液的密度约为1.04t/m³，则一次最多投料量为1.6t，每条生产线的流涎和烘干拉伸工序连续生产，每天投料量最大约为4t，每年生产300天，则每年最多配置胶液1200t，能满足项目每年配置胶液800t的产能要求。本项目共建设两条生产线，每条生产线中的流涎和烘干拉伸机每年最大可生产的产品为100t/a，则两条生产线每年可产200t，可以满足本项目生产需要。</w:t>
      </w:r>
    </w:p>
    <w:p>
      <w:pPr>
        <w:pStyle w:val="33"/>
        <w:keepNext w:val="0"/>
        <w:keepLines w:val="0"/>
        <w:pageBreakBefore w:val="0"/>
        <w:widowControl w:val="0"/>
        <w:kinsoku/>
        <w:wordWrap/>
        <w:overflowPunct/>
        <w:topLinePunct w:val="0"/>
        <w:autoSpaceDE w:val="0"/>
        <w:autoSpaceDN w:val="0"/>
        <w:bidi w:val="0"/>
        <w:adjustRightInd/>
        <w:snapToGrid/>
        <w:spacing w:line="360" w:lineRule="auto"/>
        <w:ind w:leftChars="0" w:firstLine="482" w:firstLineChars="200"/>
        <w:textAlignment w:val="auto"/>
        <w:outlineLvl w:val="3"/>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3.3.1.3物料平衡</w:t>
      </w:r>
    </w:p>
    <w:p>
      <w:pPr>
        <w:spacing w:line="360" w:lineRule="auto"/>
        <w:ind w:firstLine="480" w:firstLineChars="200"/>
        <w:jc w:val="both"/>
        <w:rPr>
          <w:rFonts w:hint="eastAsia" w:ascii="宋体" w:hAnsi="宋体" w:eastAsia="宋体" w:cs="宋体"/>
          <w:snapToGrid w:val="0"/>
          <w:color w:val="000000" w:themeColor="text1"/>
          <w:highlight w:val="none"/>
          <w14:textFill>
            <w14:solidFill>
              <w14:schemeClr w14:val="tx1"/>
            </w14:solidFill>
          </w14:textFill>
        </w:rPr>
      </w:pPr>
      <w:r>
        <w:rPr>
          <w:rFonts w:hint="eastAsia" w:ascii="宋体" w:hAnsi="宋体" w:eastAsia="宋体" w:cs="宋体"/>
          <w:snapToGrid w:val="0"/>
          <w:color w:val="000000" w:themeColor="text1"/>
          <w:highlight w:val="none"/>
          <w:lang w:val="en-US" w:eastAsia="zh-CN"/>
          <w14:textFill>
            <w14:solidFill>
              <w14:schemeClr w14:val="tx1"/>
            </w14:solidFill>
          </w14:textFill>
        </w:rPr>
        <w:t>本项目物料平衡表如下表。</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0" w:firstLineChars="0"/>
        <w:jc w:val="center"/>
        <w:textAlignment w:val="auto"/>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bookmarkStart w:id="325" w:name="_Toc12931"/>
      <w:bookmarkStart w:id="326" w:name="_Toc23568"/>
      <w:r>
        <w:rPr>
          <w:rFonts w:hint="eastAsia" w:ascii="宋体" w:hAnsi="宋体" w:eastAsia="宋体" w:cs="宋体"/>
          <w:b/>
          <w:bCs/>
          <w:color w:val="000000" w:themeColor="text1"/>
          <w:sz w:val="24"/>
          <w:szCs w:val="24"/>
          <w:highlight w:val="none"/>
          <w:lang w:val="en-US" w:eastAsia="zh-CN"/>
          <w14:textFill>
            <w14:solidFill>
              <w14:schemeClr w14:val="tx1"/>
            </w14:solidFill>
          </w14:textFill>
        </w:rPr>
        <w:t>表3.3.1-2项目聚酰亚胺薄膜产品生产总物料平衡表</w:t>
      </w:r>
    </w:p>
    <w:tbl>
      <w:tblPr>
        <w:tblStyle w:val="31"/>
        <w:tblW w:w="498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990"/>
        <w:gridCol w:w="1703"/>
        <w:gridCol w:w="2122"/>
        <w:gridCol w:w="3038"/>
        <w:gridCol w:w="1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04" w:type="pct"/>
            <w:vMerge w:val="restart"/>
            <w:tcBorders>
              <w:tl2br w:val="nil"/>
              <w:tr2bl w:val="nil"/>
            </w:tcBorders>
            <w:shd w:val="clear" w:color="auto" w:fill="auto"/>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序号</w:t>
            </w:r>
          </w:p>
        </w:tc>
        <w:tc>
          <w:tcPr>
            <w:tcW w:w="1945" w:type="pct"/>
            <w:gridSpan w:val="2"/>
            <w:tcBorders>
              <w:tl2br w:val="nil"/>
              <w:tr2bl w:val="nil"/>
            </w:tcBorders>
            <w:shd w:val="clear" w:color="auto" w:fill="auto"/>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入方</w:t>
            </w:r>
          </w:p>
        </w:tc>
        <w:tc>
          <w:tcPr>
            <w:tcW w:w="2550" w:type="pct"/>
            <w:gridSpan w:val="2"/>
            <w:tcBorders>
              <w:tl2br w:val="nil"/>
              <w:tr2bl w:val="nil"/>
            </w:tcBorders>
            <w:shd w:val="clear" w:color="auto" w:fill="auto"/>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出方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04" w:type="pct"/>
            <w:vMerge w:val="continue"/>
            <w:tcBorders>
              <w:tl2br w:val="nil"/>
              <w:tr2bl w:val="nil"/>
            </w:tcBorders>
            <w:shd w:val="clear" w:color="auto" w:fill="auto"/>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866" w:type="pct"/>
            <w:tcBorders>
              <w:tl2br w:val="nil"/>
              <w:tr2bl w:val="nil"/>
            </w:tcBorders>
            <w:shd w:val="clear" w:color="auto" w:fill="auto"/>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物料名称</w:t>
            </w:r>
          </w:p>
        </w:tc>
        <w:tc>
          <w:tcPr>
            <w:tcW w:w="1079" w:type="pct"/>
            <w:tcBorders>
              <w:tl2br w:val="nil"/>
              <w:tr2bl w:val="nil"/>
            </w:tcBorders>
            <w:shd w:val="clear" w:color="auto" w:fill="auto"/>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数量（</w:t>
            </w:r>
            <w:r>
              <w:rPr>
                <w:rFonts w:hint="eastAsia" w:ascii="宋体" w:hAnsi="宋体" w:eastAsia="宋体" w:cs="宋体"/>
                <w:color w:val="000000" w:themeColor="text1"/>
                <w:sz w:val="21"/>
                <w:szCs w:val="21"/>
                <w:highlight w:val="none"/>
                <w:lang w:val="en-US" w:eastAsia="zh-CN"/>
                <w14:textFill>
                  <w14:solidFill>
                    <w14:schemeClr w14:val="tx1"/>
                  </w14:solidFill>
                </w14:textFill>
              </w:rPr>
              <w:t>t</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a</w:t>
            </w:r>
            <w:r>
              <w:rPr>
                <w:rFonts w:hint="eastAsia" w:ascii="宋体" w:hAnsi="宋体" w:eastAsia="宋体" w:cs="宋体"/>
                <w:color w:val="000000" w:themeColor="text1"/>
                <w:sz w:val="21"/>
                <w:szCs w:val="21"/>
                <w:highlight w:val="none"/>
                <w14:textFill>
                  <w14:solidFill>
                    <w14:schemeClr w14:val="tx1"/>
                  </w14:solidFill>
                </w14:textFill>
              </w:rPr>
              <w:t>）</w:t>
            </w:r>
          </w:p>
        </w:tc>
        <w:tc>
          <w:tcPr>
            <w:tcW w:w="1545" w:type="pct"/>
            <w:tcBorders>
              <w:tl2br w:val="nil"/>
              <w:tr2bl w:val="nil"/>
            </w:tcBorders>
            <w:shd w:val="clear" w:color="auto" w:fill="auto"/>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类型</w:t>
            </w:r>
          </w:p>
        </w:tc>
        <w:tc>
          <w:tcPr>
            <w:tcW w:w="1005" w:type="pct"/>
            <w:tcBorders>
              <w:tl2br w:val="nil"/>
              <w:tr2bl w:val="nil"/>
            </w:tcBorders>
            <w:shd w:val="clear" w:color="auto" w:fill="auto"/>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产生量（</w:t>
            </w:r>
            <w:r>
              <w:rPr>
                <w:rFonts w:hint="eastAsia" w:ascii="宋体" w:hAnsi="宋体" w:eastAsia="宋体" w:cs="宋体"/>
                <w:color w:val="000000" w:themeColor="text1"/>
                <w:sz w:val="21"/>
                <w:szCs w:val="21"/>
                <w:highlight w:val="none"/>
                <w:lang w:val="en-US" w:eastAsia="zh-CN"/>
                <w14:textFill>
                  <w14:solidFill>
                    <w14:schemeClr w14:val="tx1"/>
                  </w14:solidFill>
                </w14:textFill>
              </w:rPr>
              <w:t>t</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a</w:t>
            </w:r>
            <w:r>
              <w:rPr>
                <w:rFonts w:hint="eastAsia" w:ascii="宋体" w:hAnsi="宋体" w:eastAsia="宋体" w:cs="宋体"/>
                <w:color w:val="000000" w:themeColor="text1"/>
                <w:sz w:val="21"/>
                <w:szCs w:val="21"/>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04" w:type="pct"/>
            <w:tcBorders>
              <w:tl2br w:val="nil"/>
              <w:tr2bl w:val="nil"/>
            </w:tcBorders>
            <w:shd w:val="clear" w:color="auto" w:fill="auto"/>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p>
        </w:tc>
        <w:tc>
          <w:tcPr>
            <w:tcW w:w="866" w:type="pct"/>
            <w:tcBorders>
              <w:tl2br w:val="nil"/>
              <w:tr2bl w:val="nil"/>
            </w:tcBorders>
            <w:shd w:val="clear" w:color="auto" w:fill="auto"/>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二甲基乙酰胺</w:t>
            </w:r>
          </w:p>
        </w:tc>
        <w:tc>
          <w:tcPr>
            <w:tcW w:w="1079" w:type="pct"/>
            <w:tcBorders>
              <w:tl2br w:val="nil"/>
              <w:tr2bl w:val="nil"/>
            </w:tcBorders>
            <w:shd w:val="clear" w:color="auto" w:fill="auto"/>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60</w:t>
            </w:r>
            <w:r>
              <w:rPr>
                <w:rFonts w:hint="eastAsia" w:ascii="宋体" w:hAnsi="宋体" w:eastAsia="宋体" w:cs="宋体"/>
                <w:color w:val="000000" w:themeColor="text1"/>
                <w:sz w:val="21"/>
                <w:szCs w:val="21"/>
                <w:highlight w:val="none"/>
                <w:lang w:val="en-US"/>
                <w14:textFill>
                  <w14:solidFill>
                    <w14:schemeClr w14:val="tx1"/>
                  </w14:solidFill>
                </w14:textFill>
              </w:rPr>
              <w:t>0</w:t>
            </w:r>
          </w:p>
        </w:tc>
        <w:tc>
          <w:tcPr>
            <w:tcW w:w="1545" w:type="pct"/>
            <w:tcBorders>
              <w:tl2br w:val="nil"/>
              <w:tr2bl w:val="nil"/>
            </w:tcBorders>
            <w:shd w:val="clear" w:color="auto" w:fill="auto"/>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产品</w:t>
            </w:r>
          </w:p>
        </w:tc>
        <w:tc>
          <w:tcPr>
            <w:tcW w:w="1005" w:type="pct"/>
            <w:tcBorders>
              <w:tl2br w:val="nil"/>
              <w:tr2bl w:val="nil"/>
            </w:tcBorders>
            <w:shd w:val="clear" w:color="auto" w:fill="auto"/>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4" w:type="pct"/>
            <w:tcBorders>
              <w:tl2br w:val="nil"/>
              <w:tr2bl w:val="nil"/>
            </w:tcBorders>
            <w:shd w:val="clear" w:color="auto" w:fill="auto"/>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c>
          <w:tcPr>
            <w:tcW w:w="866" w:type="pct"/>
            <w:tcBorders>
              <w:tl2br w:val="nil"/>
              <w:tr2bl w:val="nil"/>
            </w:tcBorders>
            <w:shd w:val="clear" w:color="auto" w:fill="auto"/>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均苯四甲酸二酐</w:t>
            </w:r>
          </w:p>
        </w:tc>
        <w:tc>
          <w:tcPr>
            <w:tcW w:w="1079" w:type="pct"/>
            <w:tcBorders>
              <w:tl2br w:val="nil"/>
              <w:tr2bl w:val="nil"/>
            </w:tcBorders>
            <w:shd w:val="clear" w:color="auto" w:fill="auto"/>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106.3</w:t>
            </w:r>
          </w:p>
        </w:tc>
        <w:tc>
          <w:tcPr>
            <w:tcW w:w="1545" w:type="pct"/>
            <w:tcBorders>
              <w:tl2br w:val="nil"/>
              <w:tr2bl w:val="nil"/>
            </w:tcBorders>
            <w:shd w:val="clear" w:color="auto" w:fill="auto"/>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副产品（含30%精馏循环）</w:t>
            </w:r>
          </w:p>
        </w:tc>
        <w:tc>
          <w:tcPr>
            <w:tcW w:w="1005" w:type="pct"/>
            <w:tcBorders>
              <w:tl2br w:val="nil"/>
              <w:tr2bl w:val="nil"/>
            </w:tcBorders>
            <w:shd w:val="clear" w:color="auto" w:fill="auto"/>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561.521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4" w:type="pct"/>
            <w:tcBorders>
              <w:tl2br w:val="nil"/>
              <w:tr2bl w:val="nil"/>
            </w:tcBorders>
            <w:shd w:val="clear" w:color="auto" w:fill="auto"/>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p>
        </w:tc>
        <w:tc>
          <w:tcPr>
            <w:tcW w:w="866" w:type="pct"/>
            <w:tcBorders>
              <w:tl2br w:val="nil"/>
              <w:tr2bl w:val="nil"/>
            </w:tcBorders>
            <w:shd w:val="clear" w:color="auto" w:fill="auto"/>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4，4'-二氨基二苯醚</w:t>
            </w:r>
          </w:p>
        </w:tc>
        <w:tc>
          <w:tcPr>
            <w:tcW w:w="1079" w:type="pct"/>
            <w:tcBorders>
              <w:tl2br w:val="nil"/>
              <w:tr2bl w:val="nil"/>
            </w:tcBorders>
            <w:shd w:val="clear" w:color="auto" w:fill="auto"/>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115.9</w:t>
            </w:r>
          </w:p>
        </w:tc>
        <w:tc>
          <w:tcPr>
            <w:tcW w:w="1545" w:type="pct"/>
            <w:tcBorders>
              <w:tl2br w:val="nil"/>
              <w:tr2bl w:val="nil"/>
            </w:tcBorders>
            <w:shd w:val="clear" w:color="auto" w:fill="auto"/>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不合格品</w:t>
            </w:r>
          </w:p>
        </w:tc>
        <w:tc>
          <w:tcPr>
            <w:tcW w:w="1005" w:type="pct"/>
            <w:tcBorders>
              <w:tl2br w:val="nil"/>
              <w:tr2bl w:val="nil"/>
            </w:tcBorders>
            <w:shd w:val="clear" w:color="auto" w:fill="auto"/>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8.222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04" w:type="pct"/>
            <w:tcBorders>
              <w:tl2br w:val="nil"/>
              <w:tr2bl w:val="nil"/>
            </w:tcBorders>
            <w:shd w:val="clear" w:color="auto" w:fill="auto"/>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4</w:t>
            </w:r>
          </w:p>
        </w:tc>
        <w:tc>
          <w:tcPr>
            <w:tcW w:w="866" w:type="pct"/>
            <w:tcBorders>
              <w:tl2br w:val="nil"/>
              <w:tr2bl w:val="nil"/>
            </w:tcBorders>
            <w:shd w:val="clear" w:color="auto" w:fill="auto"/>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喷淋用水</w:t>
            </w:r>
          </w:p>
        </w:tc>
        <w:tc>
          <w:tcPr>
            <w:tcW w:w="1079" w:type="pct"/>
            <w:tcBorders>
              <w:tl2br w:val="nil"/>
              <w:tr2bl w:val="nil"/>
            </w:tcBorders>
            <w:shd w:val="clear" w:color="auto" w:fill="auto"/>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66.427</w:t>
            </w:r>
          </w:p>
        </w:tc>
        <w:tc>
          <w:tcPr>
            <w:tcW w:w="1545" w:type="pct"/>
            <w:tcBorders>
              <w:tl2br w:val="nil"/>
              <w:tr2bl w:val="nil"/>
            </w:tcBorders>
            <w:shd w:val="clear" w:color="auto" w:fill="auto"/>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废边角料</w:t>
            </w:r>
          </w:p>
        </w:tc>
        <w:tc>
          <w:tcPr>
            <w:tcW w:w="1005" w:type="pct"/>
            <w:tcBorders>
              <w:tl2br w:val="nil"/>
              <w:tr2bl w:val="nil"/>
            </w:tcBorders>
            <w:shd w:val="clear" w:color="auto" w:fill="auto"/>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9.866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04" w:type="pct"/>
            <w:tcBorders>
              <w:tl2br w:val="nil"/>
              <w:tr2bl w:val="nil"/>
            </w:tcBorders>
            <w:shd w:val="clear" w:color="auto" w:fill="auto"/>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5</w:t>
            </w:r>
          </w:p>
        </w:tc>
        <w:tc>
          <w:tcPr>
            <w:tcW w:w="866" w:type="pct"/>
            <w:tcBorders>
              <w:tl2br w:val="nil"/>
              <w:tr2bl w:val="nil"/>
            </w:tcBorders>
            <w:shd w:val="clear" w:color="auto" w:fill="auto"/>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079" w:type="pct"/>
            <w:tcBorders>
              <w:tl2br w:val="nil"/>
              <w:tr2bl w:val="nil"/>
            </w:tcBorders>
            <w:shd w:val="clear" w:color="auto" w:fill="auto"/>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fldChar w:fldCharType="begin"/>
            </w:r>
            <w:r>
              <w:rPr>
                <w:rFonts w:hint="eastAsia" w:ascii="宋体" w:hAnsi="宋体" w:eastAsia="宋体" w:cs="宋体"/>
                <w:color w:val="000000" w:themeColor="text1"/>
                <w:sz w:val="21"/>
                <w:szCs w:val="21"/>
                <w:highlight w:val="none"/>
                <w:lang w:val="en-US" w:eastAsia="zh-CN"/>
                <w14:textFill>
                  <w14:solidFill>
                    <w14:schemeClr w14:val="tx1"/>
                  </w14:solidFill>
                </w14:textFill>
              </w:rPr>
              <w:instrText xml:space="preserve"> = sum(C3:C6) \* MERGEFORMAT </w:instrText>
            </w:r>
            <w:r>
              <w:rPr>
                <w:rFonts w:hint="eastAsia" w:ascii="宋体" w:hAnsi="宋体" w:eastAsia="宋体" w:cs="宋体"/>
                <w:color w:val="000000" w:themeColor="text1"/>
                <w:sz w:val="21"/>
                <w:szCs w:val="21"/>
                <w:highlight w:val="none"/>
                <w:lang w:val="en-US" w:eastAsia="zh-CN"/>
                <w14:textFill>
                  <w14:solidFill>
                    <w14:schemeClr w14:val="tx1"/>
                  </w14:solidFill>
                </w14:textFill>
              </w:rPr>
              <w:fldChar w:fldCharType="separate"/>
            </w:r>
            <w:r>
              <w:rPr>
                <w:rFonts w:hint="eastAsia" w:ascii="宋体" w:hAnsi="宋体" w:eastAsia="宋体" w:cs="宋体"/>
                <w:color w:val="000000" w:themeColor="text1"/>
                <w:sz w:val="21"/>
                <w:szCs w:val="21"/>
                <w:highlight w:val="none"/>
                <w:lang w:val="en-US" w:eastAsia="zh-CN"/>
                <w14:textFill>
                  <w14:solidFill>
                    <w14:schemeClr w14:val="tx1"/>
                  </w14:solidFill>
                </w14:textFill>
              </w:rPr>
              <w:t>888.627</w:t>
            </w:r>
            <w:r>
              <w:rPr>
                <w:rFonts w:hint="eastAsia" w:ascii="宋体" w:hAnsi="宋体" w:eastAsia="宋体" w:cs="宋体"/>
                <w:color w:val="000000" w:themeColor="text1"/>
                <w:sz w:val="21"/>
                <w:szCs w:val="21"/>
                <w:highlight w:val="none"/>
                <w:lang w:val="en-US" w:eastAsia="zh-CN"/>
                <w14:textFill>
                  <w14:solidFill>
                    <w14:schemeClr w14:val="tx1"/>
                  </w14:solidFill>
                </w14:textFill>
              </w:rPr>
              <w:fldChar w:fldCharType="end"/>
            </w:r>
          </w:p>
        </w:tc>
        <w:tc>
          <w:tcPr>
            <w:tcW w:w="1545" w:type="pct"/>
            <w:tcBorders>
              <w:tl2br w:val="nil"/>
              <w:tr2bl w:val="nil"/>
            </w:tcBorders>
            <w:shd w:val="clear" w:color="auto" w:fill="auto"/>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各类残渣</w:t>
            </w:r>
          </w:p>
        </w:tc>
        <w:tc>
          <w:tcPr>
            <w:tcW w:w="1005" w:type="pct"/>
            <w:tcBorders>
              <w:tl2br w:val="nil"/>
              <w:tr2bl w:val="nil"/>
            </w:tcBorders>
            <w:shd w:val="clear" w:color="auto" w:fill="auto"/>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5.254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04" w:type="pct"/>
            <w:tcBorders>
              <w:tl2br w:val="nil"/>
              <w:tr2bl w:val="nil"/>
            </w:tcBorders>
            <w:shd w:val="clear" w:color="auto" w:fill="auto"/>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6</w:t>
            </w:r>
          </w:p>
        </w:tc>
        <w:tc>
          <w:tcPr>
            <w:tcW w:w="866" w:type="pct"/>
            <w:tcBorders>
              <w:tl2br w:val="nil"/>
              <w:tr2bl w:val="nil"/>
            </w:tcBorders>
            <w:shd w:val="clear" w:color="auto" w:fill="auto"/>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bidi="ar-SA"/>
                <w14:textFill>
                  <w14:solidFill>
                    <w14:schemeClr w14:val="tx1"/>
                  </w14:solidFill>
                </w14:textFill>
              </w:rPr>
            </w:pPr>
          </w:p>
        </w:tc>
        <w:tc>
          <w:tcPr>
            <w:tcW w:w="1079" w:type="pct"/>
            <w:tcBorders>
              <w:tl2br w:val="nil"/>
              <w:tr2bl w:val="nil"/>
            </w:tcBorders>
            <w:shd w:val="clear" w:color="auto" w:fill="auto"/>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bidi="ar-SA"/>
                <w14:textFill>
                  <w14:solidFill>
                    <w14:schemeClr w14:val="tx1"/>
                  </w14:solidFill>
                </w14:textFill>
              </w:rPr>
            </w:pPr>
          </w:p>
        </w:tc>
        <w:tc>
          <w:tcPr>
            <w:tcW w:w="1545" w:type="pct"/>
            <w:tcBorders>
              <w:tl2br w:val="nil"/>
              <w:tr2bl w:val="nil"/>
            </w:tcBorders>
            <w:shd w:val="clear" w:color="auto" w:fill="auto"/>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投料</w:t>
            </w:r>
            <w:r>
              <w:rPr>
                <w:rFonts w:hint="eastAsia" w:ascii="宋体" w:hAnsi="宋体" w:eastAsia="宋体" w:cs="宋体"/>
                <w:color w:val="000000" w:themeColor="text1"/>
                <w:sz w:val="21"/>
                <w:szCs w:val="21"/>
                <w:highlight w:val="none"/>
                <w:lang w:eastAsia="zh-CN"/>
                <w14:textFill>
                  <w14:solidFill>
                    <w14:schemeClr w14:val="tx1"/>
                  </w14:solidFill>
                </w14:textFill>
              </w:rPr>
              <w:t>废气（</w:t>
            </w:r>
            <w:r>
              <w:rPr>
                <w:rFonts w:hint="eastAsia" w:ascii="宋体" w:hAnsi="宋体" w:eastAsia="宋体" w:cs="宋体"/>
                <w:color w:val="000000" w:themeColor="text1"/>
                <w:sz w:val="21"/>
                <w:szCs w:val="21"/>
                <w:highlight w:val="none"/>
                <w:lang w:val="en-US" w:eastAsia="zh-CN"/>
                <w14:textFill>
                  <w14:solidFill>
                    <w14:schemeClr w14:val="tx1"/>
                  </w14:solidFill>
                </w14:textFill>
              </w:rPr>
              <w:t>G1-1二甲基乙酰胺</w:t>
            </w:r>
            <w:r>
              <w:rPr>
                <w:rFonts w:hint="eastAsia" w:ascii="宋体" w:hAnsi="宋体" w:eastAsia="宋体" w:cs="宋体"/>
                <w:color w:val="000000" w:themeColor="text1"/>
                <w:sz w:val="21"/>
                <w:szCs w:val="21"/>
                <w:highlight w:val="none"/>
                <w:lang w:eastAsia="zh-CN"/>
                <w14:textFill>
                  <w14:solidFill>
                    <w14:schemeClr w14:val="tx1"/>
                  </w14:solidFill>
                </w14:textFill>
              </w:rPr>
              <w:t>）</w:t>
            </w:r>
          </w:p>
        </w:tc>
        <w:tc>
          <w:tcPr>
            <w:tcW w:w="1005" w:type="pct"/>
            <w:tcBorders>
              <w:tl2br w:val="nil"/>
              <w:tr2bl w:val="nil"/>
            </w:tcBorders>
            <w:shd w:val="clear" w:color="auto" w:fill="auto"/>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04" w:type="pct"/>
            <w:tcBorders>
              <w:tl2br w:val="nil"/>
              <w:tr2bl w:val="nil"/>
            </w:tcBorders>
            <w:shd w:val="clear" w:color="auto" w:fill="auto"/>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7</w:t>
            </w:r>
          </w:p>
        </w:tc>
        <w:tc>
          <w:tcPr>
            <w:tcW w:w="866" w:type="pct"/>
            <w:tcBorders>
              <w:tl2br w:val="nil"/>
              <w:tr2bl w:val="nil"/>
            </w:tcBorders>
            <w:shd w:val="clear" w:color="auto" w:fill="auto"/>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079" w:type="pct"/>
            <w:tcBorders>
              <w:tl2br w:val="nil"/>
              <w:tr2bl w:val="nil"/>
            </w:tcBorders>
            <w:shd w:val="clear" w:color="auto" w:fill="auto"/>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545" w:type="pct"/>
            <w:tcBorders>
              <w:tl2br w:val="nil"/>
              <w:tr2bl w:val="nil"/>
            </w:tcBorders>
            <w:shd w:val="clear" w:color="auto" w:fill="auto"/>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消泡废气（G2）</w:t>
            </w:r>
          </w:p>
        </w:tc>
        <w:tc>
          <w:tcPr>
            <w:tcW w:w="1005" w:type="pct"/>
            <w:tcBorders>
              <w:tl2br w:val="nil"/>
              <w:tr2bl w:val="nil"/>
            </w:tcBorders>
            <w:shd w:val="clear" w:color="auto" w:fill="auto"/>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0.0049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04" w:type="pct"/>
            <w:tcBorders>
              <w:tl2br w:val="nil"/>
              <w:tr2bl w:val="nil"/>
            </w:tcBorders>
            <w:shd w:val="clear" w:color="auto" w:fill="auto"/>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8</w:t>
            </w:r>
          </w:p>
        </w:tc>
        <w:tc>
          <w:tcPr>
            <w:tcW w:w="866" w:type="pct"/>
            <w:tcBorders>
              <w:tl2br w:val="nil"/>
              <w:tr2bl w:val="nil"/>
            </w:tcBorders>
            <w:shd w:val="clear" w:color="auto" w:fill="auto"/>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079" w:type="pct"/>
            <w:tcBorders>
              <w:tl2br w:val="nil"/>
              <w:tr2bl w:val="nil"/>
            </w:tcBorders>
            <w:shd w:val="clear" w:color="auto" w:fill="auto"/>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545" w:type="pct"/>
            <w:tcBorders>
              <w:tl2br w:val="nil"/>
              <w:tr2bl w:val="nil"/>
            </w:tcBorders>
            <w:shd w:val="clear" w:color="auto" w:fill="auto"/>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喷淋</w:t>
            </w:r>
            <w:r>
              <w:rPr>
                <w:rFonts w:hint="eastAsia" w:ascii="宋体" w:hAnsi="宋体" w:eastAsia="宋体" w:cs="宋体"/>
                <w:color w:val="000000" w:themeColor="text1"/>
                <w:sz w:val="21"/>
                <w:szCs w:val="21"/>
                <w:highlight w:val="none"/>
                <w:lang w:val="en-US" w:eastAsia="zh-CN"/>
                <w14:textFill>
                  <w14:solidFill>
                    <w14:schemeClr w14:val="tx1"/>
                  </w14:solidFill>
                </w14:textFill>
              </w:rPr>
              <w:t>液</w:t>
            </w:r>
            <w:r>
              <w:rPr>
                <w:rFonts w:hint="eastAsia" w:ascii="宋体" w:hAnsi="宋体" w:eastAsia="宋体" w:cs="宋体"/>
                <w:color w:val="000000" w:themeColor="text1"/>
                <w:sz w:val="21"/>
                <w:szCs w:val="21"/>
                <w:highlight w:val="none"/>
                <w:lang w:eastAsia="zh-CN"/>
                <w14:textFill>
                  <w14:solidFill>
                    <w14:schemeClr w14:val="tx1"/>
                  </w14:solidFill>
                </w14:textFill>
              </w:rPr>
              <w:t>（含</w:t>
            </w:r>
            <w:r>
              <w:rPr>
                <w:rFonts w:hint="eastAsia" w:ascii="宋体" w:hAnsi="宋体" w:eastAsia="宋体" w:cs="宋体"/>
                <w:color w:val="000000" w:themeColor="text1"/>
                <w:sz w:val="21"/>
                <w:szCs w:val="21"/>
                <w:highlight w:val="none"/>
                <w:lang w:val="en-US" w:eastAsia="zh-CN"/>
                <w14:textFill>
                  <w14:solidFill>
                    <w14:schemeClr w14:val="tx1"/>
                  </w14:solidFill>
                </w14:textFill>
              </w:rPr>
              <w:t>35%二甲基乙酰胺，三级喷淋和二级喷淋</w:t>
            </w:r>
            <w:r>
              <w:rPr>
                <w:rFonts w:hint="eastAsia" w:ascii="宋体" w:hAnsi="宋体" w:eastAsia="宋体" w:cs="宋体"/>
                <w:color w:val="000000" w:themeColor="text1"/>
                <w:sz w:val="21"/>
                <w:szCs w:val="21"/>
                <w:highlight w:val="none"/>
                <w:lang w:eastAsia="zh-CN"/>
                <w14:textFill>
                  <w14:solidFill>
                    <w14:schemeClr w14:val="tx1"/>
                  </w14:solidFill>
                </w14:textFill>
              </w:rPr>
              <w:t>）</w:t>
            </w:r>
          </w:p>
        </w:tc>
        <w:tc>
          <w:tcPr>
            <w:tcW w:w="1005" w:type="pct"/>
            <w:tcBorders>
              <w:tl2br w:val="nil"/>
              <w:tr2bl w:val="nil"/>
            </w:tcBorders>
            <w:shd w:val="clear" w:color="auto" w:fill="auto"/>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100.657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04" w:type="pct"/>
            <w:tcBorders>
              <w:tl2br w:val="nil"/>
              <w:tr2bl w:val="nil"/>
            </w:tcBorders>
            <w:shd w:val="clear" w:color="auto" w:fill="auto"/>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9</w:t>
            </w:r>
          </w:p>
        </w:tc>
        <w:tc>
          <w:tcPr>
            <w:tcW w:w="866" w:type="pct"/>
            <w:tcBorders>
              <w:tl2br w:val="nil"/>
              <w:tr2bl w:val="nil"/>
            </w:tcBorders>
            <w:shd w:val="clear" w:color="auto" w:fill="auto"/>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079" w:type="pct"/>
            <w:tcBorders>
              <w:tl2br w:val="nil"/>
              <w:tr2bl w:val="nil"/>
            </w:tcBorders>
            <w:shd w:val="clear" w:color="auto" w:fill="auto"/>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545" w:type="pct"/>
            <w:tcBorders>
              <w:tl2br w:val="nil"/>
              <w:tr2bl w:val="nil"/>
            </w:tcBorders>
            <w:shd w:val="clear" w:color="auto" w:fill="auto"/>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流延工序“湿电系统”处理有机废气（G3）</w:t>
            </w:r>
          </w:p>
        </w:tc>
        <w:tc>
          <w:tcPr>
            <w:tcW w:w="1005" w:type="pct"/>
            <w:tcBorders>
              <w:tl2br w:val="nil"/>
              <w:tr2bl w:val="nil"/>
            </w:tcBorders>
            <w:shd w:val="clear" w:color="auto" w:fill="auto"/>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0.272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04" w:type="pct"/>
            <w:tcBorders>
              <w:tl2br w:val="nil"/>
              <w:tr2bl w:val="nil"/>
            </w:tcBorders>
            <w:shd w:val="clear" w:color="auto" w:fill="auto"/>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10</w:t>
            </w:r>
          </w:p>
        </w:tc>
        <w:tc>
          <w:tcPr>
            <w:tcW w:w="866" w:type="pct"/>
            <w:tcBorders>
              <w:tl2br w:val="nil"/>
              <w:tr2bl w:val="nil"/>
            </w:tcBorders>
            <w:shd w:val="clear" w:color="auto" w:fill="auto"/>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079" w:type="pct"/>
            <w:tcBorders>
              <w:tl2br w:val="nil"/>
              <w:tr2bl w:val="nil"/>
            </w:tcBorders>
            <w:shd w:val="clear" w:color="auto" w:fill="auto"/>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545" w:type="pct"/>
            <w:tcBorders>
              <w:tl2br w:val="nil"/>
              <w:tr2bl w:val="nil"/>
            </w:tcBorders>
            <w:shd w:val="clear" w:color="auto" w:fill="auto"/>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亚胺化工序“湿电系统”处理有机废气（G4）</w:t>
            </w:r>
          </w:p>
        </w:tc>
        <w:tc>
          <w:tcPr>
            <w:tcW w:w="1005" w:type="pct"/>
            <w:tcBorders>
              <w:tl2br w:val="nil"/>
              <w:tr2bl w:val="nil"/>
            </w:tcBorders>
            <w:shd w:val="clear" w:color="auto" w:fill="auto"/>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1.507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4" w:type="pct"/>
            <w:tcBorders>
              <w:tl2br w:val="nil"/>
              <w:tr2bl w:val="nil"/>
            </w:tcBorders>
            <w:shd w:val="clear" w:color="auto" w:fill="auto"/>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11</w:t>
            </w:r>
          </w:p>
        </w:tc>
        <w:tc>
          <w:tcPr>
            <w:tcW w:w="866" w:type="pct"/>
            <w:tcBorders>
              <w:tl2br w:val="nil"/>
              <w:tr2bl w:val="nil"/>
            </w:tcBorders>
            <w:shd w:val="clear" w:color="auto" w:fill="auto"/>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079" w:type="pct"/>
            <w:tcBorders>
              <w:tl2br w:val="nil"/>
              <w:tr2bl w:val="nil"/>
            </w:tcBorders>
            <w:shd w:val="clear" w:color="auto" w:fill="auto"/>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545" w:type="pct"/>
            <w:tcBorders>
              <w:tl2br w:val="nil"/>
              <w:tr2bl w:val="nil"/>
            </w:tcBorders>
            <w:shd w:val="clear" w:color="auto" w:fill="auto"/>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DA001排气筒排放有机废气</w:t>
            </w:r>
          </w:p>
        </w:tc>
        <w:tc>
          <w:tcPr>
            <w:tcW w:w="1005" w:type="pct"/>
            <w:tcBorders>
              <w:tl2br w:val="nil"/>
              <w:tr2bl w:val="nil"/>
            </w:tcBorders>
            <w:shd w:val="clear" w:color="auto" w:fill="auto"/>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0.117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04" w:type="pct"/>
            <w:tcBorders>
              <w:tl2br w:val="nil"/>
              <w:tr2bl w:val="nil"/>
            </w:tcBorders>
            <w:shd w:val="clear" w:color="auto" w:fill="auto"/>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12</w:t>
            </w:r>
          </w:p>
        </w:tc>
        <w:tc>
          <w:tcPr>
            <w:tcW w:w="866" w:type="pct"/>
            <w:tcBorders>
              <w:tl2br w:val="nil"/>
              <w:tr2bl w:val="nil"/>
            </w:tcBorders>
            <w:shd w:val="clear" w:color="auto" w:fill="auto"/>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079" w:type="pct"/>
            <w:tcBorders>
              <w:tl2br w:val="nil"/>
              <w:tr2bl w:val="nil"/>
            </w:tcBorders>
            <w:shd w:val="clear" w:color="auto" w:fill="auto"/>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545" w:type="pct"/>
            <w:tcBorders>
              <w:tl2br w:val="nil"/>
              <w:tr2bl w:val="nil"/>
            </w:tcBorders>
            <w:shd w:val="clear" w:color="auto" w:fill="auto"/>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DA002排气筒排放有机废气</w:t>
            </w:r>
          </w:p>
        </w:tc>
        <w:tc>
          <w:tcPr>
            <w:tcW w:w="1005" w:type="pct"/>
            <w:tcBorders>
              <w:tl2br w:val="nil"/>
              <w:tr2bl w:val="nil"/>
            </w:tcBorders>
            <w:shd w:val="clear" w:color="auto" w:fill="auto"/>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0.646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04" w:type="pct"/>
            <w:tcBorders>
              <w:tl2br w:val="nil"/>
              <w:tr2bl w:val="nil"/>
            </w:tcBorders>
            <w:shd w:val="clear" w:color="auto" w:fill="auto"/>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13</w:t>
            </w:r>
          </w:p>
        </w:tc>
        <w:tc>
          <w:tcPr>
            <w:tcW w:w="866" w:type="pct"/>
            <w:tcBorders>
              <w:tl2br w:val="nil"/>
              <w:tr2bl w:val="nil"/>
            </w:tcBorders>
            <w:shd w:val="clear" w:color="auto" w:fill="auto"/>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079" w:type="pct"/>
            <w:tcBorders>
              <w:tl2br w:val="nil"/>
              <w:tr2bl w:val="nil"/>
            </w:tcBorders>
            <w:shd w:val="clear" w:color="auto" w:fill="auto"/>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545" w:type="pct"/>
            <w:tcBorders>
              <w:tl2br w:val="nil"/>
              <w:tr2bl w:val="nil"/>
            </w:tcBorders>
            <w:shd w:val="clear" w:color="auto" w:fill="auto"/>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氨</w:t>
            </w:r>
          </w:p>
        </w:tc>
        <w:tc>
          <w:tcPr>
            <w:tcW w:w="1005" w:type="pct"/>
            <w:tcBorders>
              <w:tl2br w:val="nil"/>
              <w:tr2bl w:val="nil"/>
            </w:tcBorders>
            <w:shd w:val="clear" w:color="auto" w:fill="auto"/>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370" w:type="pct"/>
            <w:gridSpan w:val="2"/>
            <w:tcBorders>
              <w:tl2br w:val="nil"/>
              <w:tr2bl w:val="nil"/>
            </w:tcBorders>
            <w:shd w:val="clear" w:color="auto" w:fill="auto"/>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合计</w:t>
            </w:r>
          </w:p>
        </w:tc>
        <w:tc>
          <w:tcPr>
            <w:tcW w:w="1079" w:type="pct"/>
            <w:tcBorders>
              <w:tl2br w:val="nil"/>
              <w:tr2bl w:val="nil"/>
            </w:tcBorders>
            <w:shd w:val="clear" w:color="auto" w:fill="auto"/>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fldChar w:fldCharType="begin"/>
            </w:r>
            <w:r>
              <w:rPr>
                <w:rFonts w:hint="eastAsia" w:ascii="宋体" w:hAnsi="宋体" w:eastAsia="宋体" w:cs="宋体"/>
                <w:color w:val="000000" w:themeColor="text1"/>
                <w:sz w:val="21"/>
                <w:szCs w:val="21"/>
                <w:highlight w:val="none"/>
                <w:lang w:val="en-US" w:eastAsia="zh-CN"/>
                <w14:textFill>
                  <w14:solidFill>
                    <w14:schemeClr w14:val="tx1"/>
                  </w14:solidFill>
                </w14:textFill>
              </w:rPr>
              <w:instrText xml:space="preserve"> = sum(C3:C6) \* MERGEFORMAT </w:instrText>
            </w:r>
            <w:r>
              <w:rPr>
                <w:rFonts w:hint="eastAsia" w:ascii="宋体" w:hAnsi="宋体" w:eastAsia="宋体" w:cs="宋体"/>
                <w:color w:val="000000" w:themeColor="text1"/>
                <w:sz w:val="21"/>
                <w:szCs w:val="21"/>
                <w:highlight w:val="none"/>
                <w:lang w:val="en-US" w:eastAsia="zh-CN"/>
                <w14:textFill>
                  <w14:solidFill>
                    <w14:schemeClr w14:val="tx1"/>
                  </w14:solidFill>
                </w14:textFill>
              </w:rPr>
              <w:fldChar w:fldCharType="separate"/>
            </w:r>
            <w:r>
              <w:rPr>
                <w:rFonts w:hint="eastAsia" w:ascii="宋体" w:hAnsi="宋体" w:eastAsia="宋体" w:cs="宋体"/>
                <w:color w:val="000000" w:themeColor="text1"/>
                <w:sz w:val="21"/>
                <w:szCs w:val="21"/>
                <w:highlight w:val="none"/>
                <w:lang w:val="en-US" w:eastAsia="zh-CN"/>
                <w14:textFill>
                  <w14:solidFill>
                    <w14:schemeClr w14:val="tx1"/>
                  </w14:solidFill>
                </w14:textFill>
              </w:rPr>
              <w:t>888.627</w:t>
            </w:r>
            <w:r>
              <w:rPr>
                <w:rFonts w:hint="eastAsia" w:ascii="宋体" w:hAnsi="宋体" w:eastAsia="宋体" w:cs="宋体"/>
                <w:color w:val="000000" w:themeColor="text1"/>
                <w:sz w:val="21"/>
                <w:szCs w:val="21"/>
                <w:highlight w:val="none"/>
                <w:lang w:val="en-US" w:eastAsia="zh-CN"/>
                <w14:textFill>
                  <w14:solidFill>
                    <w14:schemeClr w14:val="tx1"/>
                  </w14:solidFill>
                </w14:textFill>
              </w:rPr>
              <w:fldChar w:fldCharType="end"/>
            </w:r>
          </w:p>
        </w:tc>
        <w:tc>
          <w:tcPr>
            <w:tcW w:w="1545" w:type="pct"/>
            <w:tcBorders>
              <w:tl2br w:val="nil"/>
              <w:tr2bl w:val="nil"/>
            </w:tcBorders>
            <w:shd w:val="clear" w:color="auto" w:fill="auto"/>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005" w:type="pct"/>
            <w:tcBorders>
              <w:tl2br w:val="nil"/>
              <w:tr2bl w:val="nil"/>
            </w:tcBorders>
            <w:shd w:val="clear" w:color="auto" w:fill="auto"/>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fldChar w:fldCharType="begin"/>
            </w:r>
            <w:r>
              <w:rPr>
                <w:rFonts w:hint="eastAsia" w:ascii="宋体" w:hAnsi="宋体" w:eastAsia="宋体" w:cs="宋体"/>
                <w:color w:val="000000" w:themeColor="text1"/>
                <w:sz w:val="21"/>
                <w:szCs w:val="21"/>
                <w:highlight w:val="none"/>
                <w:lang w:val="en-US" w:eastAsia="zh-CN"/>
                <w14:textFill>
                  <w14:solidFill>
                    <w14:schemeClr w14:val="tx1"/>
                  </w14:solidFill>
                </w14:textFill>
              </w:rPr>
              <w:instrText xml:space="preserve"> = sum(C3:C6) \* MERGEFORMAT </w:instrText>
            </w:r>
            <w:r>
              <w:rPr>
                <w:rFonts w:hint="eastAsia" w:ascii="宋体" w:hAnsi="宋体" w:eastAsia="宋体" w:cs="宋体"/>
                <w:color w:val="000000" w:themeColor="text1"/>
                <w:sz w:val="21"/>
                <w:szCs w:val="21"/>
                <w:highlight w:val="none"/>
                <w:lang w:val="en-US" w:eastAsia="zh-CN"/>
                <w14:textFill>
                  <w14:solidFill>
                    <w14:schemeClr w14:val="tx1"/>
                  </w14:solidFill>
                </w14:textFill>
              </w:rPr>
              <w:fldChar w:fldCharType="separate"/>
            </w:r>
            <w:r>
              <w:rPr>
                <w:rFonts w:hint="eastAsia" w:ascii="宋体" w:hAnsi="宋体" w:eastAsia="宋体" w:cs="宋体"/>
                <w:color w:val="000000" w:themeColor="text1"/>
                <w:sz w:val="21"/>
                <w:szCs w:val="21"/>
                <w:highlight w:val="none"/>
                <w:lang w:val="en-US" w:eastAsia="zh-CN"/>
                <w14:textFill>
                  <w14:solidFill>
                    <w14:schemeClr w14:val="tx1"/>
                  </w14:solidFill>
                </w14:textFill>
              </w:rPr>
              <w:t>888.627</w:t>
            </w:r>
            <w:r>
              <w:rPr>
                <w:rFonts w:hint="eastAsia" w:ascii="宋体" w:hAnsi="宋体" w:eastAsia="宋体" w:cs="宋体"/>
                <w:color w:val="000000" w:themeColor="text1"/>
                <w:sz w:val="21"/>
                <w:szCs w:val="21"/>
                <w:highlight w:val="none"/>
                <w:lang w:val="en-US" w:eastAsia="zh-CN"/>
                <w14:textFill>
                  <w14:solidFill>
                    <w14:schemeClr w14:val="tx1"/>
                  </w14:solidFill>
                </w14:textFill>
              </w:rPr>
              <w:fldChar w:fldCharType="end"/>
            </w:r>
          </w:p>
        </w:tc>
      </w:tr>
    </w:tbl>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0" w:firstLineChars="0"/>
        <w:jc w:val="center"/>
        <w:textAlignment w:val="auto"/>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表3.3.1-3项目二甲基乙酰胺平衡表</w:t>
      </w:r>
    </w:p>
    <w:tbl>
      <w:tblPr>
        <w:tblStyle w:val="30"/>
        <w:tblW w:w="4993"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844"/>
        <w:gridCol w:w="1586"/>
        <w:gridCol w:w="1571"/>
        <w:gridCol w:w="3249"/>
        <w:gridCol w:w="258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429" w:type="pct"/>
            <w:vMerge w:val="restart"/>
            <w:tcBorders>
              <w:tl2br w:val="nil"/>
              <w:tr2bl w:val="nil"/>
            </w:tcBorders>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序号</w:t>
            </w:r>
          </w:p>
        </w:tc>
        <w:tc>
          <w:tcPr>
            <w:tcW w:w="1603" w:type="pct"/>
            <w:gridSpan w:val="2"/>
            <w:tcBorders>
              <w:tl2br w:val="nil"/>
              <w:tr2bl w:val="nil"/>
            </w:tcBorders>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入方</w:t>
            </w:r>
          </w:p>
        </w:tc>
        <w:tc>
          <w:tcPr>
            <w:tcW w:w="2966" w:type="pct"/>
            <w:gridSpan w:val="2"/>
            <w:tcBorders>
              <w:tl2br w:val="nil"/>
              <w:tr2bl w:val="nil"/>
            </w:tcBorders>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出方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66" w:hRule="atLeast"/>
        </w:trPr>
        <w:tc>
          <w:tcPr>
            <w:tcW w:w="429" w:type="pct"/>
            <w:vMerge w:val="continue"/>
            <w:tcBorders>
              <w:tl2br w:val="nil"/>
              <w:tr2bl w:val="nil"/>
            </w:tcBorders>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805" w:type="pct"/>
            <w:tcBorders>
              <w:tl2br w:val="nil"/>
              <w:tr2bl w:val="nil"/>
            </w:tcBorders>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物料名称</w:t>
            </w:r>
          </w:p>
        </w:tc>
        <w:tc>
          <w:tcPr>
            <w:tcW w:w="798" w:type="pct"/>
            <w:tcBorders>
              <w:tl2br w:val="nil"/>
              <w:tr2bl w:val="nil"/>
            </w:tcBorders>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数量（</w:t>
            </w:r>
            <w:r>
              <w:rPr>
                <w:rFonts w:hint="eastAsia" w:ascii="宋体" w:hAnsi="宋体" w:eastAsia="宋体" w:cs="宋体"/>
                <w:color w:val="000000" w:themeColor="text1"/>
                <w:sz w:val="21"/>
                <w:szCs w:val="21"/>
                <w:highlight w:val="none"/>
                <w:lang w:val="en-US" w:eastAsia="zh-CN"/>
                <w14:textFill>
                  <w14:solidFill>
                    <w14:schemeClr w14:val="tx1"/>
                  </w14:solidFill>
                </w14:textFill>
              </w:rPr>
              <w:t>t/a</w:t>
            </w:r>
            <w:r>
              <w:rPr>
                <w:rFonts w:hint="eastAsia" w:ascii="宋体" w:hAnsi="宋体" w:eastAsia="宋体" w:cs="宋体"/>
                <w:color w:val="000000" w:themeColor="text1"/>
                <w:sz w:val="21"/>
                <w:szCs w:val="21"/>
                <w:highlight w:val="none"/>
                <w14:textFill>
                  <w14:solidFill>
                    <w14:schemeClr w14:val="tx1"/>
                  </w14:solidFill>
                </w14:textFill>
              </w:rPr>
              <w:t>）</w:t>
            </w:r>
          </w:p>
        </w:tc>
        <w:tc>
          <w:tcPr>
            <w:tcW w:w="1651" w:type="pct"/>
            <w:tcBorders>
              <w:tl2br w:val="nil"/>
              <w:tr2bl w:val="nil"/>
            </w:tcBorders>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类型</w:t>
            </w:r>
          </w:p>
        </w:tc>
        <w:tc>
          <w:tcPr>
            <w:tcW w:w="1315" w:type="pct"/>
            <w:tcBorders>
              <w:tl2br w:val="nil"/>
              <w:tr2bl w:val="nil"/>
            </w:tcBorders>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产生量（</w:t>
            </w:r>
            <w:r>
              <w:rPr>
                <w:rFonts w:hint="eastAsia" w:ascii="宋体" w:hAnsi="宋体" w:eastAsia="宋体" w:cs="宋体"/>
                <w:color w:val="000000" w:themeColor="text1"/>
                <w:sz w:val="21"/>
                <w:szCs w:val="21"/>
                <w:highlight w:val="none"/>
                <w:lang w:val="en-US" w:eastAsia="zh-CN"/>
                <w14:textFill>
                  <w14:solidFill>
                    <w14:schemeClr w14:val="tx1"/>
                  </w14:solidFill>
                </w14:textFill>
              </w:rPr>
              <w:t>t/a</w:t>
            </w:r>
            <w:r>
              <w:rPr>
                <w:rFonts w:hint="eastAsia" w:ascii="宋体" w:hAnsi="宋体" w:eastAsia="宋体" w:cs="宋体"/>
                <w:color w:val="000000" w:themeColor="text1"/>
                <w:sz w:val="21"/>
                <w:szCs w:val="21"/>
                <w:highlight w:val="none"/>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66" w:hRule="atLeast"/>
        </w:trPr>
        <w:tc>
          <w:tcPr>
            <w:tcW w:w="429" w:type="pct"/>
            <w:tcBorders>
              <w:tl2br w:val="nil"/>
              <w:tr2bl w:val="nil"/>
            </w:tcBorders>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p>
        </w:tc>
        <w:tc>
          <w:tcPr>
            <w:tcW w:w="805" w:type="pct"/>
            <w:tcBorders>
              <w:tl2br w:val="nil"/>
              <w:tr2bl w:val="nil"/>
            </w:tcBorders>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二甲基乙酰胺</w:t>
            </w:r>
          </w:p>
        </w:tc>
        <w:tc>
          <w:tcPr>
            <w:tcW w:w="798" w:type="pct"/>
            <w:tcBorders>
              <w:tl2br w:val="nil"/>
              <w:tr2bl w:val="nil"/>
            </w:tcBorders>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600</w:t>
            </w:r>
          </w:p>
        </w:tc>
        <w:tc>
          <w:tcPr>
            <w:tcW w:w="1651" w:type="pct"/>
            <w:tcBorders>
              <w:tl2br w:val="nil"/>
              <w:tr2bl w:val="nil"/>
            </w:tcBorders>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进入产品</w:t>
            </w:r>
          </w:p>
        </w:tc>
        <w:tc>
          <w:tcPr>
            <w:tcW w:w="1315" w:type="pct"/>
            <w:tcBorders>
              <w:tl2br w:val="nil"/>
              <w:tr2bl w:val="nil"/>
            </w:tcBorders>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0.06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66" w:hRule="atLeast"/>
        </w:trPr>
        <w:tc>
          <w:tcPr>
            <w:tcW w:w="429" w:type="pct"/>
            <w:tcBorders>
              <w:tl2br w:val="nil"/>
              <w:tr2bl w:val="nil"/>
            </w:tcBorders>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c>
          <w:tcPr>
            <w:tcW w:w="805" w:type="pct"/>
            <w:tcBorders>
              <w:tl2br w:val="nil"/>
              <w:tr2bl w:val="nil"/>
            </w:tcBorders>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798" w:type="pct"/>
            <w:tcBorders>
              <w:tl2br w:val="nil"/>
              <w:tr2bl w:val="nil"/>
            </w:tcBorders>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651" w:type="pct"/>
            <w:tcBorders>
              <w:tl2br w:val="nil"/>
              <w:tr2bl w:val="nil"/>
            </w:tcBorders>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进入副产品</w:t>
            </w:r>
            <w:r>
              <w:rPr>
                <w:rFonts w:hint="eastAsia" w:ascii="宋体" w:hAnsi="宋体" w:eastAsia="宋体" w:cs="宋体"/>
                <w:color w:val="000000" w:themeColor="text1"/>
                <w:sz w:val="21"/>
                <w:szCs w:val="21"/>
                <w:highlight w:val="none"/>
                <w:lang w:val="en-US" w:eastAsia="zh-CN"/>
                <w14:textFill>
                  <w14:solidFill>
                    <w14:schemeClr w14:val="tx1"/>
                  </w14:solidFill>
                </w14:textFill>
              </w:rPr>
              <w:t>（含30%精馏循环）</w:t>
            </w:r>
          </w:p>
        </w:tc>
        <w:tc>
          <w:tcPr>
            <w:tcW w:w="1315" w:type="pct"/>
            <w:tcBorders>
              <w:tl2br w:val="nil"/>
              <w:tr2bl w:val="nil"/>
            </w:tcBorders>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561.521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66" w:hRule="atLeast"/>
        </w:trPr>
        <w:tc>
          <w:tcPr>
            <w:tcW w:w="429" w:type="pct"/>
            <w:tcBorders>
              <w:tl2br w:val="nil"/>
              <w:tr2bl w:val="nil"/>
            </w:tcBorders>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p>
        </w:tc>
        <w:tc>
          <w:tcPr>
            <w:tcW w:w="805" w:type="pct"/>
            <w:tcBorders>
              <w:tl2br w:val="nil"/>
              <w:tr2bl w:val="nil"/>
            </w:tcBorders>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798" w:type="pct"/>
            <w:tcBorders>
              <w:tl2br w:val="nil"/>
              <w:tr2bl w:val="nil"/>
            </w:tcBorders>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651" w:type="pct"/>
            <w:tcBorders>
              <w:tl2br w:val="nil"/>
              <w:tr2bl w:val="nil"/>
            </w:tcBorders>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进入不合格品、废边角料和残渣</w:t>
            </w:r>
          </w:p>
        </w:tc>
        <w:tc>
          <w:tcPr>
            <w:tcW w:w="1315" w:type="pct"/>
            <w:tcBorders>
              <w:tl2br w:val="nil"/>
              <w:tr2bl w:val="nil"/>
            </w:tcBorders>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0.587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66" w:hRule="atLeast"/>
        </w:trPr>
        <w:tc>
          <w:tcPr>
            <w:tcW w:w="429" w:type="pct"/>
            <w:tcBorders>
              <w:tl2br w:val="nil"/>
              <w:tr2bl w:val="nil"/>
            </w:tcBorders>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bidi="ar-SA"/>
                <w14:textFill>
                  <w14:solidFill>
                    <w14:schemeClr w14:val="tx1"/>
                  </w14:solidFill>
                </w14:textFill>
              </w:rPr>
              <w:t>4</w:t>
            </w:r>
          </w:p>
        </w:tc>
        <w:tc>
          <w:tcPr>
            <w:tcW w:w="805" w:type="pct"/>
            <w:tcBorders>
              <w:tl2br w:val="nil"/>
              <w:tr2bl w:val="nil"/>
            </w:tcBorders>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798" w:type="pct"/>
            <w:tcBorders>
              <w:tl2br w:val="nil"/>
              <w:tr2bl w:val="nil"/>
            </w:tcBorders>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651" w:type="pct"/>
            <w:tcBorders>
              <w:tl2br w:val="nil"/>
              <w:tr2bl w:val="nil"/>
            </w:tcBorders>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进入喷淋废水</w:t>
            </w:r>
          </w:p>
        </w:tc>
        <w:tc>
          <w:tcPr>
            <w:tcW w:w="1315" w:type="pct"/>
            <w:tcBorders>
              <w:tl2br w:val="nil"/>
              <w:tr2bl w:val="nil"/>
            </w:tcBorders>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35.23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66" w:hRule="atLeast"/>
        </w:trPr>
        <w:tc>
          <w:tcPr>
            <w:tcW w:w="429" w:type="pct"/>
            <w:tcBorders>
              <w:tl2br w:val="nil"/>
              <w:tr2bl w:val="nil"/>
            </w:tcBorders>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bidi="ar-SA"/>
                <w14:textFill>
                  <w14:solidFill>
                    <w14:schemeClr w14:val="tx1"/>
                  </w14:solidFill>
                </w14:textFill>
              </w:rPr>
              <w:t>5</w:t>
            </w:r>
          </w:p>
        </w:tc>
        <w:tc>
          <w:tcPr>
            <w:tcW w:w="805" w:type="pct"/>
            <w:tcBorders>
              <w:tl2br w:val="nil"/>
              <w:tr2bl w:val="nil"/>
            </w:tcBorders>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798" w:type="pct"/>
            <w:tcBorders>
              <w:tl2br w:val="nil"/>
              <w:tr2bl w:val="nil"/>
            </w:tcBorders>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651" w:type="pct"/>
            <w:tcBorders>
              <w:tl2br w:val="nil"/>
              <w:tr2bl w:val="nil"/>
            </w:tcBorders>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进入</w:t>
            </w:r>
            <w:r>
              <w:rPr>
                <w:rFonts w:hint="eastAsia" w:ascii="宋体" w:hAnsi="宋体" w:eastAsia="宋体" w:cs="宋体"/>
                <w:color w:val="000000" w:themeColor="text1"/>
                <w:sz w:val="21"/>
                <w:szCs w:val="21"/>
                <w:highlight w:val="none"/>
                <w:lang w:val="en-US" w:eastAsia="zh-CN"/>
                <w14:textFill>
                  <w14:solidFill>
                    <w14:schemeClr w14:val="tx1"/>
                  </w14:solidFill>
                </w14:textFill>
              </w:rPr>
              <w:t>流延工序湿电系统</w:t>
            </w:r>
          </w:p>
        </w:tc>
        <w:tc>
          <w:tcPr>
            <w:tcW w:w="1315" w:type="pct"/>
            <w:tcBorders>
              <w:tl2br w:val="nil"/>
              <w:tr2bl w:val="nil"/>
            </w:tcBorders>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0.272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66" w:hRule="atLeast"/>
        </w:trPr>
        <w:tc>
          <w:tcPr>
            <w:tcW w:w="429" w:type="pct"/>
            <w:tcBorders>
              <w:tl2br w:val="nil"/>
              <w:tr2bl w:val="nil"/>
            </w:tcBorders>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bidi="ar-SA"/>
                <w14:textFill>
                  <w14:solidFill>
                    <w14:schemeClr w14:val="tx1"/>
                  </w14:solidFill>
                </w14:textFill>
              </w:rPr>
              <w:t>6</w:t>
            </w:r>
          </w:p>
        </w:tc>
        <w:tc>
          <w:tcPr>
            <w:tcW w:w="805" w:type="pct"/>
            <w:tcBorders>
              <w:tl2br w:val="nil"/>
              <w:tr2bl w:val="nil"/>
            </w:tcBorders>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798" w:type="pct"/>
            <w:tcBorders>
              <w:tl2br w:val="nil"/>
              <w:tr2bl w:val="nil"/>
            </w:tcBorders>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651" w:type="pct"/>
            <w:tcBorders>
              <w:tl2br w:val="nil"/>
              <w:tr2bl w:val="nil"/>
            </w:tcBorders>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进入</w:t>
            </w:r>
            <w:r>
              <w:rPr>
                <w:rFonts w:hint="eastAsia" w:ascii="宋体" w:hAnsi="宋体" w:eastAsia="宋体" w:cs="宋体"/>
                <w:color w:val="000000" w:themeColor="text1"/>
                <w:sz w:val="21"/>
                <w:szCs w:val="21"/>
                <w:highlight w:val="none"/>
                <w:lang w:val="en-US" w:eastAsia="zh-CN"/>
                <w14:textFill>
                  <w14:solidFill>
                    <w14:schemeClr w14:val="tx1"/>
                  </w14:solidFill>
                </w14:textFill>
              </w:rPr>
              <w:t>亚胺化工序湿电系统</w:t>
            </w:r>
          </w:p>
        </w:tc>
        <w:tc>
          <w:tcPr>
            <w:tcW w:w="1315" w:type="pct"/>
            <w:tcBorders>
              <w:tl2br w:val="nil"/>
              <w:tr2bl w:val="nil"/>
            </w:tcBorders>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1.507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66" w:hRule="atLeast"/>
        </w:trPr>
        <w:tc>
          <w:tcPr>
            <w:tcW w:w="429" w:type="pct"/>
            <w:tcBorders>
              <w:tl2br w:val="nil"/>
              <w:tr2bl w:val="nil"/>
            </w:tcBorders>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bidi="ar-SA"/>
                <w14:textFill>
                  <w14:solidFill>
                    <w14:schemeClr w14:val="tx1"/>
                  </w14:solidFill>
                </w14:textFill>
              </w:rPr>
              <w:t>7</w:t>
            </w:r>
          </w:p>
        </w:tc>
        <w:tc>
          <w:tcPr>
            <w:tcW w:w="805" w:type="pct"/>
            <w:tcBorders>
              <w:tl2br w:val="nil"/>
              <w:tr2bl w:val="nil"/>
            </w:tcBorders>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798" w:type="pct"/>
            <w:tcBorders>
              <w:tl2br w:val="nil"/>
              <w:tr2bl w:val="nil"/>
            </w:tcBorders>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651" w:type="pct"/>
            <w:tcBorders>
              <w:tl2br w:val="nil"/>
              <w:tr2bl w:val="nil"/>
            </w:tcBorders>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排气筒排放</w:t>
            </w:r>
          </w:p>
        </w:tc>
        <w:tc>
          <w:tcPr>
            <w:tcW w:w="1315" w:type="pct"/>
            <w:tcBorders>
              <w:tl2br w:val="nil"/>
              <w:tr2bl w:val="nil"/>
            </w:tcBorders>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0.763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66" w:hRule="atLeast"/>
        </w:trPr>
        <w:tc>
          <w:tcPr>
            <w:tcW w:w="429" w:type="pct"/>
            <w:tcBorders>
              <w:tl2br w:val="nil"/>
              <w:tr2bl w:val="nil"/>
            </w:tcBorders>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8</w:t>
            </w:r>
          </w:p>
        </w:tc>
        <w:tc>
          <w:tcPr>
            <w:tcW w:w="805" w:type="pct"/>
            <w:tcBorders>
              <w:tl2br w:val="nil"/>
              <w:tr2bl w:val="nil"/>
            </w:tcBorders>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798" w:type="pct"/>
            <w:tcBorders>
              <w:tl2br w:val="nil"/>
              <w:tr2bl w:val="nil"/>
            </w:tcBorders>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651" w:type="pct"/>
            <w:tcBorders>
              <w:tl2br w:val="nil"/>
              <w:tr2bl w:val="nil"/>
            </w:tcBorders>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无组织排放</w:t>
            </w:r>
          </w:p>
        </w:tc>
        <w:tc>
          <w:tcPr>
            <w:tcW w:w="1315" w:type="pct"/>
            <w:tcBorders>
              <w:tl2br w:val="nil"/>
              <w:tr2bl w:val="nil"/>
            </w:tcBorders>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0.06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235" w:type="pct"/>
            <w:gridSpan w:val="2"/>
            <w:tcBorders>
              <w:tl2br w:val="nil"/>
              <w:tr2bl w:val="nil"/>
            </w:tcBorders>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合计</w:t>
            </w:r>
          </w:p>
        </w:tc>
        <w:tc>
          <w:tcPr>
            <w:tcW w:w="798" w:type="pct"/>
            <w:tcBorders>
              <w:tl2br w:val="nil"/>
              <w:tr2bl w:val="nil"/>
            </w:tcBorders>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600</w:t>
            </w:r>
          </w:p>
        </w:tc>
        <w:tc>
          <w:tcPr>
            <w:tcW w:w="1651" w:type="pct"/>
            <w:tcBorders>
              <w:tl2br w:val="nil"/>
              <w:tr2bl w:val="nil"/>
            </w:tcBorders>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w:t>
            </w:r>
          </w:p>
        </w:tc>
        <w:tc>
          <w:tcPr>
            <w:tcW w:w="1315" w:type="pct"/>
            <w:tcBorders>
              <w:tl2br w:val="nil"/>
              <w:tr2bl w:val="nil"/>
            </w:tcBorders>
            <w:noWrap w:val="0"/>
            <w:vAlign w:val="center"/>
          </w:tcPr>
          <w:p>
            <w:pPr>
              <w:widowControl w:val="0"/>
              <w:autoSpaceDE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600</w:t>
            </w:r>
          </w:p>
        </w:tc>
      </w:tr>
    </w:tbl>
    <w:p>
      <w:pPr>
        <w:pStyle w:val="8"/>
        <w:keepNext w:val="0"/>
        <w:keepLines w:val="0"/>
        <w:pageBreakBefore w:val="0"/>
        <w:widowControl/>
        <w:kinsoku/>
        <w:wordWrap/>
        <w:overflowPunct/>
        <w:topLinePunct w:val="0"/>
        <w:bidi w:val="0"/>
        <w:adjustRightInd/>
        <w:snapToGrid/>
        <w:spacing w:line="360" w:lineRule="auto"/>
        <w:ind w:firstLine="482" w:firstLineChars="200"/>
        <w:textAlignment w:val="auto"/>
        <w:rPr>
          <w:rFonts w:hint="eastAsia" w:ascii="宋体" w:hAnsi="宋体" w:eastAsia="宋体" w:cs="宋体"/>
          <w:color w:val="000000" w:themeColor="text1"/>
          <w:lang w:val="en-US" w:eastAsia="zh-CN"/>
          <w14:textFill>
            <w14:solidFill>
              <w14:schemeClr w14:val="tx1"/>
            </w14:solidFill>
          </w14:textFill>
        </w:rPr>
      </w:pPr>
      <w:bookmarkStart w:id="327" w:name="_Toc11529"/>
      <w:r>
        <w:rPr>
          <w:rFonts w:hint="eastAsia" w:ascii="宋体" w:hAnsi="宋体" w:eastAsia="宋体" w:cs="宋体"/>
          <w:color w:val="000000" w:themeColor="text1"/>
          <w:lang w:val="en-US" w:eastAsia="zh-CN"/>
          <w14:textFill>
            <w14:solidFill>
              <w14:schemeClr w14:val="tx1"/>
            </w14:solidFill>
          </w14:textFill>
        </w:rPr>
        <w:t>3.3.2污染源源强核算</w:t>
      </w:r>
      <w:bookmarkEnd w:id="325"/>
      <w:bookmarkEnd w:id="326"/>
      <w:bookmarkEnd w:id="327"/>
    </w:p>
    <w:p>
      <w:pPr>
        <w:pStyle w:val="9"/>
        <w:keepNext w:val="0"/>
        <w:keepLines w:val="0"/>
        <w:pageBreakBefore w:val="0"/>
        <w:widowControl/>
        <w:kinsoku/>
        <w:wordWrap/>
        <w:overflowPunct/>
        <w:topLinePunct w:val="0"/>
        <w:bidi w:val="0"/>
        <w:adjustRightInd/>
        <w:snapToGrid/>
        <w:spacing w:line="360" w:lineRule="auto"/>
        <w:ind w:firstLine="482" w:firstLineChars="200"/>
        <w:textAlignment w:val="auto"/>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3.3.2.1废水</w:t>
      </w:r>
    </w:p>
    <w:p>
      <w:pPr>
        <w:keepNext w:val="0"/>
        <w:keepLines w:val="0"/>
        <w:pageBreakBefore w:val="0"/>
        <w:widowControl/>
        <w:kinsoku/>
        <w:wordWrap/>
        <w:overflowPunct/>
        <w:topLinePunct w:val="0"/>
        <w:bidi w:val="0"/>
        <w:adjustRightInd/>
        <w:snapToGrid/>
        <w:spacing w:line="360" w:lineRule="auto"/>
        <w:ind w:firstLine="480" w:firstLineChars="200"/>
        <w:textAlignment w:val="auto"/>
        <w:rPr>
          <w:rFonts w:hint="eastAsia" w:ascii="宋体" w:hAnsi="宋体" w:eastAsia="宋体" w:cs="宋体"/>
          <w:color w:val="000000" w:themeColor="text1"/>
          <w:kern w:val="1"/>
          <w:highlight w:val="none"/>
          <w:lang w:eastAsia="zh-CN"/>
          <w14:textFill>
            <w14:solidFill>
              <w14:schemeClr w14:val="tx1"/>
            </w14:solidFill>
          </w14:textFill>
        </w:rPr>
      </w:pPr>
      <w:r>
        <w:rPr>
          <w:rFonts w:hint="eastAsia" w:ascii="宋体" w:hAnsi="宋体" w:eastAsia="宋体" w:cs="宋体"/>
          <w:color w:val="000000" w:themeColor="text1"/>
          <w:kern w:val="1"/>
          <w:highlight w:val="none"/>
          <w:lang w:val="en-US" w:eastAsia="zh-CN"/>
          <w14:textFill>
            <w14:solidFill>
              <w14:schemeClr w14:val="tx1"/>
            </w14:solidFill>
          </w14:textFill>
        </w:rPr>
        <w:t>劳动定员从现有员工中抽调，生活污水和</w:t>
      </w:r>
      <w:r>
        <w:rPr>
          <w:rFonts w:hint="eastAsia" w:ascii="宋体" w:hAnsi="宋体" w:eastAsia="宋体" w:cs="宋体"/>
          <w:color w:val="000000" w:themeColor="text1"/>
          <w:kern w:val="1"/>
          <w:highlight w:val="none"/>
          <w:lang w:eastAsia="zh-CN"/>
          <w14:textFill>
            <w14:solidFill>
              <w14:schemeClr w14:val="tx1"/>
            </w14:solidFill>
          </w14:textFill>
        </w:rPr>
        <w:t>初期雨水现有项目环评已做计算，本环评将不再计算。</w:t>
      </w:r>
    </w:p>
    <w:p>
      <w:pPr>
        <w:keepNext w:val="0"/>
        <w:keepLines w:val="0"/>
        <w:pageBreakBefore w:val="0"/>
        <w:widowControl/>
        <w:kinsoku/>
        <w:wordWrap/>
        <w:overflowPunct/>
        <w:topLinePunct w:val="0"/>
        <w:bidi w:val="0"/>
        <w:adjustRightInd/>
        <w:snapToGrid/>
        <w:spacing w:line="360" w:lineRule="auto"/>
        <w:ind w:firstLine="480" w:firstLineChars="200"/>
        <w:textAlignment w:val="auto"/>
        <w:rPr>
          <w:rFonts w:hint="eastAsia" w:ascii="宋体" w:hAnsi="宋体" w:eastAsia="宋体" w:cs="宋体"/>
          <w:color w:val="000000" w:themeColor="text1"/>
          <w:kern w:val="1"/>
          <w:highlight w:val="none"/>
          <w:lang w:val="en-US" w:eastAsia="zh-CN"/>
          <w14:textFill>
            <w14:solidFill>
              <w14:schemeClr w14:val="tx1"/>
            </w14:solidFill>
          </w14:textFill>
        </w:rPr>
      </w:pPr>
      <w:r>
        <w:rPr>
          <w:rFonts w:hint="eastAsia" w:ascii="宋体" w:hAnsi="宋体" w:eastAsia="宋体" w:cs="宋体"/>
          <w:color w:val="000000" w:themeColor="text1"/>
          <w:kern w:val="1"/>
          <w:highlight w:val="none"/>
          <w:lang w:eastAsia="zh-CN"/>
          <w14:textFill>
            <w14:solidFill>
              <w14:schemeClr w14:val="tx1"/>
            </w14:solidFill>
          </w14:textFill>
        </w:rPr>
        <w:t>本项目新增废水主要为</w:t>
      </w:r>
      <w:r>
        <w:rPr>
          <w:rFonts w:hint="eastAsia" w:ascii="宋体" w:hAnsi="宋体" w:eastAsia="宋体" w:cs="宋体"/>
          <w:color w:val="000000" w:themeColor="text1"/>
          <w:kern w:val="1"/>
          <w:highlight w:val="none"/>
          <w:lang w:val="en-US" w:eastAsia="zh-CN"/>
          <w14:textFill>
            <w14:solidFill>
              <w14:schemeClr w14:val="tx1"/>
            </w14:solidFill>
          </w14:textFill>
        </w:rPr>
        <w:t>地面保洁废水</w:t>
      </w:r>
      <w:r>
        <w:rPr>
          <w:rFonts w:hint="eastAsia" w:ascii="宋体" w:hAnsi="宋体" w:eastAsia="宋体" w:cs="宋体"/>
          <w:color w:val="000000" w:themeColor="text1"/>
          <w:kern w:val="1"/>
          <w:highlight w:val="none"/>
          <w:lang w:eastAsia="zh-CN"/>
          <w14:textFill>
            <w14:solidFill>
              <w14:schemeClr w14:val="tx1"/>
            </w14:solidFill>
          </w14:textFill>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i w:val="0"/>
          <w:iCs w:val="0"/>
          <w:color w:val="000000" w:themeColor="text1"/>
          <w:sz w:val="24"/>
          <w:szCs w:val="24"/>
          <w14:textFill>
            <w14:solidFill>
              <w14:schemeClr w14:val="tx1"/>
            </w14:solidFill>
          </w14:textFill>
        </w:rPr>
        <w:t>厂区地面定期进行清洁，平均2天清洁一次，地面保洁用水按0.2L/</w:t>
      </w:r>
      <w:r>
        <w:rPr>
          <w:rFonts w:hint="eastAsia" w:ascii="宋体" w:hAnsi="宋体" w:eastAsia="宋体" w:cs="宋体"/>
          <w:b w:val="0"/>
          <w:bCs w:val="0"/>
          <w:i w:val="0"/>
          <w:iCs w:val="0"/>
          <w:color w:val="000000" w:themeColor="text1"/>
          <w:sz w:val="24"/>
          <w:szCs w:val="24"/>
          <w:lang w:eastAsia="zh-CN"/>
          <w14:textFill>
            <w14:solidFill>
              <w14:schemeClr w14:val="tx1"/>
            </w14:solidFill>
          </w14:textFill>
        </w:rPr>
        <w:t>m²</w:t>
      </w:r>
      <w:r>
        <w:rPr>
          <w:rFonts w:hint="eastAsia" w:ascii="宋体" w:hAnsi="宋体" w:eastAsia="宋体" w:cs="宋体"/>
          <w:b w:val="0"/>
          <w:bCs w:val="0"/>
          <w:i w:val="0"/>
          <w:iCs w:val="0"/>
          <w:color w:val="000000" w:themeColor="text1"/>
          <w:sz w:val="24"/>
          <w:szCs w:val="24"/>
          <w14:textFill>
            <w14:solidFill>
              <w14:schemeClr w14:val="tx1"/>
            </w14:solidFill>
          </w14:textFill>
        </w:rPr>
        <w:t>·次，厂区生产车间需保洁面积约为</w:t>
      </w:r>
      <w:r>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t>3</w:t>
      </w:r>
      <w:r>
        <w:rPr>
          <w:rFonts w:hint="eastAsia" w:ascii="宋体" w:hAnsi="宋体" w:eastAsia="宋体" w:cs="宋体"/>
          <w:b w:val="0"/>
          <w:bCs w:val="0"/>
          <w:i w:val="0"/>
          <w:iCs w:val="0"/>
          <w:color w:val="000000" w:themeColor="text1"/>
          <w:sz w:val="24"/>
          <w:szCs w:val="24"/>
          <w14:textFill>
            <w14:solidFill>
              <w14:schemeClr w14:val="tx1"/>
            </w14:solidFill>
          </w14:textFill>
        </w:rPr>
        <w:t>000</w:t>
      </w:r>
      <w:r>
        <w:rPr>
          <w:rFonts w:hint="eastAsia" w:ascii="宋体" w:hAnsi="宋体" w:eastAsia="宋体" w:cs="宋体"/>
          <w:b w:val="0"/>
          <w:bCs w:val="0"/>
          <w:i w:val="0"/>
          <w:iCs w:val="0"/>
          <w:color w:val="000000" w:themeColor="text1"/>
          <w:sz w:val="24"/>
          <w:szCs w:val="24"/>
          <w:lang w:eastAsia="zh-CN"/>
          <w14:textFill>
            <w14:solidFill>
              <w14:schemeClr w14:val="tx1"/>
            </w14:solidFill>
          </w14:textFill>
        </w:rPr>
        <w:t>m²</w:t>
      </w:r>
      <w:r>
        <w:rPr>
          <w:rFonts w:hint="eastAsia" w:ascii="宋体" w:hAnsi="宋体" w:eastAsia="宋体" w:cs="宋体"/>
          <w:b w:val="0"/>
          <w:bCs w:val="0"/>
          <w:i w:val="0"/>
          <w:iCs w:val="0"/>
          <w:color w:val="000000" w:themeColor="text1"/>
          <w:sz w:val="24"/>
          <w:szCs w:val="24"/>
          <w14:textFill>
            <w14:solidFill>
              <w14:schemeClr w14:val="tx1"/>
            </w14:solidFill>
          </w14:textFill>
        </w:rPr>
        <w:t>，则地面保洁用水量为0.</w:t>
      </w:r>
      <w:r>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t>3</w:t>
      </w:r>
      <w:r>
        <w:rPr>
          <w:rFonts w:hint="eastAsia" w:ascii="宋体" w:hAnsi="宋体" w:eastAsia="宋体" w:cs="宋体"/>
          <w:b w:val="0"/>
          <w:bCs w:val="0"/>
          <w:i w:val="0"/>
          <w:iCs w:val="0"/>
          <w:color w:val="000000" w:themeColor="text1"/>
          <w:sz w:val="24"/>
          <w:szCs w:val="24"/>
          <w14:textFill>
            <w14:solidFill>
              <w14:schemeClr w14:val="tx1"/>
            </w14:solidFill>
          </w14:textFill>
        </w:rPr>
        <w:t>t/d，</w:t>
      </w:r>
      <w:r>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t>9</w:t>
      </w:r>
      <w:r>
        <w:rPr>
          <w:rFonts w:hint="eastAsia" w:ascii="宋体" w:hAnsi="宋体" w:eastAsia="宋体" w:cs="宋体"/>
          <w:b w:val="0"/>
          <w:bCs w:val="0"/>
          <w:i w:val="0"/>
          <w:iCs w:val="0"/>
          <w:color w:val="000000" w:themeColor="text1"/>
          <w:sz w:val="24"/>
          <w:szCs w:val="24"/>
          <w14:textFill>
            <w14:solidFill>
              <w14:schemeClr w14:val="tx1"/>
            </w14:solidFill>
          </w14:textFill>
        </w:rPr>
        <w:t>0t/a。废水排放系数按0.8计，车间保洁废水量为0.</w:t>
      </w:r>
      <w:r>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t>24</w:t>
      </w:r>
      <w:r>
        <w:rPr>
          <w:rFonts w:hint="eastAsia" w:ascii="宋体" w:hAnsi="宋体" w:eastAsia="宋体" w:cs="宋体"/>
          <w:b w:val="0"/>
          <w:bCs w:val="0"/>
          <w:i w:val="0"/>
          <w:iCs w:val="0"/>
          <w:color w:val="000000" w:themeColor="text1"/>
          <w:sz w:val="24"/>
          <w:szCs w:val="24"/>
          <w14:textFill>
            <w14:solidFill>
              <w14:schemeClr w14:val="tx1"/>
            </w14:solidFill>
          </w14:textFill>
        </w:rPr>
        <w:t>t/d，</w:t>
      </w:r>
      <w:r>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t>72</w:t>
      </w:r>
      <w:r>
        <w:rPr>
          <w:rFonts w:hint="eastAsia" w:ascii="宋体" w:hAnsi="宋体" w:eastAsia="宋体" w:cs="宋体"/>
          <w:b w:val="0"/>
          <w:bCs w:val="0"/>
          <w:i w:val="0"/>
          <w:iCs w:val="0"/>
          <w:color w:val="000000" w:themeColor="text1"/>
          <w:sz w:val="24"/>
          <w:szCs w:val="24"/>
          <w14:textFill>
            <w14:solidFill>
              <w14:schemeClr w14:val="tx1"/>
            </w14:solidFill>
          </w14:textFill>
        </w:rPr>
        <w:t>t/a。主要污染物为COD：300mg/L、NH3-N：25mg/L、BOD5：100mg/L、SS：200mg/L，地面保洁用水经化粪池处理后排入市政污水管网，化粪池对</w:t>
      </w:r>
      <w:r>
        <w:rPr>
          <w:rStyle w:val="79"/>
          <w:rFonts w:hint="eastAsia" w:ascii="宋体" w:hAnsi="宋体" w:eastAsia="宋体" w:cs="宋体"/>
          <w:color w:val="000000" w:themeColor="text1"/>
          <w14:textFill>
            <w14:solidFill>
              <w14:schemeClr w14:val="tx1"/>
            </w14:solidFill>
          </w14:textFill>
        </w:rPr>
        <w:t>COD</w:t>
      </w:r>
      <w:r>
        <w:rPr>
          <w:rFonts w:hint="eastAsia" w:ascii="宋体" w:hAnsi="宋体" w:eastAsia="宋体" w:cs="宋体"/>
          <w:b w:val="0"/>
          <w:bCs w:val="0"/>
          <w:i w:val="0"/>
          <w:iCs w:val="0"/>
          <w:color w:val="000000" w:themeColor="text1"/>
          <w:sz w:val="24"/>
          <w:szCs w:val="24"/>
          <w14:textFill>
            <w14:solidFill>
              <w14:schemeClr w14:val="tx1"/>
            </w14:solidFill>
          </w14:textFill>
        </w:rPr>
        <w:t>和</w:t>
      </w:r>
      <w:r>
        <w:rPr>
          <w:rStyle w:val="79"/>
          <w:rFonts w:hint="eastAsia" w:ascii="宋体" w:hAnsi="宋体" w:eastAsia="宋体" w:cs="宋体"/>
          <w:color w:val="000000" w:themeColor="text1"/>
          <w14:textFill>
            <w14:solidFill>
              <w14:schemeClr w14:val="tx1"/>
            </w14:solidFill>
          </w14:textFill>
        </w:rPr>
        <w:t>BOD</w:t>
      </w:r>
      <w:r>
        <w:rPr>
          <w:rFonts w:hint="eastAsia" w:ascii="宋体" w:hAnsi="宋体" w:eastAsia="宋体" w:cs="宋体"/>
          <w:b w:val="0"/>
          <w:bCs w:val="0"/>
          <w:i w:val="0"/>
          <w:iCs w:val="0"/>
          <w:color w:val="000000" w:themeColor="text1"/>
          <w:sz w:val="24"/>
          <w:szCs w:val="24"/>
          <w14:textFill>
            <w14:solidFill>
              <w14:schemeClr w14:val="tx1"/>
            </w14:solidFill>
          </w14:textFill>
        </w:rPr>
        <w:t>的处理效率约为</w:t>
      </w:r>
      <w:r>
        <w:rPr>
          <w:rStyle w:val="79"/>
          <w:rFonts w:hint="eastAsia" w:ascii="宋体" w:hAnsi="宋体" w:eastAsia="宋体" w:cs="宋体"/>
          <w:color w:val="000000" w:themeColor="text1"/>
          <w14:textFill>
            <w14:solidFill>
              <w14:schemeClr w14:val="tx1"/>
            </w14:solidFill>
          </w14:textFill>
        </w:rPr>
        <w:t>20%</w:t>
      </w:r>
      <w:r>
        <w:rPr>
          <w:rFonts w:hint="eastAsia" w:ascii="宋体" w:hAnsi="宋体" w:eastAsia="宋体" w:cs="宋体"/>
          <w:b w:val="0"/>
          <w:bCs w:val="0"/>
          <w:i w:val="0"/>
          <w:iCs w:val="0"/>
          <w:color w:val="000000" w:themeColor="text1"/>
          <w:sz w:val="24"/>
          <w:szCs w:val="24"/>
          <w14:textFill>
            <w14:solidFill>
              <w14:schemeClr w14:val="tx1"/>
            </w14:solidFill>
          </w14:textFill>
        </w:rPr>
        <w:t>，对</w:t>
      </w:r>
      <w:r>
        <w:rPr>
          <w:rStyle w:val="79"/>
          <w:rFonts w:hint="eastAsia" w:ascii="宋体" w:hAnsi="宋体" w:eastAsia="宋体" w:cs="宋体"/>
          <w:color w:val="000000" w:themeColor="text1"/>
          <w14:textFill>
            <w14:solidFill>
              <w14:schemeClr w14:val="tx1"/>
            </w14:solidFill>
          </w14:textFill>
        </w:rPr>
        <w:t>SS</w:t>
      </w:r>
      <w:r>
        <w:rPr>
          <w:rFonts w:hint="eastAsia" w:ascii="宋体" w:hAnsi="宋体" w:eastAsia="宋体" w:cs="宋体"/>
          <w:b w:val="0"/>
          <w:bCs w:val="0"/>
          <w:i w:val="0"/>
          <w:iCs w:val="0"/>
          <w:color w:val="000000" w:themeColor="text1"/>
          <w:sz w:val="24"/>
          <w:szCs w:val="24"/>
          <w14:textFill>
            <w14:solidFill>
              <w14:schemeClr w14:val="tx1"/>
            </w14:solidFill>
          </w14:textFill>
        </w:rPr>
        <w:t>的去除率约为</w:t>
      </w:r>
      <w:r>
        <w:rPr>
          <w:rStyle w:val="79"/>
          <w:rFonts w:hint="eastAsia" w:ascii="宋体" w:hAnsi="宋体" w:eastAsia="宋体" w:cs="宋体"/>
          <w:color w:val="000000" w:themeColor="text1"/>
          <w14:textFill>
            <w14:solidFill>
              <w14:schemeClr w14:val="tx1"/>
            </w14:solidFill>
          </w14:textFill>
        </w:rPr>
        <w:t>30%</w:t>
      </w:r>
      <w:r>
        <w:rPr>
          <w:rFonts w:hint="eastAsia" w:ascii="宋体" w:hAnsi="宋体" w:eastAsia="宋体" w:cs="宋体"/>
          <w:b w:val="0"/>
          <w:bCs w:val="0"/>
          <w:i w:val="0"/>
          <w:iCs w:val="0"/>
          <w:color w:val="000000" w:themeColor="text1"/>
          <w:sz w:val="24"/>
          <w:szCs w:val="24"/>
          <w14:textFill>
            <w14:solidFill>
              <w14:schemeClr w14:val="tx1"/>
            </w14:solidFill>
          </w14:textFill>
        </w:rPr>
        <w:t>，对</w:t>
      </w:r>
      <w:r>
        <w:rPr>
          <w:rStyle w:val="79"/>
          <w:rFonts w:hint="eastAsia" w:ascii="宋体" w:hAnsi="宋体" w:eastAsia="宋体" w:cs="宋体"/>
          <w:color w:val="000000" w:themeColor="text1"/>
          <w14:textFill>
            <w14:solidFill>
              <w14:schemeClr w14:val="tx1"/>
            </w14:solidFill>
          </w14:textFill>
        </w:rPr>
        <w:t>NH</w:t>
      </w:r>
      <w:r>
        <w:rPr>
          <w:rStyle w:val="79"/>
          <w:rFonts w:hint="eastAsia" w:ascii="宋体" w:hAnsi="宋体" w:eastAsia="宋体" w:cs="宋体"/>
          <w:color w:val="000000" w:themeColor="text1"/>
          <w:sz w:val="16"/>
          <w:szCs w:val="16"/>
          <w14:textFill>
            <w14:solidFill>
              <w14:schemeClr w14:val="tx1"/>
            </w14:solidFill>
          </w14:textFill>
        </w:rPr>
        <w:t>3</w:t>
      </w:r>
      <w:r>
        <w:rPr>
          <w:rStyle w:val="79"/>
          <w:rFonts w:hint="eastAsia" w:ascii="宋体" w:hAnsi="宋体" w:eastAsia="宋体" w:cs="宋体"/>
          <w:color w:val="000000" w:themeColor="text1"/>
          <w14:textFill>
            <w14:solidFill>
              <w14:schemeClr w14:val="tx1"/>
            </w14:solidFill>
          </w14:textFill>
        </w:rPr>
        <w:t>-N</w:t>
      </w:r>
      <w:r>
        <w:rPr>
          <w:rFonts w:hint="eastAsia" w:ascii="宋体" w:hAnsi="宋体" w:eastAsia="宋体" w:cs="宋体"/>
          <w:b w:val="0"/>
          <w:bCs w:val="0"/>
          <w:i w:val="0"/>
          <w:iCs w:val="0"/>
          <w:color w:val="000000" w:themeColor="text1"/>
          <w:sz w:val="24"/>
          <w:szCs w:val="24"/>
          <w14:textFill>
            <w14:solidFill>
              <w14:schemeClr w14:val="tx1"/>
            </w14:solidFill>
          </w14:textFill>
        </w:rPr>
        <w:t>的处理效率约为</w:t>
      </w:r>
      <w:r>
        <w:rPr>
          <w:rStyle w:val="79"/>
          <w:rFonts w:hint="eastAsia" w:ascii="宋体" w:hAnsi="宋体" w:eastAsia="宋体" w:cs="宋体"/>
          <w:color w:val="000000" w:themeColor="text1"/>
          <w14:textFill>
            <w14:solidFill>
              <w14:schemeClr w14:val="tx1"/>
            </w14:solidFill>
          </w14:textFill>
        </w:rPr>
        <w:t>3%</w:t>
      </w:r>
      <w:r>
        <w:rPr>
          <w:rFonts w:hint="eastAsia" w:ascii="宋体" w:hAnsi="宋体" w:eastAsia="宋体" w:cs="宋体"/>
          <w:b w:val="0"/>
          <w:bCs w:val="0"/>
          <w:i w:val="0"/>
          <w:iCs w:val="0"/>
          <w:color w:val="000000" w:themeColor="text1"/>
          <w:sz w:val="24"/>
          <w:szCs w:val="24"/>
          <w14:textFill>
            <w14:solidFill>
              <w14:schemeClr w14:val="tx1"/>
            </w14:solidFill>
          </w14:textFill>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t>项目废水排放情况见下表。</w:t>
      </w:r>
    </w:p>
    <w:p>
      <w:pPr>
        <w:keepNext w:val="0"/>
        <w:keepLines w:val="0"/>
        <w:pageBreakBefore w:val="0"/>
        <w:widowControl/>
        <w:kinsoku/>
        <w:wordWrap/>
        <w:overflowPunct/>
        <w:topLinePunct w:val="0"/>
        <w:autoSpaceDE/>
        <w:autoSpaceDN/>
        <w:bidi w:val="0"/>
        <w:adjustRightInd/>
        <w:snapToGrid/>
        <w:spacing w:before="167" w:beforeLines="50" w:after="167" w:afterLines="50" w:line="360" w:lineRule="auto"/>
        <w:ind w:right="0" w:rightChars="0" w:firstLine="0"/>
        <w:jc w:val="center"/>
        <w:textAlignment w:val="auto"/>
        <w:rPr>
          <w:rFonts w:hint="eastAsia" w:ascii="宋体" w:hAnsi="宋体" w:eastAsia="宋体" w:cs="宋体"/>
          <w:b/>
          <w:color w:val="000000" w:themeColor="text1"/>
          <w:szCs w:val="21"/>
          <w:lang w:val="en-US" w:eastAsia="zh-CN"/>
          <w14:textFill>
            <w14:solidFill>
              <w14:schemeClr w14:val="tx1"/>
            </w14:solidFill>
          </w14:textFill>
        </w:rPr>
      </w:pPr>
      <w:r>
        <w:rPr>
          <w:rFonts w:hint="eastAsia" w:ascii="宋体" w:hAnsi="宋体" w:eastAsia="宋体" w:cs="宋体"/>
          <w:b/>
          <w:color w:val="000000" w:themeColor="text1"/>
          <w:szCs w:val="21"/>
          <w:lang w:val="en-US" w:eastAsia="zh-CN"/>
          <w14:textFill>
            <w14:solidFill>
              <w14:schemeClr w14:val="tx1"/>
            </w14:solidFill>
          </w14:textFill>
        </w:rPr>
        <w:t>表3.3.2-1项目废水排放情况一览表</w:t>
      </w:r>
    </w:p>
    <w:tbl>
      <w:tblPr>
        <w:tblStyle w:val="31"/>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6"/>
        <w:gridCol w:w="1497"/>
        <w:gridCol w:w="1497"/>
        <w:gridCol w:w="1072"/>
        <w:gridCol w:w="1156"/>
        <w:gridCol w:w="1127"/>
        <w:gridCol w:w="869"/>
        <w:gridCol w:w="11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pct"/>
            <w:vMerge w:val="restart"/>
            <w:vAlign w:val="center"/>
          </w:tcPr>
          <w:p>
            <w:pPr>
              <w:keepNext w:val="0"/>
              <w:keepLines w:val="0"/>
              <w:pageBreakBefore w:val="0"/>
              <w:widowControl/>
              <w:kinsoku/>
              <w:wordWrap/>
              <w:overflowPunct/>
              <w:topLinePunct w:val="0"/>
              <w:autoSpaceDE/>
              <w:autoSpaceDN/>
              <w:bidi w:val="0"/>
              <w:adjustRightInd/>
              <w:snapToGrid/>
              <w:spacing w:before="167" w:beforeLines="50" w:after="167" w:afterLines="50" w:line="360" w:lineRule="auto"/>
              <w:ind w:right="0" w:rightChars="0" w:firstLine="0"/>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项目</w:t>
            </w:r>
          </w:p>
        </w:tc>
        <w:tc>
          <w:tcPr>
            <w:tcW w:w="760" w:type="pct"/>
            <w:vMerge w:val="restar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用水量t/a</w:t>
            </w:r>
          </w:p>
        </w:tc>
        <w:tc>
          <w:tcPr>
            <w:tcW w:w="760" w:type="pct"/>
            <w:vMerge w:val="restar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排放量t/a</w:t>
            </w:r>
          </w:p>
        </w:tc>
        <w:tc>
          <w:tcPr>
            <w:tcW w:w="544" w:type="pct"/>
            <w:vMerge w:val="restar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污染物名称</w:t>
            </w:r>
          </w:p>
        </w:tc>
        <w:tc>
          <w:tcPr>
            <w:tcW w:w="1159" w:type="pct"/>
            <w:gridSpan w:val="2"/>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污染物产生量</w:t>
            </w:r>
          </w:p>
        </w:tc>
        <w:tc>
          <w:tcPr>
            <w:tcW w:w="1014" w:type="pct"/>
            <w:gridSpan w:val="2"/>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处理后污染物产生量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p>
        </w:tc>
        <w:tc>
          <w:tcPr>
            <w:tcW w:w="760"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p>
        </w:tc>
        <w:tc>
          <w:tcPr>
            <w:tcW w:w="760"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p>
        </w:tc>
        <w:tc>
          <w:tcPr>
            <w:tcW w:w="544"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p>
        </w:tc>
        <w:tc>
          <w:tcPr>
            <w:tcW w:w="587"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浓度mg/L</w:t>
            </w:r>
          </w:p>
        </w:tc>
        <w:tc>
          <w:tcPr>
            <w:tcW w:w="572"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产生量t/a</w:t>
            </w:r>
          </w:p>
        </w:tc>
        <w:tc>
          <w:tcPr>
            <w:tcW w:w="441"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浓度mg/L</w:t>
            </w:r>
          </w:p>
        </w:tc>
        <w:tc>
          <w:tcPr>
            <w:tcW w:w="573"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产生量t/a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pct"/>
            <w:vMerge w:val="restar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地面保洁废水</w:t>
            </w:r>
          </w:p>
        </w:tc>
        <w:tc>
          <w:tcPr>
            <w:tcW w:w="760" w:type="pct"/>
            <w:vMerge w:val="restar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90</w:t>
            </w:r>
          </w:p>
        </w:tc>
        <w:tc>
          <w:tcPr>
            <w:tcW w:w="760" w:type="pct"/>
            <w:vMerge w:val="restar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72</w:t>
            </w:r>
          </w:p>
        </w:tc>
        <w:tc>
          <w:tcPr>
            <w:tcW w:w="54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COD</w:t>
            </w:r>
          </w:p>
        </w:tc>
        <w:tc>
          <w:tcPr>
            <w:tcW w:w="587"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300</w:t>
            </w:r>
          </w:p>
        </w:tc>
        <w:tc>
          <w:tcPr>
            <w:tcW w:w="572"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0.0216</w:t>
            </w:r>
          </w:p>
        </w:tc>
        <w:tc>
          <w:tcPr>
            <w:tcW w:w="441"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240</w:t>
            </w:r>
          </w:p>
        </w:tc>
        <w:tc>
          <w:tcPr>
            <w:tcW w:w="573"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0.0173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p>
        </w:tc>
        <w:tc>
          <w:tcPr>
            <w:tcW w:w="760"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p>
        </w:tc>
        <w:tc>
          <w:tcPr>
            <w:tcW w:w="760"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p>
        </w:tc>
        <w:tc>
          <w:tcPr>
            <w:tcW w:w="54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SS</w:t>
            </w:r>
          </w:p>
        </w:tc>
        <w:tc>
          <w:tcPr>
            <w:tcW w:w="587"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200</w:t>
            </w:r>
          </w:p>
        </w:tc>
        <w:tc>
          <w:tcPr>
            <w:tcW w:w="572"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0.0144</w:t>
            </w:r>
          </w:p>
        </w:tc>
        <w:tc>
          <w:tcPr>
            <w:tcW w:w="441"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150</w:t>
            </w:r>
          </w:p>
        </w:tc>
        <w:tc>
          <w:tcPr>
            <w:tcW w:w="573"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0.0108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p>
        </w:tc>
        <w:tc>
          <w:tcPr>
            <w:tcW w:w="760"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p>
        </w:tc>
        <w:tc>
          <w:tcPr>
            <w:tcW w:w="760"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p>
        </w:tc>
        <w:tc>
          <w:tcPr>
            <w:tcW w:w="54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NH3-N</w:t>
            </w:r>
          </w:p>
        </w:tc>
        <w:tc>
          <w:tcPr>
            <w:tcW w:w="587"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25</w:t>
            </w:r>
          </w:p>
        </w:tc>
        <w:tc>
          <w:tcPr>
            <w:tcW w:w="572"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0.0018</w:t>
            </w:r>
          </w:p>
        </w:tc>
        <w:tc>
          <w:tcPr>
            <w:tcW w:w="441"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25</w:t>
            </w:r>
          </w:p>
        </w:tc>
        <w:tc>
          <w:tcPr>
            <w:tcW w:w="573"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0.0018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p>
        </w:tc>
        <w:tc>
          <w:tcPr>
            <w:tcW w:w="760"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p>
        </w:tc>
        <w:tc>
          <w:tcPr>
            <w:tcW w:w="760"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p>
        </w:tc>
        <w:tc>
          <w:tcPr>
            <w:tcW w:w="54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BOD5</w:t>
            </w:r>
          </w:p>
        </w:tc>
        <w:tc>
          <w:tcPr>
            <w:tcW w:w="587"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100</w:t>
            </w:r>
          </w:p>
        </w:tc>
        <w:tc>
          <w:tcPr>
            <w:tcW w:w="572"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0.0072</w:t>
            </w:r>
          </w:p>
        </w:tc>
        <w:tc>
          <w:tcPr>
            <w:tcW w:w="441"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80</w:t>
            </w:r>
          </w:p>
        </w:tc>
        <w:tc>
          <w:tcPr>
            <w:tcW w:w="573"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0.0072</w:t>
            </w:r>
          </w:p>
        </w:tc>
      </w:tr>
    </w:tbl>
    <w:p>
      <w:pPr>
        <w:pStyle w:val="9"/>
        <w:keepNext w:val="0"/>
        <w:keepLines w:val="0"/>
        <w:pageBreakBefore w:val="0"/>
        <w:widowControl/>
        <w:kinsoku/>
        <w:wordWrap/>
        <w:overflowPunct/>
        <w:topLinePunct w:val="0"/>
        <w:bidi w:val="0"/>
        <w:adjustRightInd/>
        <w:snapToGrid/>
        <w:spacing w:line="360" w:lineRule="auto"/>
        <w:ind w:leftChars="0" w:firstLine="482" w:firstLineChars="20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bookmarkStart w:id="328" w:name="_Toc31801"/>
      <w:bookmarkStart w:id="329" w:name="_Toc27204"/>
      <w:bookmarkStart w:id="330" w:name="_Toc53"/>
      <w:bookmarkStart w:id="331" w:name="_Toc29717"/>
      <w:r>
        <w:rPr>
          <w:rFonts w:hint="eastAsia" w:ascii="宋体" w:hAnsi="宋体" w:eastAsia="宋体" w:cs="宋体"/>
          <w:color w:val="000000" w:themeColor="text1"/>
          <w:sz w:val="24"/>
          <w:szCs w:val="24"/>
          <w:highlight w:val="none"/>
          <w:lang w:val="en-US" w:eastAsia="zh-CN"/>
          <w14:textFill>
            <w14:solidFill>
              <w14:schemeClr w14:val="tx1"/>
            </w14:solidFill>
          </w14:textFill>
        </w:rPr>
        <w:t>3.</w:t>
      </w:r>
      <w:r>
        <w:rPr>
          <w:rFonts w:hint="eastAsia" w:ascii="宋体" w:hAnsi="宋体" w:eastAsia="宋体" w:cs="宋体"/>
          <w:color w:val="000000" w:themeColor="text1"/>
          <w:sz w:val="24"/>
          <w:szCs w:val="24"/>
          <w:highlight w:val="none"/>
          <w:lang w:eastAsia="zh-CN"/>
          <w14:textFill>
            <w14:solidFill>
              <w14:schemeClr w14:val="tx1"/>
            </w14:solidFill>
          </w14:textFill>
        </w:rPr>
        <w:t>3.</w:t>
      </w:r>
      <w:r>
        <w:rPr>
          <w:rFonts w:hint="eastAsia" w:ascii="宋体" w:hAnsi="宋体" w:eastAsia="宋体" w:cs="宋体"/>
          <w:color w:val="000000" w:themeColor="text1"/>
          <w:sz w:val="24"/>
          <w:szCs w:val="24"/>
          <w:highlight w:val="none"/>
          <w:lang w:val="en-US" w:eastAsia="zh-CN"/>
          <w14:textFill>
            <w14:solidFill>
              <w14:schemeClr w14:val="tx1"/>
            </w14:solidFill>
          </w14:textFill>
        </w:rPr>
        <w:t>2.2</w:t>
      </w:r>
      <w:r>
        <w:rPr>
          <w:rFonts w:hint="eastAsia" w:ascii="宋体" w:hAnsi="宋体" w:eastAsia="宋体" w:cs="宋体"/>
          <w:color w:val="000000" w:themeColor="text1"/>
          <w:sz w:val="24"/>
          <w:szCs w:val="24"/>
          <w:highlight w:val="none"/>
          <w:lang w:eastAsia="zh-CN"/>
          <w14:textFill>
            <w14:solidFill>
              <w14:schemeClr w14:val="tx1"/>
            </w14:solidFill>
          </w14:textFill>
        </w:rPr>
        <w:t>废气</w:t>
      </w:r>
    </w:p>
    <w:p>
      <w:pPr>
        <w:keepNext w:val="0"/>
        <w:keepLines w:val="0"/>
        <w:pageBreakBefore w:val="0"/>
        <w:widowControl/>
        <w:kinsoku/>
        <w:wordWrap/>
        <w:overflowPunct/>
        <w:topLinePunct w:val="0"/>
        <w:bidi w:val="0"/>
        <w:adjustRightInd/>
        <w:snapToGrid/>
        <w:spacing w:line="360" w:lineRule="auto"/>
        <w:ind w:leftChars="0" w:firstLine="480" w:firstLineChars="200"/>
        <w:textAlignment w:val="auto"/>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i w:val="0"/>
          <w:iCs w:val="0"/>
          <w:color w:val="000000" w:themeColor="text1"/>
          <w:sz w:val="24"/>
          <w:szCs w:val="24"/>
          <w14:textFill>
            <w14:solidFill>
              <w14:schemeClr w14:val="tx1"/>
            </w14:solidFill>
          </w14:textFill>
        </w:rPr>
        <w:t>本项目产生的废气主要包括投料工序产生废气、</w:t>
      </w:r>
      <w:r>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t>消泡废气、</w:t>
      </w:r>
      <w:r>
        <w:rPr>
          <w:rFonts w:hint="eastAsia" w:ascii="宋体" w:hAnsi="宋体" w:eastAsia="宋体" w:cs="宋体"/>
          <w:b w:val="0"/>
          <w:bCs w:val="0"/>
          <w:i w:val="0"/>
          <w:iCs w:val="0"/>
          <w:color w:val="000000" w:themeColor="text1"/>
          <w:sz w:val="24"/>
          <w:szCs w:val="24"/>
          <w14:textFill>
            <w14:solidFill>
              <w14:schemeClr w14:val="tx1"/>
            </w14:solidFill>
          </w14:textFill>
        </w:rPr>
        <w:t>流涎和烘干拉伸工序产生的</w:t>
      </w:r>
      <w:r>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t>废气、电晕废气以及储罐呼吸废气</w:t>
      </w:r>
      <w:r>
        <w:rPr>
          <w:rFonts w:hint="eastAsia" w:ascii="宋体" w:hAnsi="宋体" w:eastAsia="宋体" w:cs="宋体"/>
          <w:b w:val="0"/>
          <w:bCs w:val="0"/>
          <w:i w:val="0"/>
          <w:iCs w:val="0"/>
          <w:color w:val="000000" w:themeColor="text1"/>
          <w:sz w:val="24"/>
          <w:szCs w:val="24"/>
          <w:lang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line="360" w:lineRule="auto"/>
        <w:ind w:leftChars="0" w:firstLine="482" w:firstLineChars="200"/>
        <w:textAlignment w:val="auto"/>
        <w:outlineLvl w:val="4"/>
        <w:rPr>
          <w:rFonts w:hint="eastAsia" w:ascii="宋体" w:hAnsi="宋体" w:eastAsia="宋体" w:cs="宋体"/>
          <w:b/>
          <w:bCs/>
          <w:i w:val="0"/>
          <w:iCs w:val="0"/>
          <w:color w:val="000000" w:themeColor="text1"/>
          <w:sz w:val="24"/>
          <w:szCs w:val="24"/>
          <w:lang w:val="en-US" w:eastAsia="zh-CN"/>
          <w14:textFill>
            <w14:solidFill>
              <w14:schemeClr w14:val="tx1"/>
            </w14:solidFill>
          </w14:textFill>
        </w:rPr>
      </w:pPr>
      <w:r>
        <w:rPr>
          <w:rFonts w:hint="eastAsia" w:ascii="宋体" w:hAnsi="宋体" w:eastAsia="宋体" w:cs="宋体"/>
          <w:b/>
          <w:bCs/>
          <w:i w:val="0"/>
          <w:iCs w:val="0"/>
          <w:color w:val="000000" w:themeColor="text1"/>
          <w:sz w:val="24"/>
          <w:szCs w:val="24"/>
          <w:lang w:val="en-US" w:eastAsia="zh-CN"/>
          <w14:textFill>
            <w14:solidFill>
              <w14:schemeClr w14:val="tx1"/>
            </w14:solidFill>
          </w14:textFill>
        </w:rPr>
        <w:t>3.3.2.2.1有组织废气</w:t>
      </w:r>
    </w:p>
    <w:p>
      <w:pPr>
        <w:keepNext w:val="0"/>
        <w:keepLines w:val="0"/>
        <w:pageBreakBefore w:val="0"/>
        <w:widowControl/>
        <w:kinsoku/>
        <w:wordWrap/>
        <w:overflowPunct/>
        <w:topLinePunct w:val="0"/>
        <w:bidi w:val="0"/>
        <w:adjustRightInd/>
        <w:snapToGrid/>
        <w:spacing w:line="360" w:lineRule="auto"/>
        <w:ind w:leftChars="0" w:firstLine="480" w:firstLineChars="200"/>
        <w:textAlignment w:val="auto"/>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i w:val="0"/>
          <w:iCs w:val="0"/>
          <w:color w:val="000000" w:themeColor="text1"/>
          <w:sz w:val="24"/>
          <w:szCs w:val="24"/>
          <w14:textFill>
            <w14:solidFill>
              <w14:schemeClr w14:val="tx1"/>
            </w14:solidFill>
          </w14:textFill>
        </w:rPr>
        <w:t>（</w:t>
      </w:r>
      <w:r>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t>1</w:t>
      </w:r>
      <w:r>
        <w:rPr>
          <w:rFonts w:hint="eastAsia" w:ascii="宋体" w:hAnsi="宋体" w:eastAsia="宋体" w:cs="宋体"/>
          <w:b w:val="0"/>
          <w:bCs w:val="0"/>
          <w:i w:val="0"/>
          <w:iCs w:val="0"/>
          <w:color w:val="000000" w:themeColor="text1"/>
          <w:sz w:val="24"/>
          <w:szCs w:val="24"/>
          <w14:textFill>
            <w14:solidFill>
              <w14:schemeClr w14:val="tx1"/>
            </w14:solidFill>
          </w14:textFill>
        </w:rPr>
        <w:t>）</w:t>
      </w:r>
      <w:r>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t>消泡废气（G2）</w:t>
      </w:r>
    </w:p>
    <w:p>
      <w:pPr>
        <w:keepNext w:val="0"/>
        <w:keepLines w:val="0"/>
        <w:pageBreakBefore w:val="0"/>
        <w:widowControl/>
        <w:kinsoku/>
        <w:wordWrap/>
        <w:overflowPunct/>
        <w:topLinePunct w:val="0"/>
        <w:bidi w:val="0"/>
        <w:adjustRightInd/>
        <w:snapToGrid/>
        <w:spacing w:line="360" w:lineRule="auto"/>
        <w:ind w:leftChars="0" w:firstLine="480" w:firstLineChars="200"/>
        <w:textAlignment w:val="auto"/>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t>本项目搅拌溶解工序在搅拌罐内进行，搅拌过程中搅拌罐处于密闭状态，不会有废气产生。搅拌溶解后的胶液中含有少量的气泡，如不消除气泡，会影响后期成膜质量。本项目对搅拌后生成的胶液采用真空泵进行微负压消泡1-2小时，此过程中会产生少量的非甲烷总烃，约为溶剂量的0.1%左右，约为 0.6t/a，以非甲烷总烃计，产生的废气通过真空泵收集后通过管道接入废气处理装置，废气经“三级喷淋+湿电系统”处理后通过 20m 高排气筒排放。本项目三级喷淋处理效率为97.3%（单级为70%），湿电系统处理效率按70%，该措施对非甲烷总烃的总处理效率为99.19%，最终排放的非甲烷总烃的量约为0.0049t/a。</w:t>
      </w:r>
    </w:p>
    <w:p>
      <w:pPr>
        <w:keepNext w:val="0"/>
        <w:keepLines w:val="0"/>
        <w:pageBreakBefore w:val="0"/>
        <w:widowControl/>
        <w:kinsoku/>
        <w:wordWrap/>
        <w:overflowPunct/>
        <w:topLinePunct w:val="0"/>
        <w:bidi w:val="0"/>
        <w:adjustRightInd/>
        <w:snapToGrid/>
        <w:spacing w:line="360" w:lineRule="auto"/>
        <w:ind w:leftChars="0" w:firstLine="480" w:firstLineChars="200"/>
        <w:textAlignment w:val="auto"/>
        <w:rPr>
          <w:rFonts w:hint="eastAsia" w:ascii="宋体" w:hAnsi="宋体" w:eastAsia="宋体" w:cs="宋体"/>
          <w:b w:val="0"/>
          <w:bCs w:val="0"/>
          <w:i w:val="0"/>
          <w:iCs w:val="0"/>
          <w:color w:val="000000" w:themeColor="text1"/>
          <w:sz w:val="24"/>
          <w:szCs w:val="24"/>
          <w:lang w:eastAsia="zh-CN"/>
          <w14:textFill>
            <w14:solidFill>
              <w14:schemeClr w14:val="tx1"/>
            </w14:solidFill>
          </w14:textFill>
        </w:rPr>
      </w:pPr>
      <w:r>
        <w:rPr>
          <w:rFonts w:hint="eastAsia" w:ascii="宋体" w:hAnsi="宋体" w:eastAsia="宋体" w:cs="宋体"/>
          <w:b w:val="0"/>
          <w:bCs w:val="0"/>
          <w:i w:val="0"/>
          <w:iCs w:val="0"/>
          <w:color w:val="000000" w:themeColor="text1"/>
          <w:sz w:val="24"/>
          <w:szCs w:val="24"/>
          <w:lang w:eastAsia="zh-CN"/>
          <w14:textFill>
            <w14:solidFill>
              <w14:schemeClr w14:val="tx1"/>
            </w14:solidFill>
          </w14:textFill>
        </w:rPr>
        <w:t>（</w:t>
      </w:r>
      <w:r>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t>2</w:t>
      </w:r>
      <w:r>
        <w:rPr>
          <w:rFonts w:hint="eastAsia" w:ascii="宋体" w:hAnsi="宋体" w:eastAsia="宋体" w:cs="宋体"/>
          <w:b w:val="0"/>
          <w:bCs w:val="0"/>
          <w:i w:val="0"/>
          <w:iCs w:val="0"/>
          <w:color w:val="000000" w:themeColor="text1"/>
          <w:sz w:val="24"/>
          <w:szCs w:val="24"/>
          <w:lang w:eastAsia="zh-CN"/>
          <w14:textFill>
            <w14:solidFill>
              <w14:schemeClr w14:val="tx1"/>
            </w14:solidFill>
          </w14:textFill>
        </w:rPr>
        <w:t>）</w:t>
      </w:r>
      <w:r>
        <w:rPr>
          <w:rFonts w:hint="eastAsia" w:ascii="宋体" w:hAnsi="宋体" w:eastAsia="宋体" w:cs="宋体"/>
          <w:b w:val="0"/>
          <w:bCs w:val="0"/>
          <w:i w:val="0"/>
          <w:iCs w:val="0"/>
          <w:color w:val="000000" w:themeColor="text1"/>
          <w:sz w:val="24"/>
          <w:szCs w:val="24"/>
          <w14:textFill>
            <w14:solidFill>
              <w14:schemeClr w14:val="tx1"/>
            </w14:solidFill>
          </w14:textFill>
        </w:rPr>
        <w:t>流涎和</w:t>
      </w:r>
      <w:r>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t>亚胺化</w:t>
      </w:r>
      <w:r>
        <w:rPr>
          <w:rFonts w:hint="eastAsia" w:ascii="宋体" w:hAnsi="宋体" w:eastAsia="宋体" w:cs="宋体"/>
          <w:b w:val="0"/>
          <w:bCs w:val="0"/>
          <w:i w:val="0"/>
          <w:iCs w:val="0"/>
          <w:color w:val="000000" w:themeColor="text1"/>
          <w:sz w:val="24"/>
          <w:szCs w:val="24"/>
          <w14:textFill>
            <w14:solidFill>
              <w14:schemeClr w14:val="tx1"/>
            </w14:solidFill>
          </w14:textFill>
        </w:rPr>
        <w:t>工序产生的溶剂蒸汽</w:t>
      </w:r>
      <w:r>
        <w:rPr>
          <w:rFonts w:hint="eastAsia" w:ascii="宋体" w:hAnsi="宋体" w:eastAsia="宋体" w:cs="宋体"/>
          <w:b w:val="0"/>
          <w:bCs w:val="0"/>
          <w:i w:val="0"/>
          <w:iCs w:val="0"/>
          <w:color w:val="000000" w:themeColor="text1"/>
          <w:sz w:val="24"/>
          <w:szCs w:val="24"/>
          <w:lang w:eastAsia="zh-CN"/>
          <w14:textFill>
            <w14:solidFill>
              <w14:schemeClr w14:val="tx1"/>
            </w14:solidFill>
          </w14:textFill>
        </w:rPr>
        <w:t>（</w:t>
      </w:r>
      <w:r>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t>G3、G4</w:t>
      </w:r>
      <w:r>
        <w:rPr>
          <w:rFonts w:hint="eastAsia" w:ascii="宋体" w:hAnsi="宋体" w:eastAsia="宋体" w:cs="宋体"/>
          <w:b w:val="0"/>
          <w:bCs w:val="0"/>
          <w:i w:val="0"/>
          <w:iCs w:val="0"/>
          <w:color w:val="000000" w:themeColor="text1"/>
          <w:sz w:val="24"/>
          <w:szCs w:val="24"/>
          <w:lang w:eastAsia="zh-CN"/>
          <w14:textFill>
            <w14:solidFill>
              <w14:schemeClr w14:val="tx1"/>
            </w14:solidFill>
          </w14:textFill>
        </w:rPr>
        <w:t>）</w:t>
      </w:r>
    </w:p>
    <w:p>
      <w:pPr>
        <w:keepNext w:val="0"/>
        <w:keepLines w:val="0"/>
        <w:pageBreakBefore w:val="0"/>
        <w:widowControl/>
        <w:kinsoku/>
        <w:wordWrap/>
        <w:overflowPunct/>
        <w:topLinePunct w:val="0"/>
        <w:bidi w:val="0"/>
        <w:adjustRightInd/>
        <w:snapToGrid/>
        <w:spacing w:line="360" w:lineRule="auto"/>
        <w:ind w:leftChars="0" w:firstLine="480" w:firstLineChars="200"/>
        <w:textAlignment w:val="auto"/>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i w:val="0"/>
          <w:iCs w:val="0"/>
          <w:color w:val="000000" w:themeColor="text1"/>
          <w:sz w:val="24"/>
          <w:szCs w:val="24"/>
          <w:lang w:eastAsia="zh-CN"/>
          <w14:textFill>
            <w14:solidFill>
              <w14:schemeClr w14:val="tx1"/>
            </w14:solidFill>
          </w14:textFill>
        </w:rPr>
        <w:t>流涎成膜工序温度较高，超过溶剂DMAC 的沸点温度，会有约</w:t>
      </w:r>
      <w:r>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t>90</w:t>
      </w:r>
      <w:r>
        <w:rPr>
          <w:rFonts w:hint="eastAsia" w:ascii="宋体" w:hAnsi="宋体" w:eastAsia="宋体" w:cs="宋体"/>
          <w:b w:val="0"/>
          <w:bCs w:val="0"/>
          <w:i w:val="0"/>
          <w:iCs w:val="0"/>
          <w:color w:val="000000" w:themeColor="text1"/>
          <w:sz w:val="24"/>
          <w:szCs w:val="24"/>
          <w:lang w:eastAsia="zh-CN"/>
          <w14:textFill>
            <w14:solidFill>
              <w14:schemeClr w14:val="tx1"/>
            </w14:solidFill>
          </w14:textFill>
        </w:rPr>
        <w:t>%的DMAC挥发</w:t>
      </w:r>
      <w:r>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t>,剩余10%进入亚胺化工序，DMAC会在流延和亚胺化阶段全部挥发出来。</w:t>
      </w:r>
    </w:p>
    <w:p>
      <w:pPr>
        <w:keepNext w:val="0"/>
        <w:keepLines w:val="0"/>
        <w:pageBreakBefore w:val="0"/>
        <w:widowControl/>
        <w:kinsoku/>
        <w:wordWrap/>
        <w:overflowPunct/>
        <w:topLinePunct w:val="0"/>
        <w:bidi w:val="0"/>
        <w:adjustRightInd/>
        <w:snapToGrid/>
        <w:spacing w:line="360" w:lineRule="auto"/>
        <w:ind w:leftChars="0" w:firstLine="480" w:firstLineChars="200"/>
        <w:textAlignment w:val="auto"/>
        <w:rPr>
          <w:rFonts w:hint="eastAsia" w:ascii="宋体" w:hAnsi="宋体" w:eastAsia="宋体" w:cs="宋体"/>
          <w:b w:val="0"/>
          <w:bCs w:val="0"/>
          <w:i w:val="0"/>
          <w:iCs w:val="0"/>
          <w:color w:val="000000" w:themeColor="text1"/>
          <w:sz w:val="24"/>
          <w:szCs w:val="24"/>
          <w14:textFill>
            <w14:solidFill>
              <w14:schemeClr w14:val="tx1"/>
            </w14:solidFill>
          </w14:textFill>
        </w:rPr>
      </w:pPr>
      <w:r>
        <w:rPr>
          <w:rFonts w:hint="eastAsia" w:ascii="宋体" w:hAnsi="宋体" w:eastAsia="宋体" w:cs="宋体"/>
          <w:b w:val="0"/>
          <w:bCs w:val="0"/>
          <w:i w:val="0"/>
          <w:iCs w:val="0"/>
          <w:color w:val="000000" w:themeColor="text1"/>
          <w:sz w:val="24"/>
          <w:szCs w:val="24"/>
          <w14:textFill>
            <w14:solidFill>
              <w14:schemeClr w14:val="tx1"/>
            </w14:solidFill>
          </w14:textFill>
        </w:rPr>
        <w:t>蒸发出来的溶剂经二级换热器换热后再通过冷凝回收溶剂，冷凝回收后的不凝气经</w:t>
      </w:r>
      <w:r>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t>“三级喷淋+湿电系统”</w:t>
      </w:r>
      <w:r>
        <w:rPr>
          <w:rFonts w:hint="eastAsia" w:ascii="宋体" w:hAnsi="宋体" w:eastAsia="宋体" w:cs="宋体"/>
          <w:b w:val="0"/>
          <w:bCs w:val="0"/>
          <w:i w:val="0"/>
          <w:iCs w:val="0"/>
          <w:color w:val="000000" w:themeColor="text1"/>
          <w:sz w:val="24"/>
          <w:szCs w:val="24"/>
          <w14:textFill>
            <w14:solidFill>
              <w14:schemeClr w14:val="tx1"/>
            </w14:solidFill>
          </w14:textFill>
        </w:rPr>
        <w:t>处理后通过20m高排气筒排放。</w:t>
      </w:r>
      <w:r>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t>四级</w:t>
      </w:r>
      <w:r>
        <w:rPr>
          <w:rFonts w:hint="eastAsia" w:ascii="宋体" w:hAnsi="宋体" w:eastAsia="宋体" w:cs="宋体"/>
          <w:b w:val="0"/>
          <w:bCs w:val="0"/>
          <w:i w:val="0"/>
          <w:iCs w:val="0"/>
          <w:color w:val="000000" w:themeColor="text1"/>
          <w:sz w:val="24"/>
          <w:szCs w:val="24"/>
          <w14:textFill>
            <w14:solidFill>
              <w14:schemeClr w14:val="tx1"/>
            </w14:solidFill>
          </w14:textFill>
        </w:rPr>
        <w:t>冷凝回收对溶剂的回收效率约为9</w:t>
      </w:r>
      <w:r>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t>7.44</w:t>
      </w:r>
      <w:r>
        <w:rPr>
          <w:rFonts w:hint="eastAsia" w:ascii="宋体" w:hAnsi="宋体" w:eastAsia="宋体" w:cs="宋体"/>
          <w:b w:val="0"/>
          <w:bCs w:val="0"/>
          <w:i w:val="0"/>
          <w:iCs w:val="0"/>
          <w:color w:val="000000" w:themeColor="text1"/>
          <w:sz w:val="24"/>
          <w:szCs w:val="24"/>
          <w14:textFill>
            <w14:solidFill>
              <w14:schemeClr w14:val="tx1"/>
            </w14:solidFill>
          </w14:textFill>
        </w:rPr>
        <w:t>%</w:t>
      </w:r>
      <w:r>
        <w:rPr>
          <w:rFonts w:hint="eastAsia" w:ascii="宋体" w:hAnsi="宋体" w:eastAsia="宋体" w:cs="宋体"/>
          <w:b w:val="0"/>
          <w:bCs w:val="0"/>
          <w:i w:val="0"/>
          <w:iCs w:val="0"/>
          <w:color w:val="000000" w:themeColor="text1"/>
          <w:sz w:val="24"/>
          <w:szCs w:val="24"/>
          <w:lang w:eastAsia="zh-CN"/>
          <w14:textFill>
            <w14:solidFill>
              <w14:schemeClr w14:val="tx1"/>
            </w14:solidFill>
          </w14:textFill>
        </w:rPr>
        <w:t>（</w:t>
      </w:r>
      <w:r>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t>根据设备厂家实验结果，每级冷凝效率按60%</w:t>
      </w:r>
      <w:r>
        <w:rPr>
          <w:rFonts w:hint="eastAsia" w:ascii="宋体" w:hAnsi="宋体" w:eastAsia="宋体" w:cs="宋体"/>
          <w:b w:val="0"/>
          <w:bCs w:val="0"/>
          <w:i w:val="0"/>
          <w:iCs w:val="0"/>
          <w:color w:val="000000" w:themeColor="text1"/>
          <w:sz w:val="24"/>
          <w:szCs w:val="24"/>
          <w:lang w:eastAsia="zh-CN"/>
          <w14:textFill>
            <w14:solidFill>
              <w14:schemeClr w14:val="tx1"/>
            </w14:solidFill>
          </w14:textFill>
        </w:rPr>
        <w:t>）</w:t>
      </w:r>
      <w:r>
        <w:rPr>
          <w:rFonts w:hint="eastAsia" w:ascii="宋体" w:hAnsi="宋体" w:eastAsia="宋体" w:cs="宋体"/>
          <w:b w:val="0"/>
          <w:bCs w:val="0"/>
          <w:i w:val="0"/>
          <w:iCs w:val="0"/>
          <w:color w:val="000000" w:themeColor="text1"/>
          <w:sz w:val="24"/>
          <w:szCs w:val="24"/>
          <w14:textFill>
            <w14:solidFill>
              <w14:schemeClr w14:val="tx1"/>
            </w14:solidFill>
          </w14:textFill>
        </w:rPr>
        <w:t>，</w:t>
      </w:r>
      <w:r>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t>本项目三级喷淋处理效率为97.3%（单级为70%），湿电系统处理效率按70%，该措施对非甲烷总烃的总处理效率为99.19%</w:t>
      </w:r>
      <w:r>
        <w:rPr>
          <w:rFonts w:hint="eastAsia" w:ascii="宋体" w:hAnsi="宋体" w:eastAsia="宋体" w:cs="宋体"/>
          <w:b w:val="0"/>
          <w:bCs w:val="0"/>
          <w:i w:val="0"/>
          <w:iCs w:val="0"/>
          <w:color w:val="000000" w:themeColor="text1"/>
          <w:sz w:val="24"/>
          <w:szCs w:val="24"/>
          <w14:textFill>
            <w14:solidFill>
              <w14:schemeClr w14:val="tx1"/>
            </w14:solidFill>
          </w14:textFill>
        </w:rPr>
        <w:t>，最终排放的非甲烷总烃的量约为</w:t>
      </w:r>
      <w:r>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t>0.112</w:t>
      </w:r>
      <w:r>
        <w:rPr>
          <w:rFonts w:hint="eastAsia" w:ascii="宋体" w:hAnsi="宋体" w:eastAsia="宋体" w:cs="宋体"/>
          <w:b w:val="0"/>
          <w:bCs w:val="0"/>
          <w:i w:val="0"/>
          <w:iCs w:val="0"/>
          <w:color w:val="000000" w:themeColor="text1"/>
          <w:sz w:val="24"/>
          <w:szCs w:val="24"/>
          <w14:textFill>
            <w14:solidFill>
              <w14:schemeClr w14:val="tx1"/>
            </w14:solidFill>
          </w14:textFill>
        </w:rPr>
        <w:t>t/a。</w:t>
      </w:r>
    </w:p>
    <w:p>
      <w:pPr>
        <w:keepNext w:val="0"/>
        <w:keepLines w:val="0"/>
        <w:pageBreakBefore w:val="0"/>
        <w:widowControl/>
        <w:kinsoku/>
        <w:wordWrap/>
        <w:overflowPunct/>
        <w:topLinePunct w:val="0"/>
        <w:bidi w:val="0"/>
        <w:adjustRightInd/>
        <w:snapToGrid/>
        <w:spacing w:line="360" w:lineRule="auto"/>
        <w:ind w:leftChars="0" w:firstLine="480" w:firstLineChars="200"/>
        <w:textAlignment w:val="auto"/>
        <w:rPr>
          <w:rFonts w:hint="eastAsia" w:ascii="宋体" w:hAnsi="宋体" w:eastAsia="宋体" w:cs="宋体"/>
          <w:b w:val="0"/>
          <w:bCs w:val="0"/>
          <w:i w:val="0"/>
          <w:iCs w:val="0"/>
          <w:color w:val="000000" w:themeColor="text1"/>
          <w:sz w:val="24"/>
          <w:szCs w:val="24"/>
          <w:lang w:eastAsia="zh-CN"/>
          <w14:textFill>
            <w14:solidFill>
              <w14:schemeClr w14:val="tx1"/>
            </w14:solidFill>
          </w14:textFill>
        </w:rPr>
      </w:pPr>
      <w:r>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t>亚胺化</w:t>
      </w:r>
      <w:r>
        <w:rPr>
          <w:rFonts w:hint="eastAsia" w:ascii="宋体" w:hAnsi="宋体" w:eastAsia="宋体" w:cs="宋体"/>
          <w:b w:val="0"/>
          <w:bCs w:val="0"/>
          <w:i w:val="0"/>
          <w:iCs w:val="0"/>
          <w:color w:val="000000" w:themeColor="text1"/>
          <w:sz w:val="24"/>
          <w:szCs w:val="24"/>
          <w14:textFill>
            <w14:solidFill>
              <w14:schemeClr w14:val="tx1"/>
            </w14:solidFill>
          </w14:textFill>
        </w:rPr>
        <w:t>工序对已经蒸发掉大部分的胶液继续进行加热，加热温度约为400℃，蒸发掉剩余的溶剂，但仍有少部分的溶剂会进入聚酰亚胺薄膜，占到0.1%左右，亚胺化过程中生成的水和剩余的溶剂蒸发出来后一起经二级换热器换热后通过</w:t>
      </w:r>
      <w:r>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t>一级</w:t>
      </w:r>
      <w:r>
        <w:rPr>
          <w:rFonts w:hint="eastAsia" w:ascii="宋体" w:hAnsi="宋体" w:eastAsia="宋体" w:cs="宋体"/>
          <w:b w:val="0"/>
          <w:bCs w:val="0"/>
          <w:i w:val="0"/>
          <w:iCs w:val="0"/>
          <w:color w:val="000000" w:themeColor="text1"/>
          <w:sz w:val="24"/>
          <w:szCs w:val="24"/>
          <w14:textFill>
            <w14:solidFill>
              <w14:schemeClr w14:val="tx1"/>
            </w14:solidFill>
          </w14:textFill>
        </w:rPr>
        <w:t>冷凝器回收溶剂后进入</w:t>
      </w:r>
      <w:r>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t>“二级喷淋+湿电系统”</w:t>
      </w:r>
      <w:r>
        <w:rPr>
          <w:rFonts w:hint="eastAsia" w:ascii="宋体" w:hAnsi="宋体" w:eastAsia="宋体" w:cs="宋体"/>
          <w:b w:val="0"/>
          <w:bCs w:val="0"/>
          <w:i w:val="0"/>
          <w:iCs w:val="0"/>
          <w:color w:val="000000" w:themeColor="text1"/>
          <w:sz w:val="24"/>
          <w:szCs w:val="24"/>
          <w14:textFill>
            <w14:solidFill>
              <w14:schemeClr w14:val="tx1"/>
            </w14:solidFill>
          </w14:textFill>
        </w:rPr>
        <w:t>处理装置。</w:t>
      </w:r>
      <w:r>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t>一级</w:t>
      </w:r>
      <w:r>
        <w:rPr>
          <w:rFonts w:hint="eastAsia" w:ascii="宋体" w:hAnsi="宋体" w:eastAsia="宋体" w:cs="宋体"/>
          <w:b w:val="0"/>
          <w:bCs w:val="0"/>
          <w:i w:val="0"/>
          <w:iCs w:val="0"/>
          <w:color w:val="000000" w:themeColor="text1"/>
          <w:sz w:val="24"/>
          <w:szCs w:val="24"/>
          <w14:textFill>
            <w14:solidFill>
              <w14:schemeClr w14:val="tx1"/>
            </w14:solidFill>
          </w14:textFill>
        </w:rPr>
        <w:t>冷凝回收对溶剂的回收效率约为</w:t>
      </w:r>
      <w:r>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t>6</w:t>
      </w:r>
      <w:r>
        <w:rPr>
          <w:rFonts w:hint="eastAsia" w:ascii="宋体" w:hAnsi="宋体" w:eastAsia="宋体" w:cs="宋体"/>
          <w:b w:val="0"/>
          <w:bCs w:val="0"/>
          <w:i w:val="0"/>
          <w:iCs w:val="0"/>
          <w:color w:val="000000" w:themeColor="text1"/>
          <w:sz w:val="24"/>
          <w:szCs w:val="24"/>
          <w14:textFill>
            <w14:solidFill>
              <w14:schemeClr w14:val="tx1"/>
            </w14:solidFill>
          </w14:textFill>
        </w:rPr>
        <w:t>0%，对水蒸气的冷凝效率约为100%</w:t>
      </w:r>
      <w:r>
        <w:rPr>
          <w:rFonts w:hint="eastAsia" w:ascii="宋体" w:hAnsi="宋体" w:eastAsia="宋体" w:cs="宋体"/>
          <w:b w:val="0"/>
          <w:bCs w:val="0"/>
          <w:i w:val="0"/>
          <w:iCs w:val="0"/>
          <w:color w:val="000000" w:themeColor="text1"/>
          <w:sz w:val="24"/>
          <w:szCs w:val="24"/>
          <w:lang w:eastAsia="zh-CN"/>
          <w14:textFill>
            <w14:solidFill>
              <w14:schemeClr w14:val="tx1"/>
            </w14:solidFill>
          </w14:textFill>
        </w:rPr>
        <w:t>（</w:t>
      </w:r>
      <w:r>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t>根据原子守恒，亚胺化脱水生产的水约为35.681t/a</w:t>
      </w:r>
      <w:r>
        <w:rPr>
          <w:rFonts w:hint="eastAsia" w:ascii="宋体" w:hAnsi="宋体" w:eastAsia="宋体" w:cs="宋体"/>
          <w:b w:val="0"/>
          <w:bCs w:val="0"/>
          <w:i w:val="0"/>
          <w:iCs w:val="0"/>
          <w:color w:val="000000" w:themeColor="text1"/>
          <w:sz w:val="24"/>
          <w:szCs w:val="24"/>
          <w:lang w:eastAsia="zh-CN"/>
          <w14:textFill>
            <w14:solidFill>
              <w14:schemeClr w14:val="tx1"/>
            </w14:solidFill>
          </w14:textFill>
        </w:rPr>
        <w:t>）</w:t>
      </w:r>
      <w:r>
        <w:rPr>
          <w:rFonts w:hint="eastAsia" w:ascii="宋体" w:hAnsi="宋体" w:eastAsia="宋体" w:cs="宋体"/>
          <w:b w:val="0"/>
          <w:bCs w:val="0"/>
          <w:i w:val="0"/>
          <w:iCs w:val="0"/>
          <w:color w:val="000000" w:themeColor="text1"/>
          <w:sz w:val="24"/>
          <w:szCs w:val="24"/>
          <w14:textFill>
            <w14:solidFill>
              <w14:schemeClr w14:val="tx1"/>
            </w14:solidFill>
          </w14:textFill>
        </w:rPr>
        <w:t>，</w:t>
      </w:r>
      <w:r>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t>“二级喷淋+湿电系统”对非甲烷总烃的总处理效率为97.3%（单级为70%，湿电系统处理效率按70%计算）</w:t>
      </w:r>
      <w:r>
        <w:rPr>
          <w:rFonts w:hint="eastAsia" w:ascii="宋体" w:hAnsi="宋体" w:eastAsia="宋体" w:cs="宋体"/>
          <w:b w:val="0"/>
          <w:bCs w:val="0"/>
          <w:i w:val="0"/>
          <w:iCs w:val="0"/>
          <w:color w:val="000000" w:themeColor="text1"/>
          <w:sz w:val="24"/>
          <w:szCs w:val="24"/>
          <w14:textFill>
            <w14:solidFill>
              <w14:schemeClr w14:val="tx1"/>
            </w14:solidFill>
          </w14:textFill>
        </w:rPr>
        <w:t>，最终排放的非甲烷总烃的量约为0.</w:t>
      </w:r>
      <w:r>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t>646</w:t>
      </w:r>
      <w:r>
        <w:rPr>
          <w:rFonts w:hint="eastAsia" w:ascii="宋体" w:hAnsi="宋体" w:eastAsia="宋体" w:cs="宋体"/>
          <w:b w:val="0"/>
          <w:bCs w:val="0"/>
          <w:i w:val="0"/>
          <w:iCs w:val="0"/>
          <w:color w:val="000000" w:themeColor="text1"/>
          <w:sz w:val="24"/>
          <w:szCs w:val="24"/>
          <w14:textFill>
            <w14:solidFill>
              <w14:schemeClr w14:val="tx1"/>
            </w14:solidFill>
          </w14:textFill>
        </w:rPr>
        <w:t>t/a。</w:t>
      </w:r>
    </w:p>
    <w:p>
      <w:pPr>
        <w:keepNext w:val="0"/>
        <w:keepLines w:val="0"/>
        <w:pageBreakBefore w:val="0"/>
        <w:widowControl/>
        <w:kinsoku/>
        <w:wordWrap/>
        <w:overflowPunct/>
        <w:topLinePunct w:val="0"/>
        <w:bidi w:val="0"/>
        <w:adjustRightInd/>
        <w:snapToGrid/>
        <w:spacing w:line="360" w:lineRule="auto"/>
        <w:ind w:leftChars="0" w:firstLine="480" w:firstLineChars="200"/>
        <w:textAlignment w:val="auto"/>
        <w:rPr>
          <w:rFonts w:hint="eastAsia" w:ascii="宋体" w:hAnsi="宋体" w:eastAsia="宋体" w:cs="宋体"/>
          <w:b w:val="0"/>
          <w:bCs w:val="0"/>
          <w:i w:val="0"/>
          <w:iCs w:val="0"/>
          <w:color w:val="000000" w:themeColor="text1"/>
          <w:sz w:val="24"/>
          <w:szCs w:val="24"/>
          <w:u w:val="single"/>
          <w:lang w:val="en-US" w:eastAsia="zh-CN"/>
          <w14:textFill>
            <w14:solidFill>
              <w14:schemeClr w14:val="tx1"/>
            </w14:solidFill>
          </w14:textFill>
        </w:rPr>
      </w:pPr>
      <w:r>
        <w:rPr>
          <w:rFonts w:hint="eastAsia" w:ascii="宋体" w:hAnsi="宋体" w:eastAsia="宋体" w:cs="宋体"/>
          <w:b w:val="0"/>
          <w:bCs w:val="0"/>
          <w:i w:val="0"/>
          <w:iCs w:val="0"/>
          <w:color w:val="000000" w:themeColor="text1"/>
          <w:sz w:val="24"/>
          <w:szCs w:val="24"/>
          <w:u w:val="single"/>
          <w:lang w:eastAsia="zh-CN"/>
          <w14:textFill>
            <w14:solidFill>
              <w14:schemeClr w14:val="tx1"/>
            </w14:solidFill>
          </w14:textFill>
        </w:rPr>
        <w:t>项目流涎</w:t>
      </w:r>
      <w:r>
        <w:rPr>
          <w:rFonts w:hint="eastAsia" w:ascii="宋体" w:hAnsi="宋体" w:eastAsia="宋体" w:cs="宋体"/>
          <w:b w:val="0"/>
          <w:bCs w:val="0"/>
          <w:i w:val="0"/>
          <w:iCs w:val="0"/>
          <w:color w:val="000000" w:themeColor="text1"/>
          <w:sz w:val="24"/>
          <w:szCs w:val="24"/>
          <w:u w:val="single"/>
          <w:lang w:val="en-US" w:eastAsia="zh-CN"/>
          <w14:textFill>
            <w14:solidFill>
              <w14:schemeClr w14:val="tx1"/>
            </w14:solidFill>
          </w14:textFill>
        </w:rPr>
        <w:t>和</w:t>
      </w:r>
      <w:r>
        <w:rPr>
          <w:rFonts w:hint="eastAsia" w:ascii="宋体" w:hAnsi="宋体" w:eastAsia="宋体" w:cs="宋体"/>
          <w:b w:val="0"/>
          <w:bCs w:val="0"/>
          <w:i w:val="0"/>
          <w:iCs w:val="0"/>
          <w:color w:val="000000" w:themeColor="text1"/>
          <w:sz w:val="24"/>
          <w:szCs w:val="24"/>
          <w:u w:val="single"/>
          <w:lang w:eastAsia="zh-CN"/>
          <w14:textFill>
            <w14:solidFill>
              <w14:schemeClr w14:val="tx1"/>
            </w14:solidFill>
          </w14:textFill>
        </w:rPr>
        <w:t>亚胺化工序氨产生量类比《铜陵邦杰新材料有限公司聚酰亚胺薄膜系列产品生产项目环境影响报告书》中的产污系数，该项目建设20条聚酰亚胺薄膜生产线，年产聚酰亚胺薄膜800t，20条聚酰亚胺薄膜生产线氨产生量约</w:t>
      </w:r>
      <w:r>
        <w:rPr>
          <w:rFonts w:hint="eastAsia" w:ascii="宋体" w:hAnsi="宋体" w:eastAsia="宋体" w:cs="宋体"/>
          <w:b w:val="0"/>
          <w:bCs w:val="0"/>
          <w:i w:val="0"/>
          <w:iCs w:val="0"/>
          <w:color w:val="000000" w:themeColor="text1"/>
          <w:sz w:val="24"/>
          <w:szCs w:val="24"/>
          <w:u w:val="single"/>
          <w:lang w:val="en-US" w:eastAsia="zh-CN"/>
          <w14:textFill>
            <w14:solidFill>
              <w14:schemeClr w14:val="tx1"/>
            </w14:solidFill>
          </w14:textFill>
        </w:rPr>
        <w:t>2.065</w:t>
      </w:r>
      <w:r>
        <w:rPr>
          <w:rFonts w:hint="eastAsia" w:ascii="宋体" w:hAnsi="宋体" w:eastAsia="宋体" w:cs="宋体"/>
          <w:b w:val="0"/>
          <w:bCs w:val="0"/>
          <w:i w:val="0"/>
          <w:iCs w:val="0"/>
          <w:color w:val="000000" w:themeColor="text1"/>
          <w:sz w:val="24"/>
          <w:szCs w:val="24"/>
          <w:u w:val="single"/>
          <w:lang w:eastAsia="zh-CN"/>
          <w14:textFill>
            <w14:solidFill>
              <w14:schemeClr w14:val="tx1"/>
            </w14:solidFill>
          </w14:textFill>
        </w:rPr>
        <w:t>t/a。</w:t>
      </w:r>
      <w:r>
        <w:rPr>
          <w:rFonts w:hint="eastAsia" w:ascii="宋体" w:hAnsi="宋体" w:eastAsia="宋体" w:cs="宋体"/>
          <w:b w:val="0"/>
          <w:bCs w:val="0"/>
          <w:i w:val="0"/>
          <w:iCs w:val="0"/>
          <w:color w:val="000000" w:themeColor="text1"/>
          <w:sz w:val="24"/>
          <w:szCs w:val="24"/>
          <w:u w:val="single"/>
          <w:lang w:val="en-US" w:eastAsia="zh-CN"/>
          <w14:textFill>
            <w14:solidFill>
              <w14:schemeClr w14:val="tx1"/>
            </w14:solidFill>
          </w14:textFill>
        </w:rPr>
        <w:t>本</w:t>
      </w:r>
      <w:r>
        <w:rPr>
          <w:rFonts w:hint="eastAsia" w:ascii="宋体" w:hAnsi="宋体" w:eastAsia="宋体" w:cs="宋体"/>
          <w:b w:val="0"/>
          <w:bCs w:val="0"/>
          <w:i w:val="0"/>
          <w:iCs w:val="0"/>
          <w:color w:val="000000" w:themeColor="text1"/>
          <w:sz w:val="24"/>
          <w:szCs w:val="24"/>
          <w:u w:val="single"/>
          <w:lang w:eastAsia="zh-CN"/>
          <w14:textFill>
            <w14:solidFill>
              <w14:schemeClr w14:val="tx1"/>
            </w14:solidFill>
          </w14:textFill>
        </w:rPr>
        <w:t>项目建设</w:t>
      </w:r>
      <w:r>
        <w:rPr>
          <w:rFonts w:hint="eastAsia" w:ascii="宋体" w:hAnsi="宋体" w:eastAsia="宋体" w:cs="宋体"/>
          <w:b w:val="0"/>
          <w:bCs w:val="0"/>
          <w:i w:val="0"/>
          <w:iCs w:val="0"/>
          <w:color w:val="000000" w:themeColor="text1"/>
          <w:sz w:val="24"/>
          <w:szCs w:val="24"/>
          <w:u w:val="single"/>
          <w:lang w:val="en-US" w:eastAsia="zh-CN"/>
          <w14:textFill>
            <w14:solidFill>
              <w14:schemeClr w14:val="tx1"/>
            </w14:solidFill>
          </w14:textFill>
        </w:rPr>
        <w:t>2</w:t>
      </w:r>
      <w:r>
        <w:rPr>
          <w:rFonts w:hint="eastAsia" w:ascii="宋体" w:hAnsi="宋体" w:eastAsia="宋体" w:cs="宋体"/>
          <w:b w:val="0"/>
          <w:bCs w:val="0"/>
          <w:i w:val="0"/>
          <w:iCs w:val="0"/>
          <w:color w:val="000000" w:themeColor="text1"/>
          <w:sz w:val="24"/>
          <w:szCs w:val="24"/>
          <w:u w:val="single"/>
          <w:lang w:eastAsia="zh-CN"/>
          <w14:textFill>
            <w14:solidFill>
              <w14:schemeClr w14:val="tx1"/>
            </w14:solidFill>
          </w14:textFill>
        </w:rPr>
        <w:t>条聚酰亚胺薄膜生产线，年产聚酰亚胺薄膜</w:t>
      </w:r>
      <w:r>
        <w:rPr>
          <w:rFonts w:hint="eastAsia" w:ascii="宋体" w:hAnsi="宋体" w:eastAsia="宋体" w:cs="宋体"/>
          <w:b w:val="0"/>
          <w:bCs w:val="0"/>
          <w:i w:val="0"/>
          <w:iCs w:val="0"/>
          <w:color w:val="000000" w:themeColor="text1"/>
          <w:sz w:val="24"/>
          <w:szCs w:val="24"/>
          <w:u w:val="single"/>
          <w:lang w:val="en-US" w:eastAsia="zh-CN"/>
          <w14:textFill>
            <w14:solidFill>
              <w14:schemeClr w14:val="tx1"/>
            </w14:solidFill>
          </w14:textFill>
        </w:rPr>
        <w:t>20</w:t>
      </w:r>
      <w:r>
        <w:rPr>
          <w:rFonts w:hint="eastAsia" w:ascii="宋体" w:hAnsi="宋体" w:eastAsia="宋体" w:cs="宋体"/>
          <w:b w:val="0"/>
          <w:bCs w:val="0"/>
          <w:i w:val="0"/>
          <w:iCs w:val="0"/>
          <w:color w:val="000000" w:themeColor="text1"/>
          <w:sz w:val="24"/>
          <w:szCs w:val="24"/>
          <w:u w:val="single"/>
          <w:lang w:eastAsia="zh-CN"/>
          <w14:textFill>
            <w14:solidFill>
              <w14:schemeClr w14:val="tx1"/>
            </w14:solidFill>
          </w14:textFill>
        </w:rPr>
        <w:t>0t。经类比得出氨产生量约</w:t>
      </w:r>
      <w:r>
        <w:rPr>
          <w:rFonts w:hint="eastAsia" w:ascii="宋体" w:hAnsi="宋体" w:eastAsia="宋体" w:cs="宋体"/>
          <w:b w:val="0"/>
          <w:bCs w:val="0"/>
          <w:i w:val="0"/>
          <w:iCs w:val="0"/>
          <w:color w:val="000000" w:themeColor="text1"/>
          <w:sz w:val="24"/>
          <w:szCs w:val="24"/>
          <w:u w:val="single"/>
          <w:lang w:val="en-US" w:eastAsia="zh-CN"/>
          <w14:textFill>
            <w14:solidFill>
              <w14:schemeClr w14:val="tx1"/>
            </w14:solidFill>
          </w14:textFill>
        </w:rPr>
        <w:t>0.5</w:t>
      </w:r>
      <w:r>
        <w:rPr>
          <w:rFonts w:hint="eastAsia" w:ascii="宋体" w:hAnsi="宋体" w:eastAsia="宋体" w:cs="宋体"/>
          <w:b w:val="0"/>
          <w:bCs w:val="0"/>
          <w:i w:val="0"/>
          <w:iCs w:val="0"/>
          <w:color w:val="000000" w:themeColor="text1"/>
          <w:sz w:val="24"/>
          <w:szCs w:val="24"/>
          <w:u w:val="single"/>
          <w:lang w:eastAsia="zh-CN"/>
          <w14:textFill>
            <w14:solidFill>
              <w14:schemeClr w14:val="tx1"/>
            </w14:solidFill>
          </w14:textFill>
        </w:rPr>
        <w:t>t/a。</w:t>
      </w:r>
      <w:r>
        <w:rPr>
          <w:rFonts w:hint="eastAsia" w:ascii="宋体" w:hAnsi="宋体" w:eastAsia="宋体" w:cs="宋体"/>
          <w:b w:val="0"/>
          <w:bCs w:val="0"/>
          <w:i w:val="0"/>
          <w:iCs w:val="0"/>
          <w:color w:val="000000" w:themeColor="text1"/>
          <w:sz w:val="24"/>
          <w:szCs w:val="24"/>
          <w:u w:val="single"/>
          <w:lang w:val="en-US" w:eastAsia="zh-CN"/>
          <w14:textFill>
            <w14:solidFill>
              <w14:schemeClr w14:val="tx1"/>
            </w14:solidFill>
          </w14:textFill>
        </w:rPr>
        <w:t>一级水喷淋对氨的处理效率为40%，湿电系统对氨的处理效率为60%，则流延工序对氨的总处理效率为91.36%（三级水喷淋+湿电系统），亚胺化工序对氨的总处理效率为85.6%（二级水喷淋+湿电系统）。</w:t>
      </w:r>
    </w:p>
    <w:p>
      <w:pPr>
        <w:keepNext w:val="0"/>
        <w:keepLines w:val="0"/>
        <w:pageBreakBefore w:val="0"/>
        <w:widowControl/>
        <w:kinsoku/>
        <w:wordWrap/>
        <w:overflowPunct/>
        <w:topLinePunct w:val="0"/>
        <w:bidi w:val="0"/>
        <w:adjustRightInd/>
        <w:snapToGrid/>
        <w:spacing w:line="360" w:lineRule="auto"/>
        <w:ind w:leftChars="0" w:firstLine="480" w:firstLineChars="200"/>
        <w:textAlignment w:val="auto"/>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i w:val="0"/>
          <w:iCs w:val="0"/>
          <w:color w:val="000000" w:themeColor="text1"/>
          <w:sz w:val="24"/>
          <w:szCs w:val="24"/>
          <w:lang w:eastAsia="zh-CN"/>
          <w14:textFill>
            <w14:solidFill>
              <w14:schemeClr w14:val="tx1"/>
            </w14:solidFill>
          </w14:textFill>
        </w:rPr>
        <w:t>（</w:t>
      </w:r>
      <w:r>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t>3</w:t>
      </w:r>
      <w:r>
        <w:rPr>
          <w:rFonts w:hint="eastAsia" w:ascii="宋体" w:hAnsi="宋体" w:eastAsia="宋体" w:cs="宋体"/>
          <w:b w:val="0"/>
          <w:bCs w:val="0"/>
          <w:i w:val="0"/>
          <w:iCs w:val="0"/>
          <w:color w:val="000000" w:themeColor="text1"/>
          <w:sz w:val="24"/>
          <w:szCs w:val="24"/>
          <w:lang w:eastAsia="zh-CN"/>
          <w14:textFill>
            <w14:solidFill>
              <w14:schemeClr w14:val="tx1"/>
            </w14:solidFill>
          </w14:textFill>
        </w:rPr>
        <w:t>）</w:t>
      </w:r>
      <w:r>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t>电晕废气（G5）</w:t>
      </w:r>
    </w:p>
    <w:p>
      <w:pPr>
        <w:keepNext w:val="0"/>
        <w:keepLines w:val="0"/>
        <w:pageBreakBefore w:val="0"/>
        <w:widowControl/>
        <w:kinsoku/>
        <w:wordWrap/>
        <w:overflowPunct/>
        <w:topLinePunct w:val="0"/>
        <w:bidi w:val="0"/>
        <w:adjustRightInd/>
        <w:snapToGrid/>
        <w:spacing w:line="360" w:lineRule="auto"/>
        <w:ind w:leftChars="0" w:firstLine="480" w:firstLineChars="200"/>
        <w:textAlignment w:val="auto"/>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t>成型后的薄膜经电晕处理使膜的表面具有更高的附着性，一般情况下300V左右的电压差就会放电产生臭氧，企业电晕处理工艺的电压为220V，此过程中产生少量臭氧，企业薄膜电晕负电时间较短，仅0.1</w:t>
      </w:r>
      <w:r>
        <w:rPr>
          <w:rFonts w:hint="eastAsia" w:cs="宋体"/>
          <w:b w:val="0"/>
          <w:bCs w:val="0"/>
          <w:i w:val="0"/>
          <w:iCs w:val="0"/>
          <w:color w:val="000000" w:themeColor="text1"/>
          <w:sz w:val="24"/>
          <w:szCs w:val="24"/>
          <w:lang w:val="en-US" w:eastAsia="zh-CN"/>
          <w14:textFill>
            <w14:solidFill>
              <w14:schemeClr w14:val="tx1"/>
            </w14:solidFill>
          </w14:textFill>
        </w:rPr>
        <w:t>～</w:t>
      </w:r>
      <w:r>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t>0.2s，同时臭氧分子极不稳定，短时间内会分解成氧气，因此电晕工艺会产生少量臭氧，存在一定的异味，但产生的臭氧会快速分解，不会造成二次污染。由于高强电流刺激空气中的氧分子而产生，产生量极少，不做定量分析。臭氧经电晕机上加装的集气罩收集后与有机废气一并通过亚胺化处理措施</w:t>
      </w:r>
      <w:r>
        <w:rPr>
          <w:rFonts w:hint="eastAsia" w:cs="宋体"/>
          <w:b w:val="0"/>
          <w:bCs w:val="0"/>
          <w:i w:val="0"/>
          <w:iCs w:val="0"/>
          <w:color w:val="000000" w:themeColor="text1"/>
          <w:sz w:val="24"/>
          <w:szCs w:val="24"/>
          <w:lang w:val="en-US" w:eastAsia="zh-CN"/>
          <w14:textFill>
            <w14:solidFill>
              <w14:schemeClr w14:val="tx1"/>
            </w14:solidFill>
          </w14:textFill>
        </w:rPr>
        <w:t>DA002排气筒</w:t>
      </w:r>
      <w:r>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t>排放。</w:t>
      </w:r>
    </w:p>
    <w:p>
      <w:pPr>
        <w:keepNext w:val="0"/>
        <w:keepLines w:val="0"/>
        <w:pageBreakBefore w:val="0"/>
        <w:widowControl/>
        <w:kinsoku/>
        <w:wordWrap/>
        <w:overflowPunct/>
        <w:topLinePunct w:val="0"/>
        <w:bidi w:val="0"/>
        <w:adjustRightInd/>
        <w:snapToGrid/>
        <w:spacing w:line="360" w:lineRule="auto"/>
        <w:ind w:leftChars="0" w:firstLine="480" w:firstLineChars="200"/>
        <w:textAlignment w:val="auto"/>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b w:val="0"/>
          <w:bCs w:val="0"/>
          <w:i w:val="0"/>
          <w:iCs w:val="0"/>
          <w:color w:val="000000" w:themeColor="text1"/>
          <w:sz w:val="24"/>
          <w:szCs w:val="24"/>
          <w14:textFill>
            <w14:solidFill>
              <w14:schemeClr w14:val="tx1"/>
            </w14:solidFill>
          </w14:textFill>
        </w:rPr>
        <w:t>本项目产生的有组织废气的情况见表</w:t>
      </w:r>
      <w:r>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t>3.3</w:t>
      </w:r>
      <w:r>
        <w:rPr>
          <w:rFonts w:hint="eastAsia" w:ascii="宋体" w:hAnsi="宋体" w:eastAsia="宋体" w:cs="宋体"/>
          <w:b w:val="0"/>
          <w:bCs w:val="0"/>
          <w:i w:val="0"/>
          <w:iCs w:val="0"/>
          <w:color w:val="000000" w:themeColor="text1"/>
          <w:sz w:val="24"/>
          <w:szCs w:val="24"/>
          <w14:textFill>
            <w14:solidFill>
              <w14:schemeClr w14:val="tx1"/>
            </w14:solidFill>
          </w14:textFill>
        </w:rPr>
        <w:t>.2-2。</w:t>
      </w:r>
    </w:p>
    <w:p>
      <w:pPr>
        <w:keepNext w:val="0"/>
        <w:keepLines w:val="0"/>
        <w:pageBreakBefore w:val="0"/>
        <w:widowControl/>
        <w:kinsoku/>
        <w:wordWrap/>
        <w:overflowPunct/>
        <w:topLinePunct w:val="0"/>
        <w:autoSpaceDE/>
        <w:autoSpaceDN/>
        <w:bidi w:val="0"/>
        <w:adjustRightInd/>
        <w:snapToGrid/>
        <w:spacing w:before="167" w:beforeLines="50" w:after="167" w:afterLines="50" w:line="360" w:lineRule="auto"/>
        <w:ind w:right="0" w:rightChars="0" w:firstLine="0"/>
        <w:jc w:val="center"/>
        <w:textAlignment w:val="auto"/>
        <w:rPr>
          <w:rFonts w:hint="eastAsia" w:ascii="宋体" w:hAnsi="宋体" w:eastAsia="宋体" w:cs="宋体"/>
          <w:b/>
          <w:color w:val="000000" w:themeColor="text1"/>
          <w:szCs w:val="21"/>
          <w:lang w:val="en-US" w:eastAsia="zh-CN"/>
          <w14:textFill>
            <w14:solidFill>
              <w14:schemeClr w14:val="tx1"/>
            </w14:solidFill>
          </w14:textFill>
        </w:rPr>
      </w:pPr>
      <w:r>
        <w:rPr>
          <w:rFonts w:hint="eastAsia" w:ascii="宋体" w:hAnsi="宋体" w:eastAsia="宋体" w:cs="宋体"/>
          <w:b/>
          <w:color w:val="000000" w:themeColor="text1"/>
          <w:szCs w:val="21"/>
          <w:lang w:val="en-US" w:eastAsia="zh-CN"/>
          <w14:textFill>
            <w14:solidFill>
              <w14:schemeClr w14:val="tx1"/>
            </w14:solidFill>
          </w14:textFill>
        </w:rPr>
        <w:t>表3.3.2-2项目有组织废气产排情况一览表</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6"/>
        <w:gridCol w:w="476"/>
        <w:gridCol w:w="647"/>
        <w:gridCol w:w="910"/>
        <w:gridCol w:w="1081"/>
        <w:gridCol w:w="1081"/>
        <w:gridCol w:w="842"/>
        <w:gridCol w:w="715"/>
        <w:gridCol w:w="927"/>
        <w:gridCol w:w="927"/>
        <w:gridCol w:w="928"/>
        <w:gridCol w:w="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6" w:type="dxa"/>
            <w:vMerge w:val="restart"/>
            <w:vAlign w:val="center"/>
          </w:tcPr>
          <w:p>
            <w:pPr>
              <w:keepNext w:val="0"/>
              <w:keepLines w:val="0"/>
              <w:pageBreakBefore w:val="0"/>
              <w:widowControl/>
              <w:kinsoku/>
              <w:wordWrap/>
              <w:overflowPunct/>
              <w:topLinePunct w:val="0"/>
              <w:autoSpaceDE/>
              <w:autoSpaceDN/>
              <w:bidi w:val="0"/>
              <w:adjustRightInd/>
              <w:snapToGrid/>
              <w:spacing w:line="240" w:lineRule="auto"/>
              <w:ind w:right="0" w:rightChars="0" w:firstLine="0"/>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排气筒</w:t>
            </w:r>
          </w:p>
        </w:tc>
        <w:tc>
          <w:tcPr>
            <w:tcW w:w="476" w:type="dxa"/>
            <w:vMerge w:val="restart"/>
            <w:vAlign w:val="center"/>
          </w:tcPr>
          <w:p>
            <w:pPr>
              <w:keepNext w:val="0"/>
              <w:keepLines w:val="0"/>
              <w:pageBreakBefore w:val="0"/>
              <w:widowControl/>
              <w:kinsoku/>
              <w:wordWrap/>
              <w:overflowPunct/>
              <w:topLinePunct w:val="0"/>
              <w:autoSpaceDE/>
              <w:autoSpaceDN/>
              <w:bidi w:val="0"/>
              <w:adjustRightInd/>
              <w:snapToGrid/>
              <w:spacing w:line="240" w:lineRule="auto"/>
              <w:ind w:right="0" w:rightChars="0" w:firstLine="0"/>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工段</w:t>
            </w:r>
          </w:p>
        </w:tc>
        <w:tc>
          <w:tcPr>
            <w:tcW w:w="647" w:type="dxa"/>
            <w:vMerge w:val="restart"/>
            <w:vAlign w:val="center"/>
          </w:tcPr>
          <w:p>
            <w:pPr>
              <w:keepNext w:val="0"/>
              <w:keepLines w:val="0"/>
              <w:pageBreakBefore w:val="0"/>
              <w:widowControl/>
              <w:kinsoku/>
              <w:wordWrap/>
              <w:overflowPunct/>
              <w:topLinePunct w:val="0"/>
              <w:autoSpaceDE/>
              <w:autoSpaceDN/>
              <w:bidi w:val="0"/>
              <w:adjustRightInd/>
              <w:snapToGrid/>
              <w:spacing w:line="240" w:lineRule="auto"/>
              <w:ind w:right="0" w:rightChars="0" w:firstLine="0"/>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污染物</w:t>
            </w:r>
          </w:p>
        </w:tc>
        <w:tc>
          <w:tcPr>
            <w:tcW w:w="3072" w:type="dxa"/>
            <w:gridSpan w:val="3"/>
            <w:vAlign w:val="center"/>
          </w:tcPr>
          <w:p>
            <w:pPr>
              <w:keepNext w:val="0"/>
              <w:keepLines w:val="0"/>
              <w:pageBreakBefore w:val="0"/>
              <w:widowControl/>
              <w:kinsoku/>
              <w:wordWrap/>
              <w:overflowPunct/>
              <w:topLinePunct w:val="0"/>
              <w:autoSpaceDE/>
              <w:autoSpaceDN/>
              <w:bidi w:val="0"/>
              <w:adjustRightInd/>
              <w:snapToGrid/>
              <w:spacing w:line="240" w:lineRule="auto"/>
              <w:ind w:right="0" w:rightChars="0" w:firstLine="0"/>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产生情况</w:t>
            </w:r>
          </w:p>
        </w:tc>
        <w:tc>
          <w:tcPr>
            <w:tcW w:w="842" w:type="dxa"/>
            <w:vMerge w:val="restart"/>
            <w:vAlign w:val="center"/>
          </w:tcPr>
          <w:p>
            <w:pPr>
              <w:keepNext w:val="0"/>
              <w:keepLines w:val="0"/>
              <w:pageBreakBefore w:val="0"/>
              <w:widowControl/>
              <w:kinsoku/>
              <w:wordWrap/>
              <w:overflowPunct/>
              <w:topLinePunct w:val="0"/>
              <w:autoSpaceDE/>
              <w:autoSpaceDN/>
              <w:bidi w:val="0"/>
              <w:adjustRightInd/>
              <w:snapToGrid/>
              <w:spacing w:line="240" w:lineRule="auto"/>
              <w:ind w:right="0" w:rightChars="0" w:firstLine="0"/>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治理措施</w:t>
            </w:r>
          </w:p>
        </w:tc>
        <w:tc>
          <w:tcPr>
            <w:tcW w:w="715" w:type="dxa"/>
            <w:vMerge w:val="restart"/>
            <w:vAlign w:val="center"/>
          </w:tcPr>
          <w:p>
            <w:pPr>
              <w:keepNext w:val="0"/>
              <w:keepLines w:val="0"/>
              <w:pageBreakBefore w:val="0"/>
              <w:widowControl/>
              <w:kinsoku/>
              <w:wordWrap/>
              <w:overflowPunct/>
              <w:topLinePunct w:val="0"/>
              <w:autoSpaceDE/>
              <w:autoSpaceDN/>
              <w:bidi w:val="0"/>
              <w:adjustRightInd/>
              <w:snapToGrid/>
              <w:spacing w:line="240" w:lineRule="auto"/>
              <w:ind w:right="0" w:rightChars="0" w:firstLine="0"/>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风量（m³/h）</w:t>
            </w:r>
          </w:p>
        </w:tc>
        <w:tc>
          <w:tcPr>
            <w:tcW w:w="2782" w:type="dxa"/>
            <w:gridSpan w:val="3"/>
            <w:vAlign w:val="center"/>
          </w:tcPr>
          <w:p>
            <w:pPr>
              <w:keepNext w:val="0"/>
              <w:keepLines w:val="0"/>
              <w:pageBreakBefore w:val="0"/>
              <w:widowControl/>
              <w:kinsoku/>
              <w:wordWrap/>
              <w:overflowPunct/>
              <w:topLinePunct w:val="0"/>
              <w:autoSpaceDE/>
              <w:autoSpaceDN/>
              <w:bidi w:val="0"/>
              <w:adjustRightInd/>
              <w:snapToGrid/>
              <w:spacing w:line="240" w:lineRule="auto"/>
              <w:ind w:right="0" w:rightChars="0" w:firstLine="0"/>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排放情况</w:t>
            </w:r>
          </w:p>
        </w:tc>
        <w:tc>
          <w:tcPr>
            <w:tcW w:w="843" w:type="dxa"/>
            <w:vMerge w:val="restart"/>
            <w:vAlign w:val="center"/>
          </w:tcPr>
          <w:p>
            <w:pPr>
              <w:keepNext w:val="0"/>
              <w:keepLines w:val="0"/>
              <w:pageBreakBefore w:val="0"/>
              <w:widowControl/>
              <w:kinsoku/>
              <w:wordWrap/>
              <w:overflowPunct/>
              <w:topLinePunct w:val="0"/>
              <w:autoSpaceDE/>
              <w:autoSpaceDN/>
              <w:bidi w:val="0"/>
              <w:adjustRightInd/>
              <w:snapToGrid/>
              <w:spacing w:line="240" w:lineRule="auto"/>
              <w:ind w:right="0" w:rightChars="0" w:firstLine="0"/>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年工作时间（h）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6"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right="0" w:rightChars="0" w:firstLine="0"/>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p>
        </w:tc>
        <w:tc>
          <w:tcPr>
            <w:tcW w:w="476"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right="0" w:rightChars="0" w:firstLine="0"/>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p>
        </w:tc>
        <w:tc>
          <w:tcPr>
            <w:tcW w:w="64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right="0" w:rightChars="0" w:firstLine="0"/>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right="0" w:rightChars="0" w:firstLine="0"/>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浓度（mg/m3）</w:t>
            </w:r>
          </w:p>
        </w:tc>
        <w:tc>
          <w:tcPr>
            <w:tcW w:w="1081" w:type="dxa"/>
            <w:vAlign w:val="center"/>
          </w:tcPr>
          <w:p>
            <w:pPr>
              <w:keepNext w:val="0"/>
              <w:keepLines w:val="0"/>
              <w:pageBreakBefore w:val="0"/>
              <w:widowControl/>
              <w:kinsoku/>
              <w:wordWrap/>
              <w:overflowPunct/>
              <w:topLinePunct w:val="0"/>
              <w:autoSpaceDE/>
              <w:autoSpaceDN/>
              <w:bidi w:val="0"/>
              <w:adjustRightInd/>
              <w:snapToGrid/>
              <w:spacing w:line="240" w:lineRule="auto"/>
              <w:ind w:right="0" w:rightChars="0" w:firstLine="0"/>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速率（kg/h）</w:t>
            </w:r>
          </w:p>
        </w:tc>
        <w:tc>
          <w:tcPr>
            <w:tcW w:w="1081" w:type="dxa"/>
            <w:vAlign w:val="center"/>
          </w:tcPr>
          <w:p>
            <w:pPr>
              <w:keepNext w:val="0"/>
              <w:keepLines w:val="0"/>
              <w:pageBreakBefore w:val="0"/>
              <w:widowControl/>
              <w:kinsoku/>
              <w:wordWrap/>
              <w:overflowPunct/>
              <w:topLinePunct w:val="0"/>
              <w:autoSpaceDE/>
              <w:autoSpaceDN/>
              <w:bidi w:val="0"/>
              <w:adjustRightInd/>
              <w:snapToGrid/>
              <w:spacing w:line="240" w:lineRule="auto"/>
              <w:ind w:right="0" w:rightChars="0" w:firstLine="0"/>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产生量（t/a）</w:t>
            </w:r>
          </w:p>
        </w:tc>
        <w:tc>
          <w:tcPr>
            <w:tcW w:w="842"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right="0" w:rightChars="0" w:firstLine="0"/>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p>
        </w:tc>
        <w:tc>
          <w:tcPr>
            <w:tcW w:w="715"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right="0" w:rightChars="0" w:firstLine="0"/>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p>
        </w:tc>
        <w:tc>
          <w:tcPr>
            <w:tcW w:w="927" w:type="dxa"/>
            <w:vAlign w:val="center"/>
          </w:tcPr>
          <w:p>
            <w:pPr>
              <w:keepNext w:val="0"/>
              <w:keepLines w:val="0"/>
              <w:pageBreakBefore w:val="0"/>
              <w:widowControl/>
              <w:kinsoku/>
              <w:wordWrap/>
              <w:overflowPunct/>
              <w:topLinePunct w:val="0"/>
              <w:autoSpaceDE/>
              <w:autoSpaceDN/>
              <w:bidi w:val="0"/>
              <w:adjustRightInd/>
              <w:snapToGrid/>
              <w:spacing w:line="240" w:lineRule="auto"/>
              <w:ind w:right="0" w:rightChars="0" w:firstLine="0"/>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浓度（mg/m3）</w:t>
            </w:r>
          </w:p>
        </w:tc>
        <w:tc>
          <w:tcPr>
            <w:tcW w:w="927" w:type="dxa"/>
            <w:vAlign w:val="center"/>
          </w:tcPr>
          <w:p>
            <w:pPr>
              <w:keepNext w:val="0"/>
              <w:keepLines w:val="0"/>
              <w:pageBreakBefore w:val="0"/>
              <w:widowControl/>
              <w:kinsoku/>
              <w:wordWrap/>
              <w:overflowPunct/>
              <w:topLinePunct w:val="0"/>
              <w:autoSpaceDE/>
              <w:autoSpaceDN/>
              <w:bidi w:val="0"/>
              <w:adjustRightInd/>
              <w:snapToGrid/>
              <w:spacing w:line="240" w:lineRule="auto"/>
              <w:ind w:right="0" w:rightChars="0" w:firstLine="0"/>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速率（kg/h）</w:t>
            </w:r>
          </w:p>
        </w:tc>
        <w:tc>
          <w:tcPr>
            <w:tcW w:w="928" w:type="dxa"/>
            <w:vAlign w:val="center"/>
          </w:tcPr>
          <w:p>
            <w:pPr>
              <w:keepNext w:val="0"/>
              <w:keepLines w:val="0"/>
              <w:pageBreakBefore w:val="0"/>
              <w:widowControl/>
              <w:kinsoku/>
              <w:wordWrap/>
              <w:overflowPunct/>
              <w:topLinePunct w:val="0"/>
              <w:autoSpaceDE/>
              <w:autoSpaceDN/>
              <w:bidi w:val="0"/>
              <w:adjustRightInd/>
              <w:snapToGrid/>
              <w:spacing w:line="240" w:lineRule="auto"/>
              <w:ind w:right="0" w:rightChars="0" w:firstLine="0"/>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排放量（t/a）</w:t>
            </w:r>
          </w:p>
        </w:tc>
        <w:tc>
          <w:tcPr>
            <w:tcW w:w="843"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right="0" w:rightChars="0" w:firstLine="0"/>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6" w:type="dxa"/>
            <w:vMerge w:val="restart"/>
            <w:vAlign w:val="center"/>
          </w:tcPr>
          <w:p>
            <w:pPr>
              <w:keepNext w:val="0"/>
              <w:keepLines w:val="0"/>
              <w:pageBreakBefore w:val="0"/>
              <w:widowControl/>
              <w:kinsoku/>
              <w:wordWrap/>
              <w:overflowPunct/>
              <w:topLinePunct w:val="0"/>
              <w:autoSpaceDE/>
              <w:autoSpaceDN/>
              <w:bidi w:val="0"/>
              <w:adjustRightInd/>
              <w:snapToGrid/>
              <w:spacing w:line="240" w:lineRule="auto"/>
              <w:ind w:right="0" w:rightChars="0" w:firstLine="0"/>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DA001</w:t>
            </w:r>
          </w:p>
        </w:tc>
        <w:tc>
          <w:tcPr>
            <w:tcW w:w="476" w:type="dxa"/>
            <w:vAlign w:val="center"/>
          </w:tcPr>
          <w:p>
            <w:pPr>
              <w:keepNext w:val="0"/>
              <w:keepLines w:val="0"/>
              <w:pageBreakBefore w:val="0"/>
              <w:widowControl/>
              <w:kinsoku/>
              <w:wordWrap/>
              <w:overflowPunct/>
              <w:topLinePunct w:val="0"/>
              <w:autoSpaceDE/>
              <w:autoSpaceDN/>
              <w:bidi w:val="0"/>
              <w:adjustRightInd/>
              <w:snapToGrid/>
              <w:spacing w:line="240" w:lineRule="auto"/>
              <w:ind w:right="0" w:rightChars="0" w:firstLine="0"/>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消泡</w:t>
            </w:r>
          </w:p>
        </w:tc>
        <w:tc>
          <w:tcPr>
            <w:tcW w:w="647" w:type="dxa"/>
            <w:vAlign w:val="center"/>
          </w:tcPr>
          <w:p>
            <w:pPr>
              <w:keepNext w:val="0"/>
              <w:keepLines w:val="0"/>
              <w:pageBreakBefore w:val="0"/>
              <w:widowControl/>
              <w:kinsoku/>
              <w:wordWrap/>
              <w:overflowPunct/>
              <w:topLinePunct w:val="0"/>
              <w:autoSpaceDE/>
              <w:autoSpaceDN/>
              <w:bidi w:val="0"/>
              <w:adjustRightInd/>
              <w:snapToGrid/>
              <w:spacing w:line="240" w:lineRule="auto"/>
              <w:ind w:right="0" w:rightChars="0" w:firstLine="0"/>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非甲烷总烃</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right="0" w:rightChars="0" w:firstLine="0"/>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5.555</w:t>
            </w:r>
          </w:p>
        </w:tc>
        <w:tc>
          <w:tcPr>
            <w:tcW w:w="1081" w:type="dxa"/>
            <w:vAlign w:val="center"/>
          </w:tcPr>
          <w:p>
            <w:pPr>
              <w:keepNext w:val="0"/>
              <w:keepLines w:val="0"/>
              <w:pageBreakBefore w:val="0"/>
              <w:widowControl/>
              <w:kinsoku/>
              <w:wordWrap/>
              <w:overflowPunct/>
              <w:topLinePunct w:val="0"/>
              <w:autoSpaceDE/>
              <w:autoSpaceDN/>
              <w:bidi w:val="0"/>
              <w:adjustRightInd/>
              <w:snapToGrid/>
              <w:spacing w:line="240" w:lineRule="auto"/>
              <w:ind w:right="0" w:rightChars="0" w:firstLine="0"/>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0.0833</w:t>
            </w:r>
          </w:p>
        </w:tc>
        <w:tc>
          <w:tcPr>
            <w:tcW w:w="1081" w:type="dxa"/>
            <w:vAlign w:val="center"/>
          </w:tcPr>
          <w:p>
            <w:pPr>
              <w:keepNext w:val="0"/>
              <w:keepLines w:val="0"/>
              <w:pageBreakBefore w:val="0"/>
              <w:widowControl/>
              <w:kinsoku/>
              <w:wordWrap/>
              <w:overflowPunct/>
              <w:topLinePunct w:val="0"/>
              <w:autoSpaceDE/>
              <w:autoSpaceDN/>
              <w:bidi w:val="0"/>
              <w:adjustRightInd/>
              <w:snapToGrid/>
              <w:spacing w:line="240" w:lineRule="auto"/>
              <w:ind w:right="0" w:rightChars="0" w:firstLine="0"/>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0.6</w:t>
            </w:r>
          </w:p>
        </w:tc>
        <w:tc>
          <w:tcPr>
            <w:tcW w:w="842" w:type="dxa"/>
            <w:vAlign w:val="center"/>
          </w:tcPr>
          <w:p>
            <w:pPr>
              <w:keepNext w:val="0"/>
              <w:keepLines w:val="0"/>
              <w:pageBreakBefore w:val="0"/>
              <w:widowControl/>
              <w:kinsoku/>
              <w:wordWrap/>
              <w:overflowPunct/>
              <w:topLinePunct w:val="0"/>
              <w:autoSpaceDE/>
              <w:autoSpaceDN/>
              <w:bidi w:val="0"/>
              <w:adjustRightInd/>
              <w:snapToGrid/>
              <w:spacing w:line="240" w:lineRule="auto"/>
              <w:ind w:right="0" w:rightChars="0" w:firstLine="0"/>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三级喷淋+湿电系统</w:t>
            </w:r>
          </w:p>
        </w:tc>
        <w:tc>
          <w:tcPr>
            <w:tcW w:w="715" w:type="dxa"/>
            <w:vMerge w:val="restart"/>
            <w:vAlign w:val="center"/>
          </w:tcPr>
          <w:p>
            <w:pPr>
              <w:keepNext w:val="0"/>
              <w:keepLines w:val="0"/>
              <w:pageBreakBefore w:val="0"/>
              <w:widowControl/>
              <w:kinsoku/>
              <w:wordWrap/>
              <w:overflowPunct/>
              <w:topLinePunct w:val="0"/>
              <w:autoSpaceDE/>
              <w:autoSpaceDN/>
              <w:bidi w:val="0"/>
              <w:adjustRightInd/>
              <w:snapToGrid/>
              <w:spacing w:line="240" w:lineRule="auto"/>
              <w:ind w:right="0" w:rightChars="0" w:firstLine="0"/>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15000</w:t>
            </w:r>
          </w:p>
        </w:tc>
        <w:tc>
          <w:tcPr>
            <w:tcW w:w="927" w:type="dxa"/>
            <w:vAlign w:val="center"/>
          </w:tcPr>
          <w:p>
            <w:pPr>
              <w:keepNext w:val="0"/>
              <w:keepLines w:val="0"/>
              <w:pageBreakBefore w:val="0"/>
              <w:widowControl/>
              <w:kinsoku/>
              <w:wordWrap/>
              <w:overflowPunct/>
              <w:topLinePunct w:val="0"/>
              <w:autoSpaceDE/>
              <w:autoSpaceDN/>
              <w:bidi w:val="0"/>
              <w:adjustRightInd/>
              <w:snapToGrid/>
              <w:spacing w:line="240" w:lineRule="auto"/>
              <w:ind w:right="0" w:rightChars="0" w:firstLine="0"/>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0.045</w:t>
            </w:r>
          </w:p>
        </w:tc>
        <w:tc>
          <w:tcPr>
            <w:tcW w:w="927" w:type="dxa"/>
            <w:vAlign w:val="center"/>
          </w:tcPr>
          <w:p>
            <w:pPr>
              <w:keepNext w:val="0"/>
              <w:keepLines w:val="0"/>
              <w:pageBreakBefore w:val="0"/>
              <w:widowControl/>
              <w:kinsoku/>
              <w:wordWrap/>
              <w:overflowPunct/>
              <w:topLinePunct w:val="0"/>
              <w:autoSpaceDE/>
              <w:autoSpaceDN/>
              <w:bidi w:val="0"/>
              <w:adjustRightInd/>
              <w:snapToGrid/>
              <w:spacing w:line="240" w:lineRule="auto"/>
              <w:ind w:right="0" w:rightChars="0" w:firstLine="0"/>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0.00068</w:t>
            </w:r>
          </w:p>
        </w:tc>
        <w:tc>
          <w:tcPr>
            <w:tcW w:w="928" w:type="dxa"/>
            <w:vAlign w:val="center"/>
          </w:tcPr>
          <w:p>
            <w:pPr>
              <w:keepNext w:val="0"/>
              <w:keepLines w:val="0"/>
              <w:pageBreakBefore w:val="0"/>
              <w:widowControl/>
              <w:kinsoku/>
              <w:wordWrap/>
              <w:overflowPunct/>
              <w:topLinePunct w:val="0"/>
              <w:autoSpaceDE/>
              <w:autoSpaceDN/>
              <w:bidi w:val="0"/>
              <w:adjustRightInd/>
              <w:snapToGrid/>
              <w:spacing w:line="240" w:lineRule="auto"/>
              <w:ind w:right="0" w:rightChars="0" w:firstLine="0"/>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0.0049</w:t>
            </w:r>
          </w:p>
        </w:tc>
        <w:tc>
          <w:tcPr>
            <w:tcW w:w="843" w:type="dxa"/>
            <w:vMerge w:val="restart"/>
            <w:vAlign w:val="center"/>
          </w:tcPr>
          <w:p>
            <w:pPr>
              <w:keepNext w:val="0"/>
              <w:keepLines w:val="0"/>
              <w:pageBreakBefore w:val="0"/>
              <w:widowControl/>
              <w:kinsoku/>
              <w:wordWrap/>
              <w:overflowPunct/>
              <w:topLinePunct w:val="0"/>
              <w:autoSpaceDE/>
              <w:autoSpaceDN/>
              <w:bidi w:val="0"/>
              <w:adjustRightInd/>
              <w:snapToGrid/>
              <w:spacing w:line="240" w:lineRule="auto"/>
              <w:ind w:right="0" w:rightChars="0" w:firstLine="0"/>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7200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6"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right="0" w:rightChars="0" w:firstLine="0"/>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p>
        </w:tc>
        <w:tc>
          <w:tcPr>
            <w:tcW w:w="476" w:type="dxa"/>
            <w:vMerge w:val="restart"/>
            <w:vAlign w:val="center"/>
          </w:tcPr>
          <w:p>
            <w:pPr>
              <w:keepNext w:val="0"/>
              <w:keepLines w:val="0"/>
              <w:pageBreakBefore w:val="0"/>
              <w:widowControl/>
              <w:kinsoku/>
              <w:wordWrap/>
              <w:overflowPunct/>
              <w:topLinePunct w:val="0"/>
              <w:autoSpaceDE/>
              <w:autoSpaceDN/>
              <w:bidi w:val="0"/>
              <w:adjustRightInd/>
              <w:snapToGrid/>
              <w:spacing w:line="240" w:lineRule="auto"/>
              <w:ind w:right="0" w:rightChars="0" w:firstLine="0"/>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流延</w:t>
            </w:r>
          </w:p>
        </w:tc>
        <w:tc>
          <w:tcPr>
            <w:tcW w:w="647" w:type="dxa"/>
            <w:vAlign w:val="center"/>
          </w:tcPr>
          <w:p>
            <w:pPr>
              <w:keepNext w:val="0"/>
              <w:keepLines w:val="0"/>
              <w:pageBreakBefore w:val="0"/>
              <w:widowControl/>
              <w:kinsoku/>
              <w:wordWrap/>
              <w:overflowPunct/>
              <w:topLinePunct w:val="0"/>
              <w:autoSpaceDE/>
              <w:autoSpaceDN/>
              <w:bidi w:val="0"/>
              <w:adjustRightInd/>
              <w:snapToGrid/>
              <w:spacing w:line="240" w:lineRule="auto"/>
              <w:ind w:right="0" w:rightChars="0" w:firstLine="0"/>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非甲烷总烃</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right="0" w:rightChars="0" w:firstLine="0"/>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4995</w:t>
            </w:r>
          </w:p>
        </w:tc>
        <w:tc>
          <w:tcPr>
            <w:tcW w:w="1081" w:type="dxa"/>
            <w:vAlign w:val="center"/>
          </w:tcPr>
          <w:p>
            <w:pPr>
              <w:keepNext w:val="0"/>
              <w:keepLines w:val="0"/>
              <w:pageBreakBefore w:val="0"/>
              <w:widowControl/>
              <w:kinsoku/>
              <w:wordWrap/>
              <w:overflowPunct/>
              <w:topLinePunct w:val="0"/>
              <w:autoSpaceDE/>
              <w:autoSpaceDN/>
              <w:bidi w:val="0"/>
              <w:adjustRightInd/>
              <w:snapToGrid/>
              <w:spacing w:line="240" w:lineRule="auto"/>
              <w:ind w:right="0" w:rightChars="0" w:firstLine="0"/>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74.925</w:t>
            </w:r>
          </w:p>
        </w:tc>
        <w:tc>
          <w:tcPr>
            <w:tcW w:w="1081" w:type="dxa"/>
            <w:vAlign w:val="center"/>
          </w:tcPr>
          <w:p>
            <w:pPr>
              <w:keepNext w:val="0"/>
              <w:keepLines w:val="0"/>
              <w:pageBreakBefore w:val="0"/>
              <w:widowControl/>
              <w:kinsoku/>
              <w:wordWrap/>
              <w:overflowPunct/>
              <w:topLinePunct w:val="0"/>
              <w:autoSpaceDE/>
              <w:autoSpaceDN/>
              <w:bidi w:val="0"/>
              <w:adjustRightInd/>
              <w:snapToGrid/>
              <w:spacing w:line="240" w:lineRule="auto"/>
              <w:ind w:right="0" w:rightChars="0" w:firstLine="0"/>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539.46</w:t>
            </w:r>
          </w:p>
        </w:tc>
        <w:tc>
          <w:tcPr>
            <w:tcW w:w="842" w:type="dxa"/>
            <w:vMerge w:val="restart"/>
            <w:vAlign w:val="center"/>
          </w:tcPr>
          <w:p>
            <w:pPr>
              <w:keepNext w:val="0"/>
              <w:keepLines w:val="0"/>
              <w:pageBreakBefore w:val="0"/>
              <w:widowControl/>
              <w:kinsoku/>
              <w:wordWrap/>
              <w:overflowPunct/>
              <w:topLinePunct w:val="0"/>
              <w:autoSpaceDE/>
              <w:autoSpaceDN/>
              <w:bidi w:val="0"/>
              <w:adjustRightInd/>
              <w:snapToGrid/>
              <w:spacing w:line="240" w:lineRule="auto"/>
              <w:ind w:right="0" w:rightChars="0" w:firstLine="0"/>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四级冷凝+三级喷淋+湿电系统</w:t>
            </w:r>
          </w:p>
        </w:tc>
        <w:tc>
          <w:tcPr>
            <w:tcW w:w="715"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right="0" w:rightChars="0" w:firstLine="0"/>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p>
        </w:tc>
        <w:tc>
          <w:tcPr>
            <w:tcW w:w="927" w:type="dxa"/>
            <w:vAlign w:val="center"/>
          </w:tcPr>
          <w:p>
            <w:pPr>
              <w:keepNext w:val="0"/>
              <w:keepLines w:val="0"/>
              <w:pageBreakBefore w:val="0"/>
              <w:widowControl/>
              <w:kinsoku/>
              <w:wordWrap/>
              <w:overflowPunct/>
              <w:topLinePunct w:val="0"/>
              <w:autoSpaceDE/>
              <w:autoSpaceDN/>
              <w:bidi w:val="0"/>
              <w:adjustRightInd/>
              <w:snapToGrid/>
              <w:spacing w:line="240" w:lineRule="auto"/>
              <w:ind w:right="0" w:rightChars="0" w:firstLine="0"/>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1.035</w:t>
            </w:r>
          </w:p>
        </w:tc>
        <w:tc>
          <w:tcPr>
            <w:tcW w:w="927" w:type="dxa"/>
            <w:vAlign w:val="center"/>
          </w:tcPr>
          <w:p>
            <w:pPr>
              <w:keepNext w:val="0"/>
              <w:keepLines w:val="0"/>
              <w:pageBreakBefore w:val="0"/>
              <w:widowControl/>
              <w:kinsoku/>
              <w:wordWrap/>
              <w:overflowPunct/>
              <w:topLinePunct w:val="0"/>
              <w:autoSpaceDE/>
              <w:autoSpaceDN/>
              <w:bidi w:val="0"/>
              <w:adjustRightInd/>
              <w:snapToGrid/>
              <w:spacing w:line="240" w:lineRule="auto"/>
              <w:ind w:right="0" w:rightChars="0" w:firstLine="0"/>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0.0155</w:t>
            </w:r>
          </w:p>
        </w:tc>
        <w:tc>
          <w:tcPr>
            <w:tcW w:w="928" w:type="dxa"/>
            <w:vAlign w:val="center"/>
          </w:tcPr>
          <w:p>
            <w:pPr>
              <w:keepNext w:val="0"/>
              <w:keepLines w:val="0"/>
              <w:pageBreakBefore w:val="0"/>
              <w:widowControl/>
              <w:kinsoku/>
              <w:wordWrap/>
              <w:overflowPunct/>
              <w:topLinePunct w:val="0"/>
              <w:autoSpaceDE/>
              <w:autoSpaceDN/>
              <w:bidi w:val="0"/>
              <w:adjustRightInd/>
              <w:snapToGrid/>
              <w:spacing w:line="240" w:lineRule="auto"/>
              <w:ind w:right="0" w:rightChars="0" w:firstLine="0"/>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0.1119</w:t>
            </w:r>
          </w:p>
        </w:tc>
        <w:tc>
          <w:tcPr>
            <w:tcW w:w="843"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right="0" w:rightChars="0" w:firstLine="0"/>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6"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right="0" w:rightChars="0" w:firstLine="0"/>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p>
        </w:tc>
        <w:tc>
          <w:tcPr>
            <w:tcW w:w="476"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right="0" w:rightChars="0" w:firstLine="0"/>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p>
        </w:tc>
        <w:tc>
          <w:tcPr>
            <w:tcW w:w="647" w:type="dxa"/>
            <w:vAlign w:val="center"/>
          </w:tcPr>
          <w:p>
            <w:pPr>
              <w:keepNext w:val="0"/>
              <w:keepLines w:val="0"/>
              <w:pageBreakBefore w:val="0"/>
              <w:widowControl/>
              <w:kinsoku/>
              <w:wordWrap/>
              <w:overflowPunct/>
              <w:topLinePunct w:val="0"/>
              <w:autoSpaceDE/>
              <w:autoSpaceDN/>
              <w:bidi w:val="0"/>
              <w:adjustRightInd/>
              <w:snapToGrid/>
              <w:spacing w:line="240" w:lineRule="auto"/>
              <w:ind w:right="0" w:rightChars="0" w:firstLine="0"/>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氨</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right="0" w:rightChars="0" w:firstLine="0"/>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4.167</w:t>
            </w:r>
          </w:p>
        </w:tc>
        <w:tc>
          <w:tcPr>
            <w:tcW w:w="1081" w:type="dxa"/>
            <w:vAlign w:val="center"/>
          </w:tcPr>
          <w:p>
            <w:pPr>
              <w:keepNext w:val="0"/>
              <w:keepLines w:val="0"/>
              <w:pageBreakBefore w:val="0"/>
              <w:widowControl/>
              <w:kinsoku/>
              <w:wordWrap/>
              <w:overflowPunct/>
              <w:topLinePunct w:val="0"/>
              <w:autoSpaceDE/>
              <w:autoSpaceDN/>
              <w:bidi w:val="0"/>
              <w:adjustRightInd/>
              <w:snapToGrid/>
              <w:spacing w:line="240" w:lineRule="auto"/>
              <w:ind w:right="0" w:rightChars="0" w:firstLine="0"/>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0.0625</w:t>
            </w:r>
          </w:p>
        </w:tc>
        <w:tc>
          <w:tcPr>
            <w:tcW w:w="1081" w:type="dxa"/>
            <w:vAlign w:val="center"/>
          </w:tcPr>
          <w:p>
            <w:pPr>
              <w:keepNext w:val="0"/>
              <w:keepLines w:val="0"/>
              <w:pageBreakBefore w:val="0"/>
              <w:widowControl/>
              <w:kinsoku/>
              <w:wordWrap/>
              <w:overflowPunct/>
              <w:topLinePunct w:val="0"/>
              <w:autoSpaceDE/>
              <w:autoSpaceDN/>
              <w:bidi w:val="0"/>
              <w:adjustRightInd/>
              <w:snapToGrid/>
              <w:spacing w:line="240" w:lineRule="auto"/>
              <w:ind w:right="0" w:rightChars="0" w:firstLine="0"/>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0.45</w:t>
            </w:r>
          </w:p>
        </w:tc>
        <w:tc>
          <w:tcPr>
            <w:tcW w:w="842"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right="0" w:rightChars="0" w:firstLine="0"/>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p>
        </w:tc>
        <w:tc>
          <w:tcPr>
            <w:tcW w:w="715"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right="0" w:rightChars="0" w:firstLine="0"/>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p>
        </w:tc>
        <w:tc>
          <w:tcPr>
            <w:tcW w:w="927" w:type="dxa"/>
            <w:vAlign w:val="center"/>
          </w:tcPr>
          <w:p>
            <w:pPr>
              <w:keepNext w:val="0"/>
              <w:keepLines w:val="0"/>
              <w:pageBreakBefore w:val="0"/>
              <w:widowControl/>
              <w:kinsoku/>
              <w:wordWrap/>
              <w:overflowPunct/>
              <w:topLinePunct w:val="0"/>
              <w:autoSpaceDE/>
              <w:autoSpaceDN/>
              <w:bidi w:val="0"/>
              <w:adjustRightInd/>
              <w:snapToGrid/>
              <w:spacing w:line="240" w:lineRule="auto"/>
              <w:ind w:right="0" w:rightChars="0" w:firstLine="0"/>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0.36</w:t>
            </w:r>
          </w:p>
        </w:tc>
        <w:tc>
          <w:tcPr>
            <w:tcW w:w="927" w:type="dxa"/>
            <w:vAlign w:val="center"/>
          </w:tcPr>
          <w:p>
            <w:pPr>
              <w:keepNext w:val="0"/>
              <w:keepLines w:val="0"/>
              <w:pageBreakBefore w:val="0"/>
              <w:widowControl/>
              <w:kinsoku/>
              <w:wordWrap/>
              <w:overflowPunct/>
              <w:topLinePunct w:val="0"/>
              <w:autoSpaceDE/>
              <w:autoSpaceDN/>
              <w:bidi w:val="0"/>
              <w:adjustRightInd/>
              <w:snapToGrid/>
              <w:spacing w:line="240" w:lineRule="auto"/>
              <w:ind w:right="0" w:rightChars="0" w:firstLine="0"/>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0.0054</w:t>
            </w:r>
          </w:p>
        </w:tc>
        <w:tc>
          <w:tcPr>
            <w:tcW w:w="928" w:type="dxa"/>
            <w:vAlign w:val="center"/>
          </w:tcPr>
          <w:p>
            <w:pPr>
              <w:keepNext w:val="0"/>
              <w:keepLines w:val="0"/>
              <w:pageBreakBefore w:val="0"/>
              <w:widowControl/>
              <w:kinsoku/>
              <w:wordWrap/>
              <w:overflowPunct/>
              <w:topLinePunct w:val="0"/>
              <w:autoSpaceDE/>
              <w:autoSpaceDN/>
              <w:bidi w:val="0"/>
              <w:adjustRightInd/>
              <w:snapToGrid/>
              <w:spacing w:line="240" w:lineRule="auto"/>
              <w:ind w:right="0" w:rightChars="0" w:firstLine="0"/>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0.03888</w:t>
            </w:r>
          </w:p>
        </w:tc>
        <w:tc>
          <w:tcPr>
            <w:tcW w:w="843"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right="0" w:rightChars="0" w:firstLine="0"/>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6" w:type="dxa"/>
            <w:vMerge w:val="restart"/>
            <w:vAlign w:val="center"/>
          </w:tcPr>
          <w:p>
            <w:pPr>
              <w:keepNext w:val="0"/>
              <w:keepLines w:val="0"/>
              <w:pageBreakBefore w:val="0"/>
              <w:widowControl/>
              <w:kinsoku/>
              <w:wordWrap/>
              <w:overflowPunct/>
              <w:topLinePunct w:val="0"/>
              <w:autoSpaceDE/>
              <w:autoSpaceDN/>
              <w:bidi w:val="0"/>
              <w:adjustRightInd/>
              <w:snapToGrid/>
              <w:spacing w:line="240" w:lineRule="auto"/>
              <w:ind w:right="0" w:rightChars="0" w:firstLine="0"/>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DA002</w:t>
            </w:r>
          </w:p>
        </w:tc>
        <w:tc>
          <w:tcPr>
            <w:tcW w:w="476" w:type="dxa"/>
            <w:vMerge w:val="restart"/>
            <w:vAlign w:val="center"/>
          </w:tcPr>
          <w:p>
            <w:pPr>
              <w:keepNext w:val="0"/>
              <w:keepLines w:val="0"/>
              <w:pageBreakBefore w:val="0"/>
              <w:widowControl/>
              <w:kinsoku/>
              <w:wordWrap/>
              <w:overflowPunct/>
              <w:topLinePunct w:val="0"/>
              <w:autoSpaceDE/>
              <w:autoSpaceDN/>
              <w:bidi w:val="0"/>
              <w:adjustRightInd/>
              <w:snapToGrid/>
              <w:spacing w:line="240" w:lineRule="auto"/>
              <w:ind w:right="0" w:rightChars="0" w:firstLine="0"/>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亚胺化</w:t>
            </w:r>
          </w:p>
        </w:tc>
        <w:tc>
          <w:tcPr>
            <w:tcW w:w="647" w:type="dxa"/>
            <w:vAlign w:val="center"/>
          </w:tcPr>
          <w:p>
            <w:pPr>
              <w:keepNext w:val="0"/>
              <w:keepLines w:val="0"/>
              <w:pageBreakBefore w:val="0"/>
              <w:widowControl/>
              <w:kinsoku/>
              <w:wordWrap/>
              <w:overflowPunct/>
              <w:topLinePunct w:val="0"/>
              <w:autoSpaceDE/>
              <w:autoSpaceDN/>
              <w:bidi w:val="0"/>
              <w:adjustRightInd/>
              <w:snapToGrid/>
              <w:spacing w:line="240" w:lineRule="auto"/>
              <w:ind w:right="0" w:rightChars="0" w:firstLine="0"/>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非甲烷总烃</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right="0" w:rightChars="0" w:firstLine="0"/>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1039.583</w:t>
            </w:r>
          </w:p>
        </w:tc>
        <w:tc>
          <w:tcPr>
            <w:tcW w:w="1081" w:type="dxa"/>
            <w:vAlign w:val="center"/>
          </w:tcPr>
          <w:p>
            <w:pPr>
              <w:keepNext w:val="0"/>
              <w:keepLines w:val="0"/>
              <w:pageBreakBefore w:val="0"/>
              <w:widowControl/>
              <w:kinsoku/>
              <w:wordWrap/>
              <w:overflowPunct/>
              <w:topLinePunct w:val="0"/>
              <w:autoSpaceDE/>
              <w:autoSpaceDN/>
              <w:bidi w:val="0"/>
              <w:adjustRightInd/>
              <w:snapToGrid/>
              <w:spacing w:line="240" w:lineRule="auto"/>
              <w:ind w:right="0" w:rightChars="0" w:firstLine="0"/>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8.317</w:t>
            </w:r>
          </w:p>
        </w:tc>
        <w:tc>
          <w:tcPr>
            <w:tcW w:w="1081" w:type="dxa"/>
            <w:vAlign w:val="center"/>
          </w:tcPr>
          <w:p>
            <w:pPr>
              <w:keepNext w:val="0"/>
              <w:keepLines w:val="0"/>
              <w:pageBreakBefore w:val="0"/>
              <w:widowControl/>
              <w:kinsoku/>
              <w:wordWrap/>
              <w:overflowPunct/>
              <w:topLinePunct w:val="0"/>
              <w:autoSpaceDE/>
              <w:autoSpaceDN/>
              <w:bidi w:val="0"/>
              <w:adjustRightInd/>
              <w:snapToGrid/>
              <w:spacing w:line="240" w:lineRule="auto"/>
              <w:ind w:right="0" w:rightChars="0" w:firstLine="0"/>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59.88</w:t>
            </w:r>
          </w:p>
        </w:tc>
        <w:tc>
          <w:tcPr>
            <w:tcW w:w="842" w:type="dxa"/>
            <w:vMerge w:val="restart"/>
            <w:vAlign w:val="center"/>
          </w:tcPr>
          <w:p>
            <w:pPr>
              <w:keepNext w:val="0"/>
              <w:keepLines w:val="0"/>
              <w:pageBreakBefore w:val="0"/>
              <w:widowControl/>
              <w:kinsoku/>
              <w:wordWrap/>
              <w:overflowPunct/>
              <w:topLinePunct w:val="0"/>
              <w:autoSpaceDE/>
              <w:autoSpaceDN/>
              <w:bidi w:val="0"/>
              <w:adjustRightInd/>
              <w:snapToGrid/>
              <w:spacing w:line="240" w:lineRule="auto"/>
              <w:ind w:right="0" w:rightChars="0" w:firstLine="0"/>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一级冷凝+二级喷淋+湿电系统</w:t>
            </w:r>
          </w:p>
        </w:tc>
        <w:tc>
          <w:tcPr>
            <w:tcW w:w="715" w:type="dxa"/>
            <w:vMerge w:val="restart"/>
            <w:vAlign w:val="center"/>
          </w:tcPr>
          <w:p>
            <w:pPr>
              <w:keepNext w:val="0"/>
              <w:keepLines w:val="0"/>
              <w:pageBreakBefore w:val="0"/>
              <w:widowControl/>
              <w:kinsoku/>
              <w:wordWrap/>
              <w:overflowPunct/>
              <w:topLinePunct w:val="0"/>
              <w:autoSpaceDE/>
              <w:autoSpaceDN/>
              <w:bidi w:val="0"/>
              <w:adjustRightInd/>
              <w:snapToGrid/>
              <w:spacing w:line="240" w:lineRule="auto"/>
              <w:ind w:right="0" w:rightChars="0" w:firstLine="0"/>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8000</w:t>
            </w:r>
          </w:p>
        </w:tc>
        <w:tc>
          <w:tcPr>
            <w:tcW w:w="927" w:type="dxa"/>
            <w:vAlign w:val="center"/>
          </w:tcPr>
          <w:p>
            <w:pPr>
              <w:keepNext w:val="0"/>
              <w:keepLines w:val="0"/>
              <w:pageBreakBefore w:val="0"/>
              <w:widowControl/>
              <w:kinsoku/>
              <w:wordWrap/>
              <w:overflowPunct/>
              <w:topLinePunct w:val="0"/>
              <w:autoSpaceDE/>
              <w:autoSpaceDN/>
              <w:bidi w:val="0"/>
              <w:adjustRightInd/>
              <w:snapToGrid/>
              <w:spacing w:line="240" w:lineRule="auto"/>
              <w:ind w:right="0" w:rightChars="0" w:firstLine="0"/>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11.2275</w:t>
            </w:r>
          </w:p>
        </w:tc>
        <w:tc>
          <w:tcPr>
            <w:tcW w:w="927" w:type="dxa"/>
            <w:vAlign w:val="center"/>
          </w:tcPr>
          <w:p>
            <w:pPr>
              <w:keepNext w:val="0"/>
              <w:keepLines w:val="0"/>
              <w:pageBreakBefore w:val="0"/>
              <w:widowControl/>
              <w:kinsoku/>
              <w:wordWrap/>
              <w:overflowPunct/>
              <w:topLinePunct w:val="0"/>
              <w:autoSpaceDE/>
              <w:autoSpaceDN/>
              <w:bidi w:val="0"/>
              <w:adjustRightInd/>
              <w:snapToGrid/>
              <w:spacing w:line="240" w:lineRule="auto"/>
              <w:ind w:right="0" w:rightChars="0" w:firstLine="0"/>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0.08982</w:t>
            </w:r>
          </w:p>
        </w:tc>
        <w:tc>
          <w:tcPr>
            <w:tcW w:w="928" w:type="dxa"/>
            <w:vAlign w:val="center"/>
          </w:tcPr>
          <w:p>
            <w:pPr>
              <w:keepNext w:val="0"/>
              <w:keepLines w:val="0"/>
              <w:pageBreakBefore w:val="0"/>
              <w:widowControl/>
              <w:kinsoku/>
              <w:wordWrap/>
              <w:overflowPunct/>
              <w:topLinePunct w:val="0"/>
              <w:autoSpaceDE/>
              <w:autoSpaceDN/>
              <w:bidi w:val="0"/>
              <w:adjustRightInd/>
              <w:snapToGrid/>
              <w:spacing w:line="240" w:lineRule="auto"/>
              <w:ind w:right="0" w:rightChars="0" w:firstLine="0"/>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0.646</w:t>
            </w:r>
          </w:p>
        </w:tc>
        <w:tc>
          <w:tcPr>
            <w:tcW w:w="843"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right="0" w:rightChars="0" w:firstLine="0"/>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6"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right="0" w:rightChars="0" w:firstLine="0"/>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p>
        </w:tc>
        <w:tc>
          <w:tcPr>
            <w:tcW w:w="476"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right="0" w:rightChars="0" w:firstLine="0"/>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p>
        </w:tc>
        <w:tc>
          <w:tcPr>
            <w:tcW w:w="647" w:type="dxa"/>
            <w:vAlign w:val="center"/>
          </w:tcPr>
          <w:p>
            <w:pPr>
              <w:keepNext w:val="0"/>
              <w:keepLines w:val="0"/>
              <w:pageBreakBefore w:val="0"/>
              <w:widowControl/>
              <w:kinsoku/>
              <w:wordWrap/>
              <w:overflowPunct/>
              <w:topLinePunct w:val="0"/>
              <w:autoSpaceDE/>
              <w:autoSpaceDN/>
              <w:bidi w:val="0"/>
              <w:adjustRightInd/>
              <w:snapToGrid/>
              <w:spacing w:line="240" w:lineRule="auto"/>
              <w:ind w:right="0" w:rightChars="0" w:firstLine="0"/>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氨</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right="0" w:rightChars="0" w:firstLine="0"/>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0.868</w:t>
            </w:r>
          </w:p>
        </w:tc>
        <w:tc>
          <w:tcPr>
            <w:tcW w:w="1081" w:type="dxa"/>
            <w:vAlign w:val="center"/>
          </w:tcPr>
          <w:p>
            <w:pPr>
              <w:keepNext w:val="0"/>
              <w:keepLines w:val="0"/>
              <w:pageBreakBefore w:val="0"/>
              <w:widowControl/>
              <w:kinsoku/>
              <w:wordWrap/>
              <w:overflowPunct/>
              <w:topLinePunct w:val="0"/>
              <w:autoSpaceDE/>
              <w:autoSpaceDN/>
              <w:bidi w:val="0"/>
              <w:adjustRightInd/>
              <w:snapToGrid/>
              <w:spacing w:line="240" w:lineRule="auto"/>
              <w:ind w:right="0" w:rightChars="0" w:firstLine="0"/>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0.00694</w:t>
            </w:r>
          </w:p>
        </w:tc>
        <w:tc>
          <w:tcPr>
            <w:tcW w:w="1081" w:type="dxa"/>
            <w:vAlign w:val="center"/>
          </w:tcPr>
          <w:p>
            <w:pPr>
              <w:keepNext w:val="0"/>
              <w:keepLines w:val="0"/>
              <w:pageBreakBefore w:val="0"/>
              <w:widowControl/>
              <w:kinsoku/>
              <w:wordWrap/>
              <w:overflowPunct/>
              <w:topLinePunct w:val="0"/>
              <w:autoSpaceDE/>
              <w:autoSpaceDN/>
              <w:bidi w:val="0"/>
              <w:adjustRightInd/>
              <w:snapToGrid/>
              <w:spacing w:line="240" w:lineRule="auto"/>
              <w:ind w:right="0" w:rightChars="0" w:firstLine="0"/>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0.05</w:t>
            </w:r>
          </w:p>
        </w:tc>
        <w:tc>
          <w:tcPr>
            <w:tcW w:w="842"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right="0" w:rightChars="0" w:firstLine="0"/>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p>
        </w:tc>
        <w:tc>
          <w:tcPr>
            <w:tcW w:w="715"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right="0" w:rightChars="0" w:firstLine="0"/>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p>
        </w:tc>
        <w:tc>
          <w:tcPr>
            <w:tcW w:w="927" w:type="dxa"/>
            <w:vAlign w:val="center"/>
          </w:tcPr>
          <w:p>
            <w:pPr>
              <w:keepNext w:val="0"/>
              <w:keepLines w:val="0"/>
              <w:pageBreakBefore w:val="0"/>
              <w:widowControl/>
              <w:kinsoku/>
              <w:wordWrap/>
              <w:overflowPunct/>
              <w:topLinePunct w:val="0"/>
              <w:autoSpaceDE/>
              <w:autoSpaceDN/>
              <w:bidi w:val="0"/>
              <w:adjustRightInd/>
              <w:snapToGrid/>
              <w:spacing w:line="240" w:lineRule="auto"/>
              <w:ind w:right="0" w:rightChars="0" w:firstLine="0"/>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0.125</w:t>
            </w:r>
          </w:p>
        </w:tc>
        <w:tc>
          <w:tcPr>
            <w:tcW w:w="927" w:type="dxa"/>
            <w:vAlign w:val="center"/>
          </w:tcPr>
          <w:p>
            <w:pPr>
              <w:keepNext w:val="0"/>
              <w:keepLines w:val="0"/>
              <w:pageBreakBefore w:val="0"/>
              <w:widowControl/>
              <w:kinsoku/>
              <w:wordWrap/>
              <w:overflowPunct/>
              <w:topLinePunct w:val="0"/>
              <w:autoSpaceDE/>
              <w:autoSpaceDN/>
              <w:bidi w:val="0"/>
              <w:adjustRightInd/>
              <w:snapToGrid/>
              <w:spacing w:line="240" w:lineRule="auto"/>
              <w:ind w:right="0" w:rightChars="0" w:firstLine="0"/>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0.001</w:t>
            </w:r>
          </w:p>
        </w:tc>
        <w:tc>
          <w:tcPr>
            <w:tcW w:w="928" w:type="dxa"/>
            <w:vAlign w:val="center"/>
          </w:tcPr>
          <w:p>
            <w:pPr>
              <w:keepNext w:val="0"/>
              <w:keepLines w:val="0"/>
              <w:pageBreakBefore w:val="0"/>
              <w:widowControl/>
              <w:kinsoku/>
              <w:wordWrap/>
              <w:overflowPunct/>
              <w:topLinePunct w:val="0"/>
              <w:autoSpaceDE/>
              <w:autoSpaceDN/>
              <w:bidi w:val="0"/>
              <w:adjustRightInd/>
              <w:snapToGrid/>
              <w:spacing w:line="240" w:lineRule="auto"/>
              <w:ind w:right="0" w:rightChars="0" w:firstLine="0"/>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0.0072</w:t>
            </w:r>
          </w:p>
        </w:tc>
        <w:tc>
          <w:tcPr>
            <w:tcW w:w="843"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right="0" w:rightChars="0" w:firstLine="0"/>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6"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right="0" w:rightChars="0" w:firstLine="0"/>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p>
        </w:tc>
        <w:tc>
          <w:tcPr>
            <w:tcW w:w="476" w:type="dxa"/>
            <w:vAlign w:val="center"/>
          </w:tcPr>
          <w:p>
            <w:pPr>
              <w:keepNext w:val="0"/>
              <w:keepLines w:val="0"/>
              <w:pageBreakBefore w:val="0"/>
              <w:widowControl/>
              <w:kinsoku/>
              <w:wordWrap/>
              <w:overflowPunct/>
              <w:topLinePunct w:val="0"/>
              <w:autoSpaceDE/>
              <w:autoSpaceDN/>
              <w:bidi w:val="0"/>
              <w:adjustRightInd/>
              <w:snapToGrid/>
              <w:spacing w:line="240" w:lineRule="auto"/>
              <w:ind w:right="0" w:rightChars="0" w:firstLine="0"/>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电晕</w:t>
            </w:r>
          </w:p>
        </w:tc>
        <w:tc>
          <w:tcPr>
            <w:tcW w:w="647" w:type="dxa"/>
            <w:vAlign w:val="center"/>
          </w:tcPr>
          <w:p>
            <w:pPr>
              <w:keepNext w:val="0"/>
              <w:keepLines w:val="0"/>
              <w:pageBreakBefore w:val="0"/>
              <w:widowControl/>
              <w:kinsoku/>
              <w:wordWrap/>
              <w:overflowPunct/>
              <w:topLinePunct w:val="0"/>
              <w:autoSpaceDE/>
              <w:autoSpaceDN/>
              <w:bidi w:val="0"/>
              <w:adjustRightInd/>
              <w:snapToGrid/>
              <w:spacing w:line="240" w:lineRule="auto"/>
              <w:ind w:right="0" w:rightChars="0" w:firstLine="0"/>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臭氧</w:t>
            </w:r>
          </w:p>
        </w:tc>
        <w:tc>
          <w:tcPr>
            <w:tcW w:w="910" w:type="dxa"/>
            <w:vAlign w:val="center"/>
          </w:tcPr>
          <w:p>
            <w:pPr>
              <w:keepNext w:val="0"/>
              <w:keepLines w:val="0"/>
              <w:pageBreakBefore w:val="0"/>
              <w:widowControl/>
              <w:kinsoku/>
              <w:wordWrap/>
              <w:overflowPunct/>
              <w:topLinePunct w:val="0"/>
              <w:autoSpaceDE/>
              <w:autoSpaceDN/>
              <w:bidi w:val="0"/>
              <w:adjustRightInd/>
              <w:snapToGrid/>
              <w:spacing w:line="240" w:lineRule="auto"/>
              <w:ind w:right="0" w:rightChars="0" w:firstLine="0"/>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w:t>
            </w:r>
          </w:p>
        </w:tc>
        <w:tc>
          <w:tcPr>
            <w:tcW w:w="1081" w:type="dxa"/>
            <w:vAlign w:val="center"/>
          </w:tcPr>
          <w:p>
            <w:pPr>
              <w:keepNext w:val="0"/>
              <w:keepLines w:val="0"/>
              <w:pageBreakBefore w:val="0"/>
              <w:widowControl/>
              <w:kinsoku/>
              <w:wordWrap/>
              <w:overflowPunct/>
              <w:topLinePunct w:val="0"/>
              <w:autoSpaceDE/>
              <w:autoSpaceDN/>
              <w:bidi w:val="0"/>
              <w:adjustRightInd/>
              <w:snapToGrid/>
              <w:spacing w:line="240" w:lineRule="auto"/>
              <w:ind w:right="0" w:rightChars="0" w:firstLine="0"/>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w:t>
            </w:r>
          </w:p>
        </w:tc>
        <w:tc>
          <w:tcPr>
            <w:tcW w:w="1081" w:type="dxa"/>
            <w:vAlign w:val="center"/>
          </w:tcPr>
          <w:p>
            <w:pPr>
              <w:keepNext w:val="0"/>
              <w:keepLines w:val="0"/>
              <w:pageBreakBefore w:val="0"/>
              <w:widowControl/>
              <w:kinsoku/>
              <w:wordWrap/>
              <w:overflowPunct/>
              <w:topLinePunct w:val="0"/>
              <w:autoSpaceDE/>
              <w:autoSpaceDN/>
              <w:bidi w:val="0"/>
              <w:adjustRightInd/>
              <w:snapToGrid/>
              <w:spacing w:line="240" w:lineRule="auto"/>
              <w:ind w:right="0" w:rightChars="0" w:firstLine="0"/>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w:t>
            </w:r>
          </w:p>
        </w:tc>
        <w:tc>
          <w:tcPr>
            <w:tcW w:w="842"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right="0" w:rightChars="0" w:firstLine="0"/>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p>
        </w:tc>
        <w:tc>
          <w:tcPr>
            <w:tcW w:w="715"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right="0" w:rightChars="0" w:firstLine="0"/>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p>
        </w:tc>
        <w:tc>
          <w:tcPr>
            <w:tcW w:w="927" w:type="dxa"/>
            <w:vAlign w:val="center"/>
          </w:tcPr>
          <w:p>
            <w:pPr>
              <w:keepNext w:val="0"/>
              <w:keepLines w:val="0"/>
              <w:pageBreakBefore w:val="0"/>
              <w:widowControl/>
              <w:kinsoku/>
              <w:wordWrap/>
              <w:overflowPunct/>
              <w:topLinePunct w:val="0"/>
              <w:autoSpaceDE/>
              <w:autoSpaceDN/>
              <w:bidi w:val="0"/>
              <w:adjustRightInd/>
              <w:snapToGrid/>
              <w:spacing w:line="240" w:lineRule="auto"/>
              <w:ind w:right="0" w:rightChars="0" w:firstLine="0"/>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w:t>
            </w:r>
          </w:p>
        </w:tc>
        <w:tc>
          <w:tcPr>
            <w:tcW w:w="927" w:type="dxa"/>
            <w:vAlign w:val="center"/>
          </w:tcPr>
          <w:p>
            <w:pPr>
              <w:keepNext w:val="0"/>
              <w:keepLines w:val="0"/>
              <w:pageBreakBefore w:val="0"/>
              <w:widowControl/>
              <w:kinsoku/>
              <w:wordWrap/>
              <w:overflowPunct/>
              <w:topLinePunct w:val="0"/>
              <w:autoSpaceDE/>
              <w:autoSpaceDN/>
              <w:bidi w:val="0"/>
              <w:adjustRightInd/>
              <w:snapToGrid/>
              <w:spacing w:line="240" w:lineRule="auto"/>
              <w:ind w:right="0" w:rightChars="0" w:firstLine="0"/>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w:t>
            </w:r>
          </w:p>
        </w:tc>
        <w:tc>
          <w:tcPr>
            <w:tcW w:w="928" w:type="dxa"/>
            <w:vAlign w:val="center"/>
          </w:tcPr>
          <w:p>
            <w:pPr>
              <w:keepNext w:val="0"/>
              <w:keepLines w:val="0"/>
              <w:pageBreakBefore w:val="0"/>
              <w:widowControl/>
              <w:kinsoku/>
              <w:wordWrap/>
              <w:overflowPunct/>
              <w:topLinePunct w:val="0"/>
              <w:autoSpaceDE/>
              <w:autoSpaceDN/>
              <w:bidi w:val="0"/>
              <w:adjustRightInd/>
              <w:snapToGrid/>
              <w:spacing w:line="240" w:lineRule="auto"/>
              <w:ind w:right="0" w:rightChars="0" w:firstLine="0"/>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w:t>
            </w:r>
          </w:p>
        </w:tc>
        <w:tc>
          <w:tcPr>
            <w:tcW w:w="843"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right="0" w:rightChars="0" w:firstLine="0"/>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p>
        </w:tc>
      </w:tr>
    </w:tbl>
    <w:p>
      <w:pPr>
        <w:keepNext w:val="0"/>
        <w:keepLines w:val="0"/>
        <w:pageBreakBefore w:val="0"/>
        <w:widowControl/>
        <w:kinsoku/>
        <w:wordWrap/>
        <w:overflowPunct/>
        <w:topLinePunct w:val="0"/>
        <w:autoSpaceDE/>
        <w:autoSpaceDN/>
        <w:bidi w:val="0"/>
        <w:adjustRightInd/>
        <w:snapToGrid/>
        <w:spacing w:line="360" w:lineRule="auto"/>
        <w:ind w:leftChars="0" w:firstLine="482" w:firstLineChars="200"/>
        <w:textAlignment w:val="auto"/>
        <w:outlineLvl w:val="4"/>
        <w:rPr>
          <w:rFonts w:hint="eastAsia" w:ascii="宋体" w:hAnsi="宋体" w:eastAsia="宋体" w:cs="宋体"/>
          <w:b/>
          <w:bCs/>
          <w:i w:val="0"/>
          <w:iCs w:val="0"/>
          <w:color w:val="000000" w:themeColor="text1"/>
          <w:sz w:val="24"/>
          <w:szCs w:val="24"/>
          <w:lang w:val="en-US" w:eastAsia="zh-CN"/>
          <w14:textFill>
            <w14:solidFill>
              <w14:schemeClr w14:val="tx1"/>
            </w14:solidFill>
          </w14:textFill>
        </w:rPr>
      </w:pPr>
      <w:r>
        <w:rPr>
          <w:rFonts w:hint="eastAsia" w:ascii="宋体" w:hAnsi="宋体" w:eastAsia="宋体" w:cs="宋体"/>
          <w:b/>
          <w:bCs/>
          <w:i w:val="0"/>
          <w:iCs w:val="0"/>
          <w:color w:val="000000" w:themeColor="text1"/>
          <w:sz w:val="24"/>
          <w:szCs w:val="24"/>
          <w:lang w:val="en-US" w:eastAsia="zh-CN"/>
          <w14:textFill>
            <w14:solidFill>
              <w14:schemeClr w14:val="tx1"/>
            </w14:solidFill>
          </w14:textFill>
        </w:rPr>
        <w:t>3.3.2.2.2无组织废气</w:t>
      </w:r>
    </w:p>
    <w:p>
      <w:pPr>
        <w:keepNext w:val="0"/>
        <w:keepLines w:val="0"/>
        <w:pageBreakBefore w:val="0"/>
        <w:widowControl/>
        <w:kinsoku/>
        <w:wordWrap/>
        <w:overflowPunct/>
        <w:topLinePunct w:val="0"/>
        <w:bidi w:val="0"/>
        <w:adjustRightInd/>
        <w:snapToGrid/>
        <w:spacing w:line="360" w:lineRule="auto"/>
        <w:ind w:leftChars="0" w:firstLine="480" w:firstLineChars="200"/>
        <w:textAlignment w:val="auto"/>
        <w:rPr>
          <w:rFonts w:hint="eastAsia" w:ascii="宋体" w:hAnsi="宋体" w:eastAsia="宋体" w:cs="宋体"/>
          <w:b w:val="0"/>
          <w:bCs w:val="0"/>
          <w:i w:val="0"/>
          <w:iCs w:val="0"/>
          <w:color w:val="000000" w:themeColor="text1"/>
          <w:sz w:val="24"/>
          <w:szCs w:val="24"/>
          <w:lang w:eastAsia="zh-CN"/>
          <w14:textFill>
            <w14:solidFill>
              <w14:schemeClr w14:val="tx1"/>
            </w14:solidFill>
          </w14:textFill>
        </w:rPr>
      </w:pPr>
      <w:r>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t>1、</w:t>
      </w:r>
      <w:r>
        <w:rPr>
          <w:rFonts w:hint="eastAsia" w:ascii="宋体" w:hAnsi="宋体" w:eastAsia="宋体" w:cs="宋体"/>
          <w:b w:val="0"/>
          <w:bCs w:val="0"/>
          <w:i w:val="0"/>
          <w:iCs w:val="0"/>
          <w:color w:val="000000" w:themeColor="text1"/>
          <w:sz w:val="24"/>
          <w:szCs w:val="24"/>
          <w14:textFill>
            <w14:solidFill>
              <w14:schemeClr w14:val="tx1"/>
            </w14:solidFill>
          </w14:textFill>
        </w:rPr>
        <w:t>投料废气</w:t>
      </w:r>
    </w:p>
    <w:p>
      <w:pPr>
        <w:keepNext w:val="0"/>
        <w:keepLines w:val="0"/>
        <w:pageBreakBefore w:val="0"/>
        <w:widowControl/>
        <w:kinsoku/>
        <w:wordWrap/>
        <w:overflowPunct/>
        <w:topLinePunct w:val="0"/>
        <w:bidi w:val="0"/>
        <w:adjustRightInd/>
        <w:snapToGrid/>
        <w:spacing w:line="360" w:lineRule="auto"/>
        <w:ind w:leftChars="0" w:firstLine="480" w:firstLineChars="200"/>
        <w:textAlignment w:val="auto"/>
        <w:rPr>
          <w:rFonts w:hint="eastAsia" w:ascii="宋体" w:hAnsi="宋体" w:eastAsia="宋体" w:cs="宋体"/>
          <w:color w:val="000000" w:themeColor="text1"/>
          <w:kern w:val="1"/>
          <w:sz w:val="24"/>
          <w:szCs w:val="24"/>
          <w:highlight w:val="none"/>
          <w:lang w:eastAsia="zh-CN"/>
          <w14:textFill>
            <w14:solidFill>
              <w14:schemeClr w14:val="tx1"/>
            </w14:solidFill>
          </w14:textFill>
        </w:rPr>
      </w:pPr>
      <w:r>
        <w:rPr>
          <w:rFonts w:hint="eastAsia" w:ascii="宋体" w:hAnsi="宋体" w:eastAsia="宋体" w:cs="宋体"/>
          <w:b w:val="0"/>
          <w:bCs w:val="0"/>
          <w:i w:val="0"/>
          <w:iCs w:val="0"/>
          <w:color w:val="000000" w:themeColor="text1"/>
          <w:sz w:val="24"/>
          <w:szCs w:val="24"/>
          <w14:textFill>
            <w14:solidFill>
              <w14:schemeClr w14:val="tx1"/>
            </w14:solidFill>
          </w14:textFill>
        </w:rPr>
        <w:t>本项目所用的物料有4,4'-二氨基二苯醚、均苯四甲酸二酐、N,N-二甲基乙酰胺。其中4,4'-二氨基二苯醚为块状固体、均苯四甲酸二酐为晶体状大颗粒固体，颗粒比较大</w:t>
      </w:r>
      <w:r>
        <w:rPr>
          <w:rFonts w:hint="eastAsia" w:ascii="宋体" w:hAnsi="宋体" w:eastAsia="宋体" w:cs="宋体"/>
          <w:b w:val="0"/>
          <w:bCs w:val="0"/>
          <w:i w:val="0"/>
          <w:iCs w:val="0"/>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均采用包装箱包装，并设有内袋</w:t>
      </w:r>
      <w:r>
        <w:rPr>
          <w:rFonts w:hint="eastAsia" w:ascii="宋体" w:hAnsi="宋体" w:eastAsia="宋体" w:cs="宋体"/>
          <w:color w:val="000000" w:themeColor="text1"/>
          <w:sz w:val="24"/>
          <w:lang w:eastAsia="zh-CN"/>
          <w14:textFill>
            <w14:solidFill>
              <w14:schemeClr w14:val="tx1"/>
            </w14:solidFill>
          </w14:textFill>
        </w:rPr>
        <w:t>，</w:t>
      </w:r>
      <w:r>
        <w:rPr>
          <w:rFonts w:hint="eastAsia" w:ascii="宋体" w:hAnsi="宋体" w:eastAsia="宋体" w:cs="宋体"/>
          <w:b w:val="0"/>
          <w:bCs w:val="0"/>
          <w:i w:val="0"/>
          <w:iCs w:val="0"/>
          <w:color w:val="000000" w:themeColor="text1"/>
          <w:sz w:val="24"/>
          <w:szCs w:val="24"/>
          <w14:textFill>
            <w14:solidFill>
              <w14:schemeClr w14:val="tx1"/>
            </w14:solidFill>
          </w14:textFill>
        </w:rPr>
        <w:t>投料时不会产生粉尘</w:t>
      </w:r>
      <w:r>
        <w:rPr>
          <w:rFonts w:hint="eastAsia" w:ascii="宋体" w:hAnsi="宋体" w:eastAsia="宋体" w:cs="宋体"/>
          <w:b w:val="0"/>
          <w:bCs w:val="0"/>
          <w:i w:val="0"/>
          <w:iCs w:val="0"/>
          <w:color w:val="000000" w:themeColor="text1"/>
          <w:sz w:val="24"/>
          <w:szCs w:val="24"/>
          <w:lang w:eastAsia="zh-CN"/>
          <w14:textFill>
            <w14:solidFill>
              <w14:schemeClr w14:val="tx1"/>
            </w14:solidFill>
          </w14:textFill>
        </w:rPr>
        <w:t>，</w:t>
      </w:r>
      <w:r>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t>且</w:t>
      </w:r>
      <w:r>
        <w:rPr>
          <w:rFonts w:hint="eastAsia" w:ascii="宋体" w:hAnsi="宋体" w:eastAsia="宋体" w:cs="宋体"/>
          <w:b w:val="0"/>
          <w:bCs w:val="0"/>
          <w:i w:val="0"/>
          <w:iCs w:val="0"/>
          <w:color w:val="000000" w:themeColor="text1"/>
          <w:sz w:val="24"/>
          <w:szCs w:val="24"/>
          <w:lang w:eastAsia="zh-CN"/>
          <w14:textFill>
            <w14:solidFill>
              <w14:schemeClr w14:val="tx1"/>
            </w14:solidFill>
          </w14:textFill>
        </w:rPr>
        <w:t>投料工序</w:t>
      </w:r>
      <w:r>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t>设有备用</w:t>
      </w:r>
      <w:r>
        <w:rPr>
          <w:rFonts w:hint="eastAsia" w:ascii="宋体" w:hAnsi="宋体" w:eastAsia="宋体" w:cs="宋体"/>
          <w:b w:val="0"/>
          <w:bCs w:val="0"/>
          <w:i w:val="0"/>
          <w:iCs w:val="0"/>
          <w:color w:val="000000" w:themeColor="text1"/>
          <w:sz w:val="24"/>
          <w:szCs w:val="24"/>
          <w:lang w:eastAsia="zh-CN"/>
          <w14:textFill>
            <w14:solidFill>
              <w14:schemeClr w14:val="tx1"/>
            </w14:solidFill>
          </w14:textFill>
        </w:rPr>
        <w:t>布袋除尘器，</w:t>
      </w:r>
      <w:r>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t>应急使用</w:t>
      </w:r>
      <w:r>
        <w:rPr>
          <w:rFonts w:hint="eastAsia" w:ascii="宋体" w:hAnsi="宋体" w:eastAsia="宋体" w:cs="宋体"/>
          <w:b w:val="0"/>
          <w:bCs w:val="0"/>
          <w:i w:val="0"/>
          <w:iCs w:val="0"/>
          <w:color w:val="000000" w:themeColor="text1"/>
          <w:sz w:val="24"/>
          <w:szCs w:val="24"/>
          <w14:textFill>
            <w14:solidFill>
              <w14:schemeClr w14:val="tx1"/>
            </w14:solidFill>
          </w14:textFill>
        </w:rPr>
        <w:t>。N,N-二甲基乙酰胺为液态，在厂区仓库内用桶密封保存，使用时由仓库搬运到密闭投料间内。再由真空泵经管道通过负压抽入到计量罐内，再通过喂料口向计量罐内加入4,4'-二氨基二苯醚后搅拌溶解，然后通过管道从计量罐内向搅拌罐内泵入4,4'-二氨基二苯醚和N,N-二甲基乙酰胺的混合溶液，向搅拌罐内按比例加入均苯四甲酸二酐。投料工序仅在使用真空泵往计量罐内加入N,N-二甲基乙酰胺时会散发少量有机废气，本项目投料工序时间较短，挥发的溶剂量很少，约占所用溶剂的0.</w:t>
      </w:r>
      <w:r>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t>0</w:t>
      </w:r>
      <w:r>
        <w:rPr>
          <w:rFonts w:hint="eastAsia" w:ascii="宋体" w:hAnsi="宋体" w:eastAsia="宋体" w:cs="宋体"/>
          <w:b w:val="0"/>
          <w:bCs w:val="0"/>
          <w:i w:val="0"/>
          <w:iCs w:val="0"/>
          <w:color w:val="000000" w:themeColor="text1"/>
          <w:sz w:val="24"/>
          <w:szCs w:val="24"/>
          <w14:textFill>
            <w14:solidFill>
              <w14:schemeClr w14:val="tx1"/>
            </w14:solidFill>
          </w14:textFill>
        </w:rPr>
        <w:t>1%左右，即0.</w:t>
      </w:r>
      <w:r>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t>06</w:t>
      </w:r>
      <w:r>
        <w:rPr>
          <w:rFonts w:hint="eastAsia" w:ascii="宋体" w:hAnsi="宋体" w:eastAsia="宋体" w:cs="宋体"/>
          <w:b w:val="0"/>
          <w:bCs w:val="0"/>
          <w:i w:val="0"/>
          <w:iCs w:val="0"/>
          <w:color w:val="000000" w:themeColor="text1"/>
          <w:sz w:val="24"/>
          <w:szCs w:val="24"/>
          <w14:textFill>
            <w14:solidFill>
              <w14:schemeClr w14:val="tx1"/>
            </w14:solidFill>
          </w14:textFill>
        </w:rPr>
        <w:t>t/a，以非甲烷总烃计，</w:t>
      </w:r>
      <w:r>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t>呈无组织排放</w:t>
      </w:r>
      <w:r>
        <w:rPr>
          <w:rFonts w:hint="eastAsia" w:ascii="宋体" w:hAnsi="宋体" w:eastAsia="宋体" w:cs="宋体"/>
          <w:b w:val="0"/>
          <w:bCs w:val="0"/>
          <w:i w:val="0"/>
          <w:iCs w:val="0"/>
          <w:color w:val="000000" w:themeColor="text1"/>
          <w:sz w:val="24"/>
          <w:szCs w:val="24"/>
          <w14:textFill>
            <w14:solidFill>
              <w14:schemeClr w14:val="tx1"/>
            </w14:solidFill>
          </w14:textFill>
        </w:rPr>
        <w:t>。</w:t>
      </w:r>
    </w:p>
    <w:p>
      <w:pPr>
        <w:widowControl w:val="0"/>
        <w:spacing w:before="24" w:line="365" w:lineRule="auto"/>
        <w:ind w:firstLine="480" w:firstLineChars="200"/>
        <w:jc w:val="both"/>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t>2、储罐区无组织排放</w:t>
      </w:r>
    </w:p>
    <w:p>
      <w:pPr>
        <w:widowControl w:val="0"/>
        <w:spacing w:before="24" w:line="365" w:lineRule="auto"/>
        <w:ind w:firstLine="480" w:firstLineChars="200"/>
        <w:jc w:val="both"/>
        <w:rPr>
          <w:rFonts w:hint="eastAsia" w:ascii="宋体" w:hAnsi="宋体" w:eastAsia="宋体" w:cs="宋体"/>
          <w:color w:val="000000" w:themeColor="text1"/>
          <w:kern w:val="2"/>
          <w:highlight w:val="none"/>
          <w14:textFill>
            <w14:solidFill>
              <w14:schemeClr w14:val="tx1"/>
            </w14:solidFill>
          </w14:textFill>
        </w:rPr>
      </w:pPr>
      <w:r>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t>本项目无组织废气主要考虑储罐的大小呼吸。</w:t>
      </w:r>
      <w:r>
        <w:rPr>
          <w:rFonts w:hint="eastAsia" w:ascii="宋体" w:hAnsi="宋体" w:eastAsia="宋体" w:cs="宋体"/>
          <w:color w:val="000000" w:themeColor="text1"/>
          <w:kern w:val="2"/>
          <w:highlight w:val="none"/>
          <w14:textFill>
            <w14:solidFill>
              <w14:schemeClr w14:val="tx1"/>
            </w14:solidFill>
          </w14:textFill>
        </w:rPr>
        <w:t>呼吸损失是由于温度和大气压力的变化，它引起蒸气的膨胀和收缩而产生的蒸气排出，它出现在罐内无任何液面变化的情况，也称小呼吸。由装料和卸料联合产生的损失被称为工作损失，也称大呼吸。装料损失和罐内液面的增加有关。由于装料的结果，罐内压力超过释放压力时，蒸气从罐内压出。卸料损失发生在液体排出，空气被抽入罐内时，由于空气变成该物质的饱和气体而膨胀，因此超过蒸气空间容纳的能力。</w:t>
      </w:r>
    </w:p>
    <w:p>
      <w:pPr>
        <w:spacing w:line="360" w:lineRule="auto"/>
        <w:ind w:firstLine="480"/>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t>（1）小呼吸废气</w:t>
      </w:r>
    </w:p>
    <w:p>
      <w:pPr>
        <w:spacing w:line="360" w:lineRule="auto"/>
        <w:ind w:firstLine="480"/>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t>小呼吸是由于温度和大气压力的变化引起蒸气的膨胀和收缩而产生的蒸气排出，它出现在罐内液面无任何变化的情况，是非人为干扰的自然排放方式。</w:t>
      </w:r>
    </w:p>
    <w:p>
      <w:pPr>
        <w:spacing w:line="360" w:lineRule="auto"/>
        <w:ind w:firstLine="480"/>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t>固定顶罐的呼吸排放可用下式估算其污染物的排放量：</w:t>
      </w:r>
    </w:p>
    <w:p>
      <w:pPr>
        <w:spacing w:line="360" w:lineRule="auto"/>
        <w:ind w:firstLine="480"/>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drawing>
          <wp:inline distT="0" distB="0" distL="114300" distR="114300">
            <wp:extent cx="4990465" cy="313690"/>
            <wp:effectExtent l="0" t="0" r="635" b="10160"/>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27"/>
                    <a:stretch>
                      <a:fillRect/>
                    </a:stretch>
                  </pic:blipFill>
                  <pic:spPr>
                    <a:xfrm>
                      <a:off x="0" y="0"/>
                      <a:ext cx="4990465" cy="313690"/>
                    </a:xfrm>
                    <a:prstGeom prst="rect">
                      <a:avLst/>
                    </a:prstGeom>
                    <a:noFill/>
                    <a:ln>
                      <a:noFill/>
                    </a:ln>
                  </pic:spPr>
                </pic:pic>
              </a:graphicData>
            </a:graphic>
          </wp:inline>
        </w:drawing>
      </w:r>
    </w:p>
    <w:p>
      <w:pPr>
        <w:spacing w:line="360" w:lineRule="auto"/>
        <w:ind w:firstLine="480"/>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t>式中：LB——固定顶罐的呼吸排放量（Kg/a）；</w:t>
      </w:r>
    </w:p>
    <w:p>
      <w:pPr>
        <w:spacing w:line="360" w:lineRule="auto"/>
        <w:ind w:firstLine="480"/>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t>M——储罐内蒸气的分子量；</w:t>
      </w:r>
    </w:p>
    <w:p>
      <w:pPr>
        <w:spacing w:line="360" w:lineRule="auto"/>
        <w:ind w:firstLine="480"/>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t>P——在大量液体状态下，真实的蒸气压力（Pa）；</w:t>
      </w:r>
    </w:p>
    <w:p>
      <w:pPr>
        <w:spacing w:line="360" w:lineRule="auto"/>
        <w:ind w:firstLine="480"/>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t>D——罐的直径（m）；</w:t>
      </w:r>
    </w:p>
    <w:p>
      <w:pPr>
        <w:spacing w:line="360" w:lineRule="auto"/>
        <w:ind w:firstLine="480"/>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t>H——平均蒸气空间高度（m）；</w:t>
      </w:r>
    </w:p>
    <w:p>
      <w:pPr>
        <w:spacing w:line="360" w:lineRule="auto"/>
        <w:ind w:firstLine="480"/>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t>△T——一天之内的平均温度差（℃）；</w:t>
      </w:r>
    </w:p>
    <w:p>
      <w:pPr>
        <w:spacing w:line="360" w:lineRule="auto"/>
        <w:ind w:firstLine="480"/>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t>FP——涂层因子（无量纲），取值在1</w:t>
      </w:r>
      <w:r>
        <w:rPr>
          <w:rFonts w:hint="eastAsia" w:cs="宋体"/>
          <w:b w:val="0"/>
          <w:bCs w:val="0"/>
          <w:i w:val="0"/>
          <w:iCs w:val="0"/>
          <w:color w:val="000000" w:themeColor="text1"/>
          <w:sz w:val="24"/>
          <w:szCs w:val="24"/>
          <w:lang w:val="en-US" w:eastAsia="zh-CN"/>
          <w14:textFill>
            <w14:solidFill>
              <w14:schemeClr w14:val="tx1"/>
            </w14:solidFill>
          </w14:textFill>
        </w:rPr>
        <w:t>～</w:t>
      </w:r>
      <w:r>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t>1.5之间（取1.25）；</w:t>
      </w:r>
    </w:p>
    <w:p>
      <w:pPr>
        <w:spacing w:line="360" w:lineRule="auto"/>
        <w:ind w:firstLine="480"/>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t>C——用于小直径罐的调节因子（无量纲），C=1-0.0123(D-9)2；</w:t>
      </w:r>
    </w:p>
    <w:p>
      <w:pPr>
        <w:spacing w:line="360" w:lineRule="auto"/>
        <w:ind w:firstLine="480"/>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t>KC——产品因子（有机液体取1.0）</w:t>
      </w:r>
    </w:p>
    <w:p>
      <w:pPr>
        <w:spacing w:line="360" w:lineRule="auto"/>
        <w:ind w:firstLine="480"/>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t>（2）大呼吸废气</w:t>
      </w:r>
    </w:p>
    <w:p>
      <w:pPr>
        <w:spacing w:line="360" w:lineRule="auto"/>
        <w:ind w:firstLine="480"/>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t>大呼吸是由于人为的装料与卸料而产生的损失。因装料的结果，罐内压力超过释放压力时，蒸气从罐内压出；而卸料损失发生于液面排出，空气被抽入罐体内，因空气变成有机蒸气饱和的气体而膨胀，因而超过蒸气空间容纳的能力。</w:t>
      </w:r>
    </w:p>
    <w:p>
      <w:pPr>
        <w:spacing w:line="360" w:lineRule="auto"/>
        <w:ind w:firstLine="480"/>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t>可由下式估算固定顶罐的工作排放</w:t>
      </w:r>
    </w:p>
    <w:p>
      <w:pPr>
        <w:spacing w:line="360" w:lineRule="auto"/>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drawing>
          <wp:inline distT="0" distB="0" distL="114300" distR="114300">
            <wp:extent cx="3200400" cy="410845"/>
            <wp:effectExtent l="0" t="0" r="0" b="8255"/>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28"/>
                    <a:stretch>
                      <a:fillRect/>
                    </a:stretch>
                  </pic:blipFill>
                  <pic:spPr>
                    <a:xfrm>
                      <a:off x="0" y="0"/>
                      <a:ext cx="3200400" cy="410845"/>
                    </a:xfrm>
                    <a:prstGeom prst="rect">
                      <a:avLst/>
                    </a:prstGeom>
                    <a:noFill/>
                    <a:ln>
                      <a:noFill/>
                    </a:ln>
                  </pic:spPr>
                </pic:pic>
              </a:graphicData>
            </a:graphic>
          </wp:inline>
        </w:drawing>
      </w:r>
    </w:p>
    <w:p>
      <w:pPr>
        <w:spacing w:line="360" w:lineRule="auto"/>
        <w:ind w:firstLine="480"/>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t>式中：LW——固定顶罐的工作损失（Kg/m³投入量）</w:t>
      </w:r>
    </w:p>
    <w:p>
      <w:pPr>
        <w:spacing w:line="360" w:lineRule="auto"/>
        <w:ind w:firstLine="480"/>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t>KN——周转因子（无量纲），取值按年周转次数（K）确定。K≤36，KN=1；36＜K≤220，KN=11.467×N</w:t>
      </w:r>
      <w:r>
        <w:rPr>
          <w:rFonts w:hint="eastAsia" w:ascii="宋体" w:hAnsi="宋体" w:eastAsia="宋体" w:cs="宋体"/>
          <w:b w:val="0"/>
          <w:bCs w:val="0"/>
          <w:i w:val="0"/>
          <w:iCs w:val="0"/>
          <w:color w:val="000000" w:themeColor="text1"/>
          <w:sz w:val="24"/>
          <w:szCs w:val="24"/>
          <w:vertAlign w:val="superscript"/>
          <w:lang w:val="en-US" w:eastAsia="zh-CN"/>
          <w14:textFill>
            <w14:solidFill>
              <w14:schemeClr w14:val="tx1"/>
            </w14:solidFill>
          </w14:textFill>
        </w:rPr>
        <w:t>-0.7026</w:t>
      </w:r>
      <w:r>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t>；K＞220，KN=0.26。</w:t>
      </w:r>
    </w:p>
    <w:p>
      <w:pPr>
        <w:spacing w:line="360" w:lineRule="auto"/>
        <w:ind w:firstLine="480"/>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t>（3）呼吸废气排放量核算</w:t>
      </w:r>
    </w:p>
    <w:p>
      <w:pPr>
        <w:spacing w:line="360" w:lineRule="auto"/>
        <w:ind w:firstLine="480"/>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t>项目拟建原料储罐和溶剂回收储罐各2个，有效容积均为40m³。</w:t>
      </w:r>
    </w:p>
    <w:p>
      <w:pPr>
        <w:keepNext w:val="0"/>
        <w:keepLines w:val="0"/>
        <w:pageBreakBefore w:val="0"/>
        <w:widowControl/>
        <w:kinsoku/>
        <w:wordWrap/>
        <w:overflowPunct/>
        <w:topLinePunct w:val="0"/>
        <w:autoSpaceDE/>
        <w:autoSpaceDN/>
        <w:bidi w:val="0"/>
        <w:adjustRightInd/>
        <w:snapToGrid/>
        <w:spacing w:before="167" w:beforeLines="50" w:after="167" w:afterLines="50" w:line="360" w:lineRule="auto"/>
        <w:ind w:right="0" w:rightChars="0" w:firstLine="0"/>
        <w:jc w:val="center"/>
        <w:textAlignment w:val="auto"/>
        <w:rPr>
          <w:rFonts w:hint="eastAsia" w:ascii="宋体" w:hAnsi="宋体" w:eastAsia="宋体" w:cs="宋体"/>
          <w:b/>
          <w:color w:val="000000" w:themeColor="text1"/>
          <w:szCs w:val="21"/>
          <w:lang w:val="en-US" w:eastAsia="zh-CN"/>
          <w14:textFill>
            <w14:solidFill>
              <w14:schemeClr w14:val="tx1"/>
            </w14:solidFill>
          </w14:textFill>
        </w:rPr>
      </w:pPr>
      <w:r>
        <w:rPr>
          <w:rFonts w:hint="eastAsia" w:ascii="宋体" w:hAnsi="宋体" w:eastAsia="宋体" w:cs="宋体"/>
          <w:b/>
          <w:color w:val="000000" w:themeColor="text1"/>
          <w:szCs w:val="21"/>
          <w:lang w:val="en-US" w:eastAsia="zh-CN"/>
          <w14:textFill>
            <w14:solidFill>
              <w14:schemeClr w14:val="tx1"/>
            </w14:solidFill>
          </w14:textFill>
        </w:rPr>
        <w:t>表3.3.2.2-3项目单个储罐产排情况一览表</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26"/>
        <w:gridCol w:w="49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6"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物料名称参数</w:t>
            </w:r>
          </w:p>
        </w:tc>
        <w:tc>
          <w:tcPr>
            <w:tcW w:w="4927"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二甲基乙酰胺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6"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液体分子量M</w:t>
            </w:r>
          </w:p>
        </w:tc>
        <w:tc>
          <w:tcPr>
            <w:tcW w:w="4927"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87.12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6"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蒸汽压力P（Pa）</w:t>
            </w:r>
          </w:p>
        </w:tc>
        <w:tc>
          <w:tcPr>
            <w:tcW w:w="4927"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493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6"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储罐直径D（m）</w:t>
            </w:r>
          </w:p>
        </w:tc>
        <w:tc>
          <w:tcPr>
            <w:tcW w:w="4927"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6"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平均蒸汽高度H（m）</w:t>
            </w:r>
          </w:p>
        </w:tc>
        <w:tc>
          <w:tcPr>
            <w:tcW w:w="4927"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6"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日平均温差△T（℃）</w:t>
            </w:r>
          </w:p>
        </w:tc>
        <w:tc>
          <w:tcPr>
            <w:tcW w:w="4927"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6"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涂层因子FP</w:t>
            </w:r>
          </w:p>
        </w:tc>
        <w:tc>
          <w:tcPr>
            <w:tcW w:w="4927"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6"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产品因子KC</w:t>
            </w:r>
          </w:p>
        </w:tc>
        <w:tc>
          <w:tcPr>
            <w:tcW w:w="4927"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6"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周转因子KN</w:t>
            </w:r>
          </w:p>
        </w:tc>
        <w:tc>
          <w:tcPr>
            <w:tcW w:w="4927"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6"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 xml:space="preserve">LB储罐小呼吸排放量（kg/a）                  </w:t>
            </w:r>
          </w:p>
        </w:tc>
        <w:tc>
          <w:tcPr>
            <w:tcW w:w="4927"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6"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LW储罐大户小排放量（kg/a）</w:t>
            </w:r>
          </w:p>
        </w:tc>
        <w:tc>
          <w:tcPr>
            <w:tcW w:w="4927"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6"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大小呼吸排放总量（kg/a）</w:t>
            </w:r>
          </w:p>
        </w:tc>
        <w:tc>
          <w:tcPr>
            <w:tcW w:w="4927"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2.62</w:t>
            </w:r>
          </w:p>
        </w:tc>
      </w:tr>
    </w:tbl>
    <w:p>
      <w:pPr>
        <w:spacing w:line="360" w:lineRule="auto"/>
        <w:ind w:firstLine="480"/>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t>综上，项目储罐区非甲烷总烃排放量为10.48kg/a，以无组织形式排放。</w:t>
      </w:r>
    </w:p>
    <w:p>
      <w:pPr>
        <w:spacing w:line="360" w:lineRule="auto"/>
        <w:ind w:firstLine="480"/>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t>2、工艺过程无组织排放</w:t>
      </w:r>
    </w:p>
    <w:p>
      <w:pPr>
        <w:spacing w:line="360" w:lineRule="auto"/>
        <w:ind w:firstLine="480"/>
        <w:rPr>
          <w:rFonts w:hint="eastAsia" w:ascii="宋体" w:hAnsi="宋体" w:eastAsia="宋体" w:cs="宋体"/>
          <w:color w:val="000000" w:themeColor="text1"/>
          <w:kern w:val="1"/>
          <w:highlight w:val="none"/>
          <w:lang w:eastAsia="zh-CN"/>
          <w14:textFill>
            <w14:solidFill>
              <w14:schemeClr w14:val="tx1"/>
            </w14:solidFill>
          </w14:textFill>
        </w:rPr>
      </w:pPr>
      <w:r>
        <w:rPr>
          <w:rFonts w:hint="eastAsia" w:ascii="宋体" w:hAnsi="宋体" w:eastAsia="宋体" w:cs="宋体"/>
          <w:b w:val="0"/>
          <w:bCs w:val="0"/>
          <w:i w:val="0"/>
          <w:iCs w:val="0"/>
          <w:color w:val="000000" w:themeColor="text1"/>
          <w:sz w:val="24"/>
          <w:szCs w:val="24"/>
          <w14:textFill>
            <w14:solidFill>
              <w14:schemeClr w14:val="tx1"/>
            </w14:solidFill>
          </w14:textFill>
        </w:rPr>
        <w:t>本项目虽采用了密闭化投料和生产工艺，但生产过程中仍有极少量的有机废气以无组织形式散发出来，所产生的有机废气以非甲烷总烃计。产生的废气量约为所用溶剂量的0.01%左右，则每年散发无组织废气量约为0.0</w:t>
      </w:r>
      <w:r>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t>6</w:t>
      </w:r>
      <w:r>
        <w:rPr>
          <w:rFonts w:hint="eastAsia" w:ascii="宋体" w:hAnsi="宋体" w:eastAsia="宋体" w:cs="宋体"/>
          <w:b w:val="0"/>
          <w:bCs w:val="0"/>
          <w:i w:val="0"/>
          <w:iCs w:val="0"/>
          <w:color w:val="000000" w:themeColor="text1"/>
          <w:sz w:val="24"/>
          <w:szCs w:val="24"/>
          <w14:textFill>
            <w14:solidFill>
              <w14:schemeClr w14:val="tx1"/>
            </w14:solidFill>
          </w14:textFill>
        </w:rPr>
        <w:t>t/a，0.0</w:t>
      </w:r>
      <w:r>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t>083</w:t>
      </w:r>
      <w:r>
        <w:rPr>
          <w:rFonts w:hint="eastAsia" w:ascii="宋体" w:hAnsi="宋体" w:eastAsia="宋体" w:cs="宋体"/>
          <w:b w:val="0"/>
          <w:bCs w:val="0"/>
          <w:i w:val="0"/>
          <w:iCs w:val="0"/>
          <w:color w:val="000000" w:themeColor="text1"/>
          <w:sz w:val="24"/>
          <w:szCs w:val="24"/>
          <w14:textFill>
            <w14:solidFill>
              <w14:schemeClr w14:val="tx1"/>
            </w14:solidFill>
          </w14:textFill>
        </w:rPr>
        <w:t>kg/h。</w:t>
      </w:r>
    </w:p>
    <w:p>
      <w:pPr>
        <w:keepNext w:val="0"/>
        <w:keepLines w:val="0"/>
        <w:pageBreakBefore w:val="0"/>
        <w:widowControl/>
        <w:kinsoku/>
        <w:wordWrap/>
        <w:overflowPunct/>
        <w:topLinePunct w:val="0"/>
        <w:autoSpaceDE/>
        <w:autoSpaceDN/>
        <w:bidi w:val="0"/>
        <w:adjustRightInd/>
        <w:snapToGrid/>
        <w:spacing w:line="360" w:lineRule="auto"/>
        <w:ind w:leftChars="0" w:firstLine="482" w:firstLineChars="200"/>
        <w:textAlignment w:val="auto"/>
        <w:outlineLvl w:val="4"/>
        <w:rPr>
          <w:rFonts w:hint="eastAsia" w:ascii="宋体" w:hAnsi="宋体" w:eastAsia="宋体" w:cs="宋体"/>
          <w:b/>
          <w:bCs/>
          <w:i w:val="0"/>
          <w:iCs w:val="0"/>
          <w:color w:val="000000" w:themeColor="text1"/>
          <w:sz w:val="24"/>
          <w:szCs w:val="24"/>
          <w:lang w:val="en-US" w:eastAsia="zh-CN"/>
          <w14:textFill>
            <w14:solidFill>
              <w14:schemeClr w14:val="tx1"/>
            </w14:solidFill>
          </w14:textFill>
        </w:rPr>
      </w:pPr>
      <w:r>
        <w:rPr>
          <w:rFonts w:hint="eastAsia" w:ascii="宋体" w:hAnsi="宋体" w:eastAsia="宋体" w:cs="宋体"/>
          <w:b/>
          <w:bCs/>
          <w:i w:val="0"/>
          <w:iCs w:val="0"/>
          <w:color w:val="000000" w:themeColor="text1"/>
          <w:sz w:val="24"/>
          <w:szCs w:val="24"/>
          <w:lang w:val="en-US" w:eastAsia="zh-CN"/>
          <w14:textFill>
            <w14:solidFill>
              <w14:schemeClr w14:val="tx1"/>
            </w14:solidFill>
          </w14:textFill>
        </w:rPr>
        <w:t>3.3.2.2.3非正常工况</w:t>
      </w:r>
    </w:p>
    <w:p>
      <w:pPr>
        <w:spacing w:line="360" w:lineRule="auto"/>
        <w:ind w:firstLine="480"/>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t>本项目生产过程中蒸发的有机溶剂经配套的冷凝回收装置回收溶剂后，剩下的不凝气进入废气处理装置进行处理。但是生产过程中可能出现故障造成废气处理效率降低，此时需要停机检修，但停机需要时间，应急排放时间约为0.5小时，应急排放时废气处理效率按正常处理效率的50%计，非正常工况下项目废气产排情况见下表。</w:t>
      </w:r>
    </w:p>
    <w:p>
      <w:pPr>
        <w:keepNext w:val="0"/>
        <w:keepLines w:val="0"/>
        <w:pageBreakBefore w:val="0"/>
        <w:widowControl/>
        <w:kinsoku/>
        <w:wordWrap/>
        <w:overflowPunct/>
        <w:topLinePunct w:val="0"/>
        <w:autoSpaceDE/>
        <w:autoSpaceDN/>
        <w:bidi w:val="0"/>
        <w:adjustRightInd/>
        <w:snapToGrid/>
        <w:spacing w:before="167" w:beforeLines="50" w:after="167" w:afterLines="50" w:line="360" w:lineRule="auto"/>
        <w:ind w:right="0" w:rightChars="0" w:firstLine="0"/>
        <w:jc w:val="center"/>
        <w:textAlignment w:val="auto"/>
        <w:rPr>
          <w:rFonts w:hint="eastAsia" w:ascii="宋体" w:hAnsi="宋体" w:eastAsia="宋体" w:cs="宋体"/>
          <w:color w:val="000000" w:themeColor="text1"/>
          <w:kern w:val="1"/>
          <w:highlight w:val="none"/>
          <w14:textFill>
            <w14:solidFill>
              <w14:schemeClr w14:val="tx1"/>
            </w14:solidFill>
          </w14:textFill>
        </w:rPr>
      </w:pPr>
      <w:r>
        <w:rPr>
          <w:rFonts w:hint="eastAsia" w:ascii="宋体" w:hAnsi="宋体" w:eastAsia="宋体" w:cs="宋体"/>
          <w:b/>
          <w:color w:val="000000" w:themeColor="text1"/>
          <w:szCs w:val="21"/>
          <w:lang w:val="en-US" w:eastAsia="zh-CN"/>
          <w14:textFill>
            <w14:solidFill>
              <w14:schemeClr w14:val="tx1"/>
            </w14:solidFill>
          </w14:textFill>
        </w:rPr>
        <w:t>表3.3.2-3项目非正常工况下项目废气产排情况一览表</w:t>
      </w:r>
    </w:p>
    <w:tbl>
      <w:tblPr>
        <w:tblStyle w:val="31"/>
        <w:tblW w:w="499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814"/>
        <w:gridCol w:w="729"/>
        <w:gridCol w:w="1176"/>
        <w:gridCol w:w="1176"/>
        <w:gridCol w:w="987"/>
        <w:gridCol w:w="1036"/>
        <w:gridCol w:w="1176"/>
        <w:gridCol w:w="1296"/>
        <w:gridCol w:w="7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5"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序号</w:t>
            </w:r>
          </w:p>
        </w:tc>
        <w:tc>
          <w:tcPr>
            <w:tcW w:w="784" w:type="pct"/>
            <w:gridSpan w:val="2"/>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名称</w:t>
            </w:r>
          </w:p>
        </w:tc>
        <w:tc>
          <w:tcPr>
            <w:tcW w:w="597"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风量（m³/h）</w:t>
            </w:r>
          </w:p>
        </w:tc>
        <w:tc>
          <w:tcPr>
            <w:tcW w:w="597"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产生量（kg/h）</w:t>
            </w:r>
          </w:p>
        </w:tc>
        <w:tc>
          <w:tcPr>
            <w:tcW w:w="501"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产生浓度（mg/m³）</w:t>
            </w:r>
          </w:p>
        </w:tc>
        <w:tc>
          <w:tcPr>
            <w:tcW w:w="52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废气处理设施</w:t>
            </w:r>
          </w:p>
        </w:tc>
        <w:tc>
          <w:tcPr>
            <w:tcW w:w="597"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排放量kg</w:t>
            </w:r>
          </w:p>
        </w:tc>
        <w:tc>
          <w:tcPr>
            <w:tcW w:w="658"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排放浓度（mg/m³）</w:t>
            </w:r>
          </w:p>
        </w:tc>
        <w:tc>
          <w:tcPr>
            <w:tcW w:w="369"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持续时间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5" w:type="pct"/>
            <w:vMerge w:val="restar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w:t>
            </w:r>
          </w:p>
        </w:tc>
        <w:tc>
          <w:tcPr>
            <w:tcW w:w="413" w:type="pct"/>
            <w:vMerge w:val="restar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DA001</w:t>
            </w:r>
          </w:p>
        </w:tc>
        <w:tc>
          <w:tcPr>
            <w:tcW w:w="370"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非甲烷总烃</w:t>
            </w:r>
          </w:p>
        </w:tc>
        <w:tc>
          <w:tcPr>
            <w:tcW w:w="597" w:type="pct"/>
            <w:vMerge w:val="restar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15000</w:t>
            </w:r>
          </w:p>
        </w:tc>
        <w:tc>
          <w:tcPr>
            <w:tcW w:w="597"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75</w:t>
            </w:r>
          </w:p>
        </w:tc>
        <w:tc>
          <w:tcPr>
            <w:tcW w:w="501"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4995</w:t>
            </w:r>
          </w:p>
        </w:tc>
        <w:tc>
          <w:tcPr>
            <w:tcW w:w="526" w:type="pct"/>
            <w:vMerge w:val="restar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废气处理装置故障</w:t>
            </w:r>
          </w:p>
        </w:tc>
        <w:tc>
          <w:tcPr>
            <w:tcW w:w="597"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0.482</w:t>
            </w:r>
          </w:p>
        </w:tc>
        <w:tc>
          <w:tcPr>
            <w:tcW w:w="658"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64.567</w:t>
            </w:r>
          </w:p>
        </w:tc>
        <w:tc>
          <w:tcPr>
            <w:tcW w:w="369" w:type="pct"/>
            <w:vMerge w:val="restar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0.5h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5"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p>
        </w:tc>
        <w:tc>
          <w:tcPr>
            <w:tcW w:w="413"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p>
        </w:tc>
        <w:tc>
          <w:tcPr>
            <w:tcW w:w="370"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氨</w:t>
            </w:r>
          </w:p>
        </w:tc>
        <w:tc>
          <w:tcPr>
            <w:tcW w:w="597"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p>
        </w:tc>
        <w:tc>
          <w:tcPr>
            <w:tcW w:w="597"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0.0625</w:t>
            </w:r>
          </w:p>
        </w:tc>
        <w:tc>
          <w:tcPr>
            <w:tcW w:w="501"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4.167</w:t>
            </w:r>
          </w:p>
        </w:tc>
        <w:tc>
          <w:tcPr>
            <w:tcW w:w="526"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p>
        </w:tc>
        <w:tc>
          <w:tcPr>
            <w:tcW w:w="597"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0.017</w:t>
            </w:r>
          </w:p>
        </w:tc>
        <w:tc>
          <w:tcPr>
            <w:tcW w:w="658"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2.267</w:t>
            </w:r>
          </w:p>
        </w:tc>
        <w:tc>
          <w:tcPr>
            <w:tcW w:w="369"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5" w:type="pct"/>
            <w:vMerge w:val="restar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w:t>
            </w:r>
          </w:p>
        </w:tc>
        <w:tc>
          <w:tcPr>
            <w:tcW w:w="413" w:type="pct"/>
            <w:vMerge w:val="restar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DA002</w:t>
            </w:r>
          </w:p>
        </w:tc>
        <w:tc>
          <w:tcPr>
            <w:tcW w:w="370"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非甲烷总烃</w:t>
            </w:r>
          </w:p>
        </w:tc>
        <w:tc>
          <w:tcPr>
            <w:tcW w:w="597" w:type="pct"/>
            <w:vMerge w:val="restar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8000</w:t>
            </w:r>
          </w:p>
        </w:tc>
        <w:tc>
          <w:tcPr>
            <w:tcW w:w="597"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8.317</w:t>
            </w:r>
          </w:p>
        </w:tc>
        <w:tc>
          <w:tcPr>
            <w:tcW w:w="501"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1039.583</w:t>
            </w:r>
          </w:p>
        </w:tc>
        <w:tc>
          <w:tcPr>
            <w:tcW w:w="526"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p>
        </w:tc>
        <w:tc>
          <w:tcPr>
            <w:tcW w:w="597"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0.85</w:t>
            </w:r>
          </w:p>
        </w:tc>
        <w:tc>
          <w:tcPr>
            <w:tcW w:w="658"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212.5</w:t>
            </w:r>
          </w:p>
        </w:tc>
        <w:tc>
          <w:tcPr>
            <w:tcW w:w="369"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5"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p>
        </w:tc>
        <w:tc>
          <w:tcPr>
            <w:tcW w:w="413"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p>
        </w:tc>
        <w:tc>
          <w:tcPr>
            <w:tcW w:w="370"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氨</w:t>
            </w:r>
          </w:p>
        </w:tc>
        <w:tc>
          <w:tcPr>
            <w:tcW w:w="597"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p>
        </w:tc>
        <w:tc>
          <w:tcPr>
            <w:tcW w:w="597"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0.00694</w:t>
            </w:r>
          </w:p>
        </w:tc>
        <w:tc>
          <w:tcPr>
            <w:tcW w:w="501"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0.868</w:t>
            </w:r>
          </w:p>
        </w:tc>
        <w:tc>
          <w:tcPr>
            <w:tcW w:w="526"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p>
        </w:tc>
        <w:tc>
          <w:tcPr>
            <w:tcW w:w="597"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0.002</w:t>
            </w:r>
          </w:p>
        </w:tc>
        <w:tc>
          <w:tcPr>
            <w:tcW w:w="658"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0.8</w:t>
            </w:r>
          </w:p>
        </w:tc>
        <w:tc>
          <w:tcPr>
            <w:tcW w:w="369"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p>
        </w:tc>
      </w:tr>
      <w:bookmarkEnd w:id="328"/>
      <w:bookmarkEnd w:id="329"/>
      <w:bookmarkEnd w:id="330"/>
      <w:bookmarkEnd w:id="331"/>
    </w:tbl>
    <w:p>
      <w:pPr>
        <w:pStyle w:val="9"/>
        <w:keepNext w:val="0"/>
        <w:keepLines w:val="0"/>
        <w:pageBreakBefore w:val="0"/>
        <w:widowControl/>
        <w:kinsoku/>
        <w:wordWrap/>
        <w:overflowPunct/>
        <w:topLinePunct w:val="0"/>
        <w:bidi w:val="0"/>
        <w:adjustRightInd/>
        <w:snapToGrid/>
        <w:ind w:firstLine="482" w:firstLineChars="200"/>
        <w:textAlignment w:val="auto"/>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3.</w:t>
      </w:r>
      <w:r>
        <w:rPr>
          <w:rFonts w:hint="eastAsia" w:ascii="宋体" w:hAnsi="宋体" w:eastAsia="宋体" w:cs="宋体"/>
          <w:color w:val="000000" w:themeColor="text1"/>
          <w:highlight w:val="none"/>
          <w:lang w:eastAsia="zh-CN"/>
          <w14:textFill>
            <w14:solidFill>
              <w14:schemeClr w14:val="tx1"/>
            </w14:solidFill>
          </w14:textFill>
        </w:rPr>
        <w:t>3.</w:t>
      </w:r>
      <w:r>
        <w:rPr>
          <w:rFonts w:hint="eastAsia" w:ascii="宋体" w:hAnsi="宋体" w:eastAsia="宋体" w:cs="宋体"/>
          <w:color w:val="000000" w:themeColor="text1"/>
          <w:highlight w:val="none"/>
          <w:lang w:val="en-US" w:eastAsia="zh-CN"/>
          <w14:textFill>
            <w14:solidFill>
              <w14:schemeClr w14:val="tx1"/>
            </w14:solidFill>
          </w14:textFill>
        </w:rPr>
        <w:t>2</w:t>
      </w:r>
      <w:r>
        <w:rPr>
          <w:rFonts w:hint="eastAsia" w:ascii="宋体" w:hAnsi="宋体" w:eastAsia="宋体" w:cs="宋体"/>
          <w:color w:val="000000" w:themeColor="text1"/>
          <w:highlight w:val="none"/>
          <w:lang w:eastAsia="zh-CN"/>
          <w14:textFill>
            <w14:solidFill>
              <w14:schemeClr w14:val="tx1"/>
            </w14:solidFill>
          </w14:textFill>
        </w:rPr>
        <w:t>.3噪声</w:t>
      </w:r>
    </w:p>
    <w:p>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Cs w:val="24"/>
          <w:highlight w:val="none"/>
          <w:lang w:val="en-US" w:eastAsia="zh-CN"/>
          <w14:textFill>
            <w14:solidFill>
              <w14:schemeClr w14:val="tx1"/>
            </w14:solidFill>
          </w14:textFill>
        </w:rPr>
      </w:pPr>
      <w:r>
        <w:rPr>
          <w:rFonts w:hint="eastAsia" w:ascii="宋体" w:hAnsi="宋体" w:eastAsia="宋体" w:cs="宋体"/>
          <w:color w:val="000000" w:themeColor="text1"/>
          <w:kern w:val="1"/>
          <w:highlight w:val="none"/>
          <w:lang w:eastAsia="zh-CN"/>
          <w14:textFill>
            <w14:solidFill>
              <w14:schemeClr w14:val="tx1"/>
            </w14:solidFill>
          </w14:textFill>
        </w:rPr>
        <w:t>现有项目暂未建成，无背景噪声，</w:t>
      </w:r>
      <w:r>
        <w:rPr>
          <w:rFonts w:hint="eastAsia" w:ascii="宋体" w:hAnsi="宋体" w:eastAsia="宋体" w:cs="宋体"/>
          <w:color w:val="000000" w:themeColor="text1"/>
          <w:kern w:val="1"/>
          <w:highlight w:val="none"/>
          <w:lang w:val="en-US" w:eastAsia="zh-CN"/>
          <w14:textFill>
            <w14:solidFill>
              <w14:schemeClr w14:val="tx1"/>
            </w14:solidFill>
          </w14:textFill>
        </w:rPr>
        <w:t>本</w:t>
      </w:r>
      <w:r>
        <w:rPr>
          <w:rFonts w:hint="eastAsia" w:ascii="宋体" w:hAnsi="宋体" w:eastAsia="宋体" w:cs="宋体"/>
          <w:color w:val="000000" w:themeColor="text1"/>
          <w:kern w:val="1"/>
          <w:highlight w:val="none"/>
          <w:lang w:eastAsia="zh-CN"/>
          <w14:textFill>
            <w14:solidFill>
              <w14:schemeClr w14:val="tx1"/>
            </w14:solidFill>
          </w14:textFill>
        </w:rPr>
        <w:t>项目噪声源主要为搅拌罐、泵类等在运行过程中产生的设备噪声，声级范围为70-90dB(A)，</w:t>
      </w:r>
      <w:r>
        <w:rPr>
          <w:rFonts w:hint="eastAsia" w:ascii="宋体" w:hAnsi="宋体" w:eastAsia="宋体" w:cs="宋体"/>
          <w:color w:val="000000" w:themeColor="text1"/>
          <w:kern w:val="1"/>
          <w:highlight w:val="none"/>
          <w:lang w:val="en-US" w:eastAsia="zh-CN"/>
          <w14:textFill>
            <w14:solidFill>
              <w14:schemeClr w14:val="tx1"/>
            </w14:solidFill>
          </w14:textFill>
        </w:rPr>
        <w:t>均在室内。</w:t>
      </w:r>
      <w:r>
        <w:rPr>
          <w:rFonts w:hint="eastAsia" w:ascii="宋体" w:hAnsi="宋体" w:eastAsia="宋体" w:cs="宋体"/>
          <w:color w:val="000000" w:themeColor="text1"/>
          <w:kern w:val="1"/>
          <w:highlight w:val="none"/>
          <w:lang w:eastAsia="zh-CN"/>
          <w14:textFill>
            <w14:solidFill>
              <w14:schemeClr w14:val="tx1"/>
            </w14:solidFill>
          </w14:textFill>
        </w:rPr>
        <w:t>各噪声设备的数量及声级值</w:t>
      </w:r>
      <w:r>
        <w:rPr>
          <w:rFonts w:hint="eastAsia" w:ascii="宋体" w:hAnsi="宋体" w:eastAsia="宋体" w:cs="宋体"/>
          <w:color w:val="000000" w:themeColor="text1"/>
          <w:kern w:val="1"/>
          <w:highlight w:val="none"/>
          <w:lang w:val="en-US" w:eastAsia="zh-CN"/>
          <w14:textFill>
            <w14:solidFill>
              <w14:schemeClr w14:val="tx1"/>
            </w14:solidFill>
          </w14:textFill>
        </w:rPr>
        <w:t>3.3.2-</w:t>
      </w:r>
      <w:r>
        <w:rPr>
          <w:rFonts w:hint="eastAsia" w:ascii="宋体" w:hAnsi="宋体" w:eastAsia="宋体" w:cs="宋体"/>
          <w:color w:val="000000" w:themeColor="text1"/>
          <w:szCs w:val="24"/>
          <w:highlight w:val="none"/>
          <w:lang w:val="en-US" w:eastAsia="zh-CN"/>
          <w14:textFill>
            <w14:solidFill>
              <w14:schemeClr w14:val="tx1"/>
            </w14:solidFill>
          </w14:textFill>
        </w:rPr>
        <w:t>4。</w:t>
      </w:r>
    </w:p>
    <w:p>
      <w:pPr>
        <w:keepNext w:val="0"/>
        <w:keepLines w:val="0"/>
        <w:pageBreakBefore w:val="0"/>
        <w:widowControl/>
        <w:kinsoku/>
        <w:wordWrap/>
        <w:overflowPunct/>
        <w:topLinePunct w:val="0"/>
        <w:autoSpaceDE/>
        <w:autoSpaceDN/>
        <w:bidi w:val="0"/>
        <w:adjustRightInd/>
        <w:snapToGrid/>
        <w:spacing w:before="167" w:beforeLines="50" w:after="167" w:afterLines="50" w:line="360" w:lineRule="auto"/>
        <w:ind w:right="0" w:rightChars="0" w:firstLine="0"/>
        <w:jc w:val="center"/>
        <w:textAlignment w:val="auto"/>
        <w:rPr>
          <w:rFonts w:hint="eastAsia" w:ascii="宋体" w:hAnsi="宋体" w:eastAsia="宋体" w:cs="宋体"/>
          <w:b/>
          <w:color w:val="000000" w:themeColor="text1"/>
          <w:szCs w:val="21"/>
          <w:lang w:val="en-US" w:eastAsia="zh-CN"/>
          <w14:textFill>
            <w14:solidFill>
              <w14:schemeClr w14:val="tx1"/>
            </w14:solidFill>
          </w14:textFill>
        </w:rPr>
      </w:pPr>
      <w:r>
        <w:rPr>
          <w:rFonts w:hint="eastAsia" w:ascii="宋体" w:hAnsi="宋体" w:eastAsia="宋体" w:cs="宋体"/>
          <w:b/>
          <w:color w:val="000000" w:themeColor="text1"/>
          <w:szCs w:val="21"/>
          <w:lang w:val="en-US" w:eastAsia="zh-CN"/>
          <w14:textFill>
            <w14:solidFill>
              <w14:schemeClr w14:val="tx1"/>
            </w14:solidFill>
          </w14:textFill>
        </w:rPr>
        <w:t>表3.3.2-4项目噪声污染源源强核算一览表</w:t>
      </w:r>
    </w:p>
    <w:tbl>
      <w:tblPr>
        <w:tblStyle w:val="31"/>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715"/>
        <w:gridCol w:w="451"/>
        <w:gridCol w:w="1962"/>
        <w:gridCol w:w="1097"/>
        <w:gridCol w:w="1097"/>
        <w:gridCol w:w="1098"/>
        <w:gridCol w:w="841"/>
        <w:gridCol w:w="741"/>
        <w:gridCol w:w="674"/>
        <w:gridCol w:w="7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 w:type="pct"/>
            <w:vMerge w:val="restar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序号</w:t>
            </w:r>
          </w:p>
        </w:tc>
        <w:tc>
          <w:tcPr>
            <w:tcW w:w="363" w:type="pct"/>
            <w:vMerge w:val="restar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声源名称</w:t>
            </w:r>
          </w:p>
        </w:tc>
        <w:tc>
          <w:tcPr>
            <w:tcW w:w="229" w:type="pct"/>
            <w:vMerge w:val="restar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声压级dB(A)</w:t>
            </w:r>
          </w:p>
        </w:tc>
        <w:tc>
          <w:tcPr>
            <w:tcW w:w="996" w:type="pct"/>
            <w:vMerge w:val="restar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声源控制措施</w:t>
            </w:r>
          </w:p>
        </w:tc>
        <w:tc>
          <w:tcPr>
            <w:tcW w:w="1672" w:type="pct"/>
            <w:gridSpan w:val="3"/>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空间相对位置</w:t>
            </w:r>
          </w:p>
        </w:tc>
        <w:tc>
          <w:tcPr>
            <w:tcW w:w="427" w:type="pct"/>
            <w:vMerge w:val="restar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距室内边界距离m</w:t>
            </w:r>
          </w:p>
        </w:tc>
        <w:tc>
          <w:tcPr>
            <w:tcW w:w="376" w:type="pct"/>
            <w:vMerge w:val="restar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室内边界声级dB(A)</w:t>
            </w:r>
          </w:p>
        </w:tc>
        <w:tc>
          <w:tcPr>
            <w:tcW w:w="342" w:type="pct"/>
            <w:vMerge w:val="restar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运行时段</w:t>
            </w:r>
          </w:p>
        </w:tc>
        <w:tc>
          <w:tcPr>
            <w:tcW w:w="376" w:type="pct"/>
            <w:vMerge w:val="restar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建筑物插入损失dB(A)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p>
        </w:tc>
        <w:tc>
          <w:tcPr>
            <w:tcW w:w="363"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p>
        </w:tc>
        <w:tc>
          <w:tcPr>
            <w:tcW w:w="229"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p>
        </w:tc>
        <w:tc>
          <w:tcPr>
            <w:tcW w:w="996"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p>
        </w:tc>
        <w:tc>
          <w:tcPr>
            <w:tcW w:w="557"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X</w:t>
            </w:r>
          </w:p>
        </w:tc>
        <w:tc>
          <w:tcPr>
            <w:tcW w:w="557"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Y</w:t>
            </w:r>
          </w:p>
        </w:tc>
        <w:tc>
          <w:tcPr>
            <w:tcW w:w="557"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Z</w:t>
            </w:r>
          </w:p>
        </w:tc>
        <w:tc>
          <w:tcPr>
            <w:tcW w:w="427"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p>
        </w:tc>
        <w:tc>
          <w:tcPr>
            <w:tcW w:w="376"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p>
        </w:tc>
        <w:tc>
          <w:tcPr>
            <w:tcW w:w="342"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p>
        </w:tc>
        <w:tc>
          <w:tcPr>
            <w:tcW w:w="376"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w:t>
            </w:r>
          </w:p>
        </w:tc>
        <w:tc>
          <w:tcPr>
            <w:tcW w:w="363"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流延炉</w:t>
            </w:r>
          </w:p>
        </w:tc>
        <w:tc>
          <w:tcPr>
            <w:tcW w:w="229"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80</w:t>
            </w:r>
          </w:p>
        </w:tc>
        <w:tc>
          <w:tcPr>
            <w:tcW w:w="996" w:type="pct"/>
            <w:vMerge w:val="restar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厂房隔声</w:t>
            </w:r>
          </w:p>
        </w:tc>
        <w:tc>
          <w:tcPr>
            <w:tcW w:w="557"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-11.3</w:t>
            </w:r>
          </w:p>
        </w:tc>
        <w:tc>
          <w:tcPr>
            <w:tcW w:w="557"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3.4</w:t>
            </w:r>
          </w:p>
        </w:tc>
        <w:tc>
          <w:tcPr>
            <w:tcW w:w="557"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1.2</w:t>
            </w:r>
          </w:p>
        </w:tc>
        <w:tc>
          <w:tcPr>
            <w:tcW w:w="427"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7.2</w:t>
            </w:r>
          </w:p>
        </w:tc>
        <w:tc>
          <w:tcPr>
            <w:tcW w:w="37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55</w:t>
            </w:r>
          </w:p>
        </w:tc>
        <w:tc>
          <w:tcPr>
            <w:tcW w:w="342" w:type="pct"/>
            <w:vMerge w:val="restar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昼间、夜间</w:t>
            </w:r>
          </w:p>
        </w:tc>
        <w:tc>
          <w:tcPr>
            <w:tcW w:w="376" w:type="pct"/>
            <w:vMerge w:val="restar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w:t>
            </w:r>
          </w:p>
        </w:tc>
        <w:tc>
          <w:tcPr>
            <w:tcW w:w="363"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烘干拉伸机</w:t>
            </w:r>
          </w:p>
        </w:tc>
        <w:tc>
          <w:tcPr>
            <w:tcW w:w="229"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80</w:t>
            </w:r>
          </w:p>
        </w:tc>
        <w:tc>
          <w:tcPr>
            <w:tcW w:w="996"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p>
        </w:tc>
        <w:tc>
          <w:tcPr>
            <w:tcW w:w="557"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-11.3</w:t>
            </w:r>
          </w:p>
        </w:tc>
        <w:tc>
          <w:tcPr>
            <w:tcW w:w="557"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3.4</w:t>
            </w:r>
          </w:p>
        </w:tc>
        <w:tc>
          <w:tcPr>
            <w:tcW w:w="557"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1.2</w:t>
            </w:r>
          </w:p>
        </w:tc>
        <w:tc>
          <w:tcPr>
            <w:tcW w:w="427"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7.1</w:t>
            </w:r>
          </w:p>
        </w:tc>
        <w:tc>
          <w:tcPr>
            <w:tcW w:w="37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55</w:t>
            </w:r>
          </w:p>
        </w:tc>
        <w:tc>
          <w:tcPr>
            <w:tcW w:w="342"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p>
        </w:tc>
        <w:tc>
          <w:tcPr>
            <w:tcW w:w="376"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3</w:t>
            </w:r>
          </w:p>
        </w:tc>
        <w:tc>
          <w:tcPr>
            <w:tcW w:w="363"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收卷机</w:t>
            </w:r>
          </w:p>
        </w:tc>
        <w:tc>
          <w:tcPr>
            <w:tcW w:w="229"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80</w:t>
            </w:r>
          </w:p>
        </w:tc>
        <w:tc>
          <w:tcPr>
            <w:tcW w:w="996"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p>
        </w:tc>
        <w:tc>
          <w:tcPr>
            <w:tcW w:w="557"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-32.3</w:t>
            </w:r>
          </w:p>
        </w:tc>
        <w:tc>
          <w:tcPr>
            <w:tcW w:w="557"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2.3</w:t>
            </w:r>
          </w:p>
        </w:tc>
        <w:tc>
          <w:tcPr>
            <w:tcW w:w="557"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1.2</w:t>
            </w:r>
          </w:p>
        </w:tc>
        <w:tc>
          <w:tcPr>
            <w:tcW w:w="427"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8.2</w:t>
            </w:r>
          </w:p>
        </w:tc>
        <w:tc>
          <w:tcPr>
            <w:tcW w:w="37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55</w:t>
            </w:r>
          </w:p>
        </w:tc>
        <w:tc>
          <w:tcPr>
            <w:tcW w:w="342"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p>
        </w:tc>
        <w:tc>
          <w:tcPr>
            <w:tcW w:w="376"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4</w:t>
            </w:r>
          </w:p>
        </w:tc>
        <w:tc>
          <w:tcPr>
            <w:tcW w:w="363"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冷却塔</w:t>
            </w:r>
          </w:p>
        </w:tc>
        <w:tc>
          <w:tcPr>
            <w:tcW w:w="229"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90</w:t>
            </w:r>
          </w:p>
        </w:tc>
        <w:tc>
          <w:tcPr>
            <w:tcW w:w="99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选用低噪声填料</w:t>
            </w:r>
          </w:p>
        </w:tc>
        <w:tc>
          <w:tcPr>
            <w:tcW w:w="557"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-12.3</w:t>
            </w:r>
          </w:p>
        </w:tc>
        <w:tc>
          <w:tcPr>
            <w:tcW w:w="557"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3.4</w:t>
            </w:r>
          </w:p>
        </w:tc>
        <w:tc>
          <w:tcPr>
            <w:tcW w:w="557"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1.2</w:t>
            </w:r>
          </w:p>
        </w:tc>
        <w:tc>
          <w:tcPr>
            <w:tcW w:w="427"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7.2</w:t>
            </w:r>
          </w:p>
        </w:tc>
        <w:tc>
          <w:tcPr>
            <w:tcW w:w="37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65</w:t>
            </w:r>
          </w:p>
        </w:tc>
        <w:tc>
          <w:tcPr>
            <w:tcW w:w="342"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p>
        </w:tc>
        <w:tc>
          <w:tcPr>
            <w:tcW w:w="376"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5</w:t>
            </w:r>
          </w:p>
        </w:tc>
        <w:tc>
          <w:tcPr>
            <w:tcW w:w="363"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循环水泵</w:t>
            </w:r>
          </w:p>
        </w:tc>
        <w:tc>
          <w:tcPr>
            <w:tcW w:w="229"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85</w:t>
            </w:r>
          </w:p>
        </w:tc>
        <w:tc>
          <w:tcPr>
            <w:tcW w:w="99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减震垫、防声围封</w:t>
            </w:r>
          </w:p>
        </w:tc>
        <w:tc>
          <w:tcPr>
            <w:tcW w:w="557"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-13.3</w:t>
            </w:r>
          </w:p>
        </w:tc>
        <w:tc>
          <w:tcPr>
            <w:tcW w:w="557"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3.4</w:t>
            </w:r>
          </w:p>
        </w:tc>
        <w:tc>
          <w:tcPr>
            <w:tcW w:w="557"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1.2</w:t>
            </w:r>
          </w:p>
        </w:tc>
        <w:tc>
          <w:tcPr>
            <w:tcW w:w="427"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7.3</w:t>
            </w:r>
          </w:p>
        </w:tc>
        <w:tc>
          <w:tcPr>
            <w:tcW w:w="37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60</w:t>
            </w:r>
          </w:p>
        </w:tc>
        <w:tc>
          <w:tcPr>
            <w:tcW w:w="342"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p>
        </w:tc>
        <w:tc>
          <w:tcPr>
            <w:tcW w:w="376"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6</w:t>
            </w:r>
          </w:p>
        </w:tc>
        <w:tc>
          <w:tcPr>
            <w:tcW w:w="363"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风机</w:t>
            </w:r>
          </w:p>
        </w:tc>
        <w:tc>
          <w:tcPr>
            <w:tcW w:w="229"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90</w:t>
            </w:r>
          </w:p>
        </w:tc>
        <w:tc>
          <w:tcPr>
            <w:tcW w:w="99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减震垫</w:t>
            </w:r>
          </w:p>
        </w:tc>
        <w:tc>
          <w:tcPr>
            <w:tcW w:w="557"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11.3</w:t>
            </w:r>
          </w:p>
        </w:tc>
        <w:tc>
          <w:tcPr>
            <w:tcW w:w="557"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3.4</w:t>
            </w:r>
          </w:p>
        </w:tc>
        <w:tc>
          <w:tcPr>
            <w:tcW w:w="557"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1.2</w:t>
            </w:r>
          </w:p>
        </w:tc>
        <w:tc>
          <w:tcPr>
            <w:tcW w:w="427"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7.5</w:t>
            </w:r>
          </w:p>
        </w:tc>
        <w:tc>
          <w:tcPr>
            <w:tcW w:w="37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65</w:t>
            </w:r>
          </w:p>
        </w:tc>
        <w:tc>
          <w:tcPr>
            <w:tcW w:w="342"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p>
        </w:tc>
        <w:tc>
          <w:tcPr>
            <w:tcW w:w="376"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7</w:t>
            </w:r>
          </w:p>
        </w:tc>
        <w:tc>
          <w:tcPr>
            <w:tcW w:w="363"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配料罐</w:t>
            </w:r>
          </w:p>
        </w:tc>
        <w:tc>
          <w:tcPr>
            <w:tcW w:w="229"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70</w:t>
            </w:r>
          </w:p>
        </w:tc>
        <w:tc>
          <w:tcPr>
            <w:tcW w:w="99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基础减震</w:t>
            </w:r>
          </w:p>
        </w:tc>
        <w:tc>
          <w:tcPr>
            <w:tcW w:w="557"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31.3</w:t>
            </w:r>
          </w:p>
        </w:tc>
        <w:tc>
          <w:tcPr>
            <w:tcW w:w="557"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3.4</w:t>
            </w:r>
          </w:p>
        </w:tc>
        <w:tc>
          <w:tcPr>
            <w:tcW w:w="557"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1.2</w:t>
            </w:r>
          </w:p>
        </w:tc>
        <w:tc>
          <w:tcPr>
            <w:tcW w:w="427"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7.5</w:t>
            </w:r>
          </w:p>
        </w:tc>
        <w:tc>
          <w:tcPr>
            <w:tcW w:w="37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50</w:t>
            </w:r>
          </w:p>
        </w:tc>
        <w:tc>
          <w:tcPr>
            <w:tcW w:w="342"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p>
        </w:tc>
        <w:tc>
          <w:tcPr>
            <w:tcW w:w="376"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8</w:t>
            </w:r>
          </w:p>
        </w:tc>
        <w:tc>
          <w:tcPr>
            <w:tcW w:w="363"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真空泵</w:t>
            </w:r>
          </w:p>
        </w:tc>
        <w:tc>
          <w:tcPr>
            <w:tcW w:w="229"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75</w:t>
            </w:r>
          </w:p>
        </w:tc>
        <w:tc>
          <w:tcPr>
            <w:tcW w:w="99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基础减震</w:t>
            </w:r>
          </w:p>
        </w:tc>
        <w:tc>
          <w:tcPr>
            <w:tcW w:w="557"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14.3</w:t>
            </w:r>
          </w:p>
        </w:tc>
        <w:tc>
          <w:tcPr>
            <w:tcW w:w="557"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3.4</w:t>
            </w:r>
          </w:p>
        </w:tc>
        <w:tc>
          <w:tcPr>
            <w:tcW w:w="557"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1.2</w:t>
            </w:r>
          </w:p>
        </w:tc>
        <w:tc>
          <w:tcPr>
            <w:tcW w:w="427"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5.2</w:t>
            </w:r>
          </w:p>
        </w:tc>
        <w:tc>
          <w:tcPr>
            <w:tcW w:w="37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50</w:t>
            </w:r>
          </w:p>
        </w:tc>
        <w:tc>
          <w:tcPr>
            <w:tcW w:w="342"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p>
        </w:tc>
        <w:tc>
          <w:tcPr>
            <w:tcW w:w="376"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9</w:t>
            </w:r>
          </w:p>
        </w:tc>
        <w:tc>
          <w:tcPr>
            <w:tcW w:w="363"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空压机</w:t>
            </w:r>
          </w:p>
        </w:tc>
        <w:tc>
          <w:tcPr>
            <w:tcW w:w="229"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85</w:t>
            </w:r>
          </w:p>
        </w:tc>
        <w:tc>
          <w:tcPr>
            <w:tcW w:w="99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基础减震</w:t>
            </w:r>
          </w:p>
        </w:tc>
        <w:tc>
          <w:tcPr>
            <w:tcW w:w="557"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21.3</w:t>
            </w:r>
          </w:p>
        </w:tc>
        <w:tc>
          <w:tcPr>
            <w:tcW w:w="557"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3.4</w:t>
            </w:r>
          </w:p>
        </w:tc>
        <w:tc>
          <w:tcPr>
            <w:tcW w:w="557"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1.2</w:t>
            </w:r>
          </w:p>
        </w:tc>
        <w:tc>
          <w:tcPr>
            <w:tcW w:w="427"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5.1</w:t>
            </w:r>
          </w:p>
        </w:tc>
        <w:tc>
          <w:tcPr>
            <w:tcW w:w="37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55</w:t>
            </w:r>
          </w:p>
        </w:tc>
        <w:tc>
          <w:tcPr>
            <w:tcW w:w="342"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p>
        </w:tc>
        <w:tc>
          <w:tcPr>
            <w:tcW w:w="376"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p>
        </w:tc>
      </w:tr>
    </w:tbl>
    <w:p>
      <w:pPr>
        <w:pStyle w:val="9"/>
        <w:keepNext w:val="0"/>
        <w:keepLines w:val="0"/>
        <w:pageBreakBefore w:val="0"/>
        <w:kinsoku/>
        <w:wordWrap/>
        <w:overflowPunct/>
        <w:topLinePunct w:val="0"/>
        <w:bidi w:val="0"/>
        <w:adjustRightInd/>
        <w:snapToGrid/>
        <w:ind w:firstLine="482" w:firstLineChars="200"/>
        <w:textAlignment w:val="auto"/>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3.</w:t>
      </w:r>
      <w:r>
        <w:rPr>
          <w:rFonts w:hint="eastAsia" w:ascii="宋体" w:hAnsi="宋体" w:eastAsia="宋体" w:cs="宋体"/>
          <w:color w:val="000000" w:themeColor="text1"/>
          <w:highlight w:val="none"/>
          <w:lang w:eastAsia="zh-CN"/>
          <w14:textFill>
            <w14:solidFill>
              <w14:schemeClr w14:val="tx1"/>
            </w14:solidFill>
          </w14:textFill>
        </w:rPr>
        <w:t>3.</w:t>
      </w:r>
      <w:r>
        <w:rPr>
          <w:rFonts w:hint="eastAsia" w:ascii="宋体" w:hAnsi="宋体" w:eastAsia="宋体" w:cs="宋体"/>
          <w:color w:val="000000" w:themeColor="text1"/>
          <w:highlight w:val="none"/>
          <w:lang w:val="en-US" w:eastAsia="zh-CN"/>
          <w14:textFill>
            <w14:solidFill>
              <w14:schemeClr w14:val="tx1"/>
            </w14:solidFill>
          </w14:textFill>
        </w:rPr>
        <w:t>2</w:t>
      </w:r>
      <w:r>
        <w:rPr>
          <w:rFonts w:hint="eastAsia" w:ascii="宋体" w:hAnsi="宋体" w:eastAsia="宋体" w:cs="宋体"/>
          <w:color w:val="000000" w:themeColor="text1"/>
          <w:highlight w:val="none"/>
          <w:lang w:eastAsia="zh-CN"/>
          <w14:textFill>
            <w14:solidFill>
              <w14:schemeClr w14:val="tx1"/>
            </w14:solidFill>
          </w14:textFill>
        </w:rPr>
        <w:t>.4固废</w:t>
      </w:r>
    </w:p>
    <w:p>
      <w:pPr>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项目投入运行后，产生的固体废弃物为一般固废和危险废物。</w:t>
      </w:r>
    </w:p>
    <w:p>
      <w:pPr>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w:t>
      </w:r>
      <w:r>
        <w:rPr>
          <w:rFonts w:hint="eastAsia" w:ascii="宋体" w:hAnsi="宋体" w:eastAsia="宋体" w:cs="宋体"/>
          <w:color w:val="000000" w:themeColor="text1"/>
          <w:highlight w:val="none"/>
          <w:lang w:val="en-US" w:eastAsia="zh-CN"/>
          <w14:textFill>
            <w14:solidFill>
              <w14:schemeClr w14:val="tx1"/>
            </w14:solidFill>
          </w14:textFill>
        </w:rPr>
        <w:t>一般固废</w:t>
      </w:r>
    </w:p>
    <w:p>
      <w:pPr>
        <w:adjustRightInd w:val="0"/>
        <w:snapToGrid w:val="0"/>
        <w:spacing w:line="360" w:lineRule="auto"/>
        <w:ind w:firstLine="480" w:firstLineChars="200"/>
        <w:jc w:val="left"/>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①</w:t>
      </w:r>
      <w:r>
        <w:rPr>
          <w:rFonts w:hint="eastAsia" w:ascii="宋体" w:hAnsi="宋体" w:eastAsia="宋体" w:cs="宋体"/>
          <w:color w:val="000000" w:themeColor="text1"/>
          <w:lang w:val="en-US" w:eastAsia="zh-CN"/>
          <w14:textFill>
            <w14:solidFill>
              <w14:schemeClr w14:val="tx1"/>
            </w14:solidFill>
          </w14:textFill>
        </w:rPr>
        <w:t>不合格品</w:t>
      </w:r>
    </w:p>
    <w:p>
      <w:pPr>
        <w:adjustRightInd w:val="0"/>
        <w:snapToGrid w:val="0"/>
        <w:spacing w:line="360" w:lineRule="auto"/>
        <w:ind w:firstLine="480" w:firstLineChars="200"/>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项目检测工序会产生不合格品，产生量按物料的 1%核算，则生产线不合格品产生量约 8.222t/a，不合格品收集后全部由物资公司回收。</w:t>
      </w:r>
    </w:p>
    <w:p>
      <w:pPr>
        <w:adjustRightInd w:val="0"/>
        <w:snapToGrid w:val="0"/>
        <w:spacing w:line="360" w:lineRule="auto"/>
        <w:ind w:firstLine="480" w:firstLineChars="200"/>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②废边角料</w:t>
      </w:r>
    </w:p>
    <w:p>
      <w:pPr>
        <w:adjustRightInd w:val="0"/>
        <w:snapToGrid w:val="0"/>
        <w:spacing w:line="360" w:lineRule="auto"/>
        <w:ind w:firstLine="480" w:firstLineChars="200"/>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根据工程分析</w:t>
      </w:r>
      <w:r>
        <w:rPr>
          <w:rFonts w:hint="eastAsia" w:ascii="宋体" w:hAnsi="宋体" w:eastAsia="宋体" w:cs="宋体"/>
          <w:color w:val="000000" w:themeColor="text1"/>
          <w:lang w:val="en-US" w:eastAsia="zh-CN"/>
          <w14:textFill>
            <w14:solidFill>
              <w14:schemeClr w14:val="tx1"/>
            </w14:solidFill>
          </w14:textFill>
        </w:rPr>
        <w:t>和物料平衡</w:t>
      </w:r>
      <w:r>
        <w:rPr>
          <w:rFonts w:hint="eastAsia" w:ascii="宋体" w:hAnsi="宋体" w:eastAsia="宋体" w:cs="宋体"/>
          <w:color w:val="000000" w:themeColor="text1"/>
          <w14:textFill>
            <w14:solidFill>
              <w14:schemeClr w14:val="tx1"/>
            </w14:solidFill>
          </w14:textFill>
        </w:rPr>
        <w:t>，项目制膜工段收卷和分切工序产生废边角料，</w:t>
      </w:r>
      <w:r>
        <w:rPr>
          <w:rFonts w:hint="eastAsia" w:ascii="宋体" w:hAnsi="宋体" w:eastAsia="宋体" w:cs="宋体"/>
          <w:color w:val="000000" w:themeColor="text1"/>
          <w:lang w:val="en-US" w:eastAsia="zh-CN"/>
          <w14:textFill>
            <w14:solidFill>
              <w14:schemeClr w14:val="tx1"/>
            </w14:solidFill>
          </w14:textFill>
        </w:rPr>
        <w:t>产生量按物料的 1.2%核算，</w:t>
      </w:r>
      <w:r>
        <w:rPr>
          <w:rFonts w:hint="eastAsia" w:ascii="宋体" w:hAnsi="宋体" w:eastAsia="宋体" w:cs="宋体"/>
          <w:color w:val="000000" w:themeColor="text1"/>
          <w14:textFill>
            <w14:solidFill>
              <w14:schemeClr w14:val="tx1"/>
            </w14:solidFill>
          </w14:textFill>
        </w:rPr>
        <w:t>主要为聚酰亚胺绝缘薄膜，产生量约</w:t>
      </w:r>
      <w:r>
        <w:rPr>
          <w:rFonts w:hint="eastAsia" w:ascii="宋体" w:hAnsi="宋体" w:eastAsia="宋体" w:cs="宋体"/>
          <w:color w:val="000000" w:themeColor="text1"/>
          <w:lang w:val="en-US" w:eastAsia="zh-CN"/>
          <w14:textFill>
            <w14:solidFill>
              <w14:schemeClr w14:val="tx1"/>
            </w14:solidFill>
          </w14:textFill>
        </w:rPr>
        <w:t>9.866</w:t>
      </w:r>
      <w:r>
        <w:rPr>
          <w:rFonts w:hint="eastAsia" w:ascii="宋体" w:hAnsi="宋体" w:eastAsia="宋体" w:cs="宋体"/>
          <w:color w:val="000000" w:themeColor="text1"/>
          <w14:textFill>
            <w14:solidFill>
              <w14:schemeClr w14:val="tx1"/>
            </w14:solidFill>
          </w14:textFill>
        </w:rPr>
        <w:t>t/a，厂区集中收集</w:t>
      </w:r>
      <w:r>
        <w:rPr>
          <w:rFonts w:hint="eastAsia" w:ascii="宋体" w:hAnsi="宋体" w:eastAsia="宋体" w:cs="宋体"/>
          <w:color w:val="000000" w:themeColor="text1"/>
          <w:lang w:val="en-US" w:eastAsia="zh-CN"/>
          <w14:textFill>
            <w14:solidFill>
              <w14:schemeClr w14:val="tx1"/>
            </w14:solidFill>
          </w14:textFill>
        </w:rPr>
        <w:t>后由物资公司回收</w:t>
      </w:r>
      <w:r>
        <w:rPr>
          <w:rFonts w:hint="eastAsia" w:ascii="宋体" w:hAnsi="宋体" w:eastAsia="宋体" w:cs="宋体"/>
          <w:color w:val="000000" w:themeColor="text1"/>
          <w14:textFill>
            <w14:solidFill>
              <w14:schemeClr w14:val="tx1"/>
            </w14:solidFill>
          </w14:textFill>
        </w:rPr>
        <w:t>。</w:t>
      </w:r>
    </w:p>
    <w:p>
      <w:pPr>
        <w:adjustRightInd w:val="0"/>
        <w:snapToGrid w:val="0"/>
        <w:spacing w:line="360" w:lineRule="auto"/>
        <w:ind w:firstLine="480" w:firstLineChars="200"/>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③</w:t>
      </w:r>
      <w:r>
        <w:rPr>
          <w:rFonts w:hint="eastAsia" w:ascii="宋体" w:hAnsi="宋体" w:eastAsia="宋体" w:cs="宋体"/>
          <w:color w:val="000000" w:themeColor="text1"/>
          <w14:textFill>
            <w14:solidFill>
              <w14:schemeClr w14:val="tx1"/>
            </w14:solidFill>
          </w14:textFill>
        </w:rPr>
        <w:t>废外包装材料</w:t>
      </w:r>
    </w:p>
    <w:p>
      <w:pPr>
        <w:adjustRightInd w:val="0"/>
        <w:snapToGrid w:val="0"/>
        <w:spacing w:line="360" w:lineRule="auto"/>
        <w:ind w:firstLine="480" w:firstLineChars="200"/>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项目二氨基二苯醚、均苯四甲酸二酐外包装为纸箱，未沾染二氨基二苯醚、均苯四甲酸二酐原料，为一般工业固废，产生量约</w:t>
      </w:r>
      <w:r>
        <w:rPr>
          <w:rFonts w:hint="eastAsia" w:ascii="宋体" w:hAnsi="宋体" w:eastAsia="宋体" w:cs="宋体"/>
          <w:color w:val="000000" w:themeColor="text1"/>
          <w:lang w:val="en-US" w:eastAsia="zh-CN"/>
          <w14:textFill>
            <w14:solidFill>
              <w14:schemeClr w14:val="tx1"/>
            </w14:solidFill>
          </w14:textFill>
        </w:rPr>
        <w:t>1</w:t>
      </w:r>
      <w:r>
        <w:rPr>
          <w:rFonts w:hint="eastAsia" w:ascii="宋体" w:hAnsi="宋体" w:eastAsia="宋体" w:cs="宋体"/>
          <w:color w:val="000000" w:themeColor="text1"/>
          <w14:textFill>
            <w14:solidFill>
              <w14:schemeClr w14:val="tx1"/>
            </w14:solidFill>
          </w14:textFill>
        </w:rPr>
        <w:t>万个，单个纸箱约0.2kg，则废包装材料产生量约</w:t>
      </w:r>
      <w:r>
        <w:rPr>
          <w:rFonts w:hint="eastAsia" w:ascii="宋体" w:hAnsi="宋体" w:eastAsia="宋体" w:cs="宋体"/>
          <w:color w:val="000000" w:themeColor="text1"/>
          <w:lang w:val="en-US" w:eastAsia="zh-CN"/>
          <w14:textFill>
            <w14:solidFill>
              <w14:schemeClr w14:val="tx1"/>
            </w14:solidFill>
          </w14:textFill>
        </w:rPr>
        <w:t>2</w:t>
      </w:r>
      <w:r>
        <w:rPr>
          <w:rFonts w:hint="eastAsia" w:ascii="宋体" w:hAnsi="宋体" w:eastAsia="宋体" w:cs="宋体"/>
          <w:color w:val="000000" w:themeColor="text1"/>
          <w14:textFill>
            <w14:solidFill>
              <w14:schemeClr w14:val="tx1"/>
            </w14:solidFill>
          </w14:textFill>
        </w:rPr>
        <w:t>t/a。厂区集中收集，外售综合利用。</w:t>
      </w:r>
    </w:p>
    <w:p>
      <w:pPr>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④DMAC副产品（不作为固废，仅核算量）</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themeColor="text1"/>
          <w:highlight w:val="none"/>
          <w:lang w:val="en-US"/>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项目两条生产线流延工序均含有四级冷凝回收系统以及亚胺化工序均含有一级冷凝回收系统。两条生产线流延工序共用一套“三级喷淋+湿电系统”；两条生产线的亚胺化工序，共用一套“二级喷淋+湿电系统”。项目共产生冷凝液（副产品）561.521t/a，喷淋液100.657t/a，均收集至副产品储罐，70%定期外售和30%回用于精馏生产。</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根据企业提供资料，项目搅拌罐（反应罐）、中间罐等不需要清洗。流涎机流涎嘴需定期清理，平均3个月清洗一次，采用DMAC 作为清洗溶剂。每条生产线每次清洗产生清洗废液5kg，2条生产线，共产生40kg/a。流涎嘴清洗废液收集至回收罐，作为DMAC 副产品定期外售。</w:t>
      </w:r>
    </w:p>
    <w:p>
      <w:pPr>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2</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危险废物</w:t>
      </w:r>
    </w:p>
    <w:p>
      <w:pPr>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本项目产生的危险废物：废内包装材料、废润滑油、含油废抹布手套（分类收集的）</w:t>
      </w:r>
      <w:r>
        <w:rPr>
          <w:rFonts w:hint="eastAsia" w:cs="宋体"/>
          <w:color w:val="000000" w:themeColor="text1"/>
          <w:highlight w:val="none"/>
          <w:lang w:eastAsia="zh-CN"/>
          <w14:textFill>
            <w14:solidFill>
              <w14:schemeClr w14:val="tx1"/>
            </w14:solidFill>
          </w14:textFill>
        </w:rPr>
        <w:t>、</w:t>
      </w:r>
      <w:r>
        <w:rPr>
          <w:rFonts w:hint="eastAsia" w:cs="宋体"/>
          <w:color w:val="000000" w:themeColor="text1"/>
          <w:highlight w:val="none"/>
          <w:lang w:val="en-US" w:eastAsia="zh-CN"/>
          <w14:textFill>
            <w14:solidFill>
              <w14:schemeClr w14:val="tx1"/>
            </w14:solidFill>
          </w14:textFill>
        </w:rPr>
        <w:t>残渣</w:t>
      </w:r>
      <w:r>
        <w:rPr>
          <w:rFonts w:hint="eastAsia" w:ascii="宋体" w:hAnsi="宋体" w:eastAsia="宋体" w:cs="宋体"/>
          <w:color w:val="000000" w:themeColor="text1"/>
          <w:highlight w:val="none"/>
          <w14:textFill>
            <w14:solidFill>
              <w14:schemeClr w14:val="tx1"/>
            </w14:solidFill>
          </w14:textFill>
        </w:rPr>
        <w:t>。</w:t>
      </w:r>
    </w:p>
    <w:p>
      <w:pPr>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①废内包装材料</w:t>
      </w:r>
    </w:p>
    <w:p>
      <w:pPr>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项目使用的均苯四甲酸二酐、4，4`-二氨基二苯醚使用过程中会产生废内包装材料，</w:t>
      </w:r>
      <w:r>
        <w:rPr>
          <w:rFonts w:hint="eastAsia" w:ascii="宋体" w:hAnsi="宋体" w:eastAsia="宋体" w:cs="宋体"/>
          <w:color w:val="000000" w:themeColor="text1"/>
          <w14:textFill>
            <w14:solidFill>
              <w14:schemeClr w14:val="tx1"/>
            </w14:solidFill>
          </w14:textFill>
        </w:rPr>
        <w:t>铝箔袋年产生量约</w:t>
      </w:r>
      <w:r>
        <w:rPr>
          <w:rFonts w:hint="eastAsia" w:ascii="宋体" w:hAnsi="宋体" w:eastAsia="宋体" w:cs="宋体"/>
          <w:color w:val="000000" w:themeColor="text1"/>
          <w:lang w:val="en-US" w:eastAsia="zh-CN"/>
          <w14:textFill>
            <w14:solidFill>
              <w14:schemeClr w14:val="tx1"/>
            </w14:solidFill>
          </w14:textFill>
        </w:rPr>
        <w:t>1</w:t>
      </w:r>
      <w:r>
        <w:rPr>
          <w:rFonts w:hint="eastAsia" w:ascii="宋体" w:hAnsi="宋体" w:eastAsia="宋体" w:cs="宋体"/>
          <w:color w:val="000000" w:themeColor="text1"/>
          <w14:textFill>
            <w14:solidFill>
              <w14:schemeClr w14:val="tx1"/>
            </w14:solidFill>
          </w14:textFill>
        </w:rPr>
        <w:t>万只，单个铝</w:t>
      </w:r>
      <w:r>
        <w:rPr>
          <w:rFonts w:hint="eastAsia" w:ascii="宋体" w:hAnsi="宋体" w:eastAsia="宋体" w:cs="宋体"/>
          <w:color w:val="000000" w:themeColor="text1"/>
          <w:highlight w:val="none"/>
          <w14:textFill>
            <w14:solidFill>
              <w14:schemeClr w14:val="tx1"/>
            </w14:solidFill>
          </w14:textFill>
        </w:rPr>
        <w:t>箔袋约0.05kg，则废内包材料产生量</w:t>
      </w:r>
      <w:r>
        <w:rPr>
          <w:rFonts w:hint="eastAsia" w:ascii="宋体" w:hAnsi="宋体" w:eastAsia="宋体" w:cs="宋体"/>
          <w:color w:val="000000" w:themeColor="text1"/>
          <w:highlight w:val="none"/>
          <w:lang w:val="en-US" w:eastAsia="zh-CN"/>
          <w14:textFill>
            <w14:solidFill>
              <w14:schemeClr w14:val="tx1"/>
            </w14:solidFill>
          </w14:textFill>
        </w:rPr>
        <w:t>0.5</w:t>
      </w:r>
      <w:r>
        <w:rPr>
          <w:rFonts w:hint="eastAsia" w:ascii="宋体" w:hAnsi="宋体" w:eastAsia="宋体" w:cs="宋体"/>
          <w:color w:val="000000" w:themeColor="text1"/>
          <w:highlight w:val="none"/>
          <w14:textFill>
            <w14:solidFill>
              <w14:schemeClr w14:val="tx1"/>
            </w14:solidFill>
          </w14:textFill>
        </w:rPr>
        <w:t>t/a，收集后委托有资质单位进行处理。</w:t>
      </w:r>
    </w:p>
    <w:p>
      <w:pPr>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②废润滑油</w:t>
      </w:r>
    </w:p>
    <w:p>
      <w:pPr>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项目在生产过程中进行机械保养过程中使用到润滑油，由此产生废润滑油，根据企业提供的资料，年产生量约0.0</w:t>
      </w:r>
      <w:r>
        <w:rPr>
          <w:rFonts w:hint="eastAsia" w:ascii="宋体" w:hAnsi="宋体" w:eastAsia="宋体" w:cs="宋体"/>
          <w:color w:val="000000" w:themeColor="text1"/>
          <w:highlight w:val="none"/>
          <w:lang w:val="en-US" w:eastAsia="zh-CN"/>
          <w14:textFill>
            <w14:solidFill>
              <w14:schemeClr w14:val="tx1"/>
            </w14:solidFill>
          </w14:textFill>
        </w:rPr>
        <w:t>2</w:t>
      </w:r>
      <w:r>
        <w:rPr>
          <w:rFonts w:hint="eastAsia" w:ascii="宋体" w:hAnsi="宋体" w:eastAsia="宋体" w:cs="宋体"/>
          <w:color w:val="000000" w:themeColor="text1"/>
          <w:highlight w:val="none"/>
          <w14:textFill>
            <w14:solidFill>
              <w14:schemeClr w14:val="tx1"/>
            </w14:solidFill>
          </w14:textFill>
        </w:rPr>
        <w:t>t，收集后委托有资质的单位进行处理。</w:t>
      </w:r>
    </w:p>
    <w:p>
      <w:pPr>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③含油废抹布手套</w:t>
      </w:r>
    </w:p>
    <w:p>
      <w:pPr>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项目在进行设备维护过程中使用到的废弃含油抹布以及劳保用品等，年产生量约0.</w:t>
      </w:r>
      <w:r>
        <w:rPr>
          <w:rFonts w:hint="eastAsia" w:ascii="宋体" w:hAnsi="宋体" w:eastAsia="宋体" w:cs="宋体"/>
          <w:color w:val="000000" w:themeColor="text1"/>
          <w:highlight w:val="none"/>
          <w:lang w:val="en-US" w:eastAsia="zh-CN"/>
          <w14:textFill>
            <w14:solidFill>
              <w14:schemeClr w14:val="tx1"/>
            </w14:solidFill>
          </w14:textFill>
        </w:rPr>
        <w:t>07</w:t>
      </w:r>
      <w:r>
        <w:rPr>
          <w:rFonts w:hint="eastAsia" w:ascii="宋体" w:hAnsi="宋体" w:eastAsia="宋体" w:cs="宋体"/>
          <w:color w:val="000000" w:themeColor="text1"/>
          <w:highlight w:val="none"/>
          <w14:textFill>
            <w14:solidFill>
              <w14:schemeClr w14:val="tx1"/>
            </w14:solidFill>
          </w14:textFill>
        </w:rPr>
        <w:t>t。分类收集的暂存于暂存于公司危废间，由有资质单位统一处置；未分类收集的混入生活垃圾的，由环卫部门统一清运。</w:t>
      </w:r>
    </w:p>
    <w:p>
      <w:pPr>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④残渣</w:t>
      </w:r>
    </w:p>
    <w:p>
      <w:pPr>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残渣包括</w:t>
      </w:r>
      <w:r>
        <w:rPr>
          <w:rFonts w:hint="eastAsia" w:ascii="宋体" w:hAnsi="宋体" w:eastAsia="宋体" w:cs="宋体"/>
          <w:color w:val="000000" w:themeColor="text1"/>
          <w:highlight w:val="none"/>
          <w14:textFill>
            <w14:solidFill>
              <w14:schemeClr w14:val="tx1"/>
            </w14:solidFill>
          </w14:textFill>
        </w:rPr>
        <w:t>废树脂、</w:t>
      </w:r>
      <w:r>
        <w:rPr>
          <w:rFonts w:hint="eastAsia" w:ascii="宋体" w:hAnsi="宋体" w:eastAsia="宋体" w:cs="宋体"/>
          <w:color w:val="000000" w:themeColor="text1"/>
          <w:highlight w:val="none"/>
          <w:lang w:val="en-US" w:eastAsia="zh-CN"/>
          <w14:textFill>
            <w14:solidFill>
              <w14:schemeClr w14:val="tx1"/>
            </w14:solidFill>
          </w14:textFill>
        </w:rPr>
        <w:t>喷淋残渣</w:t>
      </w:r>
      <w:r>
        <w:rPr>
          <w:rFonts w:hint="eastAsia" w:ascii="宋体" w:hAnsi="宋体" w:eastAsia="宋体" w:cs="宋体"/>
          <w:color w:val="000000" w:themeColor="text1"/>
          <w:highlight w:val="none"/>
          <w14:textFill>
            <w14:solidFill>
              <w14:schemeClr w14:val="tx1"/>
            </w14:solidFill>
          </w14:textFill>
        </w:rPr>
        <w:t>、</w:t>
      </w:r>
      <w:r>
        <w:rPr>
          <w:rFonts w:hint="eastAsia" w:ascii="宋体" w:hAnsi="宋体" w:eastAsia="宋体" w:cs="宋体"/>
          <w:color w:val="000000" w:themeColor="text1"/>
          <w:highlight w:val="none"/>
          <w:lang w:eastAsia="zh-CN"/>
          <w14:textFill>
            <w14:solidFill>
              <w14:schemeClr w14:val="tx1"/>
            </w14:solidFill>
          </w14:textFill>
        </w:rPr>
        <w:t>DMAC回收过程产生的精馏残渣，</w:t>
      </w:r>
      <w:r>
        <w:rPr>
          <w:rFonts w:hint="eastAsia" w:ascii="宋体" w:hAnsi="宋体" w:eastAsia="宋体" w:cs="宋体"/>
          <w:color w:val="000000" w:themeColor="text1"/>
          <w:highlight w:val="none"/>
          <w14:textFill>
            <w14:solidFill>
              <w14:schemeClr w14:val="tx1"/>
            </w14:solidFill>
          </w14:textFill>
        </w:rPr>
        <w:t>物料平衡已分析，</w:t>
      </w:r>
      <w:r>
        <w:rPr>
          <w:rFonts w:hint="eastAsia" w:ascii="宋体" w:hAnsi="宋体" w:eastAsia="宋体" w:cs="宋体"/>
          <w:color w:val="000000" w:themeColor="text1"/>
          <w:highlight w:val="none"/>
          <w:lang w:val="en-US" w:eastAsia="zh-CN"/>
          <w14:textFill>
            <w14:solidFill>
              <w14:schemeClr w14:val="tx1"/>
            </w14:solidFill>
          </w14:textFill>
        </w:rPr>
        <w:t>产生量为5.254t/a，属于HW13类265-103-13危险废物，分类收集后暂存危废间，定期委托资质单位处理</w:t>
      </w:r>
      <w:r>
        <w:rPr>
          <w:rFonts w:hint="eastAsia" w:ascii="宋体" w:hAnsi="宋体" w:eastAsia="宋体" w:cs="宋体"/>
          <w:color w:val="000000" w:themeColor="text1"/>
          <w:highlight w:val="none"/>
          <w14:textFill>
            <w14:solidFill>
              <w14:schemeClr w14:val="tx1"/>
            </w14:solidFill>
          </w14:textFill>
        </w:rPr>
        <w:t>。</w:t>
      </w:r>
    </w:p>
    <w:p>
      <w:pPr>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项目固体废物产生总量及处理处置措施一览表见表</w:t>
      </w:r>
      <w:r>
        <w:rPr>
          <w:rFonts w:hint="eastAsia" w:ascii="宋体" w:hAnsi="宋体" w:eastAsia="宋体" w:cs="宋体"/>
          <w:color w:val="000000" w:themeColor="text1"/>
          <w:highlight w:val="none"/>
          <w:lang w:val="en-US" w:eastAsia="zh-CN"/>
          <w14:textFill>
            <w14:solidFill>
              <w14:schemeClr w14:val="tx1"/>
            </w14:solidFill>
          </w14:textFill>
        </w:rPr>
        <w:t>3.2-5</w:t>
      </w:r>
      <w:r>
        <w:rPr>
          <w:rFonts w:hint="eastAsia" w:ascii="宋体" w:hAnsi="宋体" w:eastAsia="宋体" w:cs="宋体"/>
          <w:color w:val="000000" w:themeColor="text1"/>
          <w:highlight w:val="none"/>
          <w14:textFill>
            <w14:solidFill>
              <w14:schemeClr w14:val="tx1"/>
            </w14:solidFill>
          </w14:textFill>
        </w:rPr>
        <w:t>。</w:t>
      </w:r>
    </w:p>
    <w:p>
      <w:pPr>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hint="eastAsia" w:ascii="宋体" w:hAnsi="宋体" w:eastAsia="宋体" w:cs="宋体"/>
          <w:color w:val="000000" w:themeColor="text1"/>
          <w:highlight w:val="none"/>
          <w14:textFill>
            <w14:solidFill>
              <w14:schemeClr w14:val="tx1"/>
            </w14:solidFill>
          </w14:textFill>
        </w:rPr>
      </w:pPr>
    </w:p>
    <w:p>
      <w:pPr>
        <w:keepNext w:val="0"/>
        <w:keepLines w:val="0"/>
        <w:pageBreakBefore w:val="0"/>
        <w:widowControl/>
        <w:kinsoku/>
        <w:wordWrap/>
        <w:overflowPunct/>
        <w:topLinePunct w:val="0"/>
        <w:autoSpaceDE/>
        <w:autoSpaceDN/>
        <w:bidi w:val="0"/>
        <w:adjustRightInd/>
        <w:snapToGrid/>
        <w:spacing w:before="167" w:beforeLines="50" w:after="167" w:afterLines="50" w:line="360" w:lineRule="auto"/>
        <w:ind w:right="0" w:rightChars="0" w:firstLine="0"/>
        <w:jc w:val="center"/>
        <w:textAlignment w:val="auto"/>
        <w:rPr>
          <w:rFonts w:hint="eastAsia" w:ascii="宋体" w:hAnsi="宋体" w:eastAsia="宋体" w:cs="宋体"/>
          <w:b/>
          <w:color w:val="000000" w:themeColor="text1"/>
          <w:szCs w:val="21"/>
          <w:lang w:val="en-US" w:eastAsia="zh-CN"/>
          <w14:textFill>
            <w14:solidFill>
              <w14:schemeClr w14:val="tx1"/>
            </w14:solidFill>
          </w14:textFill>
        </w:rPr>
      </w:pPr>
      <w:r>
        <w:rPr>
          <w:rFonts w:hint="eastAsia" w:ascii="宋体" w:hAnsi="宋体" w:eastAsia="宋体" w:cs="宋体"/>
          <w:b/>
          <w:color w:val="000000" w:themeColor="text1"/>
          <w:szCs w:val="21"/>
          <w:lang w:val="en-US" w:eastAsia="zh-CN"/>
          <w14:textFill>
            <w14:solidFill>
              <w14:schemeClr w14:val="tx1"/>
            </w14:solidFill>
          </w14:textFill>
        </w:rPr>
        <w:t>表3.3.2-5项目固废产生量及治理措施一览表</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9"/>
        <w:gridCol w:w="1739"/>
        <w:gridCol w:w="1593"/>
        <w:gridCol w:w="1593"/>
        <w:gridCol w:w="1593"/>
        <w:gridCol w:w="15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9" w:type="dxa"/>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类别</w:t>
            </w:r>
          </w:p>
        </w:tc>
        <w:tc>
          <w:tcPr>
            <w:tcW w:w="1739" w:type="dxa"/>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名称</w:t>
            </w:r>
          </w:p>
        </w:tc>
        <w:tc>
          <w:tcPr>
            <w:tcW w:w="1593" w:type="dxa"/>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代码</w:t>
            </w:r>
          </w:p>
        </w:tc>
        <w:tc>
          <w:tcPr>
            <w:tcW w:w="1593" w:type="dxa"/>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产生工序</w:t>
            </w:r>
          </w:p>
        </w:tc>
        <w:tc>
          <w:tcPr>
            <w:tcW w:w="1593" w:type="dxa"/>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产生量t/a</w:t>
            </w:r>
          </w:p>
        </w:tc>
        <w:tc>
          <w:tcPr>
            <w:tcW w:w="1594" w:type="dxa"/>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治理措施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9" w:type="dxa"/>
            <w:vMerge w:val="restart"/>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一般固废</w:t>
            </w:r>
          </w:p>
        </w:tc>
        <w:tc>
          <w:tcPr>
            <w:tcW w:w="1739" w:type="dxa"/>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不合格品</w:t>
            </w:r>
          </w:p>
        </w:tc>
        <w:tc>
          <w:tcPr>
            <w:tcW w:w="1593" w:type="dxa"/>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292-001-06</w:t>
            </w:r>
          </w:p>
        </w:tc>
        <w:tc>
          <w:tcPr>
            <w:tcW w:w="1593" w:type="dxa"/>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检测</w:t>
            </w:r>
          </w:p>
        </w:tc>
        <w:tc>
          <w:tcPr>
            <w:tcW w:w="1593" w:type="dxa"/>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8.222</w:t>
            </w:r>
          </w:p>
        </w:tc>
        <w:tc>
          <w:tcPr>
            <w:tcW w:w="1594" w:type="dxa"/>
            <w:vMerge w:val="restart"/>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物资公司回收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9" w:type="dxa"/>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1739" w:type="dxa"/>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废边角料</w:t>
            </w:r>
          </w:p>
        </w:tc>
        <w:tc>
          <w:tcPr>
            <w:tcW w:w="1593" w:type="dxa"/>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292-001-06</w:t>
            </w:r>
          </w:p>
        </w:tc>
        <w:tc>
          <w:tcPr>
            <w:tcW w:w="1593" w:type="dxa"/>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分切</w:t>
            </w:r>
          </w:p>
        </w:tc>
        <w:tc>
          <w:tcPr>
            <w:tcW w:w="1593" w:type="dxa"/>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9.866</w:t>
            </w:r>
          </w:p>
        </w:tc>
        <w:tc>
          <w:tcPr>
            <w:tcW w:w="1594" w:type="dxa"/>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9" w:type="dxa"/>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1739" w:type="dxa"/>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废外包装材料</w:t>
            </w:r>
          </w:p>
        </w:tc>
        <w:tc>
          <w:tcPr>
            <w:tcW w:w="1593" w:type="dxa"/>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292-999-49</w:t>
            </w:r>
          </w:p>
        </w:tc>
        <w:tc>
          <w:tcPr>
            <w:tcW w:w="1593" w:type="dxa"/>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包装</w:t>
            </w:r>
          </w:p>
        </w:tc>
        <w:tc>
          <w:tcPr>
            <w:tcW w:w="1593" w:type="dxa"/>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w:t>
            </w:r>
          </w:p>
        </w:tc>
        <w:tc>
          <w:tcPr>
            <w:tcW w:w="1594" w:type="dxa"/>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9" w:type="dxa"/>
            <w:vMerge w:val="restart"/>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危险废物</w:t>
            </w:r>
          </w:p>
        </w:tc>
        <w:tc>
          <w:tcPr>
            <w:tcW w:w="1739" w:type="dxa"/>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废内包装材料</w:t>
            </w:r>
          </w:p>
        </w:tc>
        <w:tc>
          <w:tcPr>
            <w:tcW w:w="1593" w:type="dxa"/>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900-041-49</w:t>
            </w:r>
          </w:p>
        </w:tc>
        <w:tc>
          <w:tcPr>
            <w:tcW w:w="1593" w:type="dxa"/>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拆装</w:t>
            </w:r>
          </w:p>
        </w:tc>
        <w:tc>
          <w:tcPr>
            <w:tcW w:w="1593" w:type="dxa"/>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0.5</w:t>
            </w:r>
          </w:p>
        </w:tc>
        <w:tc>
          <w:tcPr>
            <w:tcW w:w="1594" w:type="dxa"/>
            <w:vMerge w:val="restart"/>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委托有资质单位处置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9" w:type="dxa"/>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1739" w:type="dxa"/>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废润滑油</w:t>
            </w:r>
          </w:p>
        </w:tc>
        <w:tc>
          <w:tcPr>
            <w:tcW w:w="1593" w:type="dxa"/>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900-214-08</w:t>
            </w:r>
          </w:p>
        </w:tc>
        <w:tc>
          <w:tcPr>
            <w:tcW w:w="1593" w:type="dxa"/>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机械保养</w:t>
            </w:r>
          </w:p>
        </w:tc>
        <w:tc>
          <w:tcPr>
            <w:tcW w:w="1593" w:type="dxa"/>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0.02</w:t>
            </w:r>
          </w:p>
        </w:tc>
        <w:tc>
          <w:tcPr>
            <w:tcW w:w="1594" w:type="dxa"/>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9" w:type="dxa"/>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1739" w:type="dxa"/>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含油废抹布手套</w:t>
            </w:r>
          </w:p>
        </w:tc>
        <w:tc>
          <w:tcPr>
            <w:tcW w:w="1593" w:type="dxa"/>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900-041-49</w:t>
            </w:r>
          </w:p>
        </w:tc>
        <w:tc>
          <w:tcPr>
            <w:tcW w:w="1593" w:type="dxa"/>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机械保养</w:t>
            </w:r>
          </w:p>
        </w:tc>
        <w:tc>
          <w:tcPr>
            <w:tcW w:w="1593" w:type="dxa"/>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0.07</w:t>
            </w:r>
          </w:p>
        </w:tc>
        <w:tc>
          <w:tcPr>
            <w:tcW w:w="1594" w:type="dxa"/>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9" w:type="dxa"/>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1739" w:type="dxa"/>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各类残渣</w:t>
            </w:r>
          </w:p>
        </w:tc>
        <w:tc>
          <w:tcPr>
            <w:tcW w:w="1593" w:type="dxa"/>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265-103-13</w:t>
            </w:r>
          </w:p>
        </w:tc>
        <w:tc>
          <w:tcPr>
            <w:tcW w:w="1593" w:type="dxa"/>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精馏</w:t>
            </w:r>
          </w:p>
        </w:tc>
        <w:tc>
          <w:tcPr>
            <w:tcW w:w="1593" w:type="dxa"/>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5.254</w:t>
            </w:r>
          </w:p>
        </w:tc>
        <w:tc>
          <w:tcPr>
            <w:tcW w:w="1594" w:type="dxa"/>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r>
    </w:tbl>
    <w:p>
      <w:pPr>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项目在厂区设置一座8</w:t>
      </w:r>
      <w:r>
        <w:rPr>
          <w:rFonts w:hint="eastAsia" w:ascii="宋体" w:hAnsi="宋体" w:eastAsia="宋体" w:cs="宋体"/>
          <w:color w:val="000000" w:themeColor="text1"/>
          <w:highlight w:val="none"/>
          <w:lang w:val="en-US" w:eastAsia="zh-CN"/>
          <w14:textFill>
            <w14:solidFill>
              <w14:schemeClr w14:val="tx1"/>
            </w14:solidFill>
          </w14:textFill>
        </w:rPr>
        <w:t>0</w:t>
      </w:r>
      <w:r>
        <w:rPr>
          <w:rFonts w:hint="eastAsia" w:ascii="宋体" w:hAnsi="宋体" w:eastAsia="宋体" w:cs="宋体"/>
          <w:color w:val="000000" w:themeColor="text1"/>
          <w:highlight w:val="none"/>
          <w:lang w:eastAsia="zh-CN"/>
          <w14:textFill>
            <w14:solidFill>
              <w14:schemeClr w14:val="tx1"/>
            </w14:solidFill>
          </w14:textFill>
        </w:rPr>
        <w:t>m²</w:t>
      </w:r>
      <w:r>
        <w:rPr>
          <w:rFonts w:hint="eastAsia" w:ascii="宋体" w:hAnsi="宋体" w:eastAsia="宋体" w:cs="宋体"/>
          <w:color w:val="000000" w:themeColor="text1"/>
          <w:highlight w:val="none"/>
          <w14:textFill>
            <w14:solidFill>
              <w14:schemeClr w14:val="tx1"/>
            </w14:solidFill>
          </w14:textFill>
        </w:rPr>
        <w:t>的危废暂存间。废润滑油、废内包装材料、分类收集的含油废抹布手套</w:t>
      </w:r>
      <w:r>
        <w:rPr>
          <w:rFonts w:hint="eastAsia" w:ascii="宋体" w:hAnsi="宋体" w:eastAsia="宋体" w:cs="宋体"/>
          <w:color w:val="000000" w:themeColor="text1"/>
          <w:highlight w:val="none"/>
          <w:lang w:val="en-US" w:eastAsia="zh-CN"/>
          <w14:textFill>
            <w14:solidFill>
              <w14:schemeClr w14:val="tx1"/>
            </w14:solidFill>
          </w14:textFill>
        </w:rPr>
        <w:t>和各类残渣</w:t>
      </w:r>
      <w:r>
        <w:rPr>
          <w:rFonts w:hint="eastAsia" w:ascii="宋体" w:hAnsi="宋体" w:eastAsia="宋体" w:cs="宋体"/>
          <w:color w:val="000000" w:themeColor="text1"/>
          <w:highlight w:val="none"/>
          <w14:textFill>
            <w14:solidFill>
              <w14:schemeClr w14:val="tx1"/>
            </w14:solidFill>
          </w14:textFill>
        </w:rPr>
        <w:t>属于危险废物，经收集后在厂区危废暂存间内暂存，定期交由有资质单位进行合理处置，</w:t>
      </w:r>
      <w:r>
        <w:rPr>
          <w:rFonts w:hint="eastAsia" w:ascii="宋体" w:hAnsi="宋体" w:eastAsia="宋体" w:cs="宋体"/>
          <w:color w:val="000000" w:themeColor="text1"/>
          <w:kern w:val="0"/>
          <w:sz w:val="24"/>
          <w:szCs w:val="24"/>
          <w:lang w:val="en-US" w:eastAsia="zh-CN" w:bidi="ar"/>
          <w14:textFill>
            <w14:solidFill>
              <w14:schemeClr w14:val="tx1"/>
            </w14:solidFill>
          </w14:textFill>
        </w:rPr>
        <w:t>回收的溶剂外售或回用于生产，</w:t>
      </w:r>
      <w:r>
        <w:rPr>
          <w:rFonts w:hint="eastAsia" w:ascii="宋体" w:hAnsi="宋体" w:eastAsia="宋体" w:cs="宋体"/>
          <w:color w:val="000000" w:themeColor="text1"/>
          <w:highlight w:val="none"/>
          <w14:textFill>
            <w14:solidFill>
              <w14:schemeClr w14:val="tx1"/>
            </w14:solidFill>
          </w14:textFill>
        </w:rPr>
        <w:t>本项目废溶剂拟计划1周转运一次。边角料和废外包装材料外售给物资回收公司综合利用。</w:t>
      </w:r>
    </w:p>
    <w:p>
      <w:pPr>
        <w:pStyle w:val="8"/>
        <w:keepNext w:val="0"/>
        <w:keepLines w:val="0"/>
        <w:pageBreakBefore w:val="0"/>
        <w:widowControl/>
        <w:kinsoku/>
        <w:wordWrap/>
        <w:overflowPunct/>
        <w:topLinePunct w:val="0"/>
        <w:autoSpaceDE w:val="0"/>
        <w:autoSpaceDN w:val="0"/>
        <w:bidi w:val="0"/>
        <w:adjustRightInd/>
        <w:snapToGrid/>
        <w:ind w:firstLine="482" w:firstLineChars="200"/>
        <w:textAlignment w:val="auto"/>
        <w:outlineLvl w:val="2"/>
        <w:rPr>
          <w:rFonts w:hint="eastAsia" w:ascii="宋体" w:hAnsi="宋体" w:eastAsia="宋体" w:cs="宋体"/>
          <w:color w:val="000000" w:themeColor="text1"/>
          <w:highlight w:val="none"/>
          <w:lang w:eastAsia="zh-CN"/>
          <w14:textFill>
            <w14:solidFill>
              <w14:schemeClr w14:val="tx1"/>
            </w14:solidFill>
          </w14:textFill>
        </w:rPr>
      </w:pPr>
      <w:bookmarkStart w:id="332" w:name="_Toc8643"/>
      <w:bookmarkStart w:id="333" w:name="_Toc1322"/>
      <w:bookmarkStart w:id="334" w:name="_Toc1982"/>
      <w:bookmarkStart w:id="335" w:name="_Toc6159"/>
      <w:bookmarkStart w:id="336" w:name="_Toc31725"/>
      <w:bookmarkStart w:id="337" w:name="_Toc24966"/>
      <w:bookmarkStart w:id="338" w:name="_Toc14984"/>
      <w:bookmarkStart w:id="339" w:name="_Toc14757"/>
      <w:bookmarkStart w:id="340" w:name="_Toc23835"/>
      <w:bookmarkStart w:id="341" w:name="_Toc31829"/>
      <w:bookmarkStart w:id="342" w:name="_Toc392139187"/>
      <w:bookmarkStart w:id="343" w:name="_Toc31350"/>
      <w:bookmarkStart w:id="344" w:name="_Toc10869"/>
      <w:bookmarkStart w:id="345" w:name="_Toc16122"/>
      <w:bookmarkStart w:id="346" w:name="_Toc7508"/>
      <w:bookmarkStart w:id="347" w:name="_Toc29871"/>
      <w:r>
        <w:rPr>
          <w:rFonts w:hint="eastAsia" w:ascii="宋体" w:hAnsi="宋体" w:eastAsia="宋体" w:cs="宋体"/>
          <w:color w:val="000000" w:themeColor="text1"/>
          <w:highlight w:val="none"/>
          <w:lang w:val="en-US" w:eastAsia="zh-CN"/>
          <w14:textFill>
            <w14:solidFill>
              <w14:schemeClr w14:val="tx1"/>
            </w14:solidFill>
          </w14:textFill>
        </w:rPr>
        <w:t>3.</w:t>
      </w:r>
      <w:r>
        <w:rPr>
          <w:rFonts w:hint="eastAsia" w:ascii="宋体" w:hAnsi="宋体" w:eastAsia="宋体" w:cs="宋体"/>
          <w:color w:val="000000" w:themeColor="text1"/>
          <w:highlight w:val="none"/>
          <w:lang w:eastAsia="zh-CN"/>
          <w14:textFill>
            <w14:solidFill>
              <w14:schemeClr w14:val="tx1"/>
            </w14:solidFill>
          </w14:textFill>
        </w:rPr>
        <w:t>3.3</w:t>
      </w:r>
      <w:r>
        <w:rPr>
          <w:rFonts w:hint="eastAsia" w:ascii="宋体" w:hAnsi="宋体" w:eastAsia="宋体" w:cs="宋体"/>
          <w:color w:val="000000" w:themeColor="text1"/>
          <w:highlight w:val="none"/>
          <w:lang w:val="en-US" w:eastAsia="zh-CN"/>
          <w14:textFill>
            <w14:solidFill>
              <w14:schemeClr w14:val="tx1"/>
            </w14:solidFill>
          </w14:textFill>
        </w:rPr>
        <w:t>“三本账”</w:t>
      </w:r>
      <w:bookmarkEnd w:id="332"/>
    </w:p>
    <w:p>
      <w:pPr>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项目扩建前后各类污染物排放情况的“三本帐”见下表。</w:t>
      </w:r>
      <w:r>
        <w:rPr>
          <w:rFonts w:hint="eastAsia" w:ascii="宋体" w:hAnsi="宋体" w:eastAsia="宋体" w:cs="宋体"/>
          <w:color w:val="000000" w:themeColor="text1"/>
          <w:highlight w:val="none"/>
          <w:lang w:val="en-US" w:eastAsia="zh-CN"/>
          <w14:textFill>
            <w14:solidFill>
              <w14:schemeClr w14:val="tx1"/>
            </w14:solidFill>
          </w14:textFill>
        </w:rPr>
        <w:t>本项目副产品不计入。</w:t>
      </w:r>
    </w:p>
    <w:p>
      <w:pPr>
        <w:keepNext w:val="0"/>
        <w:keepLines w:val="0"/>
        <w:pageBreakBefore w:val="0"/>
        <w:widowControl/>
        <w:kinsoku/>
        <w:wordWrap/>
        <w:overflowPunct/>
        <w:topLinePunct w:val="0"/>
        <w:autoSpaceDE/>
        <w:autoSpaceDN/>
        <w:bidi w:val="0"/>
        <w:adjustRightInd/>
        <w:snapToGrid/>
        <w:spacing w:before="167" w:beforeLines="50" w:after="167" w:afterLines="50" w:line="360" w:lineRule="auto"/>
        <w:ind w:right="0" w:rightChars="0" w:firstLine="0"/>
        <w:jc w:val="center"/>
        <w:textAlignment w:val="auto"/>
        <w:rPr>
          <w:rFonts w:hint="eastAsia" w:ascii="宋体" w:hAnsi="宋体" w:eastAsia="宋体" w:cs="宋体"/>
          <w:b/>
          <w:color w:val="000000" w:themeColor="text1"/>
          <w:szCs w:val="21"/>
          <w:lang w:val="en-US" w:eastAsia="zh-CN"/>
          <w14:textFill>
            <w14:solidFill>
              <w14:schemeClr w14:val="tx1"/>
            </w14:solidFill>
          </w14:textFill>
        </w:rPr>
      </w:pPr>
      <w:r>
        <w:rPr>
          <w:rFonts w:hint="eastAsia" w:ascii="宋体" w:hAnsi="宋体" w:eastAsia="宋体" w:cs="宋体"/>
          <w:b/>
          <w:color w:val="000000" w:themeColor="text1"/>
          <w:szCs w:val="21"/>
          <w:lang w:val="en-US" w:eastAsia="zh-CN"/>
          <w14:textFill>
            <w14:solidFill>
              <w14:schemeClr w14:val="tx1"/>
            </w14:solidFill>
          </w14:textFill>
        </w:rPr>
        <w:t>表3.3.3-1污染物三本账 单位t/a</w:t>
      </w:r>
    </w:p>
    <w:tbl>
      <w:tblPr>
        <w:tblStyle w:val="30"/>
        <w:tblW w:w="4991"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autofit"/>
        <w:tblCellMar>
          <w:top w:w="0" w:type="dxa"/>
          <w:left w:w="108" w:type="dxa"/>
          <w:bottom w:w="0" w:type="dxa"/>
          <w:right w:w="108" w:type="dxa"/>
        </w:tblCellMar>
      </w:tblPr>
      <w:tblGrid>
        <w:gridCol w:w="774"/>
        <w:gridCol w:w="782"/>
        <w:gridCol w:w="1037"/>
        <w:gridCol w:w="1313"/>
        <w:gridCol w:w="1358"/>
        <w:gridCol w:w="1892"/>
        <w:gridCol w:w="1325"/>
        <w:gridCol w:w="135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85" w:hRule="atLeast"/>
          <w:jc w:val="center"/>
        </w:trPr>
        <w:tc>
          <w:tcPr>
            <w:tcW w:w="39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Style w:val="59"/>
                <w:rFonts w:hint="eastAsia" w:ascii="宋体" w:hAnsi="宋体" w:eastAsia="宋体" w:cs="宋体"/>
                <w:color w:val="000000" w:themeColor="text1"/>
                <w:lang w:val="en-US" w:eastAsia="zh-CN" w:bidi="ar"/>
                <w14:textFill>
                  <w14:solidFill>
                    <w14:schemeClr w14:val="tx1"/>
                  </w14:solidFill>
                </w14:textFill>
              </w:rPr>
              <w:t>种类</w:t>
            </w:r>
          </w:p>
        </w:tc>
        <w:tc>
          <w:tcPr>
            <w:tcW w:w="924" w:type="pct"/>
            <w:gridSpan w:val="2"/>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Style w:val="59"/>
                <w:rFonts w:hint="eastAsia" w:ascii="宋体" w:hAnsi="宋体" w:eastAsia="宋体" w:cs="宋体"/>
                <w:color w:val="000000" w:themeColor="text1"/>
                <w:lang w:val="en-US" w:eastAsia="zh-CN" w:bidi="ar"/>
                <w14:textFill>
                  <w14:solidFill>
                    <w14:schemeClr w14:val="tx1"/>
                  </w14:solidFill>
                </w14:textFill>
              </w:rPr>
              <w:t>污染物名称</w:t>
            </w:r>
          </w:p>
        </w:tc>
        <w:tc>
          <w:tcPr>
            <w:tcW w:w="66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Style w:val="59"/>
                <w:rFonts w:hint="eastAsia" w:ascii="宋体" w:hAnsi="宋体" w:eastAsia="宋体" w:cs="宋体"/>
                <w:color w:val="000000" w:themeColor="text1"/>
                <w:lang w:val="en-US" w:eastAsia="zh-CN" w:bidi="ar"/>
                <w14:textFill>
                  <w14:solidFill>
                    <w14:schemeClr w14:val="tx1"/>
                  </w14:solidFill>
                </w14:textFill>
              </w:rPr>
              <w:t>现有工程排放量</w:t>
            </w:r>
          </w:p>
        </w:tc>
        <w:tc>
          <w:tcPr>
            <w:tcW w:w="69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Style w:val="59"/>
                <w:rFonts w:hint="eastAsia" w:ascii="宋体" w:hAnsi="宋体" w:eastAsia="宋体" w:cs="宋体"/>
                <w:color w:val="000000" w:themeColor="text1"/>
                <w:lang w:val="en-US" w:eastAsia="zh-CN" w:bidi="ar"/>
                <w14:textFill>
                  <w14:solidFill>
                    <w14:schemeClr w14:val="tx1"/>
                  </w14:solidFill>
                </w14:textFill>
              </w:rPr>
              <w:t>扩建工程排放量</w:t>
            </w:r>
          </w:p>
        </w:tc>
        <w:tc>
          <w:tcPr>
            <w:tcW w:w="96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w:t>
            </w:r>
            <w:r>
              <w:rPr>
                <w:rStyle w:val="59"/>
                <w:rFonts w:hint="eastAsia" w:ascii="宋体" w:hAnsi="宋体" w:eastAsia="宋体" w:cs="宋体"/>
                <w:color w:val="000000" w:themeColor="text1"/>
                <w:lang w:val="en-US" w:eastAsia="zh-CN" w:bidi="ar"/>
                <w14:textFill>
                  <w14:solidFill>
                    <w14:schemeClr w14:val="tx1"/>
                  </w14:solidFill>
                </w14:textFill>
              </w:rPr>
              <w:t>以新带老</w:t>
            </w:r>
            <w:r>
              <w:rPr>
                <w:rStyle w:val="58"/>
                <w:rFonts w:hint="eastAsia" w:ascii="宋体" w:hAnsi="宋体" w:eastAsia="宋体" w:cs="宋体"/>
                <w:color w:val="000000" w:themeColor="text1"/>
                <w:lang w:val="en-US" w:eastAsia="zh-CN" w:bidi="ar"/>
                <w14:textFill>
                  <w14:solidFill>
                    <w14:schemeClr w14:val="tx1"/>
                  </w14:solidFill>
                </w14:textFill>
              </w:rPr>
              <w:t>”</w:t>
            </w:r>
            <w:r>
              <w:rPr>
                <w:rStyle w:val="59"/>
                <w:rFonts w:hint="eastAsia" w:ascii="宋体" w:hAnsi="宋体" w:eastAsia="宋体" w:cs="宋体"/>
                <w:color w:val="000000" w:themeColor="text1"/>
                <w:lang w:val="en-US" w:eastAsia="zh-CN" w:bidi="ar"/>
                <w14:textFill>
                  <w14:solidFill>
                    <w14:schemeClr w14:val="tx1"/>
                  </w14:solidFill>
                </w14:textFill>
              </w:rPr>
              <w:t>消减量</w:t>
            </w:r>
          </w:p>
        </w:tc>
        <w:tc>
          <w:tcPr>
            <w:tcW w:w="67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Style w:val="59"/>
                <w:rFonts w:hint="eastAsia" w:ascii="宋体" w:hAnsi="宋体" w:eastAsia="宋体" w:cs="宋体"/>
                <w:color w:val="000000" w:themeColor="text1"/>
                <w:lang w:val="en-US" w:eastAsia="zh-CN" w:bidi="ar"/>
                <w14:textFill>
                  <w14:solidFill>
                    <w14:schemeClr w14:val="tx1"/>
                  </w14:solidFill>
                </w14:textFill>
              </w:rPr>
              <w:t>扩建后全厂总排放量</w:t>
            </w:r>
          </w:p>
        </w:tc>
        <w:tc>
          <w:tcPr>
            <w:tcW w:w="68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Style w:val="59"/>
                <w:rFonts w:hint="eastAsia" w:ascii="宋体" w:hAnsi="宋体" w:eastAsia="宋体" w:cs="宋体"/>
                <w:color w:val="000000" w:themeColor="text1"/>
                <w:lang w:val="en-US" w:eastAsia="zh-CN" w:bidi="ar"/>
                <w14:textFill>
                  <w14:solidFill>
                    <w14:schemeClr w14:val="tx1"/>
                  </w14:solidFill>
                </w14:textFill>
              </w:rPr>
              <w:t>增减量</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85" w:hRule="atLeast"/>
          <w:jc w:val="center"/>
        </w:trPr>
        <w:tc>
          <w:tcPr>
            <w:tcW w:w="393" w:type="pct"/>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themeColor="text1"/>
                <w:sz w:val="21"/>
                <w:szCs w:val="21"/>
                <w:u w:val="none"/>
                <w:lang w:val="en-US" w:eastAsia="zh-CN"/>
                <w14:textFill>
                  <w14:solidFill>
                    <w14:schemeClr w14:val="tx1"/>
                  </w14:solidFill>
                </w14:textFill>
              </w:rPr>
            </w:pPr>
            <w:r>
              <w:rPr>
                <w:rFonts w:hint="eastAsia" w:ascii="宋体" w:hAnsi="宋体" w:eastAsia="宋体" w:cs="宋体"/>
                <w:i w:val="0"/>
                <w:iCs w:val="0"/>
                <w:color w:val="000000" w:themeColor="text1"/>
                <w:sz w:val="21"/>
                <w:szCs w:val="21"/>
                <w:u w:val="none"/>
                <w:lang w:val="en-US" w:eastAsia="zh-CN"/>
                <w14:textFill>
                  <w14:solidFill>
                    <w14:schemeClr w14:val="tx1"/>
                  </w14:solidFill>
                </w14:textFill>
              </w:rPr>
              <w:t>废水</w:t>
            </w:r>
          </w:p>
        </w:tc>
        <w:tc>
          <w:tcPr>
            <w:tcW w:w="924" w:type="pct"/>
            <w:gridSpan w:val="2"/>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COD</w:t>
            </w:r>
          </w:p>
        </w:tc>
        <w:tc>
          <w:tcPr>
            <w:tcW w:w="66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1"/>
                <w:szCs w:val="21"/>
                <w:u w:val="none"/>
                <w:lang w:val="en-US"/>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1.08</w:t>
            </w:r>
          </w:p>
        </w:tc>
        <w:tc>
          <w:tcPr>
            <w:tcW w:w="69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1"/>
                <w:szCs w:val="21"/>
                <w:u w:val="none"/>
                <w:lang w:val="en-US" w:eastAsia="zh-CN"/>
                <w14:textFill>
                  <w14:solidFill>
                    <w14:schemeClr w14:val="tx1"/>
                  </w14:solidFill>
                </w14:textFill>
              </w:rPr>
            </w:pPr>
            <w:r>
              <w:rPr>
                <w:rFonts w:hint="eastAsia" w:ascii="宋体" w:hAnsi="宋体" w:eastAsia="宋体" w:cs="宋体"/>
                <w:i w:val="0"/>
                <w:iCs w:val="0"/>
                <w:color w:val="000000" w:themeColor="text1"/>
                <w:sz w:val="21"/>
                <w:szCs w:val="21"/>
                <w:u w:val="none"/>
                <w:lang w:val="en-US" w:eastAsia="zh-CN"/>
                <w14:textFill>
                  <w14:solidFill>
                    <w14:schemeClr w14:val="tx1"/>
                  </w14:solidFill>
                </w14:textFill>
              </w:rPr>
              <w:t>0.0173</w:t>
            </w:r>
          </w:p>
        </w:tc>
        <w:tc>
          <w:tcPr>
            <w:tcW w:w="96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0</w:t>
            </w:r>
          </w:p>
        </w:tc>
        <w:tc>
          <w:tcPr>
            <w:tcW w:w="67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1"/>
                <w:szCs w:val="21"/>
                <w:u w:val="none"/>
                <w:lang w:val="en-US" w:eastAsia="zh-CN"/>
                <w14:textFill>
                  <w14:solidFill>
                    <w14:schemeClr w14:val="tx1"/>
                  </w14:solidFill>
                </w14:textFill>
              </w:rPr>
            </w:pPr>
            <w:r>
              <w:rPr>
                <w:rFonts w:hint="eastAsia" w:ascii="宋体" w:hAnsi="宋体" w:eastAsia="宋体" w:cs="宋体"/>
                <w:i w:val="0"/>
                <w:iCs w:val="0"/>
                <w:color w:val="000000" w:themeColor="text1"/>
                <w:sz w:val="21"/>
                <w:szCs w:val="21"/>
                <w:u w:val="none"/>
                <w:lang w:val="en-US" w:eastAsia="zh-CN"/>
                <w14:textFill>
                  <w14:solidFill>
                    <w14:schemeClr w14:val="tx1"/>
                  </w14:solidFill>
                </w14:textFill>
              </w:rPr>
              <w:t>1.0973</w:t>
            </w:r>
          </w:p>
        </w:tc>
        <w:tc>
          <w:tcPr>
            <w:tcW w:w="68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1"/>
                <w:szCs w:val="21"/>
                <w:u w:val="none"/>
                <w:lang w:val="en-US"/>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+0.0173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85" w:hRule="atLeast"/>
          <w:jc w:val="center"/>
        </w:trPr>
        <w:tc>
          <w:tcPr>
            <w:tcW w:w="393"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924" w:type="pct"/>
            <w:gridSpan w:val="2"/>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NH3-N</w:t>
            </w:r>
          </w:p>
        </w:tc>
        <w:tc>
          <w:tcPr>
            <w:tcW w:w="66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1"/>
                <w:szCs w:val="21"/>
                <w:u w:val="none"/>
                <w:lang w:val="en-US"/>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0.108</w:t>
            </w:r>
          </w:p>
        </w:tc>
        <w:tc>
          <w:tcPr>
            <w:tcW w:w="69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1"/>
                <w:szCs w:val="21"/>
                <w:u w:val="none"/>
                <w:lang w:val="en-US" w:eastAsia="zh-CN"/>
                <w14:textFill>
                  <w14:solidFill>
                    <w14:schemeClr w14:val="tx1"/>
                  </w14:solidFill>
                </w14:textFill>
              </w:rPr>
            </w:pPr>
            <w:r>
              <w:rPr>
                <w:rFonts w:hint="eastAsia" w:ascii="宋体" w:hAnsi="宋体" w:eastAsia="宋体" w:cs="宋体"/>
                <w:i w:val="0"/>
                <w:iCs w:val="0"/>
                <w:color w:val="000000" w:themeColor="text1"/>
                <w:sz w:val="21"/>
                <w:szCs w:val="21"/>
                <w:u w:val="none"/>
                <w:lang w:val="en-US" w:eastAsia="zh-CN"/>
                <w14:textFill>
                  <w14:solidFill>
                    <w14:schemeClr w14:val="tx1"/>
                  </w14:solidFill>
                </w14:textFill>
              </w:rPr>
              <w:t>0.0018</w:t>
            </w:r>
          </w:p>
        </w:tc>
        <w:tc>
          <w:tcPr>
            <w:tcW w:w="96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0</w:t>
            </w:r>
          </w:p>
        </w:tc>
        <w:tc>
          <w:tcPr>
            <w:tcW w:w="67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1"/>
                <w:szCs w:val="21"/>
                <w:u w:val="none"/>
                <w:lang w:val="en-US" w:eastAsia="zh-CN"/>
                <w14:textFill>
                  <w14:solidFill>
                    <w14:schemeClr w14:val="tx1"/>
                  </w14:solidFill>
                </w14:textFill>
              </w:rPr>
            </w:pPr>
            <w:r>
              <w:rPr>
                <w:rFonts w:hint="eastAsia" w:ascii="宋体" w:hAnsi="宋体" w:eastAsia="宋体" w:cs="宋体"/>
                <w:i w:val="0"/>
                <w:iCs w:val="0"/>
                <w:color w:val="000000" w:themeColor="text1"/>
                <w:sz w:val="21"/>
                <w:szCs w:val="21"/>
                <w:u w:val="none"/>
                <w:lang w:val="en-US" w:eastAsia="zh-CN"/>
                <w14:textFill>
                  <w14:solidFill>
                    <w14:schemeClr w14:val="tx1"/>
                  </w14:solidFill>
                </w14:textFill>
              </w:rPr>
              <w:t>0.1098</w:t>
            </w:r>
          </w:p>
        </w:tc>
        <w:tc>
          <w:tcPr>
            <w:tcW w:w="68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1"/>
                <w:szCs w:val="21"/>
                <w:u w:val="none"/>
                <w:lang w:val="en-US"/>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+0.0018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60" w:hRule="atLeast"/>
          <w:jc w:val="center"/>
        </w:trPr>
        <w:tc>
          <w:tcPr>
            <w:tcW w:w="393"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废气</w:t>
            </w:r>
          </w:p>
        </w:tc>
        <w:tc>
          <w:tcPr>
            <w:tcW w:w="397"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Style w:val="59"/>
                <w:rFonts w:hint="eastAsia" w:ascii="宋体" w:hAnsi="宋体" w:eastAsia="宋体" w:cs="宋体"/>
                <w:color w:val="000000" w:themeColor="text1"/>
                <w:lang w:val="en-US" w:eastAsia="zh-CN" w:bidi="ar"/>
                <w14:textFill>
                  <w14:solidFill>
                    <w14:schemeClr w14:val="tx1"/>
                  </w14:solidFill>
                </w14:textFill>
              </w:rPr>
              <w:t>有组织</w:t>
            </w:r>
          </w:p>
        </w:tc>
        <w:tc>
          <w:tcPr>
            <w:tcW w:w="52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1"/>
                <w:szCs w:val="21"/>
                <w:u w:val="none"/>
                <w:lang w:val="en-US" w:eastAsia="zh-CN"/>
                <w14:textFill>
                  <w14:solidFill>
                    <w14:schemeClr w14:val="tx1"/>
                  </w14:solidFill>
                </w14:textFill>
              </w:rPr>
            </w:pPr>
            <w:r>
              <w:rPr>
                <w:rFonts w:hint="eastAsia" w:ascii="宋体" w:hAnsi="宋体" w:eastAsia="宋体" w:cs="宋体"/>
                <w:i w:val="0"/>
                <w:iCs w:val="0"/>
                <w:color w:val="000000" w:themeColor="text1"/>
                <w:sz w:val="21"/>
                <w:szCs w:val="21"/>
                <w:u w:val="none"/>
                <w:lang w:val="en-US" w:eastAsia="zh-CN"/>
                <w14:textFill>
                  <w14:solidFill>
                    <w14:schemeClr w14:val="tx1"/>
                  </w14:solidFill>
                </w14:textFill>
              </w:rPr>
              <w:t>非甲烷总烃</w:t>
            </w:r>
          </w:p>
        </w:tc>
        <w:tc>
          <w:tcPr>
            <w:tcW w:w="66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1"/>
                <w:szCs w:val="21"/>
                <w:u w:val="none"/>
                <w:lang w:val="en-US"/>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0.73</w:t>
            </w:r>
          </w:p>
        </w:tc>
        <w:tc>
          <w:tcPr>
            <w:tcW w:w="69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1"/>
                <w:szCs w:val="21"/>
                <w:u w:val="none"/>
                <w:lang w:val="en-US" w:eastAsia="zh-CN"/>
                <w14:textFill>
                  <w14:solidFill>
                    <w14:schemeClr w14:val="tx1"/>
                  </w14:solidFill>
                </w14:textFill>
              </w:rPr>
            </w:pPr>
            <w:r>
              <w:rPr>
                <w:rFonts w:hint="eastAsia" w:ascii="宋体" w:hAnsi="宋体" w:eastAsia="宋体" w:cs="宋体"/>
                <w:i w:val="0"/>
                <w:iCs w:val="0"/>
                <w:color w:val="000000" w:themeColor="text1"/>
                <w:sz w:val="21"/>
                <w:szCs w:val="21"/>
                <w:u w:val="none"/>
                <w:lang w:val="en-US" w:eastAsia="zh-CN"/>
                <w14:textFill>
                  <w14:solidFill>
                    <w14:schemeClr w14:val="tx1"/>
                  </w14:solidFill>
                </w14:textFill>
              </w:rPr>
              <w:t>0.7628</w:t>
            </w:r>
          </w:p>
        </w:tc>
        <w:tc>
          <w:tcPr>
            <w:tcW w:w="96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0</w:t>
            </w:r>
          </w:p>
        </w:tc>
        <w:tc>
          <w:tcPr>
            <w:tcW w:w="67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1"/>
                <w:szCs w:val="21"/>
                <w:u w:val="none"/>
                <w:lang w:val="en-US" w:eastAsia="zh-CN"/>
                <w14:textFill>
                  <w14:solidFill>
                    <w14:schemeClr w14:val="tx1"/>
                  </w14:solidFill>
                </w14:textFill>
              </w:rPr>
            </w:pPr>
            <w:r>
              <w:rPr>
                <w:rFonts w:hint="eastAsia" w:ascii="宋体" w:hAnsi="宋体" w:eastAsia="宋体" w:cs="宋体"/>
                <w:i w:val="0"/>
                <w:iCs w:val="0"/>
                <w:color w:val="000000" w:themeColor="text1"/>
                <w:sz w:val="21"/>
                <w:szCs w:val="21"/>
                <w:u w:val="none"/>
                <w:lang w:val="en-US" w:eastAsia="zh-CN"/>
                <w14:textFill>
                  <w14:solidFill>
                    <w14:schemeClr w14:val="tx1"/>
                  </w14:solidFill>
                </w14:textFill>
              </w:rPr>
              <w:t>1.4928</w:t>
            </w:r>
          </w:p>
        </w:tc>
        <w:tc>
          <w:tcPr>
            <w:tcW w:w="68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1"/>
                <w:szCs w:val="21"/>
                <w:u w:val="none"/>
                <w:lang w:val="en-US"/>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w:t>
            </w:r>
            <w:r>
              <w:rPr>
                <w:rFonts w:hint="eastAsia" w:ascii="宋体" w:hAnsi="宋体" w:eastAsia="宋体" w:cs="宋体"/>
                <w:i w:val="0"/>
                <w:iCs w:val="0"/>
                <w:color w:val="000000" w:themeColor="text1"/>
                <w:sz w:val="21"/>
                <w:szCs w:val="21"/>
                <w:u w:val="none"/>
                <w:lang w:val="en-US" w:eastAsia="zh-CN"/>
                <w14:textFill>
                  <w14:solidFill>
                    <w14:schemeClr w14:val="tx1"/>
                  </w14:solidFill>
                </w14:textFill>
              </w:rPr>
              <w:t>0.7628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60" w:hRule="atLeast"/>
          <w:jc w:val="center"/>
        </w:trPr>
        <w:tc>
          <w:tcPr>
            <w:tcW w:w="393" w:type="pct"/>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397" w:type="pct"/>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Style w:val="59"/>
                <w:rFonts w:hint="eastAsia" w:ascii="宋体" w:hAnsi="宋体" w:eastAsia="宋体" w:cs="宋体"/>
                <w:color w:val="000000" w:themeColor="text1"/>
                <w:lang w:val="en-US" w:eastAsia="zh-CN" w:bidi="ar"/>
                <w14:textFill>
                  <w14:solidFill>
                    <w14:schemeClr w14:val="tx1"/>
                  </w14:solidFill>
                </w14:textFill>
              </w:rPr>
            </w:pPr>
          </w:p>
        </w:tc>
        <w:tc>
          <w:tcPr>
            <w:tcW w:w="52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1"/>
                <w:szCs w:val="21"/>
                <w:u w:val="none"/>
                <w:lang w:val="en-US" w:eastAsia="zh-CN"/>
                <w14:textFill>
                  <w14:solidFill>
                    <w14:schemeClr w14:val="tx1"/>
                  </w14:solidFill>
                </w14:textFill>
              </w:rPr>
            </w:pPr>
            <w:r>
              <w:rPr>
                <w:rFonts w:hint="eastAsia" w:ascii="宋体" w:hAnsi="宋体" w:eastAsia="宋体" w:cs="宋体"/>
                <w:i w:val="0"/>
                <w:iCs w:val="0"/>
                <w:color w:val="000000" w:themeColor="text1"/>
                <w:sz w:val="21"/>
                <w:szCs w:val="21"/>
                <w:u w:val="none"/>
                <w:lang w:val="en-US" w:eastAsia="zh-CN"/>
                <w14:textFill>
                  <w14:solidFill>
                    <w14:schemeClr w14:val="tx1"/>
                  </w14:solidFill>
                </w14:textFill>
              </w:rPr>
              <w:t>氨</w:t>
            </w:r>
          </w:p>
        </w:tc>
        <w:tc>
          <w:tcPr>
            <w:tcW w:w="66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0</w:t>
            </w:r>
          </w:p>
        </w:tc>
        <w:tc>
          <w:tcPr>
            <w:tcW w:w="69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1"/>
                <w:szCs w:val="21"/>
                <w:u w:val="none"/>
                <w:lang w:val="en-US" w:eastAsia="zh-CN"/>
                <w14:textFill>
                  <w14:solidFill>
                    <w14:schemeClr w14:val="tx1"/>
                  </w14:solidFill>
                </w14:textFill>
              </w:rPr>
            </w:pPr>
            <w:r>
              <w:rPr>
                <w:rFonts w:hint="eastAsia" w:ascii="宋体" w:hAnsi="宋体" w:eastAsia="宋体" w:cs="宋体"/>
                <w:i w:val="0"/>
                <w:iCs w:val="0"/>
                <w:color w:val="000000" w:themeColor="text1"/>
                <w:sz w:val="21"/>
                <w:szCs w:val="21"/>
                <w:u w:val="none"/>
                <w:lang w:val="en-US" w:eastAsia="zh-CN"/>
                <w14:textFill>
                  <w14:solidFill>
                    <w14:schemeClr w14:val="tx1"/>
                  </w14:solidFill>
                </w14:textFill>
              </w:rPr>
              <w:t>0.0461</w:t>
            </w:r>
          </w:p>
        </w:tc>
        <w:tc>
          <w:tcPr>
            <w:tcW w:w="96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0</w:t>
            </w:r>
          </w:p>
        </w:tc>
        <w:tc>
          <w:tcPr>
            <w:tcW w:w="67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1"/>
                <w:szCs w:val="21"/>
                <w:u w:val="none"/>
                <w:lang w:val="en-US" w:eastAsia="zh-CN"/>
                <w14:textFill>
                  <w14:solidFill>
                    <w14:schemeClr w14:val="tx1"/>
                  </w14:solidFill>
                </w14:textFill>
              </w:rPr>
            </w:pPr>
            <w:r>
              <w:rPr>
                <w:rFonts w:hint="eastAsia" w:ascii="宋体" w:hAnsi="宋体" w:eastAsia="宋体" w:cs="宋体"/>
                <w:i w:val="0"/>
                <w:iCs w:val="0"/>
                <w:color w:val="000000" w:themeColor="text1"/>
                <w:sz w:val="21"/>
                <w:szCs w:val="21"/>
                <w:u w:val="none"/>
                <w:lang w:val="en-US" w:eastAsia="zh-CN"/>
                <w14:textFill>
                  <w14:solidFill>
                    <w14:schemeClr w14:val="tx1"/>
                  </w14:solidFill>
                </w14:textFill>
              </w:rPr>
              <w:t>0.0461</w:t>
            </w:r>
          </w:p>
        </w:tc>
        <w:tc>
          <w:tcPr>
            <w:tcW w:w="68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u w:val="none"/>
                <w:lang w:val="en-US" w:eastAsia="zh-CN"/>
                <w14:textFill>
                  <w14:solidFill>
                    <w14:schemeClr w14:val="tx1"/>
                  </w14:solidFill>
                </w14:textFill>
              </w:rPr>
              <w:t>+0.0461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60" w:hRule="atLeast"/>
          <w:jc w:val="center"/>
        </w:trPr>
        <w:tc>
          <w:tcPr>
            <w:tcW w:w="393"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39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无组织</w:t>
            </w:r>
          </w:p>
        </w:tc>
        <w:tc>
          <w:tcPr>
            <w:tcW w:w="52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1"/>
                <w:szCs w:val="21"/>
                <w:u w:val="none"/>
                <w:lang w:val="en-US"/>
                <w14:textFill>
                  <w14:solidFill>
                    <w14:schemeClr w14:val="tx1"/>
                  </w14:solidFill>
                </w14:textFill>
              </w:rPr>
            </w:pPr>
            <w:r>
              <w:rPr>
                <w:rFonts w:hint="eastAsia" w:ascii="宋体" w:hAnsi="宋体" w:eastAsia="宋体" w:cs="宋体"/>
                <w:i w:val="0"/>
                <w:iCs w:val="0"/>
                <w:color w:val="000000" w:themeColor="text1"/>
                <w:sz w:val="21"/>
                <w:szCs w:val="21"/>
                <w:u w:val="none"/>
                <w:lang w:val="en-US" w:eastAsia="zh-CN"/>
                <w14:textFill>
                  <w14:solidFill>
                    <w14:schemeClr w14:val="tx1"/>
                  </w14:solidFill>
                </w14:textFill>
              </w:rPr>
              <w:t>非甲烷总烃</w:t>
            </w:r>
          </w:p>
        </w:tc>
        <w:tc>
          <w:tcPr>
            <w:tcW w:w="66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1"/>
                <w:szCs w:val="21"/>
                <w:u w:val="none"/>
                <w:lang w:val="en-US"/>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0.302</w:t>
            </w:r>
          </w:p>
        </w:tc>
        <w:tc>
          <w:tcPr>
            <w:tcW w:w="69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1"/>
                <w:szCs w:val="21"/>
                <w:u w:val="none"/>
                <w:lang w:val="en-US" w:eastAsia="zh-CN"/>
                <w14:textFill>
                  <w14:solidFill>
                    <w14:schemeClr w14:val="tx1"/>
                  </w14:solidFill>
                </w14:textFill>
              </w:rPr>
            </w:pPr>
            <w:r>
              <w:rPr>
                <w:rFonts w:hint="eastAsia" w:ascii="宋体" w:hAnsi="宋体" w:eastAsia="宋体" w:cs="宋体"/>
                <w:i w:val="0"/>
                <w:iCs w:val="0"/>
                <w:color w:val="000000" w:themeColor="text1"/>
                <w:sz w:val="21"/>
                <w:szCs w:val="21"/>
                <w:u w:val="none"/>
                <w:lang w:val="en-US" w:eastAsia="zh-CN"/>
                <w14:textFill>
                  <w14:solidFill>
                    <w14:schemeClr w14:val="tx1"/>
                  </w14:solidFill>
                </w14:textFill>
              </w:rPr>
              <w:t>0.06</w:t>
            </w:r>
          </w:p>
        </w:tc>
        <w:tc>
          <w:tcPr>
            <w:tcW w:w="96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0</w:t>
            </w:r>
          </w:p>
        </w:tc>
        <w:tc>
          <w:tcPr>
            <w:tcW w:w="67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1"/>
                <w:szCs w:val="21"/>
                <w:u w:val="none"/>
                <w:lang w:val="en-US" w:eastAsia="zh-CN"/>
                <w14:textFill>
                  <w14:solidFill>
                    <w14:schemeClr w14:val="tx1"/>
                  </w14:solidFill>
                </w14:textFill>
              </w:rPr>
            </w:pPr>
            <w:r>
              <w:rPr>
                <w:rFonts w:hint="eastAsia" w:ascii="宋体" w:hAnsi="宋体" w:eastAsia="宋体" w:cs="宋体"/>
                <w:i w:val="0"/>
                <w:iCs w:val="0"/>
                <w:color w:val="000000" w:themeColor="text1"/>
                <w:sz w:val="21"/>
                <w:szCs w:val="21"/>
                <w:u w:val="none"/>
                <w:lang w:val="en-US" w:eastAsia="zh-CN"/>
                <w14:textFill>
                  <w14:solidFill>
                    <w14:schemeClr w14:val="tx1"/>
                  </w14:solidFill>
                </w14:textFill>
              </w:rPr>
              <w:t>0.362</w:t>
            </w:r>
          </w:p>
        </w:tc>
        <w:tc>
          <w:tcPr>
            <w:tcW w:w="68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+0.06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85" w:hRule="atLeast"/>
          <w:jc w:val="center"/>
        </w:trPr>
        <w:tc>
          <w:tcPr>
            <w:tcW w:w="393"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固废</w:t>
            </w:r>
          </w:p>
        </w:tc>
        <w:tc>
          <w:tcPr>
            <w:tcW w:w="924" w:type="pct"/>
            <w:gridSpan w:val="2"/>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一般固废</w:t>
            </w:r>
          </w:p>
        </w:tc>
        <w:tc>
          <w:tcPr>
            <w:tcW w:w="66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1"/>
                <w:szCs w:val="21"/>
                <w:u w:val="none"/>
                <w:lang w:val="en-US"/>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28.55</w:t>
            </w:r>
          </w:p>
        </w:tc>
        <w:tc>
          <w:tcPr>
            <w:tcW w:w="69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1"/>
                <w:szCs w:val="21"/>
                <w:u w:val="none"/>
                <w:lang w:val="en-US" w:eastAsia="zh-CN"/>
                <w14:textFill>
                  <w14:solidFill>
                    <w14:schemeClr w14:val="tx1"/>
                  </w14:solidFill>
                </w14:textFill>
              </w:rPr>
            </w:pPr>
            <w:r>
              <w:rPr>
                <w:rFonts w:hint="eastAsia" w:ascii="宋体" w:hAnsi="宋体" w:eastAsia="宋体" w:cs="宋体"/>
                <w:i w:val="0"/>
                <w:iCs w:val="0"/>
                <w:color w:val="000000" w:themeColor="text1"/>
                <w:sz w:val="21"/>
                <w:szCs w:val="21"/>
                <w:u w:val="none"/>
                <w:lang w:val="en-US" w:eastAsia="zh-CN"/>
                <w14:textFill>
                  <w14:solidFill>
                    <w14:schemeClr w14:val="tx1"/>
                  </w14:solidFill>
                </w14:textFill>
              </w:rPr>
              <w:t>20.088</w:t>
            </w:r>
          </w:p>
        </w:tc>
        <w:tc>
          <w:tcPr>
            <w:tcW w:w="96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1"/>
                <w:szCs w:val="21"/>
                <w:u w:val="none"/>
                <w:lang w:val="en-US" w:eastAsia="zh-CN"/>
                <w14:textFill>
                  <w14:solidFill>
                    <w14:schemeClr w14:val="tx1"/>
                  </w14:solidFill>
                </w14:textFill>
              </w:rPr>
            </w:pPr>
            <w:r>
              <w:rPr>
                <w:rFonts w:hint="eastAsia" w:ascii="宋体" w:hAnsi="宋体" w:eastAsia="宋体" w:cs="宋体"/>
                <w:i w:val="0"/>
                <w:iCs w:val="0"/>
                <w:color w:val="000000" w:themeColor="text1"/>
                <w:sz w:val="21"/>
                <w:szCs w:val="21"/>
                <w:u w:val="none"/>
                <w:lang w:val="en-US" w:eastAsia="zh-CN"/>
                <w14:textFill>
                  <w14:solidFill>
                    <w14:schemeClr w14:val="tx1"/>
                  </w14:solidFill>
                </w14:textFill>
              </w:rPr>
              <w:t>0</w:t>
            </w:r>
          </w:p>
        </w:tc>
        <w:tc>
          <w:tcPr>
            <w:tcW w:w="67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1"/>
                <w:szCs w:val="21"/>
                <w:u w:val="none"/>
                <w:lang w:val="en-US" w:eastAsia="zh-CN"/>
                <w14:textFill>
                  <w14:solidFill>
                    <w14:schemeClr w14:val="tx1"/>
                  </w14:solidFill>
                </w14:textFill>
              </w:rPr>
            </w:pPr>
            <w:r>
              <w:rPr>
                <w:rFonts w:hint="eastAsia" w:ascii="宋体" w:hAnsi="宋体" w:eastAsia="宋体" w:cs="宋体"/>
                <w:i w:val="0"/>
                <w:iCs w:val="0"/>
                <w:color w:val="000000" w:themeColor="text1"/>
                <w:sz w:val="21"/>
                <w:szCs w:val="21"/>
                <w:u w:val="none"/>
                <w:lang w:val="en-US" w:eastAsia="zh-CN"/>
                <w14:textFill>
                  <w14:solidFill>
                    <w14:schemeClr w14:val="tx1"/>
                  </w14:solidFill>
                </w14:textFill>
              </w:rPr>
              <w:t>48.638</w:t>
            </w:r>
          </w:p>
        </w:tc>
        <w:tc>
          <w:tcPr>
            <w:tcW w:w="68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1"/>
                <w:szCs w:val="21"/>
                <w:u w:val="none"/>
                <w:lang w:val="en-US"/>
                <w14:textFill>
                  <w14:solidFill>
                    <w14:schemeClr w14:val="tx1"/>
                  </w14:solidFill>
                </w14:textFill>
              </w:rPr>
            </w:pPr>
            <w:r>
              <w:rPr>
                <w:rFonts w:hint="eastAsia" w:ascii="宋体" w:hAnsi="宋体" w:eastAsia="宋体" w:cs="宋体"/>
                <w:i w:val="0"/>
                <w:iCs w:val="0"/>
                <w:color w:val="000000" w:themeColor="text1"/>
                <w:sz w:val="21"/>
                <w:szCs w:val="21"/>
                <w:u w:val="none"/>
                <w:lang w:val="en-US" w:eastAsia="zh-CN"/>
                <w14:textFill>
                  <w14:solidFill>
                    <w14:schemeClr w14:val="tx1"/>
                  </w14:solidFill>
                </w14:textFill>
              </w:rPr>
              <w:t>+20.088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85" w:hRule="atLeast"/>
          <w:jc w:val="center"/>
        </w:trPr>
        <w:tc>
          <w:tcPr>
            <w:tcW w:w="393"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924" w:type="pct"/>
            <w:gridSpan w:val="2"/>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危险废物</w:t>
            </w:r>
          </w:p>
        </w:tc>
        <w:tc>
          <w:tcPr>
            <w:tcW w:w="66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1"/>
                <w:szCs w:val="21"/>
                <w:u w:val="none"/>
                <w:lang w:val="en-US"/>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67.52</w:t>
            </w:r>
          </w:p>
        </w:tc>
        <w:tc>
          <w:tcPr>
            <w:tcW w:w="69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1"/>
                <w:szCs w:val="21"/>
                <w:u w:val="none"/>
                <w:lang w:val="en-US" w:eastAsia="zh-CN"/>
                <w14:textFill>
                  <w14:solidFill>
                    <w14:schemeClr w14:val="tx1"/>
                  </w14:solidFill>
                </w14:textFill>
              </w:rPr>
            </w:pPr>
            <w:r>
              <w:rPr>
                <w:rFonts w:hint="eastAsia" w:ascii="宋体" w:hAnsi="宋体" w:eastAsia="宋体" w:cs="宋体"/>
                <w:i w:val="0"/>
                <w:iCs w:val="0"/>
                <w:color w:val="000000" w:themeColor="text1"/>
                <w:sz w:val="21"/>
                <w:szCs w:val="21"/>
                <w:u w:val="none"/>
                <w:lang w:val="en-US" w:eastAsia="zh-CN"/>
                <w14:textFill>
                  <w14:solidFill>
                    <w14:schemeClr w14:val="tx1"/>
                  </w14:solidFill>
                </w14:textFill>
              </w:rPr>
              <w:t>5.929</w:t>
            </w:r>
          </w:p>
        </w:tc>
        <w:tc>
          <w:tcPr>
            <w:tcW w:w="96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1"/>
                <w:szCs w:val="21"/>
                <w:u w:val="none"/>
                <w:lang w:val="en-US" w:eastAsia="zh-CN"/>
                <w14:textFill>
                  <w14:solidFill>
                    <w14:schemeClr w14:val="tx1"/>
                  </w14:solidFill>
                </w14:textFill>
              </w:rPr>
            </w:pPr>
            <w:r>
              <w:rPr>
                <w:rFonts w:hint="eastAsia" w:ascii="宋体" w:hAnsi="宋体" w:eastAsia="宋体" w:cs="宋体"/>
                <w:i w:val="0"/>
                <w:iCs w:val="0"/>
                <w:color w:val="000000" w:themeColor="text1"/>
                <w:sz w:val="21"/>
                <w:szCs w:val="21"/>
                <w:u w:val="none"/>
                <w:lang w:val="en-US" w:eastAsia="zh-CN"/>
                <w14:textFill>
                  <w14:solidFill>
                    <w14:schemeClr w14:val="tx1"/>
                  </w14:solidFill>
                </w14:textFill>
              </w:rPr>
              <w:t>0</w:t>
            </w:r>
          </w:p>
        </w:tc>
        <w:tc>
          <w:tcPr>
            <w:tcW w:w="67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1"/>
                <w:szCs w:val="21"/>
                <w:u w:val="none"/>
                <w:lang w:val="en-US" w:eastAsia="zh-CN"/>
                <w14:textFill>
                  <w14:solidFill>
                    <w14:schemeClr w14:val="tx1"/>
                  </w14:solidFill>
                </w14:textFill>
              </w:rPr>
            </w:pPr>
            <w:r>
              <w:rPr>
                <w:rFonts w:hint="eastAsia" w:ascii="宋体" w:hAnsi="宋体" w:eastAsia="宋体" w:cs="宋体"/>
                <w:i w:val="0"/>
                <w:iCs w:val="0"/>
                <w:color w:val="000000" w:themeColor="text1"/>
                <w:sz w:val="21"/>
                <w:szCs w:val="21"/>
                <w:u w:val="none"/>
                <w:lang w:val="en-US" w:eastAsia="zh-CN"/>
                <w14:textFill>
                  <w14:solidFill>
                    <w14:schemeClr w14:val="tx1"/>
                  </w14:solidFill>
                </w14:textFill>
              </w:rPr>
              <w:t>73.449</w:t>
            </w:r>
          </w:p>
        </w:tc>
        <w:tc>
          <w:tcPr>
            <w:tcW w:w="68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1"/>
                <w:szCs w:val="21"/>
                <w:u w:val="none"/>
                <w:lang w:val="en-US"/>
                <w14:textFill>
                  <w14:solidFill>
                    <w14:schemeClr w14:val="tx1"/>
                  </w14:solidFill>
                </w14:textFill>
              </w:rPr>
            </w:pPr>
            <w:r>
              <w:rPr>
                <w:rFonts w:hint="eastAsia" w:ascii="宋体" w:hAnsi="宋体" w:eastAsia="宋体" w:cs="宋体"/>
                <w:i w:val="0"/>
                <w:iCs w:val="0"/>
                <w:color w:val="000000" w:themeColor="text1"/>
                <w:sz w:val="21"/>
                <w:szCs w:val="21"/>
                <w:u w:val="none"/>
                <w:lang w:val="en-US" w:eastAsia="zh-CN"/>
                <w14:textFill>
                  <w14:solidFill>
                    <w14:schemeClr w14:val="tx1"/>
                  </w14:solidFill>
                </w14:textFill>
              </w:rPr>
              <w:t>+5.929</w:t>
            </w:r>
          </w:p>
        </w:tc>
      </w:tr>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tbl>
    <w:p>
      <w:pPr>
        <w:widowControl w:val="0"/>
        <w:autoSpaceDE w:val="0"/>
        <w:autoSpaceDN w:val="0"/>
        <w:spacing w:line="360" w:lineRule="auto"/>
        <w:ind w:firstLine="480" w:firstLineChars="200"/>
        <w:rPr>
          <w:rFonts w:hint="eastAsia" w:ascii="宋体" w:hAnsi="宋体" w:eastAsia="宋体" w:cs="宋体"/>
          <w:color w:val="000000" w:themeColor="text1"/>
          <w:highlight w:val="none"/>
          <w14:textFill>
            <w14:solidFill>
              <w14:schemeClr w14:val="tx1"/>
            </w14:solidFill>
          </w14:textFill>
        </w:rPr>
      </w:pPr>
      <w:bookmarkStart w:id="348" w:name="_Toc29395"/>
      <w:bookmarkStart w:id="349" w:name="_Toc26899"/>
      <w:bookmarkStart w:id="350" w:name="_Toc21446"/>
      <w:bookmarkStart w:id="351" w:name="_Toc21589"/>
      <w:bookmarkStart w:id="352" w:name="_Toc13519"/>
    </w:p>
    <w:bookmarkEnd w:id="348"/>
    <w:bookmarkEnd w:id="349"/>
    <w:bookmarkEnd w:id="350"/>
    <w:bookmarkEnd w:id="351"/>
    <w:bookmarkEnd w:id="352"/>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color w:val="000000" w:themeColor="text1"/>
          <w:kern w:val="0"/>
          <w:szCs w:val="24"/>
          <w:highlight w:val="none"/>
          <w:lang w:val="en-US" w:eastAsia="zh-CN" w:bidi="ar-SA"/>
          <w14:textFill>
            <w14:solidFill>
              <w14:schemeClr w14:val="tx1"/>
            </w14:solidFill>
          </w14:textFill>
        </w:rPr>
        <w:sectPr>
          <w:footerReference r:id="rId8" w:type="default"/>
          <w:pgSz w:w="11905" w:h="16838"/>
          <w:pgMar w:top="1440" w:right="1134" w:bottom="1440" w:left="1134" w:header="850" w:footer="992" w:gutter="0"/>
          <w:pgBorders w:offsetFrom="page">
            <w:top w:val="none" w:sz="0" w:space="0"/>
            <w:left w:val="none" w:sz="0" w:space="0"/>
            <w:bottom w:val="none" w:sz="0" w:space="0"/>
            <w:right w:val="none" w:sz="0" w:space="0"/>
          </w:pgBorders>
          <w:pgNumType w:fmt="decimal"/>
          <w:cols w:space="0" w:num="1"/>
          <w:rtlGutter w:val="0"/>
          <w:docGrid w:type="lines" w:linePitch="332" w:charSpace="0"/>
        </w:sectPr>
      </w:pPr>
    </w:p>
    <w:p>
      <w:pPr>
        <w:pStyle w:val="6"/>
        <w:numPr>
          <w:ilvl w:val="0"/>
          <w:numId w:val="3"/>
        </w:numPr>
        <w:bidi w:val="0"/>
        <w:ind w:left="240" w:leftChars="0" w:firstLineChars="0"/>
        <w:rPr>
          <w:rFonts w:hint="eastAsia" w:ascii="宋体" w:hAnsi="宋体" w:eastAsia="宋体" w:cs="宋体"/>
          <w:color w:val="000000" w:themeColor="text1"/>
          <w:lang w:eastAsia="zh-CN"/>
          <w14:textFill>
            <w14:solidFill>
              <w14:schemeClr w14:val="tx1"/>
            </w14:solidFill>
          </w14:textFill>
        </w:rPr>
      </w:pPr>
      <w:bookmarkStart w:id="353" w:name="_Toc12120"/>
      <w:r>
        <w:rPr>
          <w:rFonts w:hint="eastAsia" w:ascii="宋体" w:hAnsi="宋体" w:eastAsia="宋体" w:cs="宋体"/>
          <w:color w:val="000000" w:themeColor="text1"/>
          <w:lang w:val="en-US" w:eastAsia="zh-CN"/>
          <w14:textFill>
            <w14:solidFill>
              <w14:schemeClr w14:val="tx1"/>
            </w14:solidFill>
          </w14:textFill>
        </w:rPr>
        <w:t>区域环境概况</w:t>
      </w:r>
      <w:bookmarkEnd w:id="353"/>
    </w:p>
    <w:p>
      <w:pPr>
        <w:pStyle w:val="7"/>
        <w:keepNext w:val="0"/>
        <w:keepLines w:val="0"/>
        <w:pageBreakBefore w:val="0"/>
        <w:kinsoku/>
        <w:wordWrap/>
        <w:overflowPunct/>
        <w:topLinePunct w:val="0"/>
        <w:bidi w:val="0"/>
        <w:adjustRightInd/>
        <w:snapToGrid/>
        <w:spacing w:line="360" w:lineRule="auto"/>
        <w:ind w:firstLine="482" w:firstLineChars="20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bookmarkStart w:id="354" w:name="_Toc22202"/>
      <w:bookmarkStart w:id="355" w:name="_Toc13882"/>
      <w:r>
        <w:rPr>
          <w:rFonts w:hint="eastAsia" w:ascii="宋体" w:hAnsi="宋体" w:eastAsia="宋体" w:cs="宋体"/>
          <w:color w:val="000000" w:themeColor="text1"/>
          <w:sz w:val="24"/>
          <w:szCs w:val="24"/>
          <w:highlight w:val="none"/>
          <w:lang w:val="en-US" w:eastAsia="zh-CN"/>
          <w14:textFill>
            <w14:solidFill>
              <w14:schemeClr w14:val="tx1"/>
            </w14:solidFill>
          </w14:textFill>
        </w:rPr>
        <w:t>4.1</w:t>
      </w:r>
      <w:r>
        <w:rPr>
          <w:rFonts w:hint="eastAsia" w:ascii="宋体" w:hAnsi="宋体" w:eastAsia="宋体" w:cs="宋体"/>
          <w:color w:val="000000" w:themeColor="text1"/>
          <w:sz w:val="24"/>
          <w:szCs w:val="24"/>
          <w:highlight w:val="none"/>
          <w:lang w:eastAsia="zh-CN"/>
          <w14:textFill>
            <w14:solidFill>
              <w14:schemeClr w14:val="tx1"/>
            </w14:solidFill>
          </w14:textFill>
        </w:rPr>
        <w:t>自然环境概况</w:t>
      </w:r>
      <w:bookmarkEnd w:id="354"/>
      <w:bookmarkEnd w:id="355"/>
    </w:p>
    <w:p>
      <w:pPr>
        <w:pStyle w:val="8"/>
        <w:keepNext w:val="0"/>
        <w:keepLines w:val="0"/>
        <w:pageBreakBefore w:val="0"/>
        <w:kinsoku/>
        <w:wordWrap/>
        <w:overflowPunct/>
        <w:topLinePunct w:val="0"/>
        <w:bidi w:val="0"/>
        <w:adjustRightInd/>
        <w:snapToGrid/>
        <w:spacing w:line="360" w:lineRule="auto"/>
        <w:ind w:firstLine="482" w:firstLineChars="200"/>
        <w:textAlignment w:val="auto"/>
        <w:rPr>
          <w:rFonts w:hint="eastAsia" w:ascii="宋体" w:hAnsi="宋体" w:eastAsia="宋体" w:cs="宋体"/>
          <w:color w:val="000000" w:themeColor="text1"/>
          <w:highlight w:val="none"/>
          <w:lang w:eastAsia="zh-CN"/>
          <w14:textFill>
            <w14:solidFill>
              <w14:schemeClr w14:val="tx1"/>
            </w14:solidFill>
          </w14:textFill>
        </w:rPr>
      </w:pPr>
      <w:bookmarkStart w:id="356" w:name="_Toc18818"/>
      <w:r>
        <w:rPr>
          <w:rFonts w:hint="eastAsia" w:ascii="宋体" w:hAnsi="宋体" w:eastAsia="宋体" w:cs="宋体"/>
          <w:color w:val="000000" w:themeColor="text1"/>
          <w:highlight w:val="none"/>
          <w:lang w:val="en-US" w:eastAsia="zh-CN"/>
          <w14:textFill>
            <w14:solidFill>
              <w14:schemeClr w14:val="tx1"/>
            </w14:solidFill>
          </w14:textFill>
        </w:rPr>
        <w:t>4.</w:t>
      </w:r>
      <w:r>
        <w:rPr>
          <w:rFonts w:hint="eastAsia" w:ascii="宋体" w:hAnsi="宋体" w:eastAsia="宋体" w:cs="宋体"/>
          <w:color w:val="000000" w:themeColor="text1"/>
          <w:highlight w:val="none"/>
          <w:lang w:eastAsia="zh-CN"/>
          <w14:textFill>
            <w14:solidFill>
              <w14:schemeClr w14:val="tx1"/>
            </w14:solidFill>
          </w14:textFill>
        </w:rPr>
        <w:t>1.1地理位置</w:t>
      </w:r>
      <w:bookmarkEnd w:id="356"/>
    </w:p>
    <w:p>
      <w:pPr>
        <w:keepNext w:val="0"/>
        <w:keepLines w:val="0"/>
        <w:pageBreakBefore w:val="0"/>
        <w:kinsoku/>
        <w:wordWrap/>
        <w:overflowPunct/>
        <w:topLinePunct w:val="0"/>
        <w:bidi w:val="0"/>
        <w:adjustRightInd/>
        <w:snapToGrid/>
        <w:spacing w:line="360" w:lineRule="auto"/>
        <w:ind w:firstLine="480" w:firstLineChars="200"/>
        <w:textAlignment w:val="auto"/>
        <w:rPr>
          <w:rFonts w:hint="eastAsia" w:ascii="宋体" w:hAnsi="宋体" w:eastAsia="宋体" w:cs="宋体"/>
          <w:b w:val="0"/>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b w:val="0"/>
          <w:color w:val="000000" w:themeColor="text1"/>
          <w:kern w:val="0"/>
          <w:sz w:val="24"/>
          <w:szCs w:val="24"/>
          <w:highlight w:val="none"/>
          <w:lang w:val="en-US" w:eastAsia="zh-CN" w:bidi="ar-SA"/>
          <w14:textFill>
            <w14:solidFill>
              <w14:schemeClr w14:val="tx1"/>
            </w14:solidFill>
          </w14:textFill>
        </w:rPr>
        <w:t>株洲市是我国南方重要的交通枢纽，铁路有京广、浙赣、湘黔三大干线在此交汇；公路四通八达，106、320国道和京珠高速公路穿境而过；水路以湘江为主，通江达海，四季通航。株洲市与湘潭市中心的公路里程为45km，而直线距离仅24km。株洲市与长沙市中心的公路里程为51km，直线距离为40km，交通十分方便。</w:t>
      </w:r>
    </w:p>
    <w:p>
      <w:pPr>
        <w:keepNext w:val="0"/>
        <w:keepLines w:val="0"/>
        <w:pageBreakBefore w:val="0"/>
        <w:kinsoku/>
        <w:wordWrap/>
        <w:overflowPunct/>
        <w:topLinePunct w:val="0"/>
        <w:bidi w:val="0"/>
        <w:adjustRightInd/>
        <w:snapToGrid/>
        <w:spacing w:line="360" w:lineRule="auto"/>
        <w:ind w:firstLine="480" w:firstLineChars="200"/>
        <w:textAlignment w:val="auto"/>
        <w:rPr>
          <w:rFonts w:hint="eastAsia" w:ascii="宋体" w:hAnsi="宋体" w:eastAsia="宋体" w:cs="宋体"/>
          <w:b w:val="0"/>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b w:val="0"/>
          <w:color w:val="000000" w:themeColor="text1"/>
          <w:kern w:val="0"/>
          <w:sz w:val="24"/>
          <w:szCs w:val="24"/>
          <w:highlight w:val="none"/>
          <w:lang w:val="en-US" w:eastAsia="zh-CN" w:bidi="ar-SA"/>
          <w14:textFill>
            <w14:solidFill>
              <w14:schemeClr w14:val="tx1"/>
            </w14:solidFill>
          </w14:textFill>
        </w:rPr>
        <w:t>本项目位于株洲天元区，中心地理位置坐标为东经113.045463°，北纬27.822979°。</w:t>
      </w:r>
    </w:p>
    <w:p>
      <w:pPr>
        <w:keepNext w:val="0"/>
        <w:keepLines w:val="0"/>
        <w:pageBreakBefore w:val="0"/>
        <w:kinsoku/>
        <w:wordWrap/>
        <w:overflowPunct/>
        <w:topLinePunct w:val="0"/>
        <w:bidi w:val="0"/>
        <w:adjustRightInd/>
        <w:snapToGrid/>
        <w:spacing w:line="360" w:lineRule="auto"/>
        <w:ind w:firstLine="480" w:firstLineChars="200"/>
        <w:textAlignment w:val="auto"/>
        <w:rPr>
          <w:rFonts w:hint="eastAsia" w:ascii="宋体" w:hAnsi="宋体" w:eastAsia="宋体" w:cs="宋体"/>
          <w:b w:val="0"/>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b w:val="0"/>
          <w:color w:val="000000" w:themeColor="text1"/>
          <w:kern w:val="0"/>
          <w:sz w:val="24"/>
          <w:szCs w:val="24"/>
          <w:highlight w:val="none"/>
          <w:lang w:val="en-US" w:eastAsia="zh-CN" w:bidi="ar-SA"/>
          <w14:textFill>
            <w14:solidFill>
              <w14:schemeClr w14:val="tx1"/>
            </w14:solidFill>
          </w14:textFill>
        </w:rPr>
        <w:t>具体位置见附图1。</w:t>
      </w:r>
    </w:p>
    <w:p>
      <w:pPr>
        <w:pStyle w:val="8"/>
        <w:keepNext w:val="0"/>
        <w:keepLines w:val="0"/>
        <w:pageBreakBefore w:val="0"/>
        <w:kinsoku/>
        <w:wordWrap/>
        <w:overflowPunct/>
        <w:topLinePunct w:val="0"/>
        <w:bidi w:val="0"/>
        <w:adjustRightInd/>
        <w:snapToGrid/>
        <w:spacing w:line="360" w:lineRule="auto"/>
        <w:ind w:firstLine="482" w:firstLineChars="200"/>
        <w:textAlignment w:val="auto"/>
        <w:rPr>
          <w:rFonts w:hint="eastAsia" w:ascii="宋体" w:hAnsi="宋体" w:eastAsia="宋体" w:cs="宋体"/>
          <w:color w:val="000000" w:themeColor="text1"/>
          <w:highlight w:val="none"/>
          <w:lang w:eastAsia="zh-CN"/>
          <w14:textFill>
            <w14:solidFill>
              <w14:schemeClr w14:val="tx1"/>
            </w14:solidFill>
          </w14:textFill>
        </w:rPr>
      </w:pPr>
      <w:bookmarkStart w:id="357" w:name="_Toc23121"/>
      <w:r>
        <w:rPr>
          <w:rFonts w:hint="eastAsia" w:ascii="宋体" w:hAnsi="宋体" w:eastAsia="宋体" w:cs="宋体"/>
          <w:color w:val="000000" w:themeColor="text1"/>
          <w:highlight w:val="none"/>
          <w:lang w:val="en-US" w:eastAsia="zh-CN"/>
          <w14:textFill>
            <w14:solidFill>
              <w14:schemeClr w14:val="tx1"/>
            </w14:solidFill>
          </w14:textFill>
        </w:rPr>
        <w:t>4.</w:t>
      </w:r>
      <w:r>
        <w:rPr>
          <w:rFonts w:hint="eastAsia" w:ascii="宋体" w:hAnsi="宋体" w:eastAsia="宋体" w:cs="宋体"/>
          <w:color w:val="000000" w:themeColor="text1"/>
          <w:highlight w:val="none"/>
          <w:lang w:eastAsia="zh-CN"/>
          <w14:textFill>
            <w14:solidFill>
              <w14:schemeClr w14:val="tx1"/>
            </w14:solidFill>
          </w14:textFill>
        </w:rPr>
        <w:t>1.2地形、地貌、地质</w:t>
      </w:r>
      <w:bookmarkEnd w:id="357"/>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i w:val="0"/>
          <w:iCs w:val="0"/>
          <w:color w:val="000000" w:themeColor="text1"/>
          <w:sz w:val="24"/>
          <w:szCs w:val="24"/>
          <w:lang w:eastAsia="zh-CN"/>
          <w14:textFill>
            <w14:solidFill>
              <w14:schemeClr w14:val="tx1"/>
            </w14:solidFill>
          </w14:textFill>
        </w:rPr>
      </w:pPr>
      <w:r>
        <w:rPr>
          <w:rFonts w:hint="eastAsia" w:ascii="宋体" w:hAnsi="宋体" w:eastAsia="宋体" w:cs="宋体"/>
          <w:b w:val="0"/>
          <w:bCs w:val="0"/>
          <w:i w:val="0"/>
          <w:iCs w:val="0"/>
          <w:color w:val="000000" w:themeColor="text1"/>
          <w:sz w:val="24"/>
          <w:szCs w:val="24"/>
          <w14:textFill>
            <w14:solidFill>
              <w14:schemeClr w14:val="tx1"/>
            </w14:solidFill>
          </w14:textFill>
        </w:rPr>
        <w:t>该区域地貌由河流冲积小平原和小山岗构成，分别占39.3%、60.7%，东北部沿江一带多为河漫滩地，地势平坦，海拔一般40m左右；西南面多为小丘岗地，地势略高，丘岗海拔一般100m左右。</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 w:val="0"/>
          <w:bCs w:val="0"/>
          <w:i w:val="0"/>
          <w:iCs w:val="0"/>
          <w:color w:val="000000" w:themeColor="text1"/>
          <w:sz w:val="24"/>
          <w:szCs w:val="24"/>
          <w14:textFill>
            <w14:solidFill>
              <w14:schemeClr w14:val="tx1"/>
            </w14:solidFill>
          </w14:textFill>
        </w:rPr>
        <w:t>区域土壤类型分自成土和运积土两大类，自成土以砂壤和第四纪红壤为主，广泛分布于丘岗地；运积土由河流冲积、沟流冲积而成，经人工培育成水稻田和菜土，分布于沿江一带。本项目所在地上述两种类型土壤兼而有之，土壤组成为粘土、亚粘土及砂砾层。依据《中国地震动参数区划图》(GB18306-2001)，拟建地地震烈度按6度设防。</w:t>
      </w:r>
    </w:p>
    <w:p>
      <w:pPr>
        <w:pStyle w:val="8"/>
        <w:keepNext w:val="0"/>
        <w:keepLines w:val="0"/>
        <w:pageBreakBefore w:val="0"/>
        <w:kinsoku/>
        <w:wordWrap/>
        <w:overflowPunct/>
        <w:topLinePunct w:val="0"/>
        <w:bidi w:val="0"/>
        <w:adjustRightInd/>
        <w:snapToGrid/>
        <w:spacing w:line="360" w:lineRule="auto"/>
        <w:ind w:firstLine="482" w:firstLineChars="200"/>
        <w:textAlignment w:val="auto"/>
        <w:rPr>
          <w:rFonts w:hint="eastAsia" w:ascii="宋体" w:hAnsi="宋体" w:eastAsia="宋体" w:cs="宋体"/>
          <w:color w:val="000000" w:themeColor="text1"/>
          <w:highlight w:val="none"/>
          <w:lang w:val="en-US" w:eastAsia="zh-CN"/>
          <w14:textFill>
            <w14:solidFill>
              <w14:schemeClr w14:val="tx1"/>
            </w14:solidFill>
          </w14:textFill>
        </w:rPr>
      </w:pPr>
      <w:bookmarkStart w:id="358" w:name="_Toc16544"/>
      <w:r>
        <w:rPr>
          <w:rFonts w:hint="eastAsia" w:ascii="宋体" w:hAnsi="宋体" w:eastAsia="宋体" w:cs="宋体"/>
          <w:color w:val="000000" w:themeColor="text1"/>
          <w:highlight w:val="none"/>
          <w:lang w:val="en-US" w:eastAsia="zh-CN"/>
          <w14:textFill>
            <w14:solidFill>
              <w14:schemeClr w14:val="tx1"/>
            </w14:solidFill>
          </w14:textFill>
        </w:rPr>
        <w:t>4.</w:t>
      </w:r>
      <w:r>
        <w:rPr>
          <w:rFonts w:hint="eastAsia" w:ascii="宋体" w:hAnsi="宋体" w:eastAsia="宋体" w:cs="宋体"/>
          <w:color w:val="000000" w:themeColor="text1"/>
          <w:highlight w:val="none"/>
          <w:lang w:eastAsia="zh-CN"/>
          <w14:textFill>
            <w14:solidFill>
              <w14:schemeClr w14:val="tx1"/>
            </w14:solidFill>
          </w14:textFill>
        </w:rPr>
        <w:t>1.3土壤、</w:t>
      </w:r>
      <w:r>
        <w:rPr>
          <w:rFonts w:hint="eastAsia" w:ascii="宋体" w:hAnsi="宋体" w:eastAsia="宋体" w:cs="宋体"/>
          <w:color w:val="000000" w:themeColor="text1"/>
          <w:highlight w:val="none"/>
          <w:lang w:val="en-US" w:eastAsia="zh-CN"/>
          <w14:textFill>
            <w14:solidFill>
              <w14:schemeClr w14:val="tx1"/>
            </w14:solidFill>
          </w14:textFill>
        </w:rPr>
        <w:t>植被</w:t>
      </w:r>
      <w:bookmarkEnd w:id="358"/>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本项目区域地处中亚热带常绿阔叶林带，人类活动与工业发展使自然植被遭破坏。区内野生木本植物主要物种为杨柳、梧桐、松树、杉木、樟树、椿树、楠竹、苦楝、桔、桃等；草本植物物种均为常见种，生长良好，物种丰度一般，调查未发现国家保护植物物种。区内农作物主要有水稻、玉米、花生、白菜、萝卜等粮食作物和蔬菜类作物。区域内野生动物较少，主要有蛇、鼠、蛙、昆虫类等。家畜主要有猪、牛、羊、鸡、鸭、兔、狗等。水生鱼类资源主要有草鱼、鲤鱼、鲫鱼、鲭鱼、鲢鱼等，调查未发现野生的珍稀濒危动物种类。</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区域内无大型渔业、水生生物养殖业，无森林和珍稀野生动物。。</w:t>
      </w:r>
    </w:p>
    <w:p>
      <w:pPr>
        <w:pStyle w:val="8"/>
        <w:keepNext w:val="0"/>
        <w:keepLines w:val="0"/>
        <w:pageBreakBefore w:val="0"/>
        <w:kinsoku/>
        <w:wordWrap/>
        <w:overflowPunct/>
        <w:topLinePunct w:val="0"/>
        <w:bidi w:val="0"/>
        <w:adjustRightInd/>
        <w:snapToGrid/>
        <w:spacing w:line="360" w:lineRule="auto"/>
        <w:ind w:firstLine="482" w:firstLineChars="200"/>
        <w:textAlignment w:val="auto"/>
        <w:outlineLvl w:val="1"/>
        <w:rPr>
          <w:rFonts w:hint="eastAsia" w:ascii="宋体" w:hAnsi="宋体" w:eastAsia="宋体" w:cs="宋体"/>
          <w:bCs/>
          <w:color w:val="000000" w:themeColor="text1"/>
          <w:highlight w:val="none"/>
          <w:lang w:eastAsia="zh-CN"/>
          <w14:textFill>
            <w14:solidFill>
              <w14:schemeClr w14:val="tx1"/>
            </w14:solidFill>
          </w14:textFill>
        </w:rPr>
      </w:pPr>
      <w:bookmarkStart w:id="359" w:name="_Toc6509"/>
      <w:r>
        <w:rPr>
          <w:rFonts w:hint="eastAsia" w:ascii="宋体" w:hAnsi="宋体" w:eastAsia="宋体" w:cs="宋体"/>
          <w:color w:val="000000" w:themeColor="text1"/>
          <w:highlight w:val="none"/>
          <w:lang w:eastAsia="zh-CN"/>
          <w14:textFill>
            <w14:solidFill>
              <w14:schemeClr w14:val="tx1"/>
            </w14:solidFill>
          </w14:textFill>
        </w:rPr>
        <w:t>1.4区域地表水系</w:t>
      </w:r>
      <w:bookmarkEnd w:id="359"/>
    </w:p>
    <w:p>
      <w:pPr>
        <w:keepNext w:val="0"/>
        <w:keepLines w:val="0"/>
        <w:pageBreakBefore w:val="0"/>
        <w:kinsoku/>
        <w:wordWrap/>
        <w:overflowPunct/>
        <w:topLinePunct w:val="0"/>
        <w:bidi w:val="0"/>
        <w:adjustRightInd/>
        <w:snapToGrid/>
        <w:spacing w:line="360" w:lineRule="auto"/>
        <w:ind w:firstLine="480" w:firstLineChars="200"/>
        <w:textAlignment w:val="auto"/>
        <w:rPr>
          <w:rFonts w:hint="eastAsia" w:ascii="宋体" w:hAnsi="宋体" w:eastAsia="宋体" w:cs="宋体"/>
          <w:b w:val="0"/>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b w:val="0"/>
          <w:color w:val="000000" w:themeColor="text1"/>
          <w:kern w:val="0"/>
          <w:sz w:val="24"/>
          <w:szCs w:val="24"/>
          <w:highlight w:val="none"/>
          <w:lang w:val="en-US" w:eastAsia="zh-CN" w:bidi="ar-SA"/>
          <w14:textFill>
            <w14:solidFill>
              <w14:schemeClr w14:val="tx1"/>
            </w14:solidFill>
          </w14:textFill>
        </w:rPr>
        <w:t>地表水：湘江是流经株洲市区的唯一河流，发源于广西海洋山，全长856km，自南向北流经湖南，由濠河口入洞庭湖，最后汇入长江。湘江是株洲市主要的工业与生活饮用水水源。湘江东西两岸水文条件差异较大，东岸水流急、水较深，西岸水流平缓、水浅，河床平且多为沙滩。湘江株洲江段水面宽500～800m，水深2.5～3.5m，水力坡度0.102‰。多年平均流量1780m³/s，历年最大流量22250m³/s，最枯流量101m³/s。最高水位44.59m，</w:t>
      </w:r>
    </w:p>
    <w:p>
      <w:pPr>
        <w:keepNext w:val="0"/>
        <w:keepLines w:val="0"/>
        <w:pageBreakBefore w:val="0"/>
        <w:kinsoku/>
        <w:wordWrap/>
        <w:overflowPunct/>
        <w:topLinePunct w:val="0"/>
        <w:bidi w:val="0"/>
        <w:adjustRightInd/>
        <w:snapToGrid/>
        <w:spacing w:line="360" w:lineRule="auto"/>
        <w:ind w:firstLine="480" w:firstLineChars="200"/>
        <w:textAlignment w:val="auto"/>
        <w:rPr>
          <w:rFonts w:hint="eastAsia" w:ascii="宋体" w:hAnsi="宋体" w:eastAsia="宋体" w:cs="宋体"/>
          <w:b w:val="0"/>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b w:val="0"/>
          <w:color w:val="000000" w:themeColor="text1"/>
          <w:kern w:val="0"/>
          <w:sz w:val="24"/>
          <w:szCs w:val="24"/>
          <w:highlight w:val="none"/>
          <w:lang w:val="en-US" w:eastAsia="zh-CN" w:bidi="ar-SA"/>
          <w14:textFill>
            <w14:solidFill>
              <w14:schemeClr w14:val="tx1"/>
            </w14:solidFill>
          </w14:textFill>
        </w:rPr>
        <w:t>最低水位27.83m，平均水位34m。年均流速0.25m/s，年均总径流量644亿m³。</w:t>
      </w:r>
    </w:p>
    <w:p>
      <w:pPr>
        <w:keepNext w:val="0"/>
        <w:keepLines w:val="0"/>
        <w:pageBreakBefore w:val="0"/>
        <w:kinsoku/>
        <w:wordWrap/>
        <w:overflowPunct/>
        <w:topLinePunct w:val="0"/>
        <w:bidi w:val="0"/>
        <w:adjustRightInd/>
        <w:snapToGrid/>
        <w:spacing w:line="360" w:lineRule="auto"/>
        <w:ind w:firstLine="480" w:firstLineChars="200"/>
        <w:textAlignment w:val="auto"/>
        <w:rPr>
          <w:rFonts w:hint="eastAsia" w:ascii="宋体" w:hAnsi="宋体" w:eastAsia="宋体" w:cs="宋体"/>
          <w:b w:val="0"/>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b w:val="0"/>
          <w:color w:val="000000" w:themeColor="text1"/>
          <w:kern w:val="0"/>
          <w:sz w:val="24"/>
          <w:szCs w:val="24"/>
          <w:highlight w:val="none"/>
          <w:lang w:val="en-US" w:eastAsia="zh-CN" w:bidi="ar-SA"/>
          <w14:textFill>
            <w14:solidFill>
              <w14:schemeClr w14:val="tx1"/>
            </w14:solidFill>
          </w14:textFill>
        </w:rPr>
        <w:t>湘江株洲市区段由天元区群丰镇湘滨村湘胜排渍站(芦淞大桥上游7.2km处)入境，由马家河出境，长27.7km，占湘江株洲段总长的31.8%，沿途接纳了枫溪港、建宁港、霞湾港、白石港等4条主要的小支流。</w:t>
      </w:r>
    </w:p>
    <w:p>
      <w:pPr>
        <w:keepNext w:val="0"/>
        <w:keepLines w:val="0"/>
        <w:pageBreakBefore w:val="0"/>
        <w:kinsoku/>
        <w:wordWrap/>
        <w:overflowPunct/>
        <w:topLinePunct w:val="0"/>
        <w:bidi w:val="0"/>
        <w:adjustRightInd/>
        <w:snapToGrid/>
        <w:spacing w:line="360" w:lineRule="auto"/>
        <w:ind w:firstLine="480" w:firstLineChars="200"/>
        <w:textAlignment w:val="auto"/>
        <w:rPr>
          <w:rFonts w:hint="eastAsia" w:ascii="宋体" w:hAnsi="宋体" w:eastAsia="宋体" w:cs="宋体"/>
          <w:b w:val="0"/>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b w:val="0"/>
          <w:color w:val="000000" w:themeColor="text1"/>
          <w:kern w:val="0"/>
          <w:sz w:val="24"/>
          <w:szCs w:val="24"/>
          <w:highlight w:val="none"/>
          <w:lang w:val="en-US" w:eastAsia="zh-CN" w:bidi="ar-SA"/>
          <w14:textFill>
            <w14:solidFill>
              <w14:schemeClr w14:val="tx1"/>
            </w14:solidFill>
          </w14:textFill>
        </w:rPr>
        <w:t>本项目的雨水进入万丰水系，万丰水系包括万丰湖及周边的人工渠，流域全长约5km，设计年均流量900万m³，最大流量1100万m³/a，雨水收集面积约35km²，内全年可收集雨水总量约709.7万m³，年均用于万丰湖周边绿地的灌溉用水量约72.96万m³，除蒸发及下渗量外，湖水年溢流量约198.44万m³。</w:t>
      </w:r>
    </w:p>
    <w:p>
      <w:pPr>
        <w:keepNext w:val="0"/>
        <w:keepLines w:val="0"/>
        <w:pageBreakBefore w:val="0"/>
        <w:kinsoku/>
        <w:wordWrap/>
        <w:overflowPunct/>
        <w:topLinePunct w:val="0"/>
        <w:bidi w:val="0"/>
        <w:adjustRightInd/>
        <w:snapToGrid/>
        <w:spacing w:line="360" w:lineRule="auto"/>
        <w:ind w:firstLine="480" w:firstLineChars="200"/>
        <w:textAlignment w:val="auto"/>
        <w:rPr>
          <w:rFonts w:hint="eastAsia" w:ascii="宋体" w:hAnsi="宋体" w:eastAsia="宋体" w:cs="宋体"/>
          <w:b w:val="0"/>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b w:val="0"/>
          <w:color w:val="000000" w:themeColor="text1"/>
          <w:kern w:val="0"/>
          <w:sz w:val="24"/>
          <w:szCs w:val="24"/>
          <w:highlight w:val="none"/>
          <w:lang w:val="en-US" w:eastAsia="zh-CN" w:bidi="ar-SA"/>
          <w14:textFill>
            <w14:solidFill>
              <w14:schemeClr w14:val="tx1"/>
            </w14:solidFill>
          </w14:textFill>
        </w:rPr>
        <w:t>万丰湖由万丰水系新马高排渠中下游及周边平坦农田及荒地改建而成。万丰水系起源于太高水库，途经仙岭村、青龙桥、湾塘、万福桥，在槽坊里附近汇入湘江。万丰湖流域面积42.29km²，干流长6.5km，干流平均坡降为1‰。</w:t>
      </w:r>
    </w:p>
    <w:p>
      <w:pPr>
        <w:keepNext w:val="0"/>
        <w:keepLines w:val="0"/>
        <w:pageBreakBefore w:val="0"/>
        <w:kinsoku/>
        <w:wordWrap/>
        <w:overflowPunct/>
        <w:topLinePunct w:val="0"/>
        <w:bidi w:val="0"/>
        <w:adjustRightInd/>
        <w:snapToGrid/>
        <w:spacing w:line="360" w:lineRule="auto"/>
        <w:ind w:firstLine="480" w:firstLineChars="200"/>
        <w:textAlignment w:val="auto"/>
        <w:rPr>
          <w:rFonts w:hint="eastAsia" w:ascii="宋体" w:hAnsi="宋体" w:eastAsia="宋体" w:cs="宋体"/>
          <w:b w:val="0"/>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b w:val="0"/>
          <w:color w:val="000000" w:themeColor="text1"/>
          <w:kern w:val="0"/>
          <w:sz w:val="24"/>
          <w:szCs w:val="24"/>
          <w:highlight w:val="none"/>
          <w:lang w:val="en-US" w:eastAsia="zh-CN" w:bidi="ar-SA"/>
          <w14:textFill>
            <w14:solidFill>
              <w14:schemeClr w14:val="tx1"/>
            </w14:solidFill>
          </w14:textFill>
        </w:rPr>
        <w:t>本项目废水经处理后从厂区的总排口排入市政污水管网，最终排入河西污水处理厂，河西污水处理厂总排入江口位于霞湾断面下游1.1km左右，其下游1.5km即至株洲与湘潭交界的马家河。</w:t>
      </w:r>
    </w:p>
    <w:p>
      <w:pPr>
        <w:keepNext w:val="0"/>
        <w:keepLines w:val="0"/>
        <w:pageBreakBefore w:val="0"/>
        <w:kinsoku/>
        <w:wordWrap/>
        <w:overflowPunct/>
        <w:topLinePunct w:val="0"/>
        <w:bidi w:val="0"/>
        <w:adjustRightInd/>
        <w:snapToGrid/>
        <w:spacing w:line="360" w:lineRule="auto"/>
        <w:ind w:firstLine="480" w:firstLineChars="200"/>
        <w:textAlignment w:val="auto"/>
        <w:rPr>
          <w:rFonts w:hint="eastAsia" w:ascii="宋体" w:hAnsi="宋体" w:eastAsia="宋体" w:cs="宋体"/>
          <w:b w:val="0"/>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b w:val="0"/>
          <w:color w:val="000000" w:themeColor="text1"/>
          <w:kern w:val="0"/>
          <w:sz w:val="24"/>
          <w:szCs w:val="24"/>
          <w:highlight w:val="none"/>
          <w:lang w:val="en-US" w:eastAsia="zh-CN" w:bidi="ar-SA"/>
          <w14:textFill>
            <w14:solidFill>
              <w14:schemeClr w14:val="tx1"/>
            </w14:solidFill>
          </w14:textFill>
        </w:rPr>
        <w:t>地下水：项目地下水主要有第四系覆盖层中的孔隙潜水和基岩裂隙潜水，项目占地第四系覆盖层均为细粒土，透水性弱，含微弱孔隙潜水；下伏基岩为碎屑岩、变质岩及碳酸盐岩，节理裂隙发育，其中赋存弱裂隙潜水。地下水类型有上层滞水、孔隙型潜水和基岩裂隙水，上层滞水主要赋存于耕土、素填土、淤泥、淤泥质粉质粘土内，水量有限；孔隙型潜水主要赋存于残积角砾中下部，水量相对丰富；而基岩裂隙水赋存于岩体的裂隙中，水量贫乏。地下水主要受大气降水补给，季节性动态变化明显，地下水位一般枯水季节降低，雨季抬升。勘察期间上层滞水初见水位埋深一般0.20-6.20米，标高介于30.83-53.93米。混合静止水位埋深0.10-12.10米，标高介于31.73-68.66米，地下水位随季节而变化。场地内素填土为强透水层，其它土层及基岩为相对隔水层。</w:t>
      </w:r>
    </w:p>
    <w:p>
      <w:pPr>
        <w:keepNext w:val="0"/>
        <w:keepLines w:val="0"/>
        <w:pageBreakBefore w:val="0"/>
        <w:kinsoku/>
        <w:wordWrap/>
        <w:overflowPunct/>
        <w:topLinePunct w:val="0"/>
        <w:bidi w:val="0"/>
        <w:adjustRightInd/>
        <w:snapToGrid/>
        <w:spacing w:line="360" w:lineRule="auto"/>
        <w:ind w:firstLine="480" w:firstLineChars="200"/>
        <w:textAlignment w:val="auto"/>
        <w:rPr>
          <w:rFonts w:hint="eastAsia" w:ascii="宋体" w:hAnsi="宋体" w:eastAsia="宋体" w:cs="宋体"/>
          <w:b w:val="0"/>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b w:val="0"/>
          <w:color w:val="000000" w:themeColor="text1"/>
          <w:kern w:val="0"/>
          <w:sz w:val="24"/>
          <w:szCs w:val="24"/>
          <w:highlight w:val="none"/>
          <w:lang w:val="en-US" w:eastAsia="zh-CN" w:bidi="ar-SA"/>
          <w14:textFill>
            <w14:solidFill>
              <w14:schemeClr w14:val="tx1"/>
            </w14:solidFill>
          </w14:textFill>
        </w:rPr>
        <w:t>上层滞水主要受大气降水及地表水的补给，主要以大气蒸发，从高处向低洼处排泄；孔隙型潜水主要来源于上层滞水的补给，其排泄途径为向下渗流；基岩裂隙水主要受岩体内的裂隙发育程度及连通性的影响，水量一般，补给方式主要来源于上层滞水和孔隙型潜水渗补给，其排泄途径为沿着岩体节理裂隙下渗。</w:t>
      </w:r>
    </w:p>
    <w:p>
      <w:pPr>
        <w:pStyle w:val="50"/>
        <w:keepNext w:val="0"/>
        <w:keepLines w:val="0"/>
        <w:pageBreakBefore w:val="0"/>
        <w:widowControl w:val="0"/>
        <w:kinsoku/>
        <w:wordWrap/>
        <w:overflowPunct/>
        <w:topLinePunct w:val="0"/>
        <w:autoSpaceDE/>
        <w:autoSpaceDN/>
        <w:bidi w:val="0"/>
        <w:adjustRightInd/>
        <w:snapToGrid/>
        <w:spacing w:before="0" w:after="0" w:line="360" w:lineRule="auto"/>
        <w:ind w:firstLine="482" w:firstLineChars="200"/>
        <w:jc w:val="both"/>
        <w:textAlignment w:val="auto"/>
        <w:outlineLvl w:val="1"/>
        <w:rPr>
          <w:rFonts w:hint="eastAsia" w:ascii="宋体" w:hAnsi="宋体" w:eastAsia="宋体" w:cs="宋体"/>
          <w:b w:val="0"/>
          <w:color w:val="000000" w:themeColor="text1"/>
          <w:sz w:val="24"/>
          <w:szCs w:val="24"/>
          <w:highlight w:val="none"/>
          <w14:textFill>
            <w14:solidFill>
              <w14:schemeClr w14:val="tx1"/>
            </w14:solidFill>
          </w14:textFill>
        </w:rPr>
      </w:pPr>
      <w:bookmarkStart w:id="360" w:name="_Toc10762"/>
      <w:bookmarkStart w:id="361" w:name="_Toc27497"/>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4.</w:t>
      </w:r>
      <w:r>
        <w:rPr>
          <w:rFonts w:hint="eastAsia" w:ascii="宋体" w:hAnsi="宋体" w:eastAsia="宋体" w:cs="宋体"/>
          <w:color w:val="000000" w:themeColor="text1"/>
          <w:kern w:val="2"/>
          <w:sz w:val="24"/>
          <w:szCs w:val="24"/>
          <w:highlight w:val="none"/>
          <w:lang w:val="zh-CN"/>
          <w14:textFill>
            <w14:solidFill>
              <w14:schemeClr w14:val="tx1"/>
            </w14:solidFill>
          </w14:textFill>
        </w:rPr>
        <w:fldChar w:fldCharType="begin"/>
      </w:r>
      <w:r>
        <w:rPr>
          <w:rFonts w:hint="eastAsia" w:ascii="宋体" w:hAnsi="宋体" w:eastAsia="宋体" w:cs="宋体"/>
          <w:color w:val="000000" w:themeColor="text1"/>
          <w:kern w:val="2"/>
          <w:sz w:val="24"/>
          <w:szCs w:val="24"/>
          <w:highlight w:val="none"/>
          <w:lang w:val="zh-CN"/>
          <w14:textFill>
            <w14:solidFill>
              <w14:schemeClr w14:val="tx1"/>
            </w14:solidFill>
          </w14:textFill>
        </w:rPr>
        <w:instrText xml:space="preserve">HYPERLINK\l"_Toc293912443"</w:instrText>
      </w:r>
      <w:r>
        <w:rPr>
          <w:rFonts w:hint="eastAsia" w:ascii="宋体" w:hAnsi="宋体" w:eastAsia="宋体" w:cs="宋体"/>
          <w:color w:val="000000" w:themeColor="text1"/>
          <w:kern w:val="2"/>
          <w:sz w:val="24"/>
          <w:szCs w:val="24"/>
          <w:highlight w:val="none"/>
          <w:lang w:val="zh-CN"/>
          <w14:textFill>
            <w14:solidFill>
              <w14:schemeClr w14:val="tx1"/>
            </w14:solidFill>
          </w14:textFill>
        </w:rPr>
        <w:fldChar w:fldCharType="separate"/>
      </w:r>
      <w:bookmarkStart w:id="362" w:name="_Toc19858_WPSOffice_Level2"/>
      <w:bookmarkStart w:id="363" w:name="_Toc5455_WPSOffice_Level2"/>
      <w:bookmarkStart w:id="364" w:name="_Toc31451_WPSOffice_Level2"/>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2</w:t>
      </w:r>
      <w:r>
        <w:rPr>
          <w:rFonts w:hint="eastAsia" w:ascii="宋体" w:hAnsi="宋体" w:eastAsia="宋体" w:cs="宋体"/>
          <w:color w:val="000000" w:themeColor="text1"/>
          <w:kern w:val="2"/>
          <w:sz w:val="24"/>
          <w:szCs w:val="24"/>
          <w:highlight w:val="none"/>
          <w:lang w:val="zh-CN"/>
          <w14:textFill>
            <w14:solidFill>
              <w14:schemeClr w14:val="tx1"/>
            </w14:solidFill>
          </w14:textFill>
        </w:rPr>
        <w:t>环境</w:t>
      </w:r>
      <w:r>
        <w:rPr>
          <w:rFonts w:hint="eastAsia" w:ascii="宋体" w:hAnsi="宋体" w:eastAsia="宋体" w:cs="宋体"/>
          <w:color w:val="000000" w:themeColor="text1"/>
          <w:kern w:val="2"/>
          <w:sz w:val="24"/>
          <w:szCs w:val="24"/>
          <w:highlight w:val="none"/>
          <w:lang w:val="zh-CN"/>
          <w14:textFill>
            <w14:solidFill>
              <w14:schemeClr w14:val="tx1"/>
            </w14:solidFill>
          </w14:textFill>
        </w:rPr>
        <w:fldChar w:fldCharType="end"/>
      </w:r>
      <w:r>
        <w:rPr>
          <w:rFonts w:hint="eastAsia" w:ascii="宋体" w:hAnsi="宋体" w:eastAsia="宋体" w:cs="宋体"/>
          <w:color w:val="000000" w:themeColor="text1"/>
          <w:kern w:val="2"/>
          <w:sz w:val="24"/>
          <w:szCs w:val="24"/>
          <w:highlight w:val="none"/>
          <w:lang w:val="zh-CN"/>
          <w14:textFill>
            <w14:solidFill>
              <w14:schemeClr w14:val="tx1"/>
            </w14:solidFill>
          </w14:textFill>
        </w:rPr>
        <w:t>质量现状调查与评</w:t>
      </w:r>
      <w:bookmarkEnd w:id="362"/>
      <w:bookmarkEnd w:id="363"/>
      <w:bookmarkEnd w:id="364"/>
      <w:r>
        <w:rPr>
          <w:rFonts w:hint="eastAsia" w:ascii="宋体" w:hAnsi="宋体" w:eastAsia="宋体" w:cs="宋体"/>
          <w:color w:val="000000" w:themeColor="text1"/>
          <w:kern w:val="2"/>
          <w:sz w:val="24"/>
          <w:szCs w:val="24"/>
          <w:highlight w:val="none"/>
          <w:lang w:val="zh-CN"/>
          <w14:textFill>
            <w14:solidFill>
              <w14:schemeClr w14:val="tx1"/>
            </w14:solidFill>
          </w14:textFill>
        </w:rPr>
        <w:t>价</w:t>
      </w:r>
      <w:bookmarkEnd w:id="360"/>
      <w:bookmarkEnd w:id="361"/>
    </w:p>
    <w:p>
      <w:pPr>
        <w:pStyle w:val="8"/>
        <w:keepNext w:val="0"/>
        <w:keepLines w:val="0"/>
        <w:pageBreakBefore w:val="0"/>
        <w:kinsoku/>
        <w:wordWrap/>
        <w:overflowPunct/>
        <w:topLinePunct w:val="0"/>
        <w:bidi w:val="0"/>
        <w:adjustRightInd/>
        <w:snapToGrid/>
        <w:spacing w:line="360" w:lineRule="auto"/>
        <w:ind w:firstLine="482" w:firstLineChars="200"/>
        <w:textAlignment w:val="auto"/>
        <w:rPr>
          <w:rFonts w:hint="eastAsia" w:ascii="宋体" w:hAnsi="宋体" w:eastAsia="宋体" w:cs="宋体"/>
          <w:bCs/>
          <w:color w:val="000000" w:themeColor="text1"/>
          <w:sz w:val="24"/>
          <w:szCs w:val="24"/>
          <w:highlight w:val="none"/>
          <w:lang w:eastAsia="zh-CN"/>
          <w14:textFill>
            <w14:solidFill>
              <w14:schemeClr w14:val="tx1"/>
            </w14:solidFill>
          </w14:textFill>
        </w:rPr>
      </w:pPr>
      <w:bookmarkStart w:id="365" w:name="_Toc21861"/>
      <w:bookmarkStart w:id="366" w:name="_Toc21018"/>
      <w:bookmarkStart w:id="367" w:name="_Toc11417"/>
      <w:bookmarkStart w:id="368" w:name="_Toc23566"/>
      <w:bookmarkStart w:id="369" w:name="_Toc13854"/>
      <w:r>
        <w:rPr>
          <w:rFonts w:hint="eastAsia" w:ascii="宋体" w:hAnsi="宋体" w:eastAsia="宋体" w:cs="宋体"/>
          <w:bCs/>
          <w:color w:val="000000" w:themeColor="text1"/>
          <w:sz w:val="24"/>
          <w:szCs w:val="24"/>
          <w:highlight w:val="none"/>
          <w:lang w:val="en-US" w:eastAsia="zh-CN"/>
          <w14:textFill>
            <w14:solidFill>
              <w14:schemeClr w14:val="tx1"/>
            </w14:solidFill>
          </w14:textFill>
        </w:rPr>
        <w:t>4.</w:t>
      </w:r>
      <w:r>
        <w:rPr>
          <w:rFonts w:hint="eastAsia" w:ascii="宋体" w:hAnsi="宋体" w:eastAsia="宋体" w:cs="宋体"/>
          <w:bCs/>
          <w:color w:val="000000" w:themeColor="text1"/>
          <w:sz w:val="24"/>
          <w:szCs w:val="24"/>
          <w:highlight w:val="none"/>
          <w:lang w:eastAsia="zh-CN"/>
          <w14:textFill>
            <w14:solidFill>
              <w14:schemeClr w14:val="tx1"/>
            </w14:solidFill>
          </w14:textFill>
        </w:rPr>
        <w:t>2.1地表水</w:t>
      </w:r>
      <w:bookmarkEnd w:id="365"/>
      <w:bookmarkEnd w:id="366"/>
      <w:bookmarkEnd w:id="367"/>
      <w:bookmarkEnd w:id="368"/>
      <w:bookmarkEnd w:id="369"/>
    </w:p>
    <w:p>
      <w:pPr>
        <w:keepNext w:val="0"/>
        <w:keepLines w:val="0"/>
        <w:pageBreakBefore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val="0"/>
          <w:bCs w:val="0"/>
          <w:i w:val="0"/>
          <w:iCs w:val="0"/>
          <w:color w:val="000000" w:themeColor="text1"/>
          <w:sz w:val="24"/>
          <w:szCs w:val="24"/>
          <w14:textFill>
            <w14:solidFill>
              <w14:schemeClr w14:val="tx1"/>
            </w14:solidFill>
          </w14:textFill>
        </w:rPr>
        <w:t>为了解本项目所在区域水环境质量现状，本环评</w:t>
      </w:r>
      <w:r>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t>参考株洲市生态环境局公布的地表水监测月报（2022年1月～12月和</w:t>
      </w:r>
      <w:r>
        <w:rPr>
          <w:rFonts w:hint="eastAsia" w:ascii="宋体" w:hAnsi="宋体" w:eastAsia="宋体" w:cs="宋体"/>
          <w:b w:val="0"/>
          <w:bCs w:val="0"/>
          <w:i w:val="0"/>
          <w:iCs w:val="0"/>
          <w:color w:val="000000" w:themeColor="text1"/>
          <w:sz w:val="24"/>
          <w:szCs w:val="24"/>
          <w14:textFill>
            <w14:solidFill>
              <w14:schemeClr w14:val="tx1"/>
            </w14:solidFill>
          </w14:textFill>
        </w:rPr>
        <w:t>202</w:t>
      </w:r>
      <w:r>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t>3</w:t>
      </w:r>
      <w:r>
        <w:rPr>
          <w:rFonts w:hint="eastAsia" w:ascii="宋体" w:hAnsi="宋体" w:eastAsia="宋体" w:cs="宋体"/>
          <w:b w:val="0"/>
          <w:bCs w:val="0"/>
          <w:i w:val="0"/>
          <w:iCs w:val="0"/>
          <w:color w:val="000000" w:themeColor="text1"/>
          <w:sz w:val="24"/>
          <w:szCs w:val="24"/>
          <w14:textFill>
            <w14:solidFill>
              <w14:schemeClr w14:val="tx1"/>
            </w14:solidFill>
          </w14:textFill>
        </w:rPr>
        <w:t>年</w:t>
      </w:r>
      <w:r>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t>1月和2月），监测结果来自“湖南省环境质量监测数据管理系统”</w:t>
      </w:r>
      <w:r>
        <w:rPr>
          <w:rFonts w:hint="eastAsia" w:ascii="宋体" w:hAnsi="宋体" w:eastAsia="宋体" w:cs="宋体"/>
          <w:b w:val="0"/>
          <w:bCs w:val="0"/>
          <w:i w:val="0"/>
          <w:iCs w:val="0"/>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湘江霞湾断面和马家河断面水质能完全满足《地表水环境质量标准》（GB3838-2002）中Ⅲ类标准要求。</w:t>
      </w:r>
    </w:p>
    <w:p>
      <w:pPr>
        <w:pStyle w:val="8"/>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Cs/>
          <w:color w:val="000000" w:themeColor="text1"/>
          <w:highlight w:val="none"/>
          <w:lang w:eastAsia="zh-CN"/>
          <w14:textFill>
            <w14:solidFill>
              <w14:schemeClr w14:val="tx1"/>
            </w14:solidFill>
          </w14:textFill>
        </w:rPr>
      </w:pPr>
      <w:bookmarkStart w:id="370" w:name="_Toc14180"/>
      <w:bookmarkStart w:id="371" w:name="_Toc3948"/>
      <w:bookmarkStart w:id="372" w:name="_Toc19112"/>
      <w:bookmarkStart w:id="373" w:name="_Toc2910"/>
      <w:bookmarkStart w:id="374" w:name="_Toc17273"/>
      <w:r>
        <w:rPr>
          <w:rFonts w:hint="eastAsia" w:ascii="宋体" w:hAnsi="宋体" w:eastAsia="宋体" w:cs="宋体"/>
          <w:bCs/>
          <w:color w:val="000000" w:themeColor="text1"/>
          <w:highlight w:val="none"/>
          <w:lang w:val="en-US" w:eastAsia="zh-CN"/>
          <w14:textFill>
            <w14:solidFill>
              <w14:schemeClr w14:val="tx1"/>
            </w14:solidFill>
          </w14:textFill>
        </w:rPr>
        <w:t>4.</w:t>
      </w:r>
      <w:r>
        <w:rPr>
          <w:rFonts w:hint="eastAsia" w:ascii="宋体" w:hAnsi="宋体" w:eastAsia="宋体" w:cs="宋体"/>
          <w:bCs/>
          <w:color w:val="000000" w:themeColor="text1"/>
          <w:highlight w:val="none"/>
          <w:lang w:eastAsia="zh-CN"/>
          <w14:textFill>
            <w14:solidFill>
              <w14:schemeClr w14:val="tx1"/>
            </w14:solidFill>
          </w14:textFill>
        </w:rPr>
        <w:t>2.2大气</w:t>
      </w:r>
      <w:bookmarkEnd w:id="370"/>
      <w:bookmarkEnd w:id="371"/>
      <w:bookmarkEnd w:id="372"/>
      <w:bookmarkEnd w:id="373"/>
      <w:bookmarkEnd w:id="374"/>
    </w:p>
    <w:p>
      <w:pPr>
        <w:pStyle w:val="9"/>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4.</w:t>
      </w:r>
      <w:r>
        <w:rPr>
          <w:rFonts w:hint="eastAsia" w:ascii="宋体" w:hAnsi="宋体" w:eastAsia="宋体" w:cs="宋体"/>
          <w:color w:val="000000" w:themeColor="text1"/>
          <w:highlight w:val="none"/>
          <w:lang w:eastAsia="zh-CN"/>
          <w14:textFill>
            <w14:solidFill>
              <w14:schemeClr w14:val="tx1"/>
            </w14:solidFill>
          </w14:textFill>
        </w:rPr>
        <w:t>2.2.1环境空气达标区判定</w:t>
      </w:r>
    </w:p>
    <w:p>
      <w:pPr>
        <w:keepNext w:val="0"/>
        <w:keepLines w:val="0"/>
        <w:pageBreakBefore w:val="0"/>
        <w:kinsoku/>
        <w:wordWrap/>
        <w:overflowPunct/>
        <w:topLinePunct w:val="0"/>
        <w:bidi w:val="0"/>
        <w:adjustRightInd/>
        <w:snapToGrid/>
        <w:spacing w:line="360" w:lineRule="auto"/>
        <w:ind w:firstLine="480" w:firstLineChars="200"/>
        <w:jc w:val="both"/>
        <w:textAlignment w:val="auto"/>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b w:val="0"/>
          <w:bCs w:val="0"/>
          <w:i w:val="0"/>
          <w:iCs w:val="0"/>
          <w:color w:val="000000" w:themeColor="text1"/>
          <w:sz w:val="24"/>
          <w:szCs w:val="24"/>
          <w14:textFill>
            <w14:solidFill>
              <w14:schemeClr w14:val="tx1"/>
            </w14:solidFill>
          </w14:textFill>
        </w:rPr>
        <w:t>为了解株洲市项目所在区域环境空气质量现状，本环评收集了株洲市生态环境局于202</w:t>
      </w:r>
      <w:r>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t>3</w:t>
      </w:r>
      <w:r>
        <w:rPr>
          <w:rFonts w:hint="eastAsia" w:ascii="宋体" w:hAnsi="宋体" w:eastAsia="宋体" w:cs="宋体"/>
          <w:b w:val="0"/>
          <w:bCs w:val="0"/>
          <w:i w:val="0"/>
          <w:iCs w:val="0"/>
          <w:color w:val="000000" w:themeColor="text1"/>
          <w:sz w:val="24"/>
          <w:szCs w:val="24"/>
          <w14:textFill>
            <w14:solidFill>
              <w14:schemeClr w14:val="tx1"/>
            </w14:solidFill>
          </w14:textFill>
        </w:rPr>
        <w:t>年1月公布的《关于202</w:t>
      </w:r>
      <w:r>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t>2</w:t>
      </w:r>
      <w:r>
        <w:rPr>
          <w:rFonts w:hint="eastAsia" w:ascii="宋体" w:hAnsi="宋体" w:eastAsia="宋体" w:cs="宋体"/>
          <w:b w:val="0"/>
          <w:bCs w:val="0"/>
          <w:i w:val="0"/>
          <w:iCs w:val="0"/>
          <w:color w:val="000000" w:themeColor="text1"/>
          <w:sz w:val="24"/>
          <w:szCs w:val="24"/>
          <w14:textFill>
            <w14:solidFill>
              <w14:schemeClr w14:val="tx1"/>
            </w14:solidFill>
          </w14:textFill>
        </w:rPr>
        <w:t>年12月及全年全市环境空气质量、地表水环境质量状况的通报》（株生环委办[2022]1号）中基本因子监测数据，监测结果见表4.</w:t>
      </w:r>
      <w:r>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t>2</w:t>
      </w:r>
      <w:r>
        <w:rPr>
          <w:rFonts w:hint="eastAsia" w:ascii="宋体" w:hAnsi="宋体" w:eastAsia="宋体" w:cs="宋体"/>
          <w:b w:val="0"/>
          <w:bCs w:val="0"/>
          <w:i w:val="0"/>
          <w:iCs w:val="0"/>
          <w:color w:val="000000" w:themeColor="text1"/>
          <w:sz w:val="24"/>
          <w:szCs w:val="24"/>
          <w14:textFill>
            <w14:solidFill>
              <w14:schemeClr w14:val="tx1"/>
            </w14:solidFill>
          </w14:textFill>
        </w:rPr>
        <w:t>-1</w:t>
      </w:r>
      <w:r>
        <w:rPr>
          <w:rFonts w:hint="eastAsia" w:ascii="宋体" w:hAnsi="宋体" w:eastAsia="宋体" w:cs="宋体"/>
          <w:b w:val="0"/>
          <w:bCs w:val="0"/>
          <w:i w:val="0"/>
          <w:iCs w:val="0"/>
          <w:color w:val="000000" w:themeColor="text1"/>
          <w:sz w:val="24"/>
          <w:szCs w:val="24"/>
          <w:lang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before="167" w:beforeLines="50" w:after="167" w:afterLines="50" w:line="360" w:lineRule="auto"/>
        <w:ind w:right="0" w:rightChars="0" w:firstLine="0"/>
        <w:jc w:val="center"/>
        <w:textAlignment w:val="auto"/>
        <w:rPr>
          <w:rFonts w:hint="eastAsia" w:ascii="宋体" w:hAnsi="宋体" w:eastAsia="宋体" w:cs="宋体"/>
          <w:b/>
          <w:color w:val="000000" w:themeColor="text1"/>
          <w:szCs w:val="21"/>
          <w:lang w:val="en-US" w:eastAsia="zh-CN"/>
          <w14:textFill>
            <w14:solidFill>
              <w14:schemeClr w14:val="tx1"/>
            </w14:solidFill>
          </w14:textFill>
        </w:rPr>
      </w:pPr>
      <w:r>
        <w:rPr>
          <w:rFonts w:hint="eastAsia" w:ascii="宋体" w:hAnsi="宋体" w:eastAsia="宋体" w:cs="宋体"/>
          <w:b/>
          <w:color w:val="000000" w:themeColor="text1"/>
          <w:szCs w:val="21"/>
          <w:lang w:val="en-US" w:eastAsia="zh-CN"/>
          <w14:textFill>
            <w14:solidFill>
              <w14:schemeClr w14:val="tx1"/>
            </w14:solidFill>
          </w14:textFill>
        </w:rPr>
        <w:t>表4.2-12022年天元区空气质量现状评价表</w:t>
      </w:r>
    </w:p>
    <w:tbl>
      <w:tblPr>
        <w:tblStyle w:val="30"/>
        <w:tblW w:w="500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82"/>
        <w:gridCol w:w="2910"/>
        <w:gridCol w:w="1883"/>
        <w:gridCol w:w="1548"/>
        <w:gridCol w:w="1245"/>
        <w:gridCol w:w="128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8" w:hRule="exact"/>
          <w:jc w:val="center"/>
        </w:trPr>
        <w:tc>
          <w:tcPr>
            <w:tcW w:w="876" w:type="dxa"/>
            <w:tcBorders>
              <w:tl2br w:val="nil"/>
              <w:tr2bl w:val="nil"/>
            </w:tcBorders>
            <w:noWrap w:val="0"/>
            <w:vAlign w:val="center"/>
          </w:tcPr>
          <w:p>
            <w:pPr>
              <w:jc w:val="center"/>
              <w:rPr>
                <w:rFonts w:hint="eastAsia" w:ascii="宋体" w:hAnsi="宋体" w:eastAsia="宋体" w:cs="宋体"/>
                <w:color w:val="000000" w:themeColor="text1"/>
                <w:sz w:val="21"/>
                <w:highlight w:val="none"/>
                <w:lang w:bidi="en-US"/>
                <w14:textFill>
                  <w14:solidFill>
                    <w14:schemeClr w14:val="tx1"/>
                  </w14:solidFill>
                </w14:textFill>
              </w:rPr>
            </w:pPr>
            <w:r>
              <w:rPr>
                <w:rFonts w:hint="eastAsia" w:ascii="宋体" w:hAnsi="宋体" w:eastAsia="宋体" w:cs="宋体"/>
                <w:color w:val="000000" w:themeColor="text1"/>
                <w:sz w:val="21"/>
                <w:highlight w:val="none"/>
                <w:lang w:bidi="en-US"/>
                <w14:textFill>
                  <w14:solidFill>
                    <w14:schemeClr w14:val="tx1"/>
                  </w14:solidFill>
                </w14:textFill>
              </w:rPr>
              <w:t>污染物</w:t>
            </w:r>
          </w:p>
        </w:tc>
        <w:tc>
          <w:tcPr>
            <w:tcW w:w="2595" w:type="dxa"/>
            <w:tcBorders>
              <w:tl2br w:val="nil"/>
              <w:tr2bl w:val="nil"/>
            </w:tcBorders>
            <w:noWrap w:val="0"/>
            <w:vAlign w:val="center"/>
          </w:tcPr>
          <w:p>
            <w:pPr>
              <w:jc w:val="center"/>
              <w:rPr>
                <w:rFonts w:hint="eastAsia" w:ascii="宋体" w:hAnsi="宋体" w:eastAsia="宋体" w:cs="宋体"/>
                <w:color w:val="000000" w:themeColor="text1"/>
                <w:sz w:val="21"/>
                <w:highlight w:val="none"/>
                <w:lang w:bidi="en-US"/>
                <w14:textFill>
                  <w14:solidFill>
                    <w14:schemeClr w14:val="tx1"/>
                  </w14:solidFill>
                </w14:textFill>
              </w:rPr>
            </w:pPr>
            <w:r>
              <w:rPr>
                <w:rFonts w:hint="eastAsia" w:ascii="宋体" w:hAnsi="宋体" w:eastAsia="宋体" w:cs="宋体"/>
                <w:color w:val="000000" w:themeColor="text1"/>
                <w:sz w:val="21"/>
                <w:highlight w:val="none"/>
                <w:lang w:bidi="en-US"/>
                <w14:textFill>
                  <w14:solidFill>
                    <w14:schemeClr w14:val="tx1"/>
                  </w14:solidFill>
                </w14:textFill>
              </w:rPr>
              <w:t>评价指标</w:t>
            </w:r>
          </w:p>
        </w:tc>
        <w:tc>
          <w:tcPr>
            <w:tcW w:w="1680" w:type="dxa"/>
            <w:tcBorders>
              <w:tl2br w:val="nil"/>
              <w:tr2bl w:val="nil"/>
            </w:tcBorders>
            <w:noWrap w:val="0"/>
            <w:vAlign w:val="center"/>
          </w:tcPr>
          <w:p>
            <w:pPr>
              <w:jc w:val="center"/>
              <w:rPr>
                <w:rFonts w:hint="eastAsia" w:ascii="宋体" w:hAnsi="宋体" w:eastAsia="宋体" w:cs="宋体"/>
                <w:color w:val="000000" w:themeColor="text1"/>
                <w:sz w:val="21"/>
                <w:highlight w:val="none"/>
                <w:lang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现状</w:t>
            </w:r>
            <w:r>
              <w:rPr>
                <w:rFonts w:hint="eastAsia" w:ascii="宋体" w:hAnsi="宋体" w:eastAsia="宋体" w:cs="宋体"/>
                <w:color w:val="000000" w:themeColor="text1"/>
                <w:sz w:val="21"/>
                <w:highlight w:val="none"/>
                <w:lang w:bidi="en-US"/>
                <w14:textFill>
                  <w14:solidFill>
                    <w14:schemeClr w14:val="tx1"/>
                  </w14:solidFill>
                </w14:textFill>
              </w:rPr>
              <w:t>浓度μg/</w:t>
            </w:r>
            <w:r>
              <w:rPr>
                <w:rFonts w:hint="eastAsia" w:ascii="宋体" w:hAnsi="宋体" w:eastAsia="宋体" w:cs="宋体"/>
                <w:color w:val="000000" w:themeColor="text1"/>
                <w:sz w:val="21"/>
                <w:highlight w:val="none"/>
                <w:lang w:eastAsia="zh-CN" w:bidi="en-US"/>
                <w14:textFill>
                  <w14:solidFill>
                    <w14:schemeClr w14:val="tx1"/>
                  </w14:solidFill>
                </w14:textFill>
              </w:rPr>
              <w:t>m³</w:t>
            </w:r>
          </w:p>
        </w:tc>
        <w:tc>
          <w:tcPr>
            <w:tcW w:w="1380" w:type="dxa"/>
            <w:tcBorders>
              <w:tl2br w:val="nil"/>
              <w:tr2bl w:val="nil"/>
            </w:tcBorders>
            <w:noWrap w:val="0"/>
            <w:vAlign w:val="center"/>
          </w:tcPr>
          <w:p>
            <w:pPr>
              <w:jc w:val="center"/>
              <w:rPr>
                <w:rFonts w:hint="eastAsia" w:ascii="宋体" w:hAnsi="宋体" w:eastAsia="宋体" w:cs="宋体"/>
                <w:color w:val="000000" w:themeColor="text1"/>
                <w:sz w:val="21"/>
                <w:highlight w:val="none"/>
                <w:lang w:eastAsia="zh-CN" w:bidi="en-US"/>
                <w14:textFill>
                  <w14:solidFill>
                    <w14:schemeClr w14:val="tx1"/>
                  </w14:solidFill>
                </w14:textFill>
              </w:rPr>
            </w:pPr>
            <w:r>
              <w:rPr>
                <w:rFonts w:hint="eastAsia" w:ascii="宋体" w:hAnsi="宋体" w:eastAsia="宋体" w:cs="宋体"/>
                <w:color w:val="000000" w:themeColor="text1"/>
                <w:sz w:val="21"/>
                <w:highlight w:val="none"/>
                <w:lang w:bidi="en-US"/>
                <w14:textFill>
                  <w14:solidFill>
                    <w14:schemeClr w14:val="tx1"/>
                  </w14:solidFill>
                </w14:textFill>
              </w:rPr>
              <w:t>标准值μg/</w:t>
            </w:r>
            <w:r>
              <w:rPr>
                <w:rFonts w:hint="eastAsia" w:ascii="宋体" w:hAnsi="宋体" w:eastAsia="宋体" w:cs="宋体"/>
                <w:color w:val="000000" w:themeColor="text1"/>
                <w:sz w:val="21"/>
                <w:highlight w:val="none"/>
                <w:lang w:eastAsia="zh-CN" w:bidi="en-US"/>
                <w14:textFill>
                  <w14:solidFill>
                    <w14:schemeClr w14:val="tx1"/>
                  </w14:solidFill>
                </w14:textFill>
              </w:rPr>
              <w:t>m³</w:t>
            </w:r>
          </w:p>
        </w:tc>
        <w:tc>
          <w:tcPr>
            <w:tcW w:w="1110" w:type="dxa"/>
            <w:tcBorders>
              <w:tl2br w:val="nil"/>
              <w:tr2bl w:val="nil"/>
            </w:tcBorders>
            <w:noWrap w:val="0"/>
            <w:vAlign w:val="center"/>
          </w:tcPr>
          <w:p>
            <w:pPr>
              <w:jc w:val="center"/>
              <w:rPr>
                <w:rFonts w:hint="eastAsia" w:ascii="宋体" w:hAnsi="宋体" w:eastAsia="宋体" w:cs="宋体"/>
                <w:color w:val="000000" w:themeColor="text1"/>
                <w:sz w:val="21"/>
                <w:highlight w:val="none"/>
                <w:lang w:bidi="en-US"/>
                <w14:textFill>
                  <w14:solidFill>
                    <w14:schemeClr w14:val="tx1"/>
                  </w14:solidFill>
                </w14:textFill>
              </w:rPr>
            </w:pPr>
            <w:r>
              <w:rPr>
                <w:rFonts w:hint="eastAsia" w:ascii="宋体" w:hAnsi="宋体" w:eastAsia="宋体" w:cs="宋体"/>
                <w:color w:val="000000" w:themeColor="text1"/>
                <w:sz w:val="21"/>
                <w:highlight w:val="none"/>
                <w:lang w:bidi="en-US"/>
                <w14:textFill>
                  <w14:solidFill>
                    <w14:schemeClr w14:val="tx1"/>
                  </w14:solidFill>
                </w14:textFill>
              </w:rPr>
              <w:t>占标率%</w:t>
            </w:r>
          </w:p>
        </w:tc>
        <w:tc>
          <w:tcPr>
            <w:tcW w:w="1146" w:type="dxa"/>
            <w:tcBorders>
              <w:tl2br w:val="nil"/>
              <w:tr2bl w:val="nil"/>
            </w:tcBorders>
            <w:noWrap w:val="0"/>
            <w:vAlign w:val="center"/>
          </w:tcPr>
          <w:p>
            <w:pPr>
              <w:jc w:val="center"/>
              <w:rPr>
                <w:rFonts w:hint="eastAsia" w:ascii="宋体" w:hAnsi="宋体" w:eastAsia="宋体" w:cs="宋体"/>
                <w:color w:val="000000" w:themeColor="text1"/>
                <w:sz w:val="21"/>
                <w:highlight w:val="none"/>
                <w:lang w:bidi="en-US"/>
                <w14:textFill>
                  <w14:solidFill>
                    <w14:schemeClr w14:val="tx1"/>
                  </w14:solidFill>
                </w14:textFill>
              </w:rPr>
            </w:pPr>
            <w:r>
              <w:rPr>
                <w:rFonts w:hint="eastAsia" w:ascii="宋体" w:hAnsi="宋体" w:eastAsia="宋体" w:cs="宋体"/>
                <w:color w:val="000000" w:themeColor="text1"/>
                <w:sz w:val="21"/>
                <w:highlight w:val="none"/>
                <w:lang w:bidi="en-US"/>
                <w14:textFill>
                  <w14:solidFill>
                    <w14:schemeClr w14:val="tx1"/>
                  </w14:solidFill>
                </w14:textFill>
              </w:rPr>
              <w:t>达标情况</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6" w:hRule="exact"/>
          <w:jc w:val="center"/>
        </w:trPr>
        <w:tc>
          <w:tcPr>
            <w:tcW w:w="876" w:type="dxa"/>
            <w:tcBorders>
              <w:tl2br w:val="nil"/>
              <w:tr2bl w:val="nil"/>
            </w:tcBorders>
            <w:noWrap w:val="0"/>
            <w:vAlign w:val="center"/>
          </w:tcPr>
          <w:p>
            <w:pPr>
              <w:jc w:val="center"/>
              <w:rPr>
                <w:rFonts w:hint="eastAsia" w:ascii="宋体" w:hAnsi="宋体" w:eastAsia="宋体" w:cs="宋体"/>
                <w:color w:val="000000" w:themeColor="text1"/>
                <w:sz w:val="21"/>
                <w:highlight w:val="none"/>
                <w:lang w:bidi="en-US"/>
                <w14:textFill>
                  <w14:solidFill>
                    <w14:schemeClr w14:val="tx1"/>
                  </w14:solidFill>
                </w14:textFill>
              </w:rPr>
            </w:pPr>
            <w:r>
              <w:rPr>
                <w:rFonts w:hint="eastAsia" w:ascii="宋体" w:hAnsi="宋体" w:eastAsia="宋体" w:cs="宋体"/>
                <w:color w:val="000000" w:themeColor="text1"/>
                <w:sz w:val="21"/>
                <w:highlight w:val="none"/>
                <w:lang w:bidi="en-US"/>
                <w14:textFill>
                  <w14:solidFill>
                    <w14:schemeClr w14:val="tx1"/>
                  </w14:solidFill>
                </w14:textFill>
              </w:rPr>
              <w:t>SO</w:t>
            </w:r>
            <w:r>
              <w:rPr>
                <w:rFonts w:hint="eastAsia" w:ascii="宋体" w:hAnsi="宋体" w:eastAsia="宋体" w:cs="宋体"/>
                <w:color w:val="000000" w:themeColor="text1"/>
                <w:sz w:val="21"/>
                <w:highlight w:val="none"/>
                <w:vertAlign w:val="subscript"/>
                <w:lang w:bidi="en-US"/>
                <w14:textFill>
                  <w14:solidFill>
                    <w14:schemeClr w14:val="tx1"/>
                  </w14:solidFill>
                </w14:textFill>
              </w:rPr>
              <w:t>2</w:t>
            </w:r>
          </w:p>
        </w:tc>
        <w:tc>
          <w:tcPr>
            <w:tcW w:w="2595" w:type="dxa"/>
            <w:vMerge w:val="restart"/>
            <w:tcBorders>
              <w:tl2br w:val="nil"/>
              <w:tr2bl w:val="nil"/>
            </w:tcBorders>
            <w:noWrap w:val="0"/>
            <w:vAlign w:val="center"/>
          </w:tcPr>
          <w:p>
            <w:pPr>
              <w:jc w:val="center"/>
              <w:rPr>
                <w:rFonts w:hint="eastAsia" w:ascii="宋体" w:hAnsi="宋体" w:eastAsia="宋体" w:cs="宋体"/>
                <w:color w:val="000000" w:themeColor="text1"/>
                <w:sz w:val="21"/>
                <w:highlight w:val="none"/>
                <w:lang w:bidi="en-US"/>
                <w14:textFill>
                  <w14:solidFill>
                    <w14:schemeClr w14:val="tx1"/>
                  </w14:solidFill>
                </w14:textFill>
              </w:rPr>
            </w:pPr>
            <w:r>
              <w:rPr>
                <w:rFonts w:hint="eastAsia" w:ascii="宋体" w:hAnsi="宋体" w:eastAsia="宋体" w:cs="宋体"/>
                <w:color w:val="000000" w:themeColor="text1"/>
                <w:sz w:val="21"/>
                <w:highlight w:val="none"/>
                <w:lang w:bidi="en-US"/>
                <w14:textFill>
                  <w14:solidFill>
                    <w14:schemeClr w14:val="tx1"/>
                  </w14:solidFill>
                </w14:textFill>
              </w:rPr>
              <w:t>年平均质量浓度</w:t>
            </w:r>
          </w:p>
        </w:tc>
        <w:tc>
          <w:tcPr>
            <w:tcW w:w="1680" w:type="dxa"/>
            <w:tcBorders>
              <w:tl2br w:val="nil"/>
              <w:tr2bl w:val="nil"/>
            </w:tcBorders>
            <w:noWrap w:val="0"/>
            <w:vAlign w:val="center"/>
          </w:tcPr>
          <w:p>
            <w:pPr>
              <w:jc w:val="center"/>
              <w:rPr>
                <w:rFonts w:hint="eastAsia" w:ascii="宋体" w:hAnsi="宋体" w:eastAsia="宋体" w:cs="宋体"/>
                <w:color w:val="000000" w:themeColor="text1"/>
                <w:sz w:val="21"/>
                <w:szCs w:val="21"/>
                <w:highlight w:val="none"/>
                <w:lang w:val="en-US" w:eastAsia="zh-CN" w:bidi="en-US"/>
                <w14:textFill>
                  <w14:solidFill>
                    <w14:schemeClr w14:val="tx1"/>
                  </w14:solidFill>
                </w14:textFill>
              </w:rPr>
            </w:pPr>
            <w:r>
              <w:rPr>
                <w:rFonts w:hint="eastAsia" w:ascii="宋体" w:hAnsi="宋体" w:eastAsia="宋体" w:cs="宋体"/>
                <w:color w:val="000000" w:themeColor="text1"/>
                <w:sz w:val="21"/>
                <w:szCs w:val="21"/>
                <w:highlight w:val="none"/>
                <w:lang w:val="en-US" w:eastAsia="zh-CN" w:bidi="en-US"/>
                <w14:textFill>
                  <w14:solidFill>
                    <w14:schemeClr w14:val="tx1"/>
                  </w14:solidFill>
                </w14:textFill>
              </w:rPr>
              <w:t>7</w:t>
            </w:r>
          </w:p>
        </w:tc>
        <w:tc>
          <w:tcPr>
            <w:tcW w:w="1380" w:type="dxa"/>
            <w:tcBorders>
              <w:tl2br w:val="nil"/>
              <w:tr2bl w:val="nil"/>
            </w:tcBorders>
            <w:noWrap w:val="0"/>
            <w:vAlign w:val="center"/>
          </w:tcPr>
          <w:p>
            <w:pPr>
              <w:jc w:val="center"/>
              <w:rPr>
                <w:rFonts w:hint="eastAsia" w:ascii="宋体" w:hAnsi="宋体" w:eastAsia="宋体" w:cs="宋体"/>
                <w:color w:val="000000" w:themeColor="text1"/>
                <w:sz w:val="21"/>
                <w:szCs w:val="21"/>
                <w:highlight w:val="none"/>
                <w:lang w:bidi="en-US"/>
                <w14:textFill>
                  <w14:solidFill>
                    <w14:schemeClr w14:val="tx1"/>
                  </w14:solidFill>
                </w14:textFill>
              </w:rPr>
            </w:pPr>
            <w:r>
              <w:rPr>
                <w:rFonts w:hint="eastAsia" w:ascii="宋体" w:hAnsi="宋体" w:eastAsia="宋体" w:cs="宋体"/>
                <w:color w:val="000000" w:themeColor="text1"/>
                <w:sz w:val="21"/>
                <w:szCs w:val="21"/>
                <w:highlight w:val="none"/>
                <w:lang w:bidi="en-US"/>
                <w14:textFill>
                  <w14:solidFill>
                    <w14:schemeClr w14:val="tx1"/>
                  </w14:solidFill>
                </w14:textFill>
              </w:rPr>
              <w:t>60</w:t>
            </w:r>
          </w:p>
        </w:tc>
        <w:tc>
          <w:tcPr>
            <w:tcW w:w="1110" w:type="dxa"/>
            <w:tcBorders>
              <w:tl2br w:val="nil"/>
              <w:tr2bl w:val="nil"/>
            </w:tcBorders>
            <w:noWrap w:val="0"/>
            <w:vAlign w:val="center"/>
          </w:tcPr>
          <w:p>
            <w:pPr>
              <w:jc w:val="center"/>
              <w:rPr>
                <w:rFonts w:hint="eastAsia" w:ascii="宋体" w:hAnsi="宋体" w:eastAsia="宋体" w:cs="宋体"/>
                <w:color w:val="000000" w:themeColor="text1"/>
                <w:sz w:val="21"/>
                <w:szCs w:val="21"/>
                <w:highlight w:val="none"/>
                <w:lang w:val="en-US" w:eastAsia="zh-CN" w:bidi="en-US"/>
                <w14:textFill>
                  <w14:solidFill>
                    <w14:schemeClr w14:val="tx1"/>
                  </w14:solidFill>
                </w14:textFill>
              </w:rPr>
            </w:pPr>
            <w:r>
              <w:rPr>
                <w:rFonts w:hint="eastAsia" w:ascii="宋体" w:hAnsi="宋体" w:eastAsia="宋体" w:cs="宋体"/>
                <w:color w:val="000000" w:themeColor="text1"/>
                <w:sz w:val="21"/>
                <w:szCs w:val="21"/>
                <w:highlight w:val="none"/>
                <w:lang w:val="en-US" w:eastAsia="zh-CN" w:bidi="en-US"/>
                <w14:textFill>
                  <w14:solidFill>
                    <w14:schemeClr w14:val="tx1"/>
                  </w14:solidFill>
                </w14:textFill>
              </w:rPr>
              <w:t>11.7</w:t>
            </w:r>
          </w:p>
        </w:tc>
        <w:tc>
          <w:tcPr>
            <w:tcW w:w="1146" w:type="dxa"/>
            <w:tcBorders>
              <w:tl2br w:val="nil"/>
              <w:tr2bl w:val="nil"/>
            </w:tcBorders>
            <w:noWrap w:val="0"/>
            <w:vAlign w:val="center"/>
          </w:tcPr>
          <w:p>
            <w:pPr>
              <w:jc w:val="center"/>
              <w:rPr>
                <w:rFonts w:hint="eastAsia" w:ascii="宋体" w:hAnsi="宋体" w:eastAsia="宋体" w:cs="宋体"/>
                <w:color w:val="000000" w:themeColor="text1"/>
                <w:sz w:val="21"/>
                <w:highlight w:val="none"/>
                <w:lang w:bidi="en-US"/>
                <w14:textFill>
                  <w14:solidFill>
                    <w14:schemeClr w14:val="tx1"/>
                  </w14:solidFill>
                </w14:textFill>
              </w:rPr>
            </w:pPr>
            <w:r>
              <w:rPr>
                <w:rFonts w:hint="eastAsia" w:ascii="宋体" w:hAnsi="宋体" w:eastAsia="宋体" w:cs="宋体"/>
                <w:color w:val="000000" w:themeColor="text1"/>
                <w:sz w:val="21"/>
                <w:highlight w:val="none"/>
                <w:lang w:bidi="en-US"/>
                <w14:textFill>
                  <w14:solidFill>
                    <w14:schemeClr w14:val="tx1"/>
                  </w14:solidFill>
                </w14:textFill>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exact"/>
          <w:jc w:val="center"/>
        </w:trPr>
        <w:tc>
          <w:tcPr>
            <w:tcW w:w="876" w:type="dxa"/>
            <w:tcBorders>
              <w:tl2br w:val="nil"/>
              <w:tr2bl w:val="nil"/>
            </w:tcBorders>
            <w:noWrap w:val="0"/>
            <w:vAlign w:val="center"/>
          </w:tcPr>
          <w:p>
            <w:pPr>
              <w:jc w:val="center"/>
              <w:rPr>
                <w:rFonts w:hint="eastAsia" w:ascii="宋体" w:hAnsi="宋体" w:eastAsia="宋体" w:cs="宋体"/>
                <w:color w:val="000000" w:themeColor="text1"/>
                <w:sz w:val="21"/>
                <w:highlight w:val="none"/>
                <w:lang w:bidi="en-US"/>
                <w14:textFill>
                  <w14:solidFill>
                    <w14:schemeClr w14:val="tx1"/>
                  </w14:solidFill>
                </w14:textFill>
              </w:rPr>
            </w:pPr>
            <w:r>
              <w:rPr>
                <w:rFonts w:hint="eastAsia" w:ascii="宋体" w:hAnsi="宋体" w:eastAsia="宋体" w:cs="宋体"/>
                <w:color w:val="000000" w:themeColor="text1"/>
                <w:sz w:val="21"/>
                <w:highlight w:val="none"/>
                <w:lang w:bidi="en-US"/>
                <w14:textFill>
                  <w14:solidFill>
                    <w14:schemeClr w14:val="tx1"/>
                  </w14:solidFill>
                </w14:textFill>
              </w:rPr>
              <w:t>NO</w:t>
            </w:r>
            <w:r>
              <w:rPr>
                <w:rFonts w:hint="eastAsia" w:ascii="宋体" w:hAnsi="宋体" w:eastAsia="宋体" w:cs="宋体"/>
                <w:color w:val="000000" w:themeColor="text1"/>
                <w:sz w:val="21"/>
                <w:highlight w:val="none"/>
                <w:vertAlign w:val="subscript"/>
                <w:lang w:bidi="en-US"/>
                <w14:textFill>
                  <w14:solidFill>
                    <w14:schemeClr w14:val="tx1"/>
                  </w14:solidFill>
                </w14:textFill>
              </w:rPr>
              <w:t>2</w:t>
            </w:r>
          </w:p>
        </w:tc>
        <w:tc>
          <w:tcPr>
            <w:tcW w:w="2595" w:type="dxa"/>
            <w:vMerge w:val="continue"/>
            <w:tcBorders>
              <w:tl2br w:val="nil"/>
              <w:tr2bl w:val="nil"/>
            </w:tcBorders>
            <w:noWrap w:val="0"/>
            <w:vAlign w:val="center"/>
          </w:tcPr>
          <w:p>
            <w:pPr>
              <w:jc w:val="center"/>
              <w:rPr>
                <w:rFonts w:hint="eastAsia" w:ascii="宋体" w:hAnsi="宋体" w:eastAsia="宋体" w:cs="宋体"/>
                <w:color w:val="000000" w:themeColor="text1"/>
                <w:sz w:val="21"/>
                <w:highlight w:val="none"/>
                <w:lang w:bidi="en-US"/>
                <w14:textFill>
                  <w14:solidFill>
                    <w14:schemeClr w14:val="tx1"/>
                  </w14:solidFill>
                </w14:textFill>
              </w:rPr>
            </w:pPr>
          </w:p>
        </w:tc>
        <w:tc>
          <w:tcPr>
            <w:tcW w:w="1680" w:type="dxa"/>
            <w:tcBorders>
              <w:tl2br w:val="nil"/>
              <w:tr2bl w:val="nil"/>
            </w:tcBorders>
            <w:noWrap w:val="0"/>
            <w:vAlign w:val="center"/>
          </w:tcPr>
          <w:p>
            <w:pPr>
              <w:spacing w:line="240" w:lineRule="auto"/>
              <w:jc w:val="center"/>
              <w:rPr>
                <w:rFonts w:hint="eastAsia" w:ascii="宋体" w:hAnsi="宋体" w:eastAsia="宋体" w:cs="宋体"/>
                <w:color w:val="000000" w:themeColor="text1"/>
                <w:sz w:val="21"/>
                <w:szCs w:val="21"/>
                <w:highlight w:val="none"/>
                <w:lang w:val="en-US" w:eastAsia="zh-CN" w:bidi="en-US"/>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30</w:t>
            </w:r>
          </w:p>
        </w:tc>
        <w:tc>
          <w:tcPr>
            <w:tcW w:w="1380" w:type="dxa"/>
            <w:tcBorders>
              <w:tl2br w:val="nil"/>
              <w:tr2bl w:val="nil"/>
            </w:tcBorders>
            <w:noWrap w:val="0"/>
            <w:vAlign w:val="center"/>
          </w:tcPr>
          <w:p>
            <w:pPr>
              <w:jc w:val="center"/>
              <w:rPr>
                <w:rFonts w:hint="eastAsia" w:ascii="宋体" w:hAnsi="宋体" w:eastAsia="宋体" w:cs="宋体"/>
                <w:color w:val="000000" w:themeColor="text1"/>
                <w:sz w:val="21"/>
                <w:szCs w:val="21"/>
                <w:highlight w:val="none"/>
                <w:lang w:bidi="en-US"/>
                <w14:textFill>
                  <w14:solidFill>
                    <w14:schemeClr w14:val="tx1"/>
                  </w14:solidFill>
                </w14:textFill>
              </w:rPr>
            </w:pPr>
            <w:r>
              <w:rPr>
                <w:rFonts w:hint="eastAsia" w:ascii="宋体" w:hAnsi="宋体" w:eastAsia="宋体" w:cs="宋体"/>
                <w:color w:val="000000" w:themeColor="text1"/>
                <w:sz w:val="21"/>
                <w:szCs w:val="21"/>
                <w:highlight w:val="none"/>
                <w:lang w:bidi="en-US"/>
                <w14:textFill>
                  <w14:solidFill>
                    <w14:schemeClr w14:val="tx1"/>
                  </w14:solidFill>
                </w14:textFill>
              </w:rPr>
              <w:t>40</w:t>
            </w:r>
          </w:p>
        </w:tc>
        <w:tc>
          <w:tcPr>
            <w:tcW w:w="1110" w:type="dxa"/>
            <w:tcBorders>
              <w:tl2br w:val="nil"/>
              <w:tr2bl w:val="nil"/>
            </w:tcBorders>
            <w:noWrap w:val="0"/>
            <w:vAlign w:val="center"/>
          </w:tcPr>
          <w:p>
            <w:pPr>
              <w:jc w:val="center"/>
              <w:rPr>
                <w:rFonts w:hint="eastAsia" w:ascii="宋体" w:hAnsi="宋体" w:eastAsia="宋体" w:cs="宋体"/>
                <w:color w:val="000000" w:themeColor="text1"/>
                <w:sz w:val="21"/>
                <w:szCs w:val="21"/>
                <w:highlight w:val="none"/>
                <w:lang w:val="en-US" w:eastAsia="zh-CN" w:bidi="en-US"/>
                <w14:textFill>
                  <w14:solidFill>
                    <w14:schemeClr w14:val="tx1"/>
                  </w14:solidFill>
                </w14:textFill>
              </w:rPr>
            </w:pPr>
            <w:r>
              <w:rPr>
                <w:rFonts w:hint="eastAsia" w:ascii="宋体" w:hAnsi="宋体" w:eastAsia="宋体" w:cs="宋体"/>
                <w:color w:val="000000" w:themeColor="text1"/>
                <w:sz w:val="21"/>
                <w:szCs w:val="21"/>
                <w:highlight w:val="none"/>
                <w:lang w:val="en-US" w:eastAsia="zh-CN" w:bidi="en-US"/>
                <w14:textFill>
                  <w14:solidFill>
                    <w14:schemeClr w14:val="tx1"/>
                  </w14:solidFill>
                </w14:textFill>
              </w:rPr>
              <w:t>75</w:t>
            </w:r>
          </w:p>
        </w:tc>
        <w:tc>
          <w:tcPr>
            <w:tcW w:w="1146" w:type="dxa"/>
            <w:tcBorders>
              <w:tl2br w:val="nil"/>
              <w:tr2bl w:val="nil"/>
            </w:tcBorders>
            <w:noWrap w:val="0"/>
            <w:vAlign w:val="center"/>
          </w:tcPr>
          <w:p>
            <w:pPr>
              <w:jc w:val="center"/>
              <w:rPr>
                <w:rFonts w:hint="eastAsia" w:ascii="宋体" w:hAnsi="宋体" w:eastAsia="宋体" w:cs="宋体"/>
                <w:color w:val="000000" w:themeColor="text1"/>
                <w:sz w:val="21"/>
                <w:highlight w:val="none"/>
                <w:lang w:bidi="en-US"/>
                <w14:textFill>
                  <w14:solidFill>
                    <w14:schemeClr w14:val="tx1"/>
                  </w14:solidFill>
                </w14:textFill>
              </w:rPr>
            </w:pPr>
            <w:r>
              <w:rPr>
                <w:rFonts w:hint="eastAsia" w:ascii="宋体" w:hAnsi="宋体" w:eastAsia="宋体" w:cs="宋体"/>
                <w:color w:val="000000" w:themeColor="text1"/>
                <w:sz w:val="21"/>
                <w:highlight w:val="none"/>
                <w:lang w:bidi="en-US"/>
                <w14:textFill>
                  <w14:solidFill>
                    <w14:schemeClr w14:val="tx1"/>
                  </w14:solidFill>
                </w14:textFill>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8" w:hRule="exact"/>
          <w:jc w:val="center"/>
        </w:trPr>
        <w:tc>
          <w:tcPr>
            <w:tcW w:w="876" w:type="dxa"/>
            <w:tcBorders>
              <w:tl2br w:val="nil"/>
              <w:tr2bl w:val="nil"/>
            </w:tcBorders>
            <w:noWrap w:val="0"/>
            <w:vAlign w:val="center"/>
          </w:tcPr>
          <w:p>
            <w:pPr>
              <w:jc w:val="center"/>
              <w:rPr>
                <w:rFonts w:hint="eastAsia" w:ascii="宋体" w:hAnsi="宋体" w:eastAsia="宋体" w:cs="宋体"/>
                <w:color w:val="000000" w:themeColor="text1"/>
                <w:sz w:val="21"/>
                <w:highlight w:val="none"/>
                <w:lang w:bidi="en-US"/>
                <w14:textFill>
                  <w14:solidFill>
                    <w14:schemeClr w14:val="tx1"/>
                  </w14:solidFill>
                </w14:textFill>
              </w:rPr>
            </w:pPr>
            <w:r>
              <w:rPr>
                <w:rFonts w:hint="eastAsia" w:ascii="宋体" w:hAnsi="宋体" w:eastAsia="宋体" w:cs="宋体"/>
                <w:color w:val="000000" w:themeColor="text1"/>
                <w:sz w:val="21"/>
                <w:highlight w:val="none"/>
                <w:lang w:bidi="en-US"/>
                <w14:textFill>
                  <w14:solidFill>
                    <w14:schemeClr w14:val="tx1"/>
                  </w14:solidFill>
                </w14:textFill>
              </w:rPr>
              <w:t>PM</w:t>
            </w:r>
            <w:r>
              <w:rPr>
                <w:rFonts w:hint="eastAsia" w:ascii="宋体" w:hAnsi="宋体" w:eastAsia="宋体" w:cs="宋体"/>
                <w:color w:val="000000" w:themeColor="text1"/>
                <w:sz w:val="21"/>
                <w:highlight w:val="none"/>
                <w:vertAlign w:val="subscript"/>
                <w:lang w:bidi="en-US"/>
                <w14:textFill>
                  <w14:solidFill>
                    <w14:schemeClr w14:val="tx1"/>
                  </w14:solidFill>
                </w14:textFill>
              </w:rPr>
              <w:t>10</w:t>
            </w:r>
          </w:p>
        </w:tc>
        <w:tc>
          <w:tcPr>
            <w:tcW w:w="2595" w:type="dxa"/>
            <w:vMerge w:val="continue"/>
            <w:tcBorders>
              <w:tl2br w:val="nil"/>
              <w:tr2bl w:val="nil"/>
            </w:tcBorders>
            <w:noWrap w:val="0"/>
            <w:vAlign w:val="center"/>
          </w:tcPr>
          <w:p>
            <w:pPr>
              <w:jc w:val="center"/>
              <w:rPr>
                <w:rFonts w:hint="eastAsia" w:ascii="宋体" w:hAnsi="宋体" w:eastAsia="宋体" w:cs="宋体"/>
                <w:color w:val="000000" w:themeColor="text1"/>
                <w:sz w:val="21"/>
                <w:highlight w:val="none"/>
                <w:lang w:bidi="en-US"/>
                <w14:textFill>
                  <w14:solidFill>
                    <w14:schemeClr w14:val="tx1"/>
                  </w14:solidFill>
                </w14:textFill>
              </w:rPr>
            </w:pPr>
          </w:p>
        </w:tc>
        <w:tc>
          <w:tcPr>
            <w:tcW w:w="1680" w:type="dxa"/>
            <w:tcBorders>
              <w:tl2br w:val="nil"/>
              <w:tr2bl w:val="nil"/>
            </w:tcBorders>
            <w:noWrap w:val="0"/>
            <w:vAlign w:val="center"/>
          </w:tcPr>
          <w:p>
            <w:pPr>
              <w:jc w:val="center"/>
              <w:rPr>
                <w:rFonts w:hint="eastAsia" w:ascii="宋体" w:hAnsi="宋体" w:eastAsia="宋体" w:cs="宋体"/>
                <w:color w:val="000000" w:themeColor="text1"/>
                <w:sz w:val="21"/>
                <w:szCs w:val="21"/>
                <w:highlight w:val="none"/>
                <w:lang w:val="en-US" w:eastAsia="zh-CN" w:bidi="en-US"/>
                <w14:textFill>
                  <w14:solidFill>
                    <w14:schemeClr w14:val="tx1"/>
                  </w14:solidFill>
                </w14:textFill>
              </w:rPr>
            </w:pPr>
            <w:r>
              <w:rPr>
                <w:rFonts w:hint="eastAsia" w:ascii="宋体" w:hAnsi="宋体" w:eastAsia="宋体" w:cs="宋体"/>
                <w:color w:val="000000" w:themeColor="text1"/>
                <w:sz w:val="21"/>
                <w:szCs w:val="21"/>
                <w:highlight w:val="none"/>
                <w:lang w:val="en-US" w:eastAsia="zh-CN" w:bidi="en-US"/>
                <w14:textFill>
                  <w14:solidFill>
                    <w14:schemeClr w14:val="tx1"/>
                  </w14:solidFill>
                </w14:textFill>
              </w:rPr>
              <w:t>49</w:t>
            </w:r>
          </w:p>
        </w:tc>
        <w:tc>
          <w:tcPr>
            <w:tcW w:w="1380" w:type="dxa"/>
            <w:tcBorders>
              <w:tl2br w:val="nil"/>
              <w:tr2bl w:val="nil"/>
            </w:tcBorders>
            <w:noWrap w:val="0"/>
            <w:vAlign w:val="center"/>
          </w:tcPr>
          <w:p>
            <w:pPr>
              <w:jc w:val="center"/>
              <w:rPr>
                <w:rFonts w:hint="eastAsia" w:ascii="宋体" w:hAnsi="宋体" w:eastAsia="宋体" w:cs="宋体"/>
                <w:color w:val="000000" w:themeColor="text1"/>
                <w:sz w:val="21"/>
                <w:szCs w:val="21"/>
                <w:highlight w:val="none"/>
                <w:lang w:bidi="en-US"/>
                <w14:textFill>
                  <w14:solidFill>
                    <w14:schemeClr w14:val="tx1"/>
                  </w14:solidFill>
                </w14:textFill>
              </w:rPr>
            </w:pPr>
            <w:r>
              <w:rPr>
                <w:rFonts w:hint="eastAsia" w:ascii="宋体" w:hAnsi="宋体" w:eastAsia="宋体" w:cs="宋体"/>
                <w:color w:val="000000" w:themeColor="text1"/>
                <w:sz w:val="21"/>
                <w:szCs w:val="21"/>
                <w:highlight w:val="none"/>
                <w:lang w:bidi="en-US"/>
                <w14:textFill>
                  <w14:solidFill>
                    <w14:schemeClr w14:val="tx1"/>
                  </w14:solidFill>
                </w14:textFill>
              </w:rPr>
              <w:t>70</w:t>
            </w:r>
          </w:p>
        </w:tc>
        <w:tc>
          <w:tcPr>
            <w:tcW w:w="1110" w:type="dxa"/>
            <w:tcBorders>
              <w:tl2br w:val="nil"/>
              <w:tr2bl w:val="nil"/>
            </w:tcBorders>
            <w:noWrap w:val="0"/>
            <w:vAlign w:val="center"/>
          </w:tcPr>
          <w:p>
            <w:pPr>
              <w:jc w:val="center"/>
              <w:rPr>
                <w:rFonts w:hint="eastAsia" w:ascii="宋体" w:hAnsi="宋体" w:eastAsia="宋体" w:cs="宋体"/>
                <w:color w:val="000000" w:themeColor="text1"/>
                <w:sz w:val="21"/>
                <w:szCs w:val="21"/>
                <w:highlight w:val="none"/>
                <w:lang w:val="en-US" w:eastAsia="zh-CN" w:bidi="en-US"/>
                <w14:textFill>
                  <w14:solidFill>
                    <w14:schemeClr w14:val="tx1"/>
                  </w14:solidFill>
                </w14:textFill>
              </w:rPr>
            </w:pPr>
            <w:r>
              <w:rPr>
                <w:rFonts w:hint="eastAsia" w:ascii="宋体" w:hAnsi="宋体" w:eastAsia="宋体" w:cs="宋体"/>
                <w:color w:val="000000" w:themeColor="text1"/>
                <w:sz w:val="21"/>
                <w:szCs w:val="21"/>
                <w:highlight w:val="none"/>
                <w:lang w:val="en-US" w:eastAsia="zh-CN" w:bidi="en-US"/>
                <w14:textFill>
                  <w14:solidFill>
                    <w14:schemeClr w14:val="tx1"/>
                  </w14:solidFill>
                </w14:textFill>
              </w:rPr>
              <w:t>70</w:t>
            </w:r>
          </w:p>
        </w:tc>
        <w:tc>
          <w:tcPr>
            <w:tcW w:w="1146" w:type="dxa"/>
            <w:tcBorders>
              <w:tl2br w:val="nil"/>
              <w:tr2bl w:val="nil"/>
            </w:tcBorders>
            <w:noWrap w:val="0"/>
            <w:vAlign w:val="center"/>
          </w:tcPr>
          <w:p>
            <w:pPr>
              <w:jc w:val="center"/>
              <w:rPr>
                <w:rFonts w:hint="eastAsia" w:ascii="宋体" w:hAnsi="宋体" w:eastAsia="宋体" w:cs="宋体"/>
                <w:color w:val="000000" w:themeColor="text1"/>
                <w:sz w:val="21"/>
                <w:highlight w:val="none"/>
                <w:lang w:bidi="en-US"/>
                <w14:textFill>
                  <w14:solidFill>
                    <w14:schemeClr w14:val="tx1"/>
                  </w14:solidFill>
                </w14:textFill>
              </w:rPr>
            </w:pPr>
            <w:r>
              <w:rPr>
                <w:rFonts w:hint="eastAsia" w:ascii="宋体" w:hAnsi="宋体" w:eastAsia="宋体" w:cs="宋体"/>
                <w:color w:val="000000" w:themeColor="text1"/>
                <w:sz w:val="21"/>
                <w:highlight w:val="none"/>
                <w:lang w:bidi="en-US"/>
                <w14:textFill>
                  <w14:solidFill>
                    <w14:schemeClr w14:val="tx1"/>
                  </w14:solidFill>
                </w14:textFill>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53" w:hRule="exact"/>
          <w:jc w:val="center"/>
        </w:trPr>
        <w:tc>
          <w:tcPr>
            <w:tcW w:w="876" w:type="dxa"/>
            <w:tcBorders>
              <w:tl2br w:val="nil"/>
              <w:tr2bl w:val="nil"/>
            </w:tcBorders>
            <w:noWrap w:val="0"/>
            <w:vAlign w:val="center"/>
          </w:tcPr>
          <w:p>
            <w:pPr>
              <w:jc w:val="center"/>
              <w:rPr>
                <w:rFonts w:hint="eastAsia" w:ascii="宋体" w:hAnsi="宋体" w:eastAsia="宋体" w:cs="宋体"/>
                <w:color w:val="000000" w:themeColor="text1"/>
                <w:sz w:val="21"/>
                <w:highlight w:val="none"/>
                <w:lang w:bidi="en-US"/>
                <w14:textFill>
                  <w14:solidFill>
                    <w14:schemeClr w14:val="tx1"/>
                  </w14:solidFill>
                </w14:textFill>
              </w:rPr>
            </w:pPr>
            <w:r>
              <w:rPr>
                <w:rFonts w:hint="eastAsia" w:ascii="宋体" w:hAnsi="宋体" w:eastAsia="宋体" w:cs="宋体"/>
                <w:color w:val="000000" w:themeColor="text1"/>
                <w:sz w:val="21"/>
                <w:highlight w:val="none"/>
                <w:lang w:bidi="en-US"/>
                <w14:textFill>
                  <w14:solidFill>
                    <w14:schemeClr w14:val="tx1"/>
                  </w14:solidFill>
                </w14:textFill>
              </w:rPr>
              <w:t>P</w:t>
            </w:r>
            <w:r>
              <w:rPr>
                <w:rFonts w:hint="eastAsia" w:ascii="宋体" w:hAnsi="宋体" w:eastAsia="宋体" w:cs="宋体"/>
                <w:color w:val="000000" w:themeColor="text1"/>
                <w:sz w:val="21"/>
                <w:highlight w:val="none"/>
                <w:lang w:eastAsia="zh-CN" w:bidi="en-US"/>
                <w14:textFill>
                  <w14:solidFill>
                    <w14:schemeClr w14:val="tx1"/>
                  </w14:solidFill>
                </w14:textFill>
              </w:rPr>
              <w:t>m²</w:t>
            </w:r>
            <w:r>
              <w:rPr>
                <w:rFonts w:hint="eastAsia" w:ascii="宋体" w:hAnsi="宋体" w:eastAsia="宋体" w:cs="宋体"/>
                <w:color w:val="000000" w:themeColor="text1"/>
                <w:sz w:val="21"/>
                <w:highlight w:val="none"/>
                <w:vertAlign w:val="subscript"/>
                <w:lang w:bidi="en-US"/>
                <w14:textFill>
                  <w14:solidFill>
                    <w14:schemeClr w14:val="tx1"/>
                  </w14:solidFill>
                </w14:textFill>
              </w:rPr>
              <w:t>.5</w:t>
            </w:r>
          </w:p>
        </w:tc>
        <w:tc>
          <w:tcPr>
            <w:tcW w:w="2595" w:type="dxa"/>
            <w:vMerge w:val="continue"/>
            <w:tcBorders>
              <w:tl2br w:val="nil"/>
              <w:tr2bl w:val="nil"/>
            </w:tcBorders>
            <w:noWrap w:val="0"/>
            <w:vAlign w:val="center"/>
          </w:tcPr>
          <w:p>
            <w:pPr>
              <w:jc w:val="center"/>
              <w:rPr>
                <w:rFonts w:hint="eastAsia" w:ascii="宋体" w:hAnsi="宋体" w:eastAsia="宋体" w:cs="宋体"/>
                <w:color w:val="000000" w:themeColor="text1"/>
                <w:sz w:val="21"/>
                <w:highlight w:val="none"/>
                <w:lang w:bidi="en-US"/>
                <w14:textFill>
                  <w14:solidFill>
                    <w14:schemeClr w14:val="tx1"/>
                  </w14:solidFill>
                </w14:textFill>
              </w:rPr>
            </w:pPr>
          </w:p>
        </w:tc>
        <w:tc>
          <w:tcPr>
            <w:tcW w:w="1680" w:type="dxa"/>
            <w:tcBorders>
              <w:tl2br w:val="nil"/>
              <w:tr2bl w:val="nil"/>
            </w:tcBorders>
            <w:noWrap w:val="0"/>
            <w:vAlign w:val="center"/>
          </w:tcPr>
          <w:p>
            <w:pPr>
              <w:jc w:val="center"/>
              <w:rPr>
                <w:rFonts w:hint="eastAsia" w:ascii="宋体" w:hAnsi="宋体" w:eastAsia="宋体" w:cs="宋体"/>
                <w:color w:val="000000" w:themeColor="text1"/>
                <w:sz w:val="21"/>
                <w:szCs w:val="21"/>
                <w:highlight w:val="none"/>
                <w:lang w:val="en-US" w:eastAsia="zh-CN" w:bidi="en-US"/>
                <w14:textFill>
                  <w14:solidFill>
                    <w14:schemeClr w14:val="tx1"/>
                  </w14:solidFill>
                </w14:textFill>
              </w:rPr>
            </w:pPr>
            <w:r>
              <w:rPr>
                <w:rFonts w:hint="eastAsia" w:ascii="宋体" w:hAnsi="宋体" w:eastAsia="宋体" w:cs="宋体"/>
                <w:color w:val="000000" w:themeColor="text1"/>
                <w:sz w:val="21"/>
                <w:szCs w:val="21"/>
                <w:highlight w:val="none"/>
                <w:lang w:val="en-US" w:eastAsia="zh-CN" w:bidi="en-US"/>
                <w14:textFill>
                  <w14:solidFill>
                    <w14:schemeClr w14:val="tx1"/>
                  </w14:solidFill>
                </w14:textFill>
              </w:rPr>
              <w:t>39</w:t>
            </w:r>
          </w:p>
        </w:tc>
        <w:tc>
          <w:tcPr>
            <w:tcW w:w="1380" w:type="dxa"/>
            <w:tcBorders>
              <w:tl2br w:val="nil"/>
              <w:tr2bl w:val="nil"/>
            </w:tcBorders>
            <w:noWrap w:val="0"/>
            <w:vAlign w:val="center"/>
          </w:tcPr>
          <w:p>
            <w:pPr>
              <w:jc w:val="center"/>
              <w:rPr>
                <w:rFonts w:hint="eastAsia" w:ascii="宋体" w:hAnsi="宋体" w:eastAsia="宋体" w:cs="宋体"/>
                <w:color w:val="000000" w:themeColor="text1"/>
                <w:sz w:val="21"/>
                <w:szCs w:val="21"/>
                <w:highlight w:val="none"/>
                <w:lang w:bidi="en-US"/>
                <w14:textFill>
                  <w14:solidFill>
                    <w14:schemeClr w14:val="tx1"/>
                  </w14:solidFill>
                </w14:textFill>
              </w:rPr>
            </w:pPr>
            <w:r>
              <w:rPr>
                <w:rFonts w:hint="eastAsia" w:ascii="宋体" w:hAnsi="宋体" w:eastAsia="宋体" w:cs="宋体"/>
                <w:color w:val="000000" w:themeColor="text1"/>
                <w:sz w:val="21"/>
                <w:szCs w:val="21"/>
                <w:highlight w:val="none"/>
                <w:lang w:bidi="en-US"/>
                <w14:textFill>
                  <w14:solidFill>
                    <w14:schemeClr w14:val="tx1"/>
                  </w14:solidFill>
                </w14:textFill>
              </w:rPr>
              <w:t>35</w:t>
            </w:r>
          </w:p>
        </w:tc>
        <w:tc>
          <w:tcPr>
            <w:tcW w:w="1110" w:type="dxa"/>
            <w:tcBorders>
              <w:tl2br w:val="nil"/>
              <w:tr2bl w:val="nil"/>
            </w:tcBorders>
            <w:noWrap w:val="0"/>
            <w:vAlign w:val="center"/>
          </w:tcPr>
          <w:p>
            <w:pPr>
              <w:jc w:val="center"/>
              <w:rPr>
                <w:rFonts w:hint="eastAsia" w:ascii="宋体" w:hAnsi="宋体" w:eastAsia="宋体" w:cs="宋体"/>
                <w:color w:val="000000" w:themeColor="text1"/>
                <w:sz w:val="21"/>
                <w:szCs w:val="21"/>
                <w:highlight w:val="none"/>
                <w:lang w:val="en-US" w:eastAsia="zh-CN" w:bidi="en-US"/>
                <w14:textFill>
                  <w14:solidFill>
                    <w14:schemeClr w14:val="tx1"/>
                  </w14:solidFill>
                </w14:textFill>
              </w:rPr>
            </w:pPr>
            <w:r>
              <w:rPr>
                <w:rFonts w:hint="eastAsia" w:ascii="宋体" w:hAnsi="宋体" w:eastAsia="宋体" w:cs="宋体"/>
                <w:color w:val="000000" w:themeColor="text1"/>
                <w:sz w:val="21"/>
                <w:szCs w:val="21"/>
                <w:highlight w:val="none"/>
                <w:lang w:val="en-US" w:eastAsia="zh-CN" w:bidi="en-US"/>
                <w14:textFill>
                  <w14:solidFill>
                    <w14:schemeClr w14:val="tx1"/>
                  </w14:solidFill>
                </w14:textFill>
              </w:rPr>
              <w:t>111.4</w:t>
            </w:r>
          </w:p>
        </w:tc>
        <w:tc>
          <w:tcPr>
            <w:tcW w:w="1146" w:type="dxa"/>
            <w:tcBorders>
              <w:tl2br w:val="nil"/>
              <w:tr2bl w:val="nil"/>
            </w:tcBorders>
            <w:noWrap w:val="0"/>
            <w:vAlign w:val="center"/>
          </w:tcPr>
          <w:p>
            <w:pPr>
              <w:jc w:val="center"/>
              <w:rPr>
                <w:rFonts w:hint="eastAsia" w:ascii="宋体" w:hAnsi="宋体" w:eastAsia="宋体" w:cs="宋体"/>
                <w:color w:val="000000" w:themeColor="text1"/>
                <w:sz w:val="21"/>
                <w:highlight w:val="none"/>
                <w:lang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不</w:t>
            </w:r>
            <w:r>
              <w:rPr>
                <w:rFonts w:hint="eastAsia" w:ascii="宋体" w:hAnsi="宋体" w:eastAsia="宋体" w:cs="宋体"/>
                <w:color w:val="000000" w:themeColor="text1"/>
                <w:sz w:val="21"/>
                <w:highlight w:val="none"/>
                <w:lang w:bidi="en-US"/>
                <w14:textFill>
                  <w14:solidFill>
                    <w14:schemeClr w14:val="tx1"/>
                  </w14:solidFill>
                </w14:textFill>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7" w:hRule="exact"/>
          <w:jc w:val="center"/>
        </w:trPr>
        <w:tc>
          <w:tcPr>
            <w:tcW w:w="876" w:type="dxa"/>
            <w:tcBorders>
              <w:tl2br w:val="nil"/>
              <w:tr2bl w:val="nil"/>
            </w:tcBorders>
            <w:noWrap w:val="0"/>
            <w:vAlign w:val="center"/>
          </w:tcPr>
          <w:p>
            <w:pPr>
              <w:jc w:val="center"/>
              <w:rPr>
                <w:rFonts w:hint="eastAsia" w:ascii="宋体" w:hAnsi="宋体" w:eastAsia="宋体" w:cs="宋体"/>
                <w:color w:val="000000" w:themeColor="text1"/>
                <w:sz w:val="21"/>
                <w:highlight w:val="none"/>
                <w:lang w:bidi="en-US"/>
                <w14:textFill>
                  <w14:solidFill>
                    <w14:schemeClr w14:val="tx1"/>
                  </w14:solidFill>
                </w14:textFill>
              </w:rPr>
            </w:pPr>
            <w:r>
              <w:rPr>
                <w:rFonts w:hint="eastAsia" w:ascii="宋体" w:hAnsi="宋体" w:eastAsia="宋体" w:cs="宋体"/>
                <w:color w:val="000000" w:themeColor="text1"/>
                <w:sz w:val="21"/>
                <w:highlight w:val="none"/>
                <w:lang w:bidi="en-US"/>
                <w14:textFill>
                  <w14:solidFill>
                    <w14:schemeClr w14:val="tx1"/>
                  </w14:solidFill>
                </w14:textFill>
              </w:rPr>
              <w:t>O</w:t>
            </w:r>
            <w:r>
              <w:rPr>
                <w:rFonts w:hint="eastAsia" w:ascii="宋体" w:hAnsi="宋体" w:eastAsia="宋体" w:cs="宋体"/>
                <w:color w:val="000000" w:themeColor="text1"/>
                <w:sz w:val="21"/>
                <w:highlight w:val="none"/>
                <w:vertAlign w:val="subscript"/>
                <w:lang w:bidi="en-US"/>
                <w14:textFill>
                  <w14:solidFill>
                    <w14:schemeClr w14:val="tx1"/>
                  </w14:solidFill>
                </w14:textFill>
              </w:rPr>
              <w:t>3</w:t>
            </w:r>
          </w:p>
        </w:tc>
        <w:tc>
          <w:tcPr>
            <w:tcW w:w="2595" w:type="dxa"/>
            <w:tcBorders>
              <w:tl2br w:val="nil"/>
              <w:tr2bl w:val="nil"/>
            </w:tcBorders>
            <w:noWrap w:val="0"/>
            <w:vAlign w:val="center"/>
          </w:tcPr>
          <w:p>
            <w:pPr>
              <w:jc w:val="center"/>
              <w:rPr>
                <w:rFonts w:hint="eastAsia" w:ascii="宋体" w:hAnsi="宋体" w:eastAsia="宋体" w:cs="宋体"/>
                <w:color w:val="000000" w:themeColor="text1"/>
                <w:sz w:val="21"/>
                <w:highlight w:val="none"/>
                <w:lang w:bidi="en-US"/>
                <w14:textFill>
                  <w14:solidFill>
                    <w14:schemeClr w14:val="tx1"/>
                  </w14:solidFill>
                </w14:textFill>
              </w:rPr>
            </w:pPr>
            <w:r>
              <w:rPr>
                <w:rFonts w:hint="eastAsia" w:ascii="宋体" w:hAnsi="宋体" w:eastAsia="宋体" w:cs="宋体"/>
                <w:color w:val="000000" w:themeColor="text1"/>
                <w:sz w:val="21"/>
                <w:highlight w:val="none"/>
                <w:lang w:bidi="en-US"/>
                <w14:textFill>
                  <w14:solidFill>
                    <w14:schemeClr w14:val="tx1"/>
                  </w14:solidFill>
                </w14:textFill>
              </w:rPr>
              <w:t>90百分位数最大8小时</w:t>
            </w:r>
          </w:p>
        </w:tc>
        <w:tc>
          <w:tcPr>
            <w:tcW w:w="1680" w:type="dxa"/>
            <w:tcBorders>
              <w:tl2br w:val="nil"/>
              <w:tr2bl w:val="nil"/>
            </w:tcBorders>
            <w:noWrap w:val="0"/>
            <w:vAlign w:val="center"/>
          </w:tcPr>
          <w:p>
            <w:pPr>
              <w:jc w:val="center"/>
              <w:rPr>
                <w:rFonts w:hint="eastAsia" w:ascii="宋体" w:hAnsi="宋体" w:eastAsia="宋体" w:cs="宋体"/>
                <w:color w:val="000000" w:themeColor="text1"/>
                <w:sz w:val="21"/>
                <w:szCs w:val="21"/>
                <w:highlight w:val="none"/>
                <w:lang w:val="en-US" w:eastAsia="zh-CN" w:bidi="en-US"/>
                <w14:textFill>
                  <w14:solidFill>
                    <w14:schemeClr w14:val="tx1"/>
                  </w14:solidFill>
                </w14:textFill>
              </w:rPr>
            </w:pPr>
            <w:r>
              <w:rPr>
                <w:rFonts w:hint="eastAsia" w:ascii="宋体" w:hAnsi="宋体" w:eastAsia="宋体" w:cs="宋体"/>
                <w:color w:val="000000" w:themeColor="text1"/>
                <w:sz w:val="21"/>
                <w:szCs w:val="21"/>
                <w:highlight w:val="none"/>
                <w:lang w:val="en-US" w:eastAsia="zh-CN" w:bidi="en-US"/>
                <w14:textFill>
                  <w14:solidFill>
                    <w14:schemeClr w14:val="tx1"/>
                  </w14:solidFill>
                </w14:textFill>
              </w:rPr>
              <w:t>139</w:t>
            </w:r>
          </w:p>
        </w:tc>
        <w:tc>
          <w:tcPr>
            <w:tcW w:w="1380" w:type="dxa"/>
            <w:tcBorders>
              <w:tl2br w:val="nil"/>
              <w:tr2bl w:val="nil"/>
            </w:tcBorders>
            <w:noWrap w:val="0"/>
            <w:vAlign w:val="center"/>
          </w:tcPr>
          <w:p>
            <w:pPr>
              <w:jc w:val="center"/>
              <w:rPr>
                <w:rFonts w:hint="eastAsia" w:ascii="宋体" w:hAnsi="宋体" w:eastAsia="宋体" w:cs="宋体"/>
                <w:color w:val="000000" w:themeColor="text1"/>
                <w:sz w:val="21"/>
                <w:szCs w:val="21"/>
                <w:highlight w:val="none"/>
                <w:lang w:bidi="en-US"/>
                <w14:textFill>
                  <w14:solidFill>
                    <w14:schemeClr w14:val="tx1"/>
                  </w14:solidFill>
                </w14:textFill>
              </w:rPr>
            </w:pPr>
            <w:r>
              <w:rPr>
                <w:rFonts w:hint="eastAsia" w:ascii="宋体" w:hAnsi="宋体" w:eastAsia="宋体" w:cs="宋体"/>
                <w:color w:val="000000" w:themeColor="text1"/>
                <w:sz w:val="21"/>
                <w:szCs w:val="21"/>
                <w:highlight w:val="none"/>
                <w:lang w:bidi="en-US"/>
                <w14:textFill>
                  <w14:solidFill>
                    <w14:schemeClr w14:val="tx1"/>
                  </w14:solidFill>
                </w14:textFill>
              </w:rPr>
              <w:t>160</w:t>
            </w:r>
          </w:p>
        </w:tc>
        <w:tc>
          <w:tcPr>
            <w:tcW w:w="1110" w:type="dxa"/>
            <w:tcBorders>
              <w:tl2br w:val="nil"/>
              <w:tr2bl w:val="nil"/>
            </w:tcBorders>
            <w:noWrap w:val="0"/>
            <w:vAlign w:val="center"/>
          </w:tcPr>
          <w:p>
            <w:pPr>
              <w:jc w:val="center"/>
              <w:rPr>
                <w:rFonts w:hint="eastAsia" w:ascii="宋体" w:hAnsi="宋体" w:eastAsia="宋体" w:cs="宋体"/>
                <w:color w:val="000000" w:themeColor="text1"/>
                <w:sz w:val="21"/>
                <w:szCs w:val="21"/>
                <w:highlight w:val="none"/>
                <w:lang w:val="en-US" w:eastAsia="zh-CN" w:bidi="en-US"/>
                <w14:textFill>
                  <w14:solidFill>
                    <w14:schemeClr w14:val="tx1"/>
                  </w14:solidFill>
                </w14:textFill>
              </w:rPr>
            </w:pPr>
            <w:r>
              <w:rPr>
                <w:rFonts w:hint="eastAsia" w:ascii="宋体" w:hAnsi="宋体" w:eastAsia="宋体" w:cs="宋体"/>
                <w:color w:val="000000" w:themeColor="text1"/>
                <w:sz w:val="21"/>
                <w:szCs w:val="21"/>
                <w:highlight w:val="none"/>
                <w:lang w:val="en-US" w:eastAsia="zh-CN" w:bidi="en-US"/>
                <w14:textFill>
                  <w14:solidFill>
                    <w14:schemeClr w14:val="tx1"/>
                  </w14:solidFill>
                </w14:textFill>
              </w:rPr>
              <w:t>86.9</w:t>
            </w:r>
          </w:p>
        </w:tc>
        <w:tc>
          <w:tcPr>
            <w:tcW w:w="1146" w:type="dxa"/>
            <w:tcBorders>
              <w:tl2br w:val="nil"/>
              <w:tr2bl w:val="nil"/>
            </w:tcBorders>
            <w:noWrap w:val="0"/>
            <w:vAlign w:val="center"/>
          </w:tcPr>
          <w:p>
            <w:pPr>
              <w:jc w:val="center"/>
              <w:rPr>
                <w:rFonts w:hint="eastAsia" w:ascii="宋体" w:hAnsi="宋体" w:eastAsia="宋体" w:cs="宋体"/>
                <w:color w:val="000000" w:themeColor="text1"/>
                <w:sz w:val="21"/>
                <w:highlight w:val="none"/>
                <w:lang w:bidi="en-US"/>
                <w14:textFill>
                  <w14:solidFill>
                    <w14:schemeClr w14:val="tx1"/>
                  </w14:solidFill>
                </w14:textFill>
              </w:rPr>
            </w:pPr>
            <w:r>
              <w:rPr>
                <w:rFonts w:hint="eastAsia" w:ascii="宋体" w:hAnsi="宋体" w:eastAsia="宋体" w:cs="宋体"/>
                <w:color w:val="000000" w:themeColor="text1"/>
                <w:sz w:val="21"/>
                <w:highlight w:val="none"/>
                <w:lang w:bidi="en-US"/>
                <w14:textFill>
                  <w14:solidFill>
                    <w14:schemeClr w14:val="tx1"/>
                  </w14:solidFill>
                </w14:textFill>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78" w:hRule="exact"/>
          <w:jc w:val="center"/>
        </w:trPr>
        <w:tc>
          <w:tcPr>
            <w:tcW w:w="876" w:type="dxa"/>
            <w:tcBorders>
              <w:tl2br w:val="nil"/>
              <w:tr2bl w:val="nil"/>
            </w:tcBorders>
            <w:noWrap w:val="0"/>
            <w:vAlign w:val="center"/>
          </w:tcPr>
          <w:p>
            <w:pPr>
              <w:jc w:val="center"/>
              <w:rPr>
                <w:rFonts w:hint="eastAsia" w:ascii="宋体" w:hAnsi="宋体" w:eastAsia="宋体" w:cs="宋体"/>
                <w:color w:val="000000" w:themeColor="text1"/>
                <w:sz w:val="21"/>
                <w:highlight w:val="none"/>
                <w:lang w:bidi="en-US"/>
                <w14:textFill>
                  <w14:solidFill>
                    <w14:schemeClr w14:val="tx1"/>
                  </w14:solidFill>
                </w14:textFill>
              </w:rPr>
            </w:pPr>
            <w:r>
              <w:rPr>
                <w:rFonts w:hint="eastAsia" w:ascii="宋体" w:hAnsi="宋体" w:eastAsia="宋体" w:cs="宋体"/>
                <w:color w:val="000000" w:themeColor="text1"/>
                <w:sz w:val="21"/>
                <w:highlight w:val="none"/>
                <w:lang w:bidi="en-US"/>
                <w14:textFill>
                  <w14:solidFill>
                    <w14:schemeClr w14:val="tx1"/>
                  </w14:solidFill>
                </w14:textFill>
              </w:rPr>
              <w:t>CO</w:t>
            </w:r>
          </w:p>
        </w:tc>
        <w:tc>
          <w:tcPr>
            <w:tcW w:w="2595" w:type="dxa"/>
            <w:tcBorders>
              <w:tl2br w:val="nil"/>
              <w:tr2bl w:val="nil"/>
            </w:tcBorders>
            <w:noWrap w:val="0"/>
            <w:vAlign w:val="center"/>
          </w:tcPr>
          <w:p>
            <w:pPr>
              <w:jc w:val="center"/>
              <w:rPr>
                <w:rFonts w:hint="eastAsia" w:ascii="宋体" w:hAnsi="宋体" w:eastAsia="宋体" w:cs="宋体"/>
                <w:color w:val="000000" w:themeColor="text1"/>
                <w:sz w:val="21"/>
                <w:highlight w:val="none"/>
                <w:lang w:bidi="en-US"/>
                <w14:textFill>
                  <w14:solidFill>
                    <w14:schemeClr w14:val="tx1"/>
                  </w14:solidFill>
                </w14:textFill>
              </w:rPr>
            </w:pPr>
            <w:r>
              <w:rPr>
                <w:rFonts w:hint="eastAsia" w:ascii="宋体" w:hAnsi="宋体" w:eastAsia="宋体" w:cs="宋体"/>
                <w:color w:val="000000" w:themeColor="text1"/>
                <w:sz w:val="21"/>
                <w:highlight w:val="none"/>
                <w:lang w:bidi="en-US"/>
                <w14:textFill>
                  <w14:solidFill>
                    <w14:schemeClr w14:val="tx1"/>
                  </w14:solidFill>
                </w14:textFill>
              </w:rPr>
              <w:t>95百分位数日平均</w:t>
            </w:r>
          </w:p>
        </w:tc>
        <w:tc>
          <w:tcPr>
            <w:tcW w:w="1680" w:type="dxa"/>
            <w:tcBorders>
              <w:tl2br w:val="nil"/>
              <w:tr2bl w:val="nil"/>
            </w:tcBorders>
            <w:noWrap w:val="0"/>
            <w:vAlign w:val="center"/>
          </w:tcPr>
          <w:p>
            <w:pPr>
              <w:jc w:val="center"/>
              <w:rPr>
                <w:rFonts w:hint="eastAsia" w:ascii="宋体" w:hAnsi="宋体" w:eastAsia="宋体" w:cs="宋体"/>
                <w:color w:val="000000" w:themeColor="text1"/>
                <w:sz w:val="21"/>
                <w:szCs w:val="21"/>
                <w:highlight w:val="none"/>
                <w:lang w:val="en-US" w:eastAsia="zh-CN" w:bidi="en-US"/>
                <w14:textFill>
                  <w14:solidFill>
                    <w14:schemeClr w14:val="tx1"/>
                  </w14:solidFill>
                </w14:textFill>
              </w:rPr>
            </w:pPr>
            <w:r>
              <w:rPr>
                <w:rFonts w:hint="eastAsia" w:ascii="宋体" w:hAnsi="宋体" w:eastAsia="宋体" w:cs="宋体"/>
                <w:color w:val="000000" w:themeColor="text1"/>
                <w:sz w:val="21"/>
                <w:szCs w:val="21"/>
                <w:highlight w:val="none"/>
                <w:lang w:val="en-US" w:eastAsia="zh-CN" w:bidi="en-US"/>
                <w14:textFill>
                  <w14:solidFill>
                    <w14:schemeClr w14:val="tx1"/>
                  </w14:solidFill>
                </w14:textFill>
              </w:rPr>
              <w:t>1.0</w:t>
            </w:r>
            <w:r>
              <w:rPr>
                <w:rFonts w:hint="eastAsia" w:ascii="宋体" w:hAnsi="宋体" w:eastAsia="宋体" w:cs="宋体"/>
                <w:color w:val="000000" w:themeColor="text1"/>
                <w:sz w:val="21"/>
                <w:szCs w:val="21"/>
                <w:highlight w:val="none"/>
                <w:lang w:bidi="en-US"/>
                <w14:textFill>
                  <w14:solidFill>
                    <w14:schemeClr w14:val="tx1"/>
                  </w14:solidFill>
                </w14:textFill>
              </w:rPr>
              <w:t>mg/</w:t>
            </w:r>
            <w:r>
              <w:rPr>
                <w:rFonts w:hint="eastAsia" w:ascii="宋体" w:hAnsi="宋体" w:eastAsia="宋体" w:cs="宋体"/>
                <w:color w:val="000000" w:themeColor="text1"/>
                <w:sz w:val="21"/>
                <w:szCs w:val="21"/>
                <w:highlight w:val="none"/>
                <w:lang w:eastAsia="zh-CN" w:bidi="en-US"/>
                <w14:textFill>
                  <w14:solidFill>
                    <w14:schemeClr w14:val="tx1"/>
                  </w14:solidFill>
                </w14:textFill>
              </w:rPr>
              <w:t>m³</w:t>
            </w:r>
          </w:p>
        </w:tc>
        <w:tc>
          <w:tcPr>
            <w:tcW w:w="1380" w:type="dxa"/>
            <w:tcBorders>
              <w:tl2br w:val="nil"/>
              <w:tr2bl w:val="nil"/>
            </w:tcBorders>
            <w:noWrap w:val="0"/>
            <w:vAlign w:val="center"/>
          </w:tcPr>
          <w:p>
            <w:pPr>
              <w:jc w:val="center"/>
              <w:rPr>
                <w:rFonts w:hint="eastAsia" w:ascii="宋体" w:hAnsi="宋体" w:eastAsia="宋体" w:cs="宋体"/>
                <w:color w:val="000000" w:themeColor="text1"/>
                <w:sz w:val="21"/>
                <w:szCs w:val="21"/>
                <w:highlight w:val="none"/>
                <w:lang w:eastAsia="zh-CN" w:bidi="en-US"/>
                <w14:textFill>
                  <w14:solidFill>
                    <w14:schemeClr w14:val="tx1"/>
                  </w14:solidFill>
                </w14:textFill>
              </w:rPr>
            </w:pPr>
            <w:r>
              <w:rPr>
                <w:rFonts w:hint="eastAsia" w:ascii="宋体" w:hAnsi="宋体" w:eastAsia="宋体" w:cs="宋体"/>
                <w:color w:val="000000" w:themeColor="text1"/>
                <w:sz w:val="21"/>
                <w:szCs w:val="21"/>
                <w:highlight w:val="none"/>
                <w:lang w:bidi="en-US"/>
                <w14:textFill>
                  <w14:solidFill>
                    <w14:schemeClr w14:val="tx1"/>
                  </w14:solidFill>
                </w14:textFill>
              </w:rPr>
              <w:t>4mg/</w:t>
            </w:r>
            <w:r>
              <w:rPr>
                <w:rFonts w:hint="eastAsia" w:ascii="宋体" w:hAnsi="宋体" w:eastAsia="宋体" w:cs="宋体"/>
                <w:color w:val="000000" w:themeColor="text1"/>
                <w:sz w:val="21"/>
                <w:szCs w:val="21"/>
                <w:highlight w:val="none"/>
                <w:lang w:eastAsia="zh-CN" w:bidi="en-US"/>
                <w14:textFill>
                  <w14:solidFill>
                    <w14:schemeClr w14:val="tx1"/>
                  </w14:solidFill>
                </w14:textFill>
              </w:rPr>
              <w:t>m³</w:t>
            </w:r>
          </w:p>
        </w:tc>
        <w:tc>
          <w:tcPr>
            <w:tcW w:w="1110" w:type="dxa"/>
            <w:tcBorders>
              <w:tl2br w:val="nil"/>
              <w:tr2bl w:val="nil"/>
            </w:tcBorders>
            <w:noWrap w:val="0"/>
            <w:vAlign w:val="center"/>
          </w:tcPr>
          <w:p>
            <w:pPr>
              <w:jc w:val="center"/>
              <w:rPr>
                <w:rFonts w:hint="eastAsia" w:ascii="宋体" w:hAnsi="宋体" w:eastAsia="宋体" w:cs="宋体"/>
                <w:color w:val="000000" w:themeColor="text1"/>
                <w:sz w:val="21"/>
                <w:szCs w:val="21"/>
                <w:highlight w:val="none"/>
                <w:lang w:val="en-US" w:eastAsia="zh-CN" w:bidi="en-US"/>
                <w14:textFill>
                  <w14:solidFill>
                    <w14:schemeClr w14:val="tx1"/>
                  </w14:solidFill>
                </w14:textFill>
              </w:rPr>
            </w:pPr>
            <w:r>
              <w:rPr>
                <w:rFonts w:hint="eastAsia" w:ascii="宋体" w:hAnsi="宋体" w:eastAsia="宋体" w:cs="宋体"/>
                <w:color w:val="000000" w:themeColor="text1"/>
                <w:sz w:val="21"/>
                <w:szCs w:val="21"/>
                <w:highlight w:val="none"/>
                <w:lang w:val="en-US" w:eastAsia="zh-CN" w:bidi="en-US"/>
                <w14:textFill>
                  <w14:solidFill>
                    <w14:schemeClr w14:val="tx1"/>
                  </w14:solidFill>
                </w14:textFill>
              </w:rPr>
              <w:t>25</w:t>
            </w:r>
          </w:p>
        </w:tc>
        <w:tc>
          <w:tcPr>
            <w:tcW w:w="1146" w:type="dxa"/>
            <w:tcBorders>
              <w:tl2br w:val="nil"/>
              <w:tr2bl w:val="nil"/>
            </w:tcBorders>
            <w:noWrap w:val="0"/>
            <w:vAlign w:val="center"/>
          </w:tcPr>
          <w:p>
            <w:pPr>
              <w:jc w:val="center"/>
              <w:rPr>
                <w:rFonts w:hint="eastAsia" w:ascii="宋体" w:hAnsi="宋体" w:eastAsia="宋体" w:cs="宋体"/>
                <w:color w:val="000000" w:themeColor="text1"/>
                <w:sz w:val="21"/>
                <w:highlight w:val="none"/>
                <w:lang w:bidi="en-US"/>
                <w14:textFill>
                  <w14:solidFill>
                    <w14:schemeClr w14:val="tx1"/>
                  </w14:solidFill>
                </w14:textFill>
              </w:rPr>
            </w:pPr>
            <w:r>
              <w:rPr>
                <w:rFonts w:hint="eastAsia" w:ascii="宋体" w:hAnsi="宋体" w:eastAsia="宋体" w:cs="宋体"/>
                <w:color w:val="000000" w:themeColor="text1"/>
                <w:sz w:val="21"/>
                <w:highlight w:val="none"/>
                <w:lang w:bidi="en-US"/>
                <w14:textFill>
                  <w14:solidFill>
                    <w14:schemeClr w14:val="tx1"/>
                  </w14:solidFill>
                </w14:textFill>
              </w:rPr>
              <w:t>达标</w:t>
            </w:r>
          </w:p>
        </w:tc>
      </w:tr>
    </w:tbl>
    <w:p>
      <w:pPr>
        <w:keepNext w:val="0"/>
        <w:keepLines w:val="0"/>
        <w:pageBreakBefore w:val="0"/>
        <w:kinsoku/>
        <w:wordWrap/>
        <w:overflowPunct/>
        <w:topLinePunct w:val="0"/>
        <w:bidi w:val="0"/>
        <w:adjustRightInd/>
        <w:snapToGrid/>
        <w:spacing w:line="360" w:lineRule="auto"/>
        <w:ind w:firstLine="480" w:firstLineChars="200"/>
        <w:jc w:val="both"/>
        <w:textAlignment w:val="auto"/>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t>由上述监测结果表可知，2022年天元区环境空气质量中SO</w:t>
      </w:r>
      <w:r>
        <w:rPr>
          <w:rFonts w:hint="eastAsia" w:ascii="宋体" w:hAnsi="宋体" w:eastAsia="宋体" w:cs="宋体"/>
          <w:b w:val="0"/>
          <w:bCs w:val="0"/>
          <w:i w:val="0"/>
          <w:iCs w:val="0"/>
          <w:color w:val="000000" w:themeColor="text1"/>
          <w:sz w:val="24"/>
          <w:szCs w:val="24"/>
          <w:vertAlign w:val="subscript"/>
          <w:lang w:val="en-US" w:eastAsia="zh-CN"/>
          <w14:textFill>
            <w14:solidFill>
              <w14:schemeClr w14:val="tx1"/>
            </w14:solidFill>
          </w14:textFill>
        </w:rPr>
        <w:t>2</w:t>
      </w:r>
      <w:r>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t>、NO</w:t>
      </w:r>
      <w:r>
        <w:rPr>
          <w:rFonts w:hint="eastAsia" w:ascii="宋体" w:hAnsi="宋体" w:eastAsia="宋体" w:cs="宋体"/>
          <w:b w:val="0"/>
          <w:bCs w:val="0"/>
          <w:i w:val="0"/>
          <w:iCs w:val="0"/>
          <w:color w:val="000000" w:themeColor="text1"/>
          <w:sz w:val="24"/>
          <w:szCs w:val="24"/>
          <w:vertAlign w:val="subscript"/>
          <w:lang w:val="en-US" w:eastAsia="zh-CN"/>
          <w14:textFill>
            <w14:solidFill>
              <w14:schemeClr w14:val="tx1"/>
            </w14:solidFill>
          </w14:textFill>
        </w:rPr>
        <w:t>2</w:t>
      </w:r>
      <w:r>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t>、PM</w:t>
      </w:r>
      <w:r>
        <w:rPr>
          <w:rFonts w:hint="eastAsia" w:ascii="宋体" w:hAnsi="宋体" w:eastAsia="宋体" w:cs="宋体"/>
          <w:b w:val="0"/>
          <w:bCs w:val="0"/>
          <w:i w:val="0"/>
          <w:iCs w:val="0"/>
          <w:color w:val="000000" w:themeColor="text1"/>
          <w:sz w:val="24"/>
          <w:szCs w:val="24"/>
          <w:vertAlign w:val="subscript"/>
          <w:lang w:val="en-US" w:eastAsia="zh-CN"/>
          <w14:textFill>
            <w14:solidFill>
              <w14:schemeClr w14:val="tx1"/>
            </w14:solidFill>
          </w14:textFill>
        </w:rPr>
        <w:t>10</w:t>
      </w:r>
      <w:r>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t>、CO、O</w:t>
      </w:r>
      <w:r>
        <w:rPr>
          <w:rFonts w:hint="eastAsia" w:ascii="宋体" w:hAnsi="宋体" w:eastAsia="宋体" w:cs="宋体"/>
          <w:b w:val="0"/>
          <w:bCs w:val="0"/>
          <w:i w:val="0"/>
          <w:iCs w:val="0"/>
          <w:color w:val="000000" w:themeColor="text1"/>
          <w:sz w:val="24"/>
          <w:szCs w:val="24"/>
          <w:vertAlign w:val="subscript"/>
          <w:lang w:val="en-US" w:eastAsia="zh-CN"/>
          <w14:textFill>
            <w14:solidFill>
              <w14:schemeClr w14:val="tx1"/>
            </w14:solidFill>
          </w14:textFill>
        </w:rPr>
        <w:t>3</w:t>
      </w:r>
      <w:r>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t>均可满足《环境空气质量标准》（GB3095-2012）中二级标准，只有Pm</w:t>
      </w:r>
      <w:r>
        <w:rPr>
          <w:rFonts w:hint="eastAsia" w:ascii="宋体" w:hAnsi="宋体" w:eastAsia="宋体" w:cs="宋体"/>
          <w:b w:val="0"/>
          <w:bCs w:val="0"/>
          <w:i w:val="0"/>
          <w:iCs w:val="0"/>
          <w:color w:val="000000" w:themeColor="text1"/>
          <w:sz w:val="24"/>
          <w:szCs w:val="24"/>
          <w:vertAlign w:val="subscript"/>
          <w:lang w:val="en-US" w:eastAsia="zh-CN"/>
          <w14:textFill>
            <w14:solidFill>
              <w14:schemeClr w14:val="tx1"/>
            </w14:solidFill>
          </w14:textFill>
        </w:rPr>
        <w:t>2.5</w:t>
      </w:r>
      <w:r>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t>超出《环境空气质量标准》（GB3095-2012）中二级标准，故本项目所在区域属于不达标区。</w:t>
      </w:r>
    </w:p>
    <w:p>
      <w:pPr>
        <w:keepNext w:val="0"/>
        <w:keepLines w:val="0"/>
        <w:pageBreakBefore w:val="0"/>
        <w:kinsoku/>
        <w:wordWrap/>
        <w:overflowPunct/>
        <w:topLinePunct w:val="0"/>
        <w:bidi w:val="0"/>
        <w:adjustRightInd/>
        <w:snapToGrid/>
        <w:spacing w:line="360" w:lineRule="auto"/>
        <w:ind w:firstLine="480" w:firstLineChars="200"/>
        <w:jc w:val="both"/>
        <w:textAlignment w:val="auto"/>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t>株洲市于2020年7月15日发布了《株洲市环境空气质量限期达标规划》，以2017年为规划基准年，2025年为中期规划目标年。结合株洲市大气环境特征和空气质量改善需求，从调整产业、能源结构，深化重点污染源减排及加强面源、扬尘污染治理的角度出发，对“十四五”、“十五五”开展分阶段管控，实施大气污染物控制战略。预计到2025年，中心城区PM2.5年均浓度不高于37μg/m3，到2027年，中心城区六项空气质量指标均达到国家二级标准。目前株洲市正大力开展蓝天保卫战工作，督促各工程项目落实环境保护相关措施，加强环境管理，区域的大气环境质量将得到进一步的改善。</w:t>
      </w:r>
    </w:p>
    <w:p>
      <w:pPr>
        <w:pStyle w:val="9"/>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4.</w:t>
      </w:r>
      <w:r>
        <w:rPr>
          <w:rFonts w:hint="eastAsia" w:ascii="宋体" w:hAnsi="宋体" w:eastAsia="宋体" w:cs="宋体"/>
          <w:color w:val="000000" w:themeColor="text1"/>
          <w:highlight w:val="none"/>
          <w:lang w:eastAsia="zh-CN"/>
          <w14:textFill>
            <w14:solidFill>
              <w14:schemeClr w14:val="tx1"/>
            </w14:solidFill>
          </w14:textFill>
        </w:rPr>
        <w:t>2.2.</w:t>
      </w:r>
      <w:r>
        <w:rPr>
          <w:rFonts w:hint="eastAsia" w:ascii="宋体" w:hAnsi="宋体" w:eastAsia="宋体" w:cs="宋体"/>
          <w:color w:val="000000" w:themeColor="text1"/>
          <w:highlight w:val="none"/>
          <w:lang w:val="en-US" w:eastAsia="zh-CN"/>
          <w14:textFill>
            <w14:solidFill>
              <w14:schemeClr w14:val="tx1"/>
            </w14:solidFill>
          </w14:textFill>
        </w:rPr>
        <w:t>2其他污染物环境质量</w:t>
      </w:r>
      <w:r>
        <w:rPr>
          <w:rFonts w:hint="eastAsia" w:ascii="宋体" w:hAnsi="宋体" w:eastAsia="宋体" w:cs="宋体"/>
          <w:color w:val="000000" w:themeColor="text1"/>
          <w:highlight w:val="none"/>
          <w:lang w:eastAsia="zh-CN"/>
          <w14:textFill>
            <w14:solidFill>
              <w14:schemeClr w14:val="tx1"/>
            </w14:solidFill>
          </w14:textFill>
        </w:rPr>
        <w:t>现状监测</w:t>
      </w:r>
    </w:p>
    <w:p>
      <w:pPr>
        <w:keepNext w:val="0"/>
        <w:keepLines w:val="0"/>
        <w:pageBreakBefore w:val="0"/>
        <w:kinsoku/>
        <w:wordWrap/>
        <w:overflowPunct/>
        <w:topLinePunct w:val="0"/>
        <w:bidi w:val="0"/>
        <w:adjustRightInd/>
        <w:snapToGrid/>
        <w:spacing w:line="360" w:lineRule="auto"/>
        <w:ind w:firstLine="480" w:firstLineChars="200"/>
        <w:jc w:val="both"/>
        <w:textAlignment w:val="auto"/>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t>本次环评收集了《湖南迪克硬质合金有限公司湖南迪克高耐磨非金属材料切削用硬质合金刀具生产建设项目环境影响报告书》中委托湖南桓泓检测技术有限公司对项目所在区域TVOC的监测数据，监测时间为2022年5月24日-2022年5月30日，连续监测7天，TVOC监测8h平均浓度，TSP监测24h平均浓度，监测点位位于本项目西南面3.8km处，监测点位位于本项目评价范围内，区间无大型气型污染源，引用数据可用。</w:t>
      </w:r>
    </w:p>
    <w:p>
      <w:pPr>
        <w:keepNext w:val="0"/>
        <w:keepLines w:val="0"/>
        <w:pageBreakBefore w:val="0"/>
        <w:widowControl/>
        <w:kinsoku/>
        <w:wordWrap/>
        <w:overflowPunct/>
        <w:topLinePunct w:val="0"/>
        <w:autoSpaceDE/>
        <w:autoSpaceDN/>
        <w:bidi w:val="0"/>
        <w:adjustRightInd/>
        <w:snapToGrid/>
        <w:spacing w:before="167" w:beforeLines="50" w:after="167" w:afterLines="50" w:line="360" w:lineRule="auto"/>
        <w:ind w:right="0" w:rightChars="0" w:firstLine="0"/>
        <w:jc w:val="center"/>
        <w:textAlignment w:val="auto"/>
        <w:rPr>
          <w:rFonts w:hint="eastAsia" w:ascii="宋体" w:hAnsi="宋体" w:eastAsia="宋体" w:cs="宋体"/>
          <w:b/>
          <w:color w:val="000000" w:themeColor="text1"/>
          <w:szCs w:val="21"/>
          <w:lang w:val="en-US" w:eastAsia="zh-CN"/>
          <w14:textFill>
            <w14:solidFill>
              <w14:schemeClr w14:val="tx1"/>
            </w14:solidFill>
          </w14:textFill>
        </w:rPr>
      </w:pPr>
      <w:r>
        <w:rPr>
          <w:rFonts w:hint="eastAsia" w:ascii="宋体" w:hAnsi="宋体" w:eastAsia="宋体" w:cs="宋体"/>
          <w:b/>
          <w:color w:val="000000" w:themeColor="text1"/>
          <w:szCs w:val="21"/>
          <w:lang w:val="en-US" w:eastAsia="zh-CN"/>
          <w14:textFill>
            <w14:solidFill>
              <w14:schemeClr w14:val="tx1"/>
            </w14:solidFill>
          </w14:textFill>
        </w:rPr>
        <w:t>表4.2-2区域大气环境质量现状评价结果汇总一览表</w:t>
      </w:r>
    </w:p>
    <w:tbl>
      <w:tblPr>
        <w:tblStyle w:val="31"/>
        <w:tblW w:w="499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76"/>
        <w:gridCol w:w="3280"/>
        <w:gridCol w:w="3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5" w:type="pct"/>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监测点位</w:t>
            </w:r>
          </w:p>
        </w:tc>
        <w:tc>
          <w:tcPr>
            <w:tcW w:w="1667" w:type="pct"/>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采样日期</w:t>
            </w:r>
          </w:p>
        </w:tc>
        <w:tc>
          <w:tcPr>
            <w:tcW w:w="1667" w:type="pct"/>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监测结果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5" w:type="pct"/>
            <w:vMerge w:val="restart"/>
            <w:vAlign w:val="center"/>
          </w:tcPr>
          <w:p>
            <w:pPr>
              <w:widowControl w:val="0"/>
              <w:jc w:val="center"/>
              <w:rPr>
                <w:rFonts w:hint="eastAsia" w:ascii="宋体" w:hAnsi="宋体" w:eastAsia="宋体" w:cs="宋体"/>
                <w:color w:val="000000" w:themeColor="text1"/>
                <w:sz w:val="21"/>
                <w:highlight w:val="none"/>
                <w:lang w:bidi="en-US"/>
                <w14:textFill>
                  <w14:solidFill>
                    <w14:schemeClr w14:val="tx1"/>
                  </w14:solidFill>
                </w14:textFill>
              </w:rPr>
            </w:pPr>
            <w:r>
              <w:rPr>
                <w:rFonts w:hint="eastAsia" w:ascii="宋体" w:hAnsi="宋体" w:eastAsia="宋体" w:cs="宋体"/>
                <w:color w:val="000000" w:themeColor="text1"/>
                <w:sz w:val="21"/>
                <w:highlight w:val="none"/>
                <w:lang w:bidi="en-US"/>
                <w14:textFill>
                  <w14:solidFill>
                    <w14:schemeClr w14:val="tx1"/>
                  </w14:solidFill>
                </w14:textFill>
              </w:rPr>
              <w:t>湖南迪克硬质合金有限公司厂址</w:t>
            </w:r>
            <w:r>
              <w:rPr>
                <w:rFonts w:hint="eastAsia" w:ascii="宋体" w:hAnsi="宋体" w:eastAsia="宋体" w:cs="宋体"/>
                <w:color w:val="000000" w:themeColor="text1"/>
                <w:sz w:val="21"/>
                <w:highlight w:val="none"/>
                <w:lang w:eastAsia="zh-CN" w:bidi="en-US"/>
                <w14:textFill>
                  <w14:solidFill>
                    <w14:schemeClr w14:val="tx1"/>
                  </w14:solidFill>
                </w14:textFill>
              </w:rPr>
              <w:t>（</w:t>
            </w:r>
            <w:r>
              <w:rPr>
                <w:rFonts w:hint="eastAsia" w:ascii="宋体" w:hAnsi="宋体" w:eastAsia="宋体" w:cs="宋体"/>
                <w:color w:val="000000" w:themeColor="text1"/>
                <w:sz w:val="21"/>
                <w:highlight w:val="none"/>
                <w:lang w:bidi="en-US"/>
                <w14:textFill>
                  <w14:solidFill>
                    <w14:schemeClr w14:val="tx1"/>
                  </w14:solidFill>
                </w14:textFill>
              </w:rPr>
              <w:t>本项目</w:t>
            </w:r>
            <w:r>
              <w:rPr>
                <w:rFonts w:hint="eastAsia" w:ascii="宋体" w:hAnsi="宋体" w:eastAsia="宋体" w:cs="宋体"/>
                <w:color w:val="000000" w:themeColor="text1"/>
                <w:sz w:val="21"/>
                <w:highlight w:val="none"/>
                <w:lang w:val="en-US" w:eastAsia="zh-CN" w:bidi="en-US"/>
                <w14:textFill>
                  <w14:solidFill>
                    <w14:schemeClr w14:val="tx1"/>
                  </w14:solidFill>
                </w14:textFill>
              </w:rPr>
              <w:t>西</w:t>
            </w:r>
            <w:r>
              <w:rPr>
                <w:rFonts w:hint="eastAsia" w:ascii="宋体" w:hAnsi="宋体" w:eastAsia="宋体" w:cs="宋体"/>
                <w:color w:val="000000" w:themeColor="text1"/>
                <w:sz w:val="21"/>
                <w:highlight w:val="none"/>
                <w:lang w:bidi="en-US"/>
                <w14:textFill>
                  <w14:solidFill>
                    <w14:schemeClr w14:val="tx1"/>
                  </w14:solidFill>
                </w14:textFill>
              </w:rPr>
              <w:t>南面</w:t>
            </w:r>
            <w:r>
              <w:rPr>
                <w:rFonts w:hint="eastAsia" w:ascii="宋体" w:hAnsi="宋体" w:eastAsia="宋体" w:cs="宋体"/>
                <w:color w:val="000000" w:themeColor="text1"/>
                <w:sz w:val="21"/>
                <w:highlight w:val="none"/>
                <w:lang w:val="en-US" w:eastAsia="zh-CN" w:bidi="en-US"/>
                <w14:textFill>
                  <w14:solidFill>
                    <w14:schemeClr w14:val="tx1"/>
                  </w14:solidFill>
                </w14:textFill>
              </w:rPr>
              <w:t>3.8k</w:t>
            </w:r>
            <w:r>
              <w:rPr>
                <w:rFonts w:hint="eastAsia" w:ascii="宋体" w:hAnsi="宋体" w:eastAsia="宋体" w:cs="宋体"/>
                <w:color w:val="000000" w:themeColor="text1"/>
                <w:sz w:val="21"/>
                <w:highlight w:val="none"/>
                <w:lang w:bidi="en-US"/>
                <w14:textFill>
                  <w14:solidFill>
                    <w14:schemeClr w14:val="tx1"/>
                  </w14:solidFill>
                </w14:textFill>
              </w:rPr>
              <w:t>m处</w:t>
            </w:r>
            <w:r>
              <w:rPr>
                <w:rFonts w:hint="eastAsia" w:ascii="宋体" w:hAnsi="宋体" w:eastAsia="宋体" w:cs="宋体"/>
                <w:color w:val="000000" w:themeColor="text1"/>
                <w:sz w:val="21"/>
                <w:highlight w:val="none"/>
                <w:lang w:eastAsia="zh-CN" w:bidi="en-US"/>
                <w14:textFill>
                  <w14:solidFill>
                    <w14:schemeClr w14:val="tx1"/>
                  </w14:solidFill>
                </w14:textFill>
              </w:rPr>
              <w:t>）</w:t>
            </w:r>
          </w:p>
        </w:tc>
        <w:tc>
          <w:tcPr>
            <w:tcW w:w="1667" w:type="pct"/>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2022.5.24</w:t>
            </w:r>
          </w:p>
        </w:tc>
        <w:tc>
          <w:tcPr>
            <w:tcW w:w="1667" w:type="pct"/>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0.0005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5" w:type="pct"/>
            <w:vMerge w:val="continue"/>
            <w:vAlign w:val="center"/>
          </w:tcPr>
          <w:p>
            <w:pPr>
              <w:widowControl w:val="0"/>
              <w:jc w:val="center"/>
              <w:rPr>
                <w:rFonts w:hint="eastAsia" w:ascii="宋体" w:hAnsi="宋体" w:eastAsia="宋体" w:cs="宋体"/>
                <w:color w:val="000000" w:themeColor="text1"/>
                <w:sz w:val="21"/>
                <w:highlight w:val="none"/>
                <w:lang w:bidi="en-US"/>
                <w14:textFill>
                  <w14:solidFill>
                    <w14:schemeClr w14:val="tx1"/>
                  </w14:solidFill>
                </w14:textFill>
              </w:rPr>
            </w:pPr>
          </w:p>
        </w:tc>
        <w:tc>
          <w:tcPr>
            <w:tcW w:w="1667" w:type="pct"/>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2022.5.25</w:t>
            </w:r>
          </w:p>
        </w:tc>
        <w:tc>
          <w:tcPr>
            <w:tcW w:w="1667" w:type="pct"/>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0.0005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5" w:type="pct"/>
            <w:vMerge w:val="continue"/>
            <w:vAlign w:val="center"/>
          </w:tcPr>
          <w:p>
            <w:pPr>
              <w:widowControl w:val="0"/>
              <w:jc w:val="center"/>
              <w:rPr>
                <w:rFonts w:hint="eastAsia" w:ascii="宋体" w:hAnsi="宋体" w:eastAsia="宋体" w:cs="宋体"/>
                <w:color w:val="000000" w:themeColor="text1"/>
                <w:sz w:val="21"/>
                <w:highlight w:val="none"/>
                <w:lang w:bidi="en-US"/>
                <w14:textFill>
                  <w14:solidFill>
                    <w14:schemeClr w14:val="tx1"/>
                  </w14:solidFill>
                </w14:textFill>
              </w:rPr>
            </w:pPr>
          </w:p>
        </w:tc>
        <w:tc>
          <w:tcPr>
            <w:tcW w:w="1667" w:type="pct"/>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2022.5.26</w:t>
            </w:r>
          </w:p>
        </w:tc>
        <w:tc>
          <w:tcPr>
            <w:tcW w:w="1667" w:type="pct"/>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5" w:type="pct"/>
            <w:vMerge w:val="continue"/>
            <w:vAlign w:val="center"/>
          </w:tcPr>
          <w:p>
            <w:pPr>
              <w:widowControl w:val="0"/>
              <w:jc w:val="center"/>
              <w:rPr>
                <w:rFonts w:hint="eastAsia" w:ascii="宋体" w:hAnsi="宋体" w:eastAsia="宋体" w:cs="宋体"/>
                <w:color w:val="000000" w:themeColor="text1"/>
                <w:sz w:val="21"/>
                <w:highlight w:val="none"/>
                <w:lang w:bidi="en-US"/>
                <w14:textFill>
                  <w14:solidFill>
                    <w14:schemeClr w14:val="tx1"/>
                  </w14:solidFill>
                </w14:textFill>
              </w:rPr>
            </w:pPr>
          </w:p>
        </w:tc>
        <w:tc>
          <w:tcPr>
            <w:tcW w:w="1667" w:type="pct"/>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2022.5.27</w:t>
            </w:r>
          </w:p>
        </w:tc>
        <w:tc>
          <w:tcPr>
            <w:tcW w:w="1667" w:type="pct"/>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5" w:type="pct"/>
            <w:vMerge w:val="continue"/>
            <w:vAlign w:val="center"/>
          </w:tcPr>
          <w:p>
            <w:pPr>
              <w:widowControl w:val="0"/>
              <w:jc w:val="center"/>
              <w:rPr>
                <w:rFonts w:hint="eastAsia" w:ascii="宋体" w:hAnsi="宋体" w:eastAsia="宋体" w:cs="宋体"/>
                <w:color w:val="000000" w:themeColor="text1"/>
                <w:sz w:val="21"/>
                <w:highlight w:val="none"/>
                <w:lang w:bidi="en-US"/>
                <w14:textFill>
                  <w14:solidFill>
                    <w14:schemeClr w14:val="tx1"/>
                  </w14:solidFill>
                </w14:textFill>
              </w:rPr>
            </w:pPr>
          </w:p>
        </w:tc>
        <w:tc>
          <w:tcPr>
            <w:tcW w:w="1667" w:type="pct"/>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2022.5.28</w:t>
            </w:r>
          </w:p>
        </w:tc>
        <w:tc>
          <w:tcPr>
            <w:tcW w:w="1667" w:type="pct"/>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5" w:type="pct"/>
            <w:vMerge w:val="continue"/>
            <w:vAlign w:val="center"/>
          </w:tcPr>
          <w:p>
            <w:pPr>
              <w:widowControl w:val="0"/>
              <w:jc w:val="center"/>
              <w:rPr>
                <w:rFonts w:hint="eastAsia" w:ascii="宋体" w:hAnsi="宋体" w:eastAsia="宋体" w:cs="宋体"/>
                <w:color w:val="000000" w:themeColor="text1"/>
                <w:sz w:val="21"/>
                <w:highlight w:val="none"/>
                <w:lang w:bidi="en-US"/>
                <w14:textFill>
                  <w14:solidFill>
                    <w14:schemeClr w14:val="tx1"/>
                  </w14:solidFill>
                </w14:textFill>
              </w:rPr>
            </w:pPr>
          </w:p>
        </w:tc>
        <w:tc>
          <w:tcPr>
            <w:tcW w:w="1667" w:type="pct"/>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2022.5.29</w:t>
            </w:r>
          </w:p>
        </w:tc>
        <w:tc>
          <w:tcPr>
            <w:tcW w:w="1667" w:type="pct"/>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0.0005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5" w:type="pct"/>
            <w:vMerge w:val="continue"/>
            <w:vAlign w:val="center"/>
          </w:tcPr>
          <w:p>
            <w:pPr>
              <w:widowControl w:val="0"/>
              <w:jc w:val="center"/>
              <w:rPr>
                <w:rFonts w:hint="eastAsia" w:ascii="宋体" w:hAnsi="宋体" w:eastAsia="宋体" w:cs="宋体"/>
                <w:color w:val="000000" w:themeColor="text1"/>
                <w:sz w:val="21"/>
                <w:highlight w:val="none"/>
                <w:lang w:bidi="en-US"/>
                <w14:textFill>
                  <w14:solidFill>
                    <w14:schemeClr w14:val="tx1"/>
                  </w14:solidFill>
                </w14:textFill>
              </w:rPr>
            </w:pPr>
          </w:p>
        </w:tc>
        <w:tc>
          <w:tcPr>
            <w:tcW w:w="1667" w:type="pct"/>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2022.5.30</w:t>
            </w:r>
          </w:p>
        </w:tc>
        <w:tc>
          <w:tcPr>
            <w:tcW w:w="1667" w:type="pct"/>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5" w:type="pct"/>
            <w:vMerge w:val="restart"/>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莲花塘</w:t>
            </w:r>
            <w:r>
              <w:rPr>
                <w:rFonts w:hint="eastAsia" w:ascii="宋体" w:hAnsi="宋体" w:eastAsia="宋体" w:cs="宋体"/>
                <w:color w:val="000000" w:themeColor="text1"/>
                <w:sz w:val="21"/>
                <w:highlight w:val="none"/>
                <w:lang w:bidi="en-US"/>
                <w14:textFill>
                  <w14:solidFill>
                    <w14:schemeClr w14:val="tx1"/>
                  </w14:solidFill>
                </w14:textFill>
              </w:rPr>
              <w:t>（本项目南面约</w:t>
            </w:r>
            <w:r>
              <w:rPr>
                <w:rFonts w:hint="eastAsia" w:ascii="宋体" w:hAnsi="宋体" w:eastAsia="宋体" w:cs="宋体"/>
                <w:color w:val="000000" w:themeColor="text1"/>
                <w:sz w:val="21"/>
                <w:highlight w:val="none"/>
                <w:lang w:val="en-US" w:eastAsia="zh-CN" w:bidi="en-US"/>
                <w14:textFill>
                  <w14:solidFill>
                    <w14:schemeClr w14:val="tx1"/>
                  </w14:solidFill>
                </w14:textFill>
              </w:rPr>
              <w:t>3.9</w:t>
            </w:r>
            <w:r>
              <w:rPr>
                <w:rFonts w:hint="eastAsia" w:ascii="宋体" w:hAnsi="宋体" w:eastAsia="宋体" w:cs="宋体"/>
                <w:color w:val="000000" w:themeColor="text1"/>
                <w:sz w:val="21"/>
                <w:highlight w:val="none"/>
                <w:lang w:bidi="en-US"/>
                <w14:textFill>
                  <w14:solidFill>
                    <w14:schemeClr w14:val="tx1"/>
                  </w14:solidFill>
                </w14:textFill>
              </w:rPr>
              <w:t>km处）</w:t>
            </w:r>
          </w:p>
        </w:tc>
        <w:tc>
          <w:tcPr>
            <w:tcW w:w="1667" w:type="pct"/>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2022.5.24</w:t>
            </w:r>
          </w:p>
        </w:tc>
        <w:tc>
          <w:tcPr>
            <w:tcW w:w="1667" w:type="pct"/>
            <w:vAlign w:val="center"/>
          </w:tcPr>
          <w:p>
            <w:pPr>
              <w:widowControl w:val="0"/>
              <w:jc w:val="center"/>
              <w:rPr>
                <w:rFonts w:hint="eastAsia" w:ascii="宋体" w:hAnsi="宋体" w:eastAsia="宋体" w:cs="宋体"/>
                <w:color w:val="000000" w:themeColor="text1"/>
                <w:sz w:val="21"/>
                <w:highlight w:val="none"/>
                <w:lang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5" w:type="pct"/>
            <w:vMerge w:val="continue"/>
            <w:vAlign w:val="center"/>
          </w:tcPr>
          <w:p>
            <w:pPr>
              <w:widowControl w:val="0"/>
              <w:jc w:val="center"/>
              <w:rPr>
                <w:rFonts w:hint="eastAsia" w:ascii="宋体" w:hAnsi="宋体" w:eastAsia="宋体" w:cs="宋体"/>
                <w:color w:val="000000" w:themeColor="text1"/>
                <w:sz w:val="21"/>
                <w:highlight w:val="none"/>
                <w:lang w:bidi="en-US"/>
                <w14:textFill>
                  <w14:solidFill>
                    <w14:schemeClr w14:val="tx1"/>
                  </w14:solidFill>
                </w14:textFill>
              </w:rPr>
            </w:pPr>
          </w:p>
        </w:tc>
        <w:tc>
          <w:tcPr>
            <w:tcW w:w="1667" w:type="pct"/>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2022.5.25</w:t>
            </w:r>
          </w:p>
        </w:tc>
        <w:tc>
          <w:tcPr>
            <w:tcW w:w="1667" w:type="pct"/>
            <w:vAlign w:val="center"/>
          </w:tcPr>
          <w:p>
            <w:pPr>
              <w:widowControl w:val="0"/>
              <w:jc w:val="center"/>
              <w:rPr>
                <w:rFonts w:hint="eastAsia" w:ascii="宋体" w:hAnsi="宋体" w:eastAsia="宋体" w:cs="宋体"/>
                <w:color w:val="000000" w:themeColor="text1"/>
                <w:sz w:val="21"/>
                <w:highlight w:val="none"/>
                <w:lang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0.0005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5" w:type="pct"/>
            <w:vMerge w:val="continue"/>
            <w:vAlign w:val="center"/>
          </w:tcPr>
          <w:p>
            <w:pPr>
              <w:widowControl w:val="0"/>
              <w:jc w:val="center"/>
              <w:rPr>
                <w:rFonts w:hint="eastAsia" w:ascii="宋体" w:hAnsi="宋体" w:eastAsia="宋体" w:cs="宋体"/>
                <w:color w:val="000000" w:themeColor="text1"/>
                <w:sz w:val="21"/>
                <w:highlight w:val="none"/>
                <w:lang w:bidi="en-US"/>
                <w14:textFill>
                  <w14:solidFill>
                    <w14:schemeClr w14:val="tx1"/>
                  </w14:solidFill>
                </w14:textFill>
              </w:rPr>
            </w:pPr>
          </w:p>
        </w:tc>
        <w:tc>
          <w:tcPr>
            <w:tcW w:w="1667" w:type="pct"/>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2022.5.26</w:t>
            </w:r>
          </w:p>
        </w:tc>
        <w:tc>
          <w:tcPr>
            <w:tcW w:w="1667" w:type="pct"/>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0.0005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5" w:type="pct"/>
            <w:vMerge w:val="continue"/>
            <w:vAlign w:val="center"/>
          </w:tcPr>
          <w:p>
            <w:pPr>
              <w:widowControl w:val="0"/>
              <w:jc w:val="center"/>
              <w:rPr>
                <w:rFonts w:hint="eastAsia" w:ascii="宋体" w:hAnsi="宋体" w:eastAsia="宋体" w:cs="宋体"/>
                <w:color w:val="000000" w:themeColor="text1"/>
                <w:sz w:val="21"/>
                <w:highlight w:val="none"/>
                <w:lang w:bidi="en-US"/>
                <w14:textFill>
                  <w14:solidFill>
                    <w14:schemeClr w14:val="tx1"/>
                  </w14:solidFill>
                </w14:textFill>
              </w:rPr>
            </w:pPr>
          </w:p>
        </w:tc>
        <w:tc>
          <w:tcPr>
            <w:tcW w:w="1667" w:type="pct"/>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2022.5.27</w:t>
            </w:r>
          </w:p>
        </w:tc>
        <w:tc>
          <w:tcPr>
            <w:tcW w:w="1667" w:type="pct"/>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5" w:type="pct"/>
            <w:vMerge w:val="continue"/>
            <w:vAlign w:val="center"/>
          </w:tcPr>
          <w:p>
            <w:pPr>
              <w:widowControl w:val="0"/>
              <w:jc w:val="center"/>
              <w:rPr>
                <w:rFonts w:hint="eastAsia" w:ascii="宋体" w:hAnsi="宋体" w:eastAsia="宋体" w:cs="宋体"/>
                <w:color w:val="000000" w:themeColor="text1"/>
                <w:sz w:val="21"/>
                <w:highlight w:val="none"/>
                <w:lang w:bidi="en-US"/>
                <w14:textFill>
                  <w14:solidFill>
                    <w14:schemeClr w14:val="tx1"/>
                  </w14:solidFill>
                </w14:textFill>
              </w:rPr>
            </w:pPr>
          </w:p>
        </w:tc>
        <w:tc>
          <w:tcPr>
            <w:tcW w:w="1667" w:type="pct"/>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2022.5.28</w:t>
            </w:r>
          </w:p>
        </w:tc>
        <w:tc>
          <w:tcPr>
            <w:tcW w:w="1667" w:type="pct"/>
            <w:vAlign w:val="center"/>
          </w:tcPr>
          <w:p>
            <w:pPr>
              <w:widowControl w:val="0"/>
              <w:jc w:val="center"/>
              <w:rPr>
                <w:rFonts w:hint="eastAsia" w:ascii="宋体" w:hAnsi="宋体" w:eastAsia="宋体" w:cs="宋体"/>
                <w:color w:val="000000" w:themeColor="text1"/>
                <w:sz w:val="21"/>
                <w:highlight w:val="none"/>
                <w:lang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5" w:type="pct"/>
            <w:vMerge w:val="continue"/>
            <w:vAlign w:val="center"/>
          </w:tcPr>
          <w:p>
            <w:pPr>
              <w:widowControl w:val="0"/>
              <w:jc w:val="center"/>
              <w:rPr>
                <w:rFonts w:hint="eastAsia" w:ascii="宋体" w:hAnsi="宋体" w:eastAsia="宋体" w:cs="宋体"/>
                <w:color w:val="000000" w:themeColor="text1"/>
                <w:sz w:val="21"/>
                <w:highlight w:val="none"/>
                <w:lang w:bidi="en-US"/>
                <w14:textFill>
                  <w14:solidFill>
                    <w14:schemeClr w14:val="tx1"/>
                  </w14:solidFill>
                </w14:textFill>
              </w:rPr>
            </w:pPr>
          </w:p>
        </w:tc>
        <w:tc>
          <w:tcPr>
            <w:tcW w:w="1667" w:type="pct"/>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2022.5.29</w:t>
            </w:r>
          </w:p>
        </w:tc>
        <w:tc>
          <w:tcPr>
            <w:tcW w:w="1667" w:type="pct"/>
            <w:vAlign w:val="center"/>
          </w:tcPr>
          <w:p>
            <w:pPr>
              <w:widowControl w:val="0"/>
              <w:jc w:val="center"/>
              <w:rPr>
                <w:rFonts w:hint="eastAsia" w:ascii="宋体" w:hAnsi="宋体" w:eastAsia="宋体" w:cs="宋体"/>
                <w:color w:val="000000" w:themeColor="text1"/>
                <w:sz w:val="21"/>
                <w:highlight w:val="none"/>
                <w:lang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5" w:type="pct"/>
            <w:vMerge w:val="continue"/>
            <w:vAlign w:val="center"/>
          </w:tcPr>
          <w:p>
            <w:pPr>
              <w:widowControl w:val="0"/>
              <w:jc w:val="center"/>
              <w:rPr>
                <w:rFonts w:hint="eastAsia" w:ascii="宋体" w:hAnsi="宋体" w:eastAsia="宋体" w:cs="宋体"/>
                <w:color w:val="000000" w:themeColor="text1"/>
                <w:sz w:val="21"/>
                <w:highlight w:val="none"/>
                <w:lang w:bidi="en-US"/>
                <w14:textFill>
                  <w14:solidFill>
                    <w14:schemeClr w14:val="tx1"/>
                  </w14:solidFill>
                </w14:textFill>
              </w:rPr>
            </w:pPr>
          </w:p>
        </w:tc>
        <w:tc>
          <w:tcPr>
            <w:tcW w:w="1667" w:type="pct"/>
            <w:vAlign w:val="center"/>
          </w:tcPr>
          <w:p>
            <w:pPr>
              <w:widowControl w:val="0"/>
              <w:jc w:val="center"/>
              <w:rPr>
                <w:rFonts w:hint="eastAsia" w:ascii="宋体" w:hAnsi="宋体" w:eastAsia="宋体" w:cs="宋体"/>
                <w:color w:val="000000" w:themeColor="text1"/>
                <w:sz w:val="21"/>
                <w:highlight w:val="none"/>
                <w:lang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2022.5.30</w:t>
            </w:r>
          </w:p>
        </w:tc>
        <w:tc>
          <w:tcPr>
            <w:tcW w:w="1667" w:type="pct"/>
            <w:vAlign w:val="center"/>
          </w:tcPr>
          <w:p>
            <w:pPr>
              <w:widowControl w:val="0"/>
              <w:jc w:val="center"/>
              <w:rPr>
                <w:rFonts w:hint="eastAsia" w:ascii="宋体" w:hAnsi="宋体" w:eastAsia="宋体" w:cs="宋体"/>
                <w:color w:val="000000" w:themeColor="text1"/>
                <w:sz w:val="21"/>
                <w:highlight w:val="none"/>
                <w:lang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0.0005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2" w:type="pct"/>
            <w:gridSpan w:val="2"/>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标准限值</w:t>
            </w:r>
          </w:p>
        </w:tc>
        <w:tc>
          <w:tcPr>
            <w:tcW w:w="1667" w:type="pct"/>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2" w:type="pct"/>
            <w:gridSpan w:val="2"/>
            <w:vAlign w:val="center"/>
          </w:tcPr>
          <w:p>
            <w:pPr>
              <w:widowControl w:val="0"/>
              <w:jc w:val="center"/>
              <w:rPr>
                <w:rFonts w:hint="eastAsia" w:ascii="宋体" w:hAnsi="宋体" w:eastAsia="宋体" w:cs="宋体"/>
                <w:color w:val="000000" w:themeColor="text1"/>
                <w:sz w:val="21"/>
                <w:highlight w:val="none"/>
                <w:lang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是否达标</w:t>
            </w:r>
          </w:p>
        </w:tc>
        <w:tc>
          <w:tcPr>
            <w:tcW w:w="1667" w:type="pct"/>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达标</w:t>
            </w:r>
          </w:p>
        </w:tc>
      </w:tr>
    </w:tbl>
    <w:p>
      <w:pPr>
        <w:keepNext w:val="0"/>
        <w:keepLines w:val="0"/>
        <w:pageBreakBefore w:val="0"/>
        <w:kinsoku/>
        <w:wordWrap/>
        <w:overflowPunct/>
        <w:topLinePunct w:val="0"/>
        <w:bidi w:val="0"/>
        <w:adjustRightInd/>
        <w:snapToGrid/>
        <w:spacing w:line="360" w:lineRule="auto"/>
        <w:ind w:firstLine="480" w:firstLineChars="200"/>
        <w:jc w:val="both"/>
        <w:textAlignment w:val="auto"/>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t>由上表可知，监测结果表明，项目所在区域TVOC满足《环境影响评价技术导则大气环境》（HJ2.2-2018）附录D“其他污染物空气质量浓度参考限值”要求。</w:t>
      </w:r>
    </w:p>
    <w:p>
      <w:pPr>
        <w:pStyle w:val="8"/>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Cs/>
          <w:color w:val="000000" w:themeColor="text1"/>
          <w:highlight w:val="none"/>
          <w:lang w:eastAsia="zh-CN"/>
          <w14:textFill>
            <w14:solidFill>
              <w14:schemeClr w14:val="tx1"/>
            </w14:solidFill>
          </w14:textFill>
        </w:rPr>
      </w:pPr>
      <w:bookmarkStart w:id="375" w:name="_Toc14004"/>
      <w:bookmarkStart w:id="376" w:name="_Toc28178"/>
      <w:bookmarkStart w:id="377" w:name="_Toc6364"/>
      <w:bookmarkStart w:id="378" w:name="_Toc4237"/>
      <w:bookmarkStart w:id="379" w:name="_Toc19977"/>
      <w:r>
        <w:rPr>
          <w:rFonts w:hint="eastAsia" w:ascii="宋体" w:hAnsi="宋体" w:eastAsia="宋体" w:cs="宋体"/>
          <w:bCs/>
          <w:color w:val="000000" w:themeColor="text1"/>
          <w:highlight w:val="none"/>
          <w:lang w:val="en-US" w:eastAsia="zh-CN"/>
          <w14:textFill>
            <w14:solidFill>
              <w14:schemeClr w14:val="tx1"/>
            </w14:solidFill>
          </w14:textFill>
        </w:rPr>
        <w:t>4.</w:t>
      </w:r>
      <w:r>
        <w:rPr>
          <w:rFonts w:hint="eastAsia" w:ascii="宋体" w:hAnsi="宋体" w:eastAsia="宋体" w:cs="宋体"/>
          <w:bCs/>
          <w:color w:val="000000" w:themeColor="text1"/>
          <w:highlight w:val="none"/>
          <w:lang w:eastAsia="zh-CN"/>
          <w14:textFill>
            <w14:solidFill>
              <w14:schemeClr w14:val="tx1"/>
            </w14:solidFill>
          </w14:textFill>
        </w:rPr>
        <w:t>2.3声环境</w:t>
      </w:r>
      <w:bookmarkEnd w:id="375"/>
      <w:bookmarkEnd w:id="376"/>
      <w:bookmarkEnd w:id="377"/>
      <w:bookmarkEnd w:id="378"/>
      <w:bookmarkEnd w:id="379"/>
    </w:p>
    <w:p>
      <w:pPr>
        <w:keepNext w:val="0"/>
        <w:keepLines w:val="0"/>
        <w:pageBreakBefore w:val="0"/>
        <w:kinsoku/>
        <w:wordWrap/>
        <w:overflowPunct/>
        <w:topLinePunct w:val="0"/>
        <w:bidi w:val="0"/>
        <w:adjustRightInd/>
        <w:snapToGrid/>
        <w:spacing w:line="360" w:lineRule="auto"/>
        <w:ind w:firstLine="480" w:firstLineChars="200"/>
        <w:jc w:val="both"/>
        <w:textAlignment w:val="auto"/>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t>本项目为扩建项目，现有工程正在施工中。建设单位委托监测5#厂房，监测时间为2023年4月9日～2023年4月10日。监测结果如下表。</w:t>
      </w:r>
    </w:p>
    <w:p>
      <w:pPr>
        <w:keepNext w:val="0"/>
        <w:keepLines w:val="0"/>
        <w:pageBreakBefore w:val="0"/>
        <w:widowControl/>
        <w:kinsoku/>
        <w:wordWrap/>
        <w:overflowPunct/>
        <w:topLinePunct w:val="0"/>
        <w:autoSpaceDE/>
        <w:autoSpaceDN/>
        <w:bidi w:val="0"/>
        <w:adjustRightInd/>
        <w:snapToGrid/>
        <w:spacing w:before="167" w:beforeLines="50" w:after="167" w:afterLines="50" w:line="360" w:lineRule="auto"/>
        <w:ind w:right="0" w:rightChars="0" w:firstLine="0"/>
        <w:jc w:val="center"/>
        <w:textAlignment w:val="auto"/>
        <w:rPr>
          <w:rFonts w:hint="eastAsia" w:ascii="宋体" w:hAnsi="宋体" w:eastAsia="宋体" w:cs="宋体"/>
          <w:b/>
          <w:color w:val="000000" w:themeColor="text1"/>
          <w:szCs w:val="21"/>
          <w:lang w:val="en-US" w:eastAsia="zh-CN"/>
          <w14:textFill>
            <w14:solidFill>
              <w14:schemeClr w14:val="tx1"/>
            </w14:solidFill>
          </w14:textFill>
        </w:rPr>
      </w:pPr>
      <w:r>
        <w:rPr>
          <w:rFonts w:hint="eastAsia" w:ascii="宋体" w:hAnsi="宋体" w:eastAsia="宋体" w:cs="宋体"/>
          <w:b/>
          <w:color w:val="000000" w:themeColor="text1"/>
          <w:szCs w:val="21"/>
          <w:lang w:val="en-US" w:eastAsia="zh-CN"/>
          <w14:textFill>
            <w14:solidFill>
              <w14:schemeClr w14:val="tx1"/>
            </w14:solidFill>
          </w14:textFill>
        </w:rPr>
        <w:t>表4.2-3声环境质量现状监测结果和评价结果一览表单位：dB(A)</w:t>
      </w:r>
    </w:p>
    <w:tbl>
      <w:tblPr>
        <w:tblStyle w:val="30"/>
        <w:tblpPr w:leftFromText="180" w:rightFromText="180" w:vertAnchor="text" w:tblpXSpec="center" w:tblpY="1"/>
        <w:tblOverlap w:val="never"/>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96"/>
        <w:gridCol w:w="1352"/>
        <w:gridCol w:w="1352"/>
        <w:gridCol w:w="4"/>
        <w:gridCol w:w="1348"/>
        <w:gridCol w:w="1360"/>
        <w:gridCol w:w="767"/>
        <w:gridCol w:w="7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70" w:type="pct"/>
            <w:vMerge w:val="restart"/>
            <w:tcBorders>
              <w:tl2br w:val="nil"/>
              <w:tr2bl w:val="nil"/>
            </w:tcBorders>
            <w:noWrap w:val="0"/>
            <w:vAlign w:val="center"/>
          </w:tcPr>
          <w:p>
            <w:pPr>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监测点位</w:t>
            </w:r>
          </w:p>
        </w:tc>
        <w:tc>
          <w:tcPr>
            <w:tcW w:w="2748" w:type="pct"/>
            <w:gridSpan w:val="5"/>
            <w:tcBorders>
              <w:tl2br w:val="nil"/>
              <w:tr2bl w:val="nil"/>
            </w:tcBorders>
            <w:noWrap w:val="0"/>
            <w:vAlign w:val="center"/>
          </w:tcPr>
          <w:p>
            <w:pPr>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监测日期及检测结果（单位：dB(A)）</w:t>
            </w:r>
          </w:p>
        </w:tc>
        <w:tc>
          <w:tcPr>
            <w:tcW w:w="780" w:type="pct"/>
            <w:gridSpan w:val="2"/>
            <w:vMerge w:val="restart"/>
            <w:tcBorders>
              <w:tl2br w:val="nil"/>
              <w:tr2bl w:val="nil"/>
            </w:tcBorders>
            <w:noWrap w:val="0"/>
            <w:vAlign w:val="center"/>
          </w:tcPr>
          <w:p>
            <w:pPr>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70" w:type="pct"/>
            <w:vMerge w:val="continue"/>
            <w:tcBorders>
              <w:tl2br w:val="nil"/>
              <w:tr2bl w:val="nil"/>
            </w:tcBorders>
            <w:noWrap w:val="0"/>
            <w:vAlign w:val="center"/>
          </w:tcPr>
          <w:p>
            <w:pPr>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p>
        </w:tc>
        <w:tc>
          <w:tcPr>
            <w:tcW w:w="1374" w:type="pct"/>
            <w:gridSpan w:val="3"/>
            <w:tcBorders>
              <w:tl2br w:val="nil"/>
              <w:tr2bl w:val="nil"/>
            </w:tcBorders>
            <w:noWrap w:val="0"/>
            <w:vAlign w:val="center"/>
          </w:tcPr>
          <w:p>
            <w:pPr>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2023.4.9</w:t>
            </w:r>
          </w:p>
        </w:tc>
        <w:tc>
          <w:tcPr>
            <w:tcW w:w="1374" w:type="pct"/>
            <w:gridSpan w:val="2"/>
            <w:tcBorders>
              <w:tl2br w:val="nil"/>
              <w:tr2bl w:val="nil"/>
            </w:tcBorders>
            <w:noWrap w:val="0"/>
            <w:vAlign w:val="center"/>
          </w:tcPr>
          <w:p>
            <w:pPr>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2023.4.10</w:t>
            </w:r>
          </w:p>
        </w:tc>
        <w:tc>
          <w:tcPr>
            <w:tcW w:w="780" w:type="pct"/>
            <w:gridSpan w:val="2"/>
            <w:vMerge w:val="continue"/>
            <w:tcBorders>
              <w:tl2br w:val="nil"/>
              <w:tr2bl w:val="nil"/>
            </w:tcBorders>
            <w:noWrap w:val="0"/>
            <w:vAlign w:val="center"/>
          </w:tcPr>
          <w:p>
            <w:pPr>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70" w:type="pct"/>
            <w:vMerge w:val="continue"/>
            <w:tcBorders>
              <w:tl2br w:val="nil"/>
              <w:tr2bl w:val="nil"/>
            </w:tcBorders>
            <w:noWrap w:val="0"/>
            <w:vAlign w:val="center"/>
          </w:tcPr>
          <w:p>
            <w:pPr>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p>
        </w:tc>
        <w:tc>
          <w:tcPr>
            <w:tcW w:w="686" w:type="pct"/>
            <w:tcBorders>
              <w:tl2br w:val="nil"/>
              <w:tr2bl w:val="nil"/>
            </w:tcBorders>
            <w:noWrap w:val="0"/>
            <w:vAlign w:val="center"/>
          </w:tcPr>
          <w:p>
            <w:pPr>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昼间</w:t>
            </w:r>
          </w:p>
        </w:tc>
        <w:tc>
          <w:tcPr>
            <w:tcW w:w="686" w:type="pct"/>
            <w:tcBorders>
              <w:tl2br w:val="nil"/>
              <w:tr2bl w:val="nil"/>
            </w:tcBorders>
            <w:noWrap w:val="0"/>
            <w:vAlign w:val="center"/>
          </w:tcPr>
          <w:p>
            <w:pPr>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夜间</w:t>
            </w:r>
          </w:p>
        </w:tc>
        <w:tc>
          <w:tcPr>
            <w:tcW w:w="686" w:type="pct"/>
            <w:gridSpan w:val="2"/>
            <w:tcBorders>
              <w:tl2br w:val="nil"/>
              <w:tr2bl w:val="nil"/>
            </w:tcBorders>
            <w:noWrap w:val="0"/>
            <w:vAlign w:val="center"/>
          </w:tcPr>
          <w:p>
            <w:pPr>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昼间</w:t>
            </w:r>
          </w:p>
        </w:tc>
        <w:tc>
          <w:tcPr>
            <w:tcW w:w="688" w:type="pct"/>
            <w:tcBorders>
              <w:tl2br w:val="nil"/>
              <w:tr2bl w:val="nil"/>
            </w:tcBorders>
            <w:noWrap w:val="0"/>
            <w:vAlign w:val="center"/>
          </w:tcPr>
          <w:p>
            <w:pPr>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夜间</w:t>
            </w:r>
          </w:p>
        </w:tc>
        <w:tc>
          <w:tcPr>
            <w:tcW w:w="389" w:type="pct"/>
            <w:tcBorders>
              <w:tl2br w:val="nil"/>
              <w:tr2bl w:val="nil"/>
            </w:tcBorders>
            <w:noWrap w:val="0"/>
            <w:vAlign w:val="center"/>
          </w:tcPr>
          <w:p>
            <w:pPr>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昼间</w:t>
            </w:r>
          </w:p>
        </w:tc>
        <w:tc>
          <w:tcPr>
            <w:tcW w:w="390" w:type="pct"/>
            <w:tcBorders>
              <w:tl2br w:val="nil"/>
              <w:tr2bl w:val="nil"/>
            </w:tcBorders>
            <w:noWrap w:val="0"/>
            <w:vAlign w:val="center"/>
          </w:tcPr>
          <w:p>
            <w:pPr>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70" w:type="pct"/>
            <w:tcBorders>
              <w:tl2br w:val="nil"/>
              <w:tr2bl w:val="nil"/>
            </w:tcBorders>
            <w:noWrap w:val="0"/>
            <w:vAlign w:val="center"/>
          </w:tcPr>
          <w:p>
            <w:pPr>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N1东侧厂界外1m</w:t>
            </w:r>
          </w:p>
        </w:tc>
        <w:tc>
          <w:tcPr>
            <w:tcW w:w="686" w:type="pct"/>
            <w:tcBorders>
              <w:tl2br w:val="nil"/>
              <w:tr2bl w:val="nil"/>
            </w:tcBorders>
            <w:noWrap w:val="0"/>
            <w:vAlign w:val="center"/>
          </w:tcPr>
          <w:p>
            <w:pPr>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54.0</w:t>
            </w:r>
          </w:p>
        </w:tc>
        <w:tc>
          <w:tcPr>
            <w:tcW w:w="686" w:type="pct"/>
            <w:tcBorders>
              <w:tl2br w:val="nil"/>
              <w:tr2bl w:val="nil"/>
            </w:tcBorders>
            <w:noWrap w:val="0"/>
            <w:vAlign w:val="center"/>
          </w:tcPr>
          <w:p>
            <w:pPr>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46.2</w:t>
            </w:r>
          </w:p>
        </w:tc>
        <w:tc>
          <w:tcPr>
            <w:tcW w:w="686" w:type="pct"/>
            <w:gridSpan w:val="2"/>
            <w:tcBorders>
              <w:tl2br w:val="nil"/>
              <w:tr2bl w:val="nil"/>
            </w:tcBorders>
            <w:noWrap w:val="0"/>
            <w:vAlign w:val="center"/>
          </w:tcPr>
          <w:p>
            <w:pPr>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53.5</w:t>
            </w:r>
          </w:p>
        </w:tc>
        <w:tc>
          <w:tcPr>
            <w:tcW w:w="688" w:type="pct"/>
            <w:tcBorders>
              <w:tl2br w:val="nil"/>
              <w:tr2bl w:val="nil"/>
            </w:tcBorders>
            <w:noWrap w:val="0"/>
            <w:vAlign w:val="center"/>
          </w:tcPr>
          <w:p>
            <w:pPr>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43.6</w:t>
            </w:r>
          </w:p>
        </w:tc>
        <w:tc>
          <w:tcPr>
            <w:tcW w:w="389" w:type="pct"/>
            <w:tcBorders>
              <w:tl2br w:val="nil"/>
              <w:tr2bl w:val="nil"/>
            </w:tcBorders>
            <w:noWrap w:val="0"/>
            <w:vAlign w:val="center"/>
          </w:tcPr>
          <w:p>
            <w:pPr>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65</w:t>
            </w:r>
          </w:p>
        </w:tc>
        <w:tc>
          <w:tcPr>
            <w:tcW w:w="390" w:type="pct"/>
            <w:tcBorders>
              <w:tl2br w:val="nil"/>
              <w:tr2bl w:val="nil"/>
            </w:tcBorders>
            <w:noWrap w:val="0"/>
            <w:vAlign w:val="center"/>
          </w:tcPr>
          <w:p>
            <w:pPr>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70" w:type="pct"/>
            <w:tcBorders>
              <w:tl2br w:val="nil"/>
              <w:tr2bl w:val="nil"/>
            </w:tcBorders>
            <w:noWrap w:val="0"/>
            <w:vAlign w:val="center"/>
          </w:tcPr>
          <w:p>
            <w:pPr>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N2南侧厂界外1m</w:t>
            </w:r>
          </w:p>
        </w:tc>
        <w:tc>
          <w:tcPr>
            <w:tcW w:w="686" w:type="pct"/>
            <w:tcBorders>
              <w:tl2br w:val="nil"/>
              <w:tr2bl w:val="nil"/>
            </w:tcBorders>
            <w:noWrap w:val="0"/>
            <w:vAlign w:val="center"/>
          </w:tcPr>
          <w:p>
            <w:pPr>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57.4</w:t>
            </w:r>
          </w:p>
        </w:tc>
        <w:tc>
          <w:tcPr>
            <w:tcW w:w="686" w:type="pct"/>
            <w:tcBorders>
              <w:tl2br w:val="nil"/>
              <w:tr2bl w:val="nil"/>
            </w:tcBorders>
            <w:noWrap w:val="0"/>
            <w:vAlign w:val="center"/>
          </w:tcPr>
          <w:p>
            <w:pPr>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47.7</w:t>
            </w:r>
          </w:p>
        </w:tc>
        <w:tc>
          <w:tcPr>
            <w:tcW w:w="686" w:type="pct"/>
            <w:gridSpan w:val="2"/>
            <w:tcBorders>
              <w:tl2br w:val="nil"/>
              <w:tr2bl w:val="nil"/>
            </w:tcBorders>
            <w:noWrap w:val="0"/>
            <w:vAlign w:val="center"/>
          </w:tcPr>
          <w:p>
            <w:pPr>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57.0</w:t>
            </w:r>
          </w:p>
        </w:tc>
        <w:tc>
          <w:tcPr>
            <w:tcW w:w="688" w:type="pct"/>
            <w:tcBorders>
              <w:tl2br w:val="nil"/>
              <w:tr2bl w:val="nil"/>
            </w:tcBorders>
            <w:noWrap w:val="0"/>
            <w:vAlign w:val="center"/>
          </w:tcPr>
          <w:p>
            <w:pPr>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47.3</w:t>
            </w:r>
          </w:p>
        </w:tc>
        <w:tc>
          <w:tcPr>
            <w:tcW w:w="389" w:type="pct"/>
            <w:tcBorders>
              <w:tl2br w:val="nil"/>
              <w:tr2bl w:val="nil"/>
            </w:tcBorders>
            <w:noWrap w:val="0"/>
            <w:vAlign w:val="center"/>
          </w:tcPr>
          <w:p>
            <w:pPr>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65</w:t>
            </w:r>
          </w:p>
        </w:tc>
        <w:tc>
          <w:tcPr>
            <w:tcW w:w="390" w:type="pct"/>
            <w:tcBorders>
              <w:tl2br w:val="nil"/>
              <w:tr2bl w:val="nil"/>
            </w:tcBorders>
            <w:noWrap w:val="0"/>
            <w:vAlign w:val="center"/>
          </w:tcPr>
          <w:p>
            <w:pPr>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70" w:type="pct"/>
            <w:tcBorders>
              <w:tl2br w:val="nil"/>
              <w:tr2bl w:val="nil"/>
            </w:tcBorders>
            <w:noWrap w:val="0"/>
            <w:vAlign w:val="center"/>
          </w:tcPr>
          <w:p>
            <w:pPr>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N3西侧厂界外1m</w:t>
            </w:r>
          </w:p>
        </w:tc>
        <w:tc>
          <w:tcPr>
            <w:tcW w:w="686" w:type="pct"/>
            <w:tcBorders>
              <w:tl2br w:val="nil"/>
              <w:tr2bl w:val="nil"/>
            </w:tcBorders>
            <w:noWrap w:val="0"/>
            <w:vAlign w:val="center"/>
          </w:tcPr>
          <w:p>
            <w:pPr>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55.7</w:t>
            </w:r>
          </w:p>
        </w:tc>
        <w:tc>
          <w:tcPr>
            <w:tcW w:w="686" w:type="pct"/>
            <w:tcBorders>
              <w:tl2br w:val="nil"/>
              <w:tr2bl w:val="nil"/>
            </w:tcBorders>
            <w:noWrap w:val="0"/>
            <w:vAlign w:val="center"/>
          </w:tcPr>
          <w:p>
            <w:pPr>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47.8</w:t>
            </w:r>
          </w:p>
        </w:tc>
        <w:tc>
          <w:tcPr>
            <w:tcW w:w="686" w:type="pct"/>
            <w:gridSpan w:val="2"/>
            <w:tcBorders>
              <w:tl2br w:val="nil"/>
              <w:tr2bl w:val="nil"/>
            </w:tcBorders>
            <w:noWrap w:val="0"/>
            <w:vAlign w:val="center"/>
          </w:tcPr>
          <w:p>
            <w:pPr>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55.4</w:t>
            </w:r>
          </w:p>
        </w:tc>
        <w:tc>
          <w:tcPr>
            <w:tcW w:w="688" w:type="pct"/>
            <w:tcBorders>
              <w:tl2br w:val="nil"/>
              <w:tr2bl w:val="nil"/>
            </w:tcBorders>
            <w:noWrap w:val="0"/>
            <w:vAlign w:val="center"/>
          </w:tcPr>
          <w:p>
            <w:pPr>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44.1</w:t>
            </w:r>
          </w:p>
        </w:tc>
        <w:tc>
          <w:tcPr>
            <w:tcW w:w="389" w:type="pct"/>
            <w:tcBorders>
              <w:tl2br w:val="nil"/>
              <w:tr2bl w:val="nil"/>
            </w:tcBorders>
            <w:noWrap w:val="0"/>
            <w:vAlign w:val="center"/>
          </w:tcPr>
          <w:p>
            <w:pPr>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65</w:t>
            </w:r>
          </w:p>
        </w:tc>
        <w:tc>
          <w:tcPr>
            <w:tcW w:w="390" w:type="pct"/>
            <w:tcBorders>
              <w:tl2br w:val="nil"/>
              <w:tr2bl w:val="nil"/>
            </w:tcBorders>
            <w:noWrap w:val="0"/>
            <w:vAlign w:val="center"/>
          </w:tcPr>
          <w:p>
            <w:pPr>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70" w:type="pct"/>
            <w:tcBorders>
              <w:tl2br w:val="nil"/>
              <w:tr2bl w:val="nil"/>
            </w:tcBorders>
            <w:noWrap w:val="0"/>
            <w:vAlign w:val="center"/>
          </w:tcPr>
          <w:p>
            <w:pPr>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N4北侧厂界外1m</w:t>
            </w:r>
          </w:p>
        </w:tc>
        <w:tc>
          <w:tcPr>
            <w:tcW w:w="686" w:type="pct"/>
            <w:tcBorders>
              <w:tl2br w:val="nil"/>
              <w:tr2bl w:val="nil"/>
            </w:tcBorders>
            <w:noWrap w:val="0"/>
            <w:vAlign w:val="center"/>
          </w:tcPr>
          <w:p>
            <w:pPr>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56.4</w:t>
            </w:r>
          </w:p>
        </w:tc>
        <w:tc>
          <w:tcPr>
            <w:tcW w:w="686" w:type="pct"/>
            <w:tcBorders>
              <w:tl2br w:val="nil"/>
              <w:tr2bl w:val="nil"/>
            </w:tcBorders>
            <w:noWrap w:val="0"/>
            <w:vAlign w:val="center"/>
          </w:tcPr>
          <w:p>
            <w:pPr>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44.3</w:t>
            </w:r>
          </w:p>
        </w:tc>
        <w:tc>
          <w:tcPr>
            <w:tcW w:w="686" w:type="pct"/>
            <w:gridSpan w:val="2"/>
            <w:tcBorders>
              <w:tl2br w:val="nil"/>
              <w:tr2bl w:val="nil"/>
            </w:tcBorders>
            <w:noWrap w:val="0"/>
            <w:vAlign w:val="center"/>
          </w:tcPr>
          <w:p>
            <w:pPr>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56.1</w:t>
            </w:r>
          </w:p>
        </w:tc>
        <w:tc>
          <w:tcPr>
            <w:tcW w:w="688" w:type="pct"/>
            <w:tcBorders>
              <w:tl2br w:val="nil"/>
              <w:tr2bl w:val="nil"/>
            </w:tcBorders>
            <w:noWrap w:val="0"/>
            <w:vAlign w:val="center"/>
          </w:tcPr>
          <w:p>
            <w:pPr>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44.5</w:t>
            </w:r>
          </w:p>
        </w:tc>
        <w:tc>
          <w:tcPr>
            <w:tcW w:w="389" w:type="pct"/>
            <w:tcBorders>
              <w:tl2br w:val="nil"/>
              <w:tr2bl w:val="nil"/>
            </w:tcBorders>
            <w:noWrap w:val="0"/>
            <w:vAlign w:val="center"/>
          </w:tcPr>
          <w:p>
            <w:pPr>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65</w:t>
            </w:r>
          </w:p>
        </w:tc>
        <w:tc>
          <w:tcPr>
            <w:tcW w:w="390" w:type="pct"/>
            <w:tcBorders>
              <w:tl2br w:val="nil"/>
              <w:tr2bl w:val="nil"/>
            </w:tcBorders>
            <w:noWrap w:val="0"/>
            <w:vAlign w:val="center"/>
          </w:tcPr>
          <w:p>
            <w:pPr>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70" w:type="pct"/>
            <w:tcBorders>
              <w:tl2br w:val="nil"/>
              <w:tr2bl w:val="nil"/>
            </w:tcBorders>
            <w:noWrap w:val="0"/>
            <w:vAlign w:val="center"/>
          </w:tcPr>
          <w:p>
            <w:pPr>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备注</w:t>
            </w:r>
          </w:p>
        </w:tc>
        <w:tc>
          <w:tcPr>
            <w:tcW w:w="3529" w:type="pct"/>
            <w:gridSpan w:val="7"/>
            <w:tcBorders>
              <w:tl2br w:val="nil"/>
              <w:tr2bl w:val="nil"/>
            </w:tcBorders>
            <w:noWrap w:val="0"/>
            <w:vAlign w:val="center"/>
          </w:tcPr>
          <w:p>
            <w:pPr>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《工业企业厂界环境噪声排放标准》（GB12348-2008）3类标准</w:t>
            </w:r>
          </w:p>
        </w:tc>
      </w:tr>
    </w:tbl>
    <w:p>
      <w:pPr>
        <w:widowControl w:val="0"/>
        <w:spacing w:line="360" w:lineRule="auto"/>
        <w:ind w:firstLine="480" w:firstLineChars="200"/>
        <w:jc w:val="both"/>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现状监测结果表明，厂界声环境质量满足《声环境质量标准》（GB3096-2008）中3类标准要求。</w:t>
      </w:r>
    </w:p>
    <w:p>
      <w:pPr>
        <w:pStyle w:val="8"/>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Cs/>
          <w:color w:val="000000" w:themeColor="text1"/>
          <w:highlight w:val="none"/>
          <w:lang w:eastAsia="zh-CN"/>
          <w14:textFill>
            <w14:solidFill>
              <w14:schemeClr w14:val="tx1"/>
            </w14:solidFill>
          </w14:textFill>
        </w:rPr>
      </w:pPr>
      <w:bookmarkStart w:id="380" w:name="_Toc24513"/>
      <w:bookmarkStart w:id="381" w:name="_Toc31284"/>
      <w:bookmarkStart w:id="382" w:name="_Toc471307486"/>
      <w:bookmarkStart w:id="383" w:name="_Toc3712"/>
      <w:bookmarkStart w:id="384" w:name="_Toc17829"/>
      <w:bookmarkStart w:id="385" w:name="_Toc26289"/>
      <w:bookmarkStart w:id="386" w:name="_Toc497994704"/>
      <w:r>
        <w:rPr>
          <w:rFonts w:hint="eastAsia" w:ascii="宋体" w:hAnsi="宋体" w:eastAsia="宋体" w:cs="宋体"/>
          <w:bCs/>
          <w:color w:val="000000" w:themeColor="text1"/>
          <w:highlight w:val="none"/>
          <w:lang w:val="en-US" w:eastAsia="zh-CN"/>
          <w14:textFill>
            <w14:solidFill>
              <w14:schemeClr w14:val="tx1"/>
            </w14:solidFill>
          </w14:textFill>
        </w:rPr>
        <w:t>4.</w:t>
      </w:r>
      <w:r>
        <w:rPr>
          <w:rFonts w:hint="eastAsia" w:ascii="宋体" w:hAnsi="宋体" w:eastAsia="宋体" w:cs="宋体"/>
          <w:bCs/>
          <w:color w:val="000000" w:themeColor="text1"/>
          <w:highlight w:val="none"/>
          <w:lang w:eastAsia="zh-CN"/>
          <w14:textFill>
            <w14:solidFill>
              <w14:schemeClr w14:val="tx1"/>
            </w14:solidFill>
          </w14:textFill>
        </w:rPr>
        <w:t>2.</w:t>
      </w:r>
      <w:r>
        <w:rPr>
          <w:rFonts w:hint="eastAsia" w:ascii="宋体" w:hAnsi="宋体" w:eastAsia="宋体" w:cs="宋体"/>
          <w:bCs/>
          <w:color w:val="000000" w:themeColor="text1"/>
          <w:highlight w:val="none"/>
          <w:lang w:val="en-US" w:eastAsia="zh-CN"/>
          <w14:textFill>
            <w14:solidFill>
              <w14:schemeClr w14:val="tx1"/>
            </w14:solidFill>
          </w14:textFill>
        </w:rPr>
        <w:t>4</w:t>
      </w:r>
      <w:r>
        <w:rPr>
          <w:rFonts w:hint="eastAsia" w:ascii="宋体" w:hAnsi="宋体" w:eastAsia="宋体" w:cs="宋体"/>
          <w:bCs/>
          <w:color w:val="000000" w:themeColor="text1"/>
          <w:highlight w:val="none"/>
          <w:lang w:eastAsia="zh-CN"/>
          <w14:textFill>
            <w14:solidFill>
              <w14:schemeClr w14:val="tx1"/>
            </w14:solidFill>
          </w14:textFill>
        </w:rPr>
        <w:t>土壤</w:t>
      </w:r>
      <w:bookmarkEnd w:id="380"/>
      <w:bookmarkEnd w:id="381"/>
      <w:bookmarkEnd w:id="382"/>
      <w:bookmarkEnd w:id="383"/>
      <w:bookmarkEnd w:id="384"/>
      <w:bookmarkEnd w:id="385"/>
      <w:bookmarkEnd w:id="386"/>
    </w:p>
    <w:p>
      <w:pPr>
        <w:keepNext w:val="0"/>
        <w:keepLines w:val="0"/>
        <w:pageBreakBefore w:val="0"/>
        <w:kinsoku/>
        <w:wordWrap/>
        <w:overflowPunct/>
        <w:topLinePunct w:val="0"/>
        <w:bidi w:val="0"/>
        <w:adjustRightInd/>
        <w:snapToGrid/>
        <w:spacing w:line="360" w:lineRule="auto"/>
        <w:ind w:firstLine="480" w:firstLineChars="200"/>
        <w:jc w:val="both"/>
        <w:textAlignment w:val="auto"/>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t>根据《环境影响评价技术导则土壤环境（试行）》（HJ64-2018），本项目属于II类项目，占地规模为小型。敏感程度为不敏感，土壤环境评价等级为三级，需要对占地范围内设置3个表层样点。</w:t>
      </w:r>
    </w:p>
    <w:p>
      <w:pPr>
        <w:keepNext w:val="0"/>
        <w:keepLines w:val="0"/>
        <w:pageBreakBefore w:val="0"/>
        <w:kinsoku/>
        <w:wordWrap/>
        <w:overflowPunct/>
        <w:topLinePunct w:val="0"/>
        <w:bidi w:val="0"/>
        <w:adjustRightInd/>
        <w:snapToGrid/>
        <w:spacing w:line="360" w:lineRule="auto"/>
        <w:ind w:firstLine="480" w:firstLineChars="200"/>
        <w:jc w:val="both"/>
        <w:textAlignment w:val="auto"/>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t>根据环境部部长信箱2020年8月11日“关于土壤监测、水质、噪声等十一个问题的回复”中“关于土壤现状监测点位如何选择的回复”及“关于土壤破坏性监测问题的回复”：“根据建设项目实际情况，如果项目场地已经做了防腐防渗（包括硬化）处理无法取样，可不取样监测，但需要详细说明无法取样原因。”本项目用地范围内已全部硬化，不具备采样监测条件，可不进行用地范围的土壤现状监测。</w:t>
      </w:r>
    </w:p>
    <w:p>
      <w:pPr>
        <w:keepNext w:val="0"/>
        <w:keepLines w:val="0"/>
        <w:pageBreakBefore w:val="0"/>
        <w:kinsoku/>
        <w:wordWrap/>
        <w:overflowPunct/>
        <w:topLinePunct w:val="0"/>
        <w:bidi w:val="0"/>
        <w:adjustRightInd/>
        <w:snapToGrid/>
        <w:spacing w:line="360" w:lineRule="auto"/>
        <w:ind w:firstLine="480" w:firstLineChars="200"/>
        <w:jc w:val="both"/>
        <w:textAlignment w:val="auto"/>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t>为了解土壤环境质量状况，建设单位委托对5#厂房绿化带设置三个土壤表层样监测点对土壤环境质量进行了现状采样监测，监测采样时间为2023年4月19日，监测因子为《土壤环境质量建设用地土壤污染风险管控标准（试行）》（GB36600-2018）表1所有基本项目（共45项），监测结果统计见下表。</w:t>
      </w:r>
    </w:p>
    <w:p>
      <w:pPr>
        <w:keepNext w:val="0"/>
        <w:keepLines w:val="0"/>
        <w:pageBreakBefore w:val="0"/>
        <w:widowControl/>
        <w:kinsoku/>
        <w:wordWrap/>
        <w:overflowPunct/>
        <w:topLinePunct w:val="0"/>
        <w:autoSpaceDE/>
        <w:autoSpaceDN/>
        <w:bidi w:val="0"/>
        <w:adjustRightInd/>
        <w:snapToGrid/>
        <w:spacing w:before="167" w:beforeLines="50" w:after="167" w:afterLines="50" w:line="360" w:lineRule="auto"/>
        <w:ind w:right="0" w:rightChars="0" w:firstLine="0"/>
        <w:jc w:val="center"/>
        <w:textAlignment w:val="auto"/>
        <w:rPr>
          <w:rFonts w:hint="eastAsia" w:ascii="宋体" w:hAnsi="宋体" w:eastAsia="宋体" w:cs="宋体"/>
          <w:b/>
          <w:color w:val="000000" w:themeColor="text1"/>
          <w:szCs w:val="21"/>
          <w:lang w:val="en-US" w:eastAsia="zh-CN"/>
          <w14:textFill>
            <w14:solidFill>
              <w14:schemeClr w14:val="tx1"/>
            </w14:solidFill>
          </w14:textFill>
        </w:rPr>
      </w:pPr>
      <w:r>
        <w:rPr>
          <w:rFonts w:hint="eastAsia" w:ascii="宋体" w:hAnsi="宋体" w:eastAsia="宋体" w:cs="宋体"/>
          <w:b/>
          <w:color w:val="000000" w:themeColor="text1"/>
          <w:szCs w:val="21"/>
          <w:lang w:val="en-US" w:eastAsia="zh-CN"/>
          <w14:textFill>
            <w14:solidFill>
              <w14:schemeClr w14:val="tx1"/>
            </w14:solidFill>
          </w14:textFill>
        </w:rPr>
        <w:t>表4.2-4土壤检测结果</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8"/>
        <w:gridCol w:w="2358"/>
        <w:gridCol w:w="2358"/>
        <w:gridCol w:w="2364"/>
        <w:gridCol w:w="10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87" w:type="pct"/>
            <w:vMerge w:val="restar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检测项目</w:t>
            </w:r>
          </w:p>
        </w:tc>
        <w:tc>
          <w:tcPr>
            <w:tcW w:w="3594" w:type="pct"/>
            <w:gridSpan w:val="3"/>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监测日期、点位及检测结果（单位：mg/kg）</w:t>
            </w:r>
          </w:p>
        </w:tc>
        <w:tc>
          <w:tcPr>
            <w:tcW w:w="518" w:type="pct"/>
            <w:vMerge w:val="restar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87" w:type="pct"/>
            <w:vMerge w:val="continue"/>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p>
        </w:tc>
        <w:tc>
          <w:tcPr>
            <w:tcW w:w="3594" w:type="pct"/>
            <w:gridSpan w:val="3"/>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2023.4.9</w:t>
            </w:r>
          </w:p>
        </w:tc>
        <w:tc>
          <w:tcPr>
            <w:tcW w:w="518" w:type="pct"/>
            <w:vMerge w:val="continue"/>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87" w:type="pct"/>
            <w:vMerge w:val="continue"/>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p>
        </w:tc>
        <w:tc>
          <w:tcPr>
            <w:tcW w:w="119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T1厂房东北侧</w:t>
            </w:r>
          </w:p>
        </w:tc>
        <w:tc>
          <w:tcPr>
            <w:tcW w:w="119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T2厂房西北侧</w:t>
            </w:r>
          </w:p>
        </w:tc>
        <w:tc>
          <w:tcPr>
            <w:tcW w:w="1198"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T3厂房西南侧</w:t>
            </w:r>
          </w:p>
        </w:tc>
        <w:tc>
          <w:tcPr>
            <w:tcW w:w="518" w:type="pct"/>
            <w:vMerge w:val="continue"/>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8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砷</w:t>
            </w:r>
          </w:p>
        </w:tc>
        <w:tc>
          <w:tcPr>
            <w:tcW w:w="119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27.5</w:t>
            </w:r>
          </w:p>
        </w:tc>
        <w:tc>
          <w:tcPr>
            <w:tcW w:w="119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29.8</w:t>
            </w:r>
          </w:p>
        </w:tc>
        <w:tc>
          <w:tcPr>
            <w:tcW w:w="1198"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36.6</w:t>
            </w:r>
          </w:p>
        </w:tc>
        <w:tc>
          <w:tcPr>
            <w:tcW w:w="518"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8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镉</w:t>
            </w:r>
          </w:p>
        </w:tc>
        <w:tc>
          <w:tcPr>
            <w:tcW w:w="119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0.53</w:t>
            </w:r>
          </w:p>
        </w:tc>
        <w:tc>
          <w:tcPr>
            <w:tcW w:w="119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0.66</w:t>
            </w:r>
          </w:p>
        </w:tc>
        <w:tc>
          <w:tcPr>
            <w:tcW w:w="1198"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0.49</w:t>
            </w:r>
          </w:p>
        </w:tc>
        <w:tc>
          <w:tcPr>
            <w:tcW w:w="518"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8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六价铬</w:t>
            </w:r>
          </w:p>
        </w:tc>
        <w:tc>
          <w:tcPr>
            <w:tcW w:w="119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0.5L</w:t>
            </w:r>
          </w:p>
        </w:tc>
        <w:tc>
          <w:tcPr>
            <w:tcW w:w="119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0.5L</w:t>
            </w:r>
          </w:p>
        </w:tc>
        <w:tc>
          <w:tcPr>
            <w:tcW w:w="1198"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0.5L</w:t>
            </w:r>
          </w:p>
        </w:tc>
        <w:tc>
          <w:tcPr>
            <w:tcW w:w="518"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8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铜</w:t>
            </w:r>
          </w:p>
        </w:tc>
        <w:tc>
          <w:tcPr>
            <w:tcW w:w="119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44</w:t>
            </w:r>
          </w:p>
        </w:tc>
        <w:tc>
          <w:tcPr>
            <w:tcW w:w="119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61</w:t>
            </w:r>
          </w:p>
        </w:tc>
        <w:tc>
          <w:tcPr>
            <w:tcW w:w="1198"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45</w:t>
            </w:r>
          </w:p>
        </w:tc>
        <w:tc>
          <w:tcPr>
            <w:tcW w:w="518"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18000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8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铅</w:t>
            </w:r>
          </w:p>
        </w:tc>
        <w:tc>
          <w:tcPr>
            <w:tcW w:w="119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36.0</w:t>
            </w:r>
          </w:p>
        </w:tc>
        <w:tc>
          <w:tcPr>
            <w:tcW w:w="119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45.6</w:t>
            </w:r>
          </w:p>
        </w:tc>
        <w:tc>
          <w:tcPr>
            <w:tcW w:w="1198"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47.8</w:t>
            </w:r>
          </w:p>
        </w:tc>
        <w:tc>
          <w:tcPr>
            <w:tcW w:w="518"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8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汞</w:t>
            </w:r>
          </w:p>
        </w:tc>
        <w:tc>
          <w:tcPr>
            <w:tcW w:w="119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1.72</w:t>
            </w:r>
          </w:p>
        </w:tc>
        <w:tc>
          <w:tcPr>
            <w:tcW w:w="119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1.44</w:t>
            </w:r>
          </w:p>
        </w:tc>
        <w:tc>
          <w:tcPr>
            <w:tcW w:w="1198"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1.19</w:t>
            </w:r>
          </w:p>
        </w:tc>
        <w:tc>
          <w:tcPr>
            <w:tcW w:w="518"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8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镍</w:t>
            </w:r>
          </w:p>
        </w:tc>
        <w:tc>
          <w:tcPr>
            <w:tcW w:w="119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25</w:t>
            </w:r>
          </w:p>
        </w:tc>
        <w:tc>
          <w:tcPr>
            <w:tcW w:w="119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20</w:t>
            </w:r>
          </w:p>
        </w:tc>
        <w:tc>
          <w:tcPr>
            <w:tcW w:w="1198"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23</w:t>
            </w:r>
          </w:p>
        </w:tc>
        <w:tc>
          <w:tcPr>
            <w:tcW w:w="518"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8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四氯化碳</w:t>
            </w:r>
          </w:p>
        </w:tc>
        <w:tc>
          <w:tcPr>
            <w:tcW w:w="119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2.1×10-3L</w:t>
            </w:r>
          </w:p>
        </w:tc>
        <w:tc>
          <w:tcPr>
            <w:tcW w:w="119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2.1×10-3L</w:t>
            </w:r>
          </w:p>
        </w:tc>
        <w:tc>
          <w:tcPr>
            <w:tcW w:w="1198"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2.1×10-3L</w:t>
            </w:r>
          </w:p>
        </w:tc>
        <w:tc>
          <w:tcPr>
            <w:tcW w:w="518"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8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氯仿</w:t>
            </w:r>
          </w:p>
        </w:tc>
        <w:tc>
          <w:tcPr>
            <w:tcW w:w="119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1.5×10-3L</w:t>
            </w:r>
          </w:p>
        </w:tc>
        <w:tc>
          <w:tcPr>
            <w:tcW w:w="119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1.5×10-3L</w:t>
            </w:r>
          </w:p>
        </w:tc>
        <w:tc>
          <w:tcPr>
            <w:tcW w:w="1198"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1.5×10-3L</w:t>
            </w:r>
          </w:p>
        </w:tc>
        <w:tc>
          <w:tcPr>
            <w:tcW w:w="518"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8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氯甲烷</w:t>
            </w:r>
          </w:p>
        </w:tc>
        <w:tc>
          <w:tcPr>
            <w:tcW w:w="119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2.6×10-3L</w:t>
            </w:r>
          </w:p>
        </w:tc>
        <w:tc>
          <w:tcPr>
            <w:tcW w:w="119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2.6×10-3L</w:t>
            </w:r>
          </w:p>
        </w:tc>
        <w:tc>
          <w:tcPr>
            <w:tcW w:w="1198"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2.6×10-3L</w:t>
            </w:r>
          </w:p>
        </w:tc>
        <w:tc>
          <w:tcPr>
            <w:tcW w:w="518"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8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1,1-二氯乙烷</w:t>
            </w:r>
          </w:p>
        </w:tc>
        <w:tc>
          <w:tcPr>
            <w:tcW w:w="119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1.6×10-3L</w:t>
            </w:r>
          </w:p>
        </w:tc>
        <w:tc>
          <w:tcPr>
            <w:tcW w:w="119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1.6×10-3L</w:t>
            </w:r>
          </w:p>
        </w:tc>
        <w:tc>
          <w:tcPr>
            <w:tcW w:w="1198"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1.6×10-3L</w:t>
            </w:r>
          </w:p>
        </w:tc>
        <w:tc>
          <w:tcPr>
            <w:tcW w:w="518"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8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1,2-二氯乙烷</w:t>
            </w:r>
          </w:p>
        </w:tc>
        <w:tc>
          <w:tcPr>
            <w:tcW w:w="119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1.3×10-3L</w:t>
            </w:r>
          </w:p>
        </w:tc>
        <w:tc>
          <w:tcPr>
            <w:tcW w:w="119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1.3×10-3L</w:t>
            </w:r>
          </w:p>
        </w:tc>
        <w:tc>
          <w:tcPr>
            <w:tcW w:w="1198"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1.3×10-3L</w:t>
            </w:r>
          </w:p>
        </w:tc>
        <w:tc>
          <w:tcPr>
            <w:tcW w:w="518"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8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1,1-二氯乙烯</w:t>
            </w:r>
          </w:p>
        </w:tc>
        <w:tc>
          <w:tcPr>
            <w:tcW w:w="119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8.0×10-4L</w:t>
            </w:r>
          </w:p>
        </w:tc>
        <w:tc>
          <w:tcPr>
            <w:tcW w:w="119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8.0×10-4L</w:t>
            </w:r>
          </w:p>
        </w:tc>
        <w:tc>
          <w:tcPr>
            <w:tcW w:w="1198"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8.0×10-4L</w:t>
            </w:r>
          </w:p>
        </w:tc>
        <w:tc>
          <w:tcPr>
            <w:tcW w:w="518"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8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顺-1,2-二氯乙烯</w:t>
            </w:r>
          </w:p>
        </w:tc>
        <w:tc>
          <w:tcPr>
            <w:tcW w:w="119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9.0×10-4L</w:t>
            </w:r>
          </w:p>
        </w:tc>
        <w:tc>
          <w:tcPr>
            <w:tcW w:w="119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9.0×10-4L</w:t>
            </w:r>
          </w:p>
        </w:tc>
        <w:tc>
          <w:tcPr>
            <w:tcW w:w="1198"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9.0×10-4L</w:t>
            </w:r>
          </w:p>
        </w:tc>
        <w:tc>
          <w:tcPr>
            <w:tcW w:w="518"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596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8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反-1,2-二氯乙烯</w:t>
            </w:r>
          </w:p>
        </w:tc>
        <w:tc>
          <w:tcPr>
            <w:tcW w:w="119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9.0×10-4L</w:t>
            </w:r>
          </w:p>
        </w:tc>
        <w:tc>
          <w:tcPr>
            <w:tcW w:w="119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9.0×10-4L</w:t>
            </w:r>
          </w:p>
        </w:tc>
        <w:tc>
          <w:tcPr>
            <w:tcW w:w="1198"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9.0×10-4L</w:t>
            </w:r>
          </w:p>
        </w:tc>
        <w:tc>
          <w:tcPr>
            <w:tcW w:w="518"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8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二氯甲烷</w:t>
            </w:r>
          </w:p>
        </w:tc>
        <w:tc>
          <w:tcPr>
            <w:tcW w:w="119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2.6×10-3L</w:t>
            </w:r>
          </w:p>
        </w:tc>
        <w:tc>
          <w:tcPr>
            <w:tcW w:w="119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2.6×10-3L</w:t>
            </w:r>
          </w:p>
        </w:tc>
        <w:tc>
          <w:tcPr>
            <w:tcW w:w="1198"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2.6×10-3L</w:t>
            </w:r>
          </w:p>
        </w:tc>
        <w:tc>
          <w:tcPr>
            <w:tcW w:w="518"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616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8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1,2-二氯丙烷</w:t>
            </w:r>
          </w:p>
        </w:tc>
        <w:tc>
          <w:tcPr>
            <w:tcW w:w="119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1.9×10-3L</w:t>
            </w:r>
          </w:p>
        </w:tc>
        <w:tc>
          <w:tcPr>
            <w:tcW w:w="119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1.9×10-3L</w:t>
            </w:r>
          </w:p>
        </w:tc>
        <w:tc>
          <w:tcPr>
            <w:tcW w:w="1198"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1.9×10-3L</w:t>
            </w:r>
          </w:p>
        </w:tc>
        <w:tc>
          <w:tcPr>
            <w:tcW w:w="518"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8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1,1,1,2-四氯乙烷</w:t>
            </w:r>
          </w:p>
        </w:tc>
        <w:tc>
          <w:tcPr>
            <w:tcW w:w="119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1.0×10-3L</w:t>
            </w:r>
          </w:p>
        </w:tc>
        <w:tc>
          <w:tcPr>
            <w:tcW w:w="119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1.0×10-3L</w:t>
            </w:r>
          </w:p>
        </w:tc>
        <w:tc>
          <w:tcPr>
            <w:tcW w:w="1198"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1.0×10-3L</w:t>
            </w:r>
          </w:p>
        </w:tc>
        <w:tc>
          <w:tcPr>
            <w:tcW w:w="518"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8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1,1,2,2-四氯乙烷</w:t>
            </w:r>
          </w:p>
        </w:tc>
        <w:tc>
          <w:tcPr>
            <w:tcW w:w="119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1.0×10-3L</w:t>
            </w:r>
          </w:p>
        </w:tc>
        <w:tc>
          <w:tcPr>
            <w:tcW w:w="119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1.0×10-3L</w:t>
            </w:r>
          </w:p>
        </w:tc>
        <w:tc>
          <w:tcPr>
            <w:tcW w:w="1198"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1.0×10-3L</w:t>
            </w:r>
          </w:p>
        </w:tc>
        <w:tc>
          <w:tcPr>
            <w:tcW w:w="518"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8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四氯乙烯</w:t>
            </w:r>
          </w:p>
        </w:tc>
        <w:tc>
          <w:tcPr>
            <w:tcW w:w="119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8.0×10-4L</w:t>
            </w:r>
          </w:p>
        </w:tc>
        <w:tc>
          <w:tcPr>
            <w:tcW w:w="119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8.0×10-4L</w:t>
            </w:r>
          </w:p>
        </w:tc>
        <w:tc>
          <w:tcPr>
            <w:tcW w:w="1198"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8.0×10-4L</w:t>
            </w:r>
          </w:p>
        </w:tc>
        <w:tc>
          <w:tcPr>
            <w:tcW w:w="518"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8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1,1,1-三氯乙烷</w:t>
            </w:r>
          </w:p>
        </w:tc>
        <w:tc>
          <w:tcPr>
            <w:tcW w:w="119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1.1×10-3L</w:t>
            </w:r>
          </w:p>
        </w:tc>
        <w:tc>
          <w:tcPr>
            <w:tcW w:w="119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1.1×10-3L</w:t>
            </w:r>
          </w:p>
        </w:tc>
        <w:tc>
          <w:tcPr>
            <w:tcW w:w="1198"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1.1×10-3L</w:t>
            </w:r>
          </w:p>
        </w:tc>
        <w:tc>
          <w:tcPr>
            <w:tcW w:w="518"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8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1,1,2-三氯乙烷</w:t>
            </w:r>
          </w:p>
        </w:tc>
        <w:tc>
          <w:tcPr>
            <w:tcW w:w="119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1.4×10-3L</w:t>
            </w:r>
          </w:p>
        </w:tc>
        <w:tc>
          <w:tcPr>
            <w:tcW w:w="119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1.4×10-3L</w:t>
            </w:r>
          </w:p>
        </w:tc>
        <w:tc>
          <w:tcPr>
            <w:tcW w:w="1198"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1.4×10-3L</w:t>
            </w:r>
          </w:p>
        </w:tc>
        <w:tc>
          <w:tcPr>
            <w:tcW w:w="518"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8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三氯乙烯</w:t>
            </w:r>
          </w:p>
        </w:tc>
        <w:tc>
          <w:tcPr>
            <w:tcW w:w="119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9.0×10-4L</w:t>
            </w:r>
          </w:p>
        </w:tc>
        <w:tc>
          <w:tcPr>
            <w:tcW w:w="119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9.0×10-4L</w:t>
            </w:r>
          </w:p>
        </w:tc>
        <w:tc>
          <w:tcPr>
            <w:tcW w:w="1198"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9.0×10-4L</w:t>
            </w:r>
          </w:p>
        </w:tc>
        <w:tc>
          <w:tcPr>
            <w:tcW w:w="518"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8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1,2,3-三氯丙烷</w:t>
            </w:r>
          </w:p>
        </w:tc>
        <w:tc>
          <w:tcPr>
            <w:tcW w:w="119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1.0×10-3L</w:t>
            </w:r>
          </w:p>
        </w:tc>
        <w:tc>
          <w:tcPr>
            <w:tcW w:w="119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1.0×10-3L</w:t>
            </w:r>
          </w:p>
        </w:tc>
        <w:tc>
          <w:tcPr>
            <w:tcW w:w="1198"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1.0×10-3L</w:t>
            </w:r>
          </w:p>
        </w:tc>
        <w:tc>
          <w:tcPr>
            <w:tcW w:w="518"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8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氯乙烯</w:t>
            </w:r>
          </w:p>
        </w:tc>
        <w:tc>
          <w:tcPr>
            <w:tcW w:w="119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1.5×10-3L</w:t>
            </w:r>
          </w:p>
        </w:tc>
        <w:tc>
          <w:tcPr>
            <w:tcW w:w="119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1.5×10-3L</w:t>
            </w:r>
          </w:p>
        </w:tc>
        <w:tc>
          <w:tcPr>
            <w:tcW w:w="1198"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1.5×10-3L</w:t>
            </w:r>
          </w:p>
        </w:tc>
        <w:tc>
          <w:tcPr>
            <w:tcW w:w="518"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8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苯</w:t>
            </w:r>
          </w:p>
        </w:tc>
        <w:tc>
          <w:tcPr>
            <w:tcW w:w="119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1.6×10-3L</w:t>
            </w:r>
          </w:p>
        </w:tc>
        <w:tc>
          <w:tcPr>
            <w:tcW w:w="119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1.6×10-3L</w:t>
            </w:r>
          </w:p>
        </w:tc>
        <w:tc>
          <w:tcPr>
            <w:tcW w:w="1198"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1.6×10-3L</w:t>
            </w:r>
          </w:p>
        </w:tc>
        <w:tc>
          <w:tcPr>
            <w:tcW w:w="518"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8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氯苯</w:t>
            </w:r>
          </w:p>
        </w:tc>
        <w:tc>
          <w:tcPr>
            <w:tcW w:w="119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1.1×10-3L</w:t>
            </w:r>
          </w:p>
        </w:tc>
        <w:tc>
          <w:tcPr>
            <w:tcW w:w="119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1.1×10-3L</w:t>
            </w:r>
          </w:p>
        </w:tc>
        <w:tc>
          <w:tcPr>
            <w:tcW w:w="1198"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1.1×10-3L</w:t>
            </w:r>
          </w:p>
        </w:tc>
        <w:tc>
          <w:tcPr>
            <w:tcW w:w="518"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8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1,2-二氯苯</w:t>
            </w:r>
          </w:p>
        </w:tc>
        <w:tc>
          <w:tcPr>
            <w:tcW w:w="119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1.0×10-3L</w:t>
            </w:r>
          </w:p>
        </w:tc>
        <w:tc>
          <w:tcPr>
            <w:tcW w:w="119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1.0×10-3L</w:t>
            </w:r>
          </w:p>
        </w:tc>
        <w:tc>
          <w:tcPr>
            <w:tcW w:w="1198"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1.0×10-3L</w:t>
            </w:r>
          </w:p>
        </w:tc>
        <w:tc>
          <w:tcPr>
            <w:tcW w:w="518"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8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1,4-二氯苯</w:t>
            </w:r>
          </w:p>
        </w:tc>
        <w:tc>
          <w:tcPr>
            <w:tcW w:w="119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1.2×10-3L</w:t>
            </w:r>
          </w:p>
        </w:tc>
        <w:tc>
          <w:tcPr>
            <w:tcW w:w="119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1.2×10-3L</w:t>
            </w:r>
          </w:p>
        </w:tc>
        <w:tc>
          <w:tcPr>
            <w:tcW w:w="1198"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1.2×10-3L</w:t>
            </w:r>
          </w:p>
        </w:tc>
        <w:tc>
          <w:tcPr>
            <w:tcW w:w="518"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8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乙苯</w:t>
            </w:r>
          </w:p>
        </w:tc>
        <w:tc>
          <w:tcPr>
            <w:tcW w:w="119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1.2×10-3L</w:t>
            </w:r>
          </w:p>
        </w:tc>
        <w:tc>
          <w:tcPr>
            <w:tcW w:w="119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1.2×10-3L</w:t>
            </w:r>
          </w:p>
        </w:tc>
        <w:tc>
          <w:tcPr>
            <w:tcW w:w="1198"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1.2×10-3L</w:t>
            </w:r>
          </w:p>
        </w:tc>
        <w:tc>
          <w:tcPr>
            <w:tcW w:w="518"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8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苯乙烯</w:t>
            </w:r>
          </w:p>
        </w:tc>
        <w:tc>
          <w:tcPr>
            <w:tcW w:w="119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1.6×10-3L</w:t>
            </w:r>
          </w:p>
        </w:tc>
        <w:tc>
          <w:tcPr>
            <w:tcW w:w="119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1.6×10-3L</w:t>
            </w:r>
          </w:p>
        </w:tc>
        <w:tc>
          <w:tcPr>
            <w:tcW w:w="1198"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1.6×10-3L</w:t>
            </w:r>
          </w:p>
        </w:tc>
        <w:tc>
          <w:tcPr>
            <w:tcW w:w="518"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1290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8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甲苯</w:t>
            </w:r>
          </w:p>
        </w:tc>
        <w:tc>
          <w:tcPr>
            <w:tcW w:w="119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2.0×10-3L</w:t>
            </w:r>
          </w:p>
        </w:tc>
        <w:tc>
          <w:tcPr>
            <w:tcW w:w="119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2.0×10-3L</w:t>
            </w:r>
          </w:p>
        </w:tc>
        <w:tc>
          <w:tcPr>
            <w:tcW w:w="1198"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2.0×10-3L</w:t>
            </w:r>
          </w:p>
        </w:tc>
        <w:tc>
          <w:tcPr>
            <w:tcW w:w="518"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8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间二甲苯+对二甲苯</w:t>
            </w:r>
          </w:p>
        </w:tc>
        <w:tc>
          <w:tcPr>
            <w:tcW w:w="119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3.6×10-3L</w:t>
            </w:r>
          </w:p>
        </w:tc>
        <w:tc>
          <w:tcPr>
            <w:tcW w:w="119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3.6×10-3L</w:t>
            </w:r>
          </w:p>
        </w:tc>
        <w:tc>
          <w:tcPr>
            <w:tcW w:w="1198"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3.6×10-3L</w:t>
            </w:r>
          </w:p>
        </w:tc>
        <w:tc>
          <w:tcPr>
            <w:tcW w:w="518"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8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邻二甲苯</w:t>
            </w:r>
          </w:p>
        </w:tc>
        <w:tc>
          <w:tcPr>
            <w:tcW w:w="119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1.3×10-3L</w:t>
            </w:r>
          </w:p>
        </w:tc>
        <w:tc>
          <w:tcPr>
            <w:tcW w:w="119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1.3×10-3L</w:t>
            </w:r>
          </w:p>
        </w:tc>
        <w:tc>
          <w:tcPr>
            <w:tcW w:w="1198"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1.3×10-3L</w:t>
            </w:r>
          </w:p>
        </w:tc>
        <w:tc>
          <w:tcPr>
            <w:tcW w:w="518"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8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硝基苯</w:t>
            </w:r>
          </w:p>
        </w:tc>
        <w:tc>
          <w:tcPr>
            <w:tcW w:w="119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0.09L</w:t>
            </w:r>
          </w:p>
        </w:tc>
        <w:tc>
          <w:tcPr>
            <w:tcW w:w="119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0.09L</w:t>
            </w:r>
          </w:p>
        </w:tc>
        <w:tc>
          <w:tcPr>
            <w:tcW w:w="1198"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0.09L</w:t>
            </w:r>
          </w:p>
        </w:tc>
        <w:tc>
          <w:tcPr>
            <w:tcW w:w="518"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8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苯胺</w:t>
            </w:r>
          </w:p>
        </w:tc>
        <w:tc>
          <w:tcPr>
            <w:tcW w:w="119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0.09L</w:t>
            </w:r>
          </w:p>
        </w:tc>
        <w:tc>
          <w:tcPr>
            <w:tcW w:w="119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0.09L</w:t>
            </w:r>
          </w:p>
        </w:tc>
        <w:tc>
          <w:tcPr>
            <w:tcW w:w="1198"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0.09L</w:t>
            </w:r>
          </w:p>
        </w:tc>
        <w:tc>
          <w:tcPr>
            <w:tcW w:w="518"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8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2-氯酚</w:t>
            </w:r>
          </w:p>
        </w:tc>
        <w:tc>
          <w:tcPr>
            <w:tcW w:w="119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0.06L</w:t>
            </w:r>
          </w:p>
        </w:tc>
        <w:tc>
          <w:tcPr>
            <w:tcW w:w="119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0.06L</w:t>
            </w:r>
          </w:p>
        </w:tc>
        <w:tc>
          <w:tcPr>
            <w:tcW w:w="1198"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0.06L</w:t>
            </w:r>
          </w:p>
        </w:tc>
        <w:tc>
          <w:tcPr>
            <w:tcW w:w="518"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2256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8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苯并[a]蒽</w:t>
            </w:r>
          </w:p>
        </w:tc>
        <w:tc>
          <w:tcPr>
            <w:tcW w:w="119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0.1L</w:t>
            </w:r>
          </w:p>
        </w:tc>
        <w:tc>
          <w:tcPr>
            <w:tcW w:w="119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0.1L</w:t>
            </w:r>
          </w:p>
        </w:tc>
        <w:tc>
          <w:tcPr>
            <w:tcW w:w="1198"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0.1L</w:t>
            </w:r>
          </w:p>
        </w:tc>
        <w:tc>
          <w:tcPr>
            <w:tcW w:w="518"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8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苯并[a]芘</w:t>
            </w:r>
          </w:p>
        </w:tc>
        <w:tc>
          <w:tcPr>
            <w:tcW w:w="119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0.1L</w:t>
            </w:r>
          </w:p>
        </w:tc>
        <w:tc>
          <w:tcPr>
            <w:tcW w:w="119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0.1L</w:t>
            </w:r>
          </w:p>
        </w:tc>
        <w:tc>
          <w:tcPr>
            <w:tcW w:w="1198"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0.1L</w:t>
            </w:r>
          </w:p>
        </w:tc>
        <w:tc>
          <w:tcPr>
            <w:tcW w:w="518"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8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苯并[b]荧蒽</w:t>
            </w:r>
          </w:p>
        </w:tc>
        <w:tc>
          <w:tcPr>
            <w:tcW w:w="119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0.2L</w:t>
            </w:r>
          </w:p>
        </w:tc>
        <w:tc>
          <w:tcPr>
            <w:tcW w:w="119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0.2L</w:t>
            </w:r>
          </w:p>
        </w:tc>
        <w:tc>
          <w:tcPr>
            <w:tcW w:w="1198"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0.2L</w:t>
            </w:r>
          </w:p>
        </w:tc>
        <w:tc>
          <w:tcPr>
            <w:tcW w:w="518"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8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苯并[k]荧蒽</w:t>
            </w:r>
          </w:p>
        </w:tc>
        <w:tc>
          <w:tcPr>
            <w:tcW w:w="119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0.1L</w:t>
            </w:r>
          </w:p>
        </w:tc>
        <w:tc>
          <w:tcPr>
            <w:tcW w:w="119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0.1L</w:t>
            </w:r>
          </w:p>
        </w:tc>
        <w:tc>
          <w:tcPr>
            <w:tcW w:w="1198"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0.1L</w:t>
            </w:r>
          </w:p>
        </w:tc>
        <w:tc>
          <w:tcPr>
            <w:tcW w:w="518"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8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䓛</w:t>
            </w:r>
          </w:p>
        </w:tc>
        <w:tc>
          <w:tcPr>
            <w:tcW w:w="119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0.1L</w:t>
            </w:r>
          </w:p>
        </w:tc>
        <w:tc>
          <w:tcPr>
            <w:tcW w:w="119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0.1L</w:t>
            </w:r>
          </w:p>
        </w:tc>
        <w:tc>
          <w:tcPr>
            <w:tcW w:w="1198"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0.1L</w:t>
            </w:r>
          </w:p>
        </w:tc>
        <w:tc>
          <w:tcPr>
            <w:tcW w:w="518"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1293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8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二苯并[a,h]蒽</w:t>
            </w:r>
          </w:p>
        </w:tc>
        <w:tc>
          <w:tcPr>
            <w:tcW w:w="119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0.1L</w:t>
            </w:r>
          </w:p>
        </w:tc>
        <w:tc>
          <w:tcPr>
            <w:tcW w:w="119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0.1L</w:t>
            </w:r>
          </w:p>
        </w:tc>
        <w:tc>
          <w:tcPr>
            <w:tcW w:w="1198"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0.1L</w:t>
            </w:r>
          </w:p>
        </w:tc>
        <w:tc>
          <w:tcPr>
            <w:tcW w:w="518"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8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茚并[1,2,3-cd]芘</w:t>
            </w:r>
          </w:p>
        </w:tc>
        <w:tc>
          <w:tcPr>
            <w:tcW w:w="119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0.1L</w:t>
            </w:r>
          </w:p>
        </w:tc>
        <w:tc>
          <w:tcPr>
            <w:tcW w:w="119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0.1L</w:t>
            </w:r>
          </w:p>
        </w:tc>
        <w:tc>
          <w:tcPr>
            <w:tcW w:w="1198"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0.1L</w:t>
            </w:r>
          </w:p>
        </w:tc>
        <w:tc>
          <w:tcPr>
            <w:tcW w:w="518"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8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萘</w:t>
            </w:r>
          </w:p>
        </w:tc>
        <w:tc>
          <w:tcPr>
            <w:tcW w:w="119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0.09L</w:t>
            </w:r>
          </w:p>
        </w:tc>
        <w:tc>
          <w:tcPr>
            <w:tcW w:w="119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0.09L</w:t>
            </w:r>
          </w:p>
        </w:tc>
        <w:tc>
          <w:tcPr>
            <w:tcW w:w="1198"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0.09L</w:t>
            </w:r>
          </w:p>
        </w:tc>
        <w:tc>
          <w:tcPr>
            <w:tcW w:w="518"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87" w:type="pct"/>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备注</w:t>
            </w:r>
          </w:p>
        </w:tc>
        <w:tc>
          <w:tcPr>
            <w:tcW w:w="4112" w:type="pct"/>
            <w:gridSpan w:val="4"/>
            <w:tcBorders>
              <w:tl2br w:val="nil"/>
              <w:tr2bl w:val="nil"/>
            </w:tcBorders>
            <w:noWrap w:val="0"/>
            <w:vAlign w:val="center"/>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执行《土壤环境质量建设用地土壤污染风险管控标准(试行)》(GB36600-2018)中第二类用地筛选值</w:t>
            </w:r>
          </w:p>
        </w:tc>
      </w:tr>
    </w:tbl>
    <w:p>
      <w:pPr>
        <w:keepNext w:val="0"/>
        <w:keepLines w:val="0"/>
        <w:pageBreakBefore w:val="0"/>
        <w:kinsoku/>
        <w:wordWrap/>
        <w:overflowPunct/>
        <w:topLinePunct w:val="0"/>
        <w:bidi w:val="0"/>
        <w:adjustRightInd/>
        <w:snapToGrid/>
        <w:spacing w:line="360" w:lineRule="auto"/>
        <w:ind w:firstLine="480" w:firstLineChars="200"/>
        <w:jc w:val="both"/>
        <w:textAlignment w:val="auto"/>
        <w:rPr>
          <w:rFonts w:hint="eastAsia" w:ascii="宋体" w:hAnsi="宋体" w:eastAsia="宋体" w:cs="宋体"/>
          <w:b w:val="0"/>
          <w:bCs w:val="0"/>
          <w:i w:val="0"/>
          <w:iCs w:val="0"/>
          <w:color w:val="000000" w:themeColor="text1"/>
          <w:sz w:val="24"/>
          <w:szCs w:val="24"/>
          <w:u w:val="single"/>
          <w:lang w:val="en-US" w:eastAsia="zh-CN"/>
          <w14:textFill>
            <w14:solidFill>
              <w14:schemeClr w14:val="tx1"/>
            </w14:solidFill>
          </w14:textFill>
        </w:rPr>
      </w:pPr>
      <w:r>
        <w:rPr>
          <w:rFonts w:hint="eastAsia" w:ascii="宋体" w:hAnsi="宋体" w:eastAsia="宋体" w:cs="宋体"/>
          <w:b w:val="0"/>
          <w:bCs w:val="0"/>
          <w:i w:val="0"/>
          <w:iCs w:val="0"/>
          <w:color w:val="000000" w:themeColor="text1"/>
          <w:sz w:val="24"/>
          <w:szCs w:val="24"/>
          <w:u w:val="single"/>
          <w:lang w:val="en-US" w:eastAsia="zh-CN"/>
          <w14:textFill>
            <w14:solidFill>
              <w14:schemeClr w14:val="tx1"/>
            </w14:solidFill>
          </w14:textFill>
        </w:rPr>
        <w:t>此外本项目引用同一工业园区株洲时代新材料科技股份有限公司厂界内（本项目西南2.2km）2021年12月28日土壤石油烃监测数据。</w:t>
      </w:r>
    </w:p>
    <w:p>
      <w:pPr>
        <w:keepNext w:val="0"/>
        <w:keepLines w:val="0"/>
        <w:pageBreakBefore w:val="0"/>
        <w:widowControl/>
        <w:kinsoku/>
        <w:wordWrap/>
        <w:overflowPunct/>
        <w:topLinePunct w:val="0"/>
        <w:autoSpaceDE/>
        <w:autoSpaceDN/>
        <w:bidi w:val="0"/>
        <w:adjustRightInd/>
        <w:snapToGrid/>
        <w:spacing w:before="167" w:beforeLines="50" w:after="167" w:afterLines="50" w:line="360" w:lineRule="auto"/>
        <w:ind w:right="0" w:rightChars="0" w:firstLine="0"/>
        <w:jc w:val="center"/>
        <w:textAlignment w:val="auto"/>
        <w:rPr>
          <w:rFonts w:hint="eastAsia" w:ascii="宋体" w:hAnsi="宋体" w:eastAsia="宋体" w:cs="宋体"/>
          <w:b/>
          <w:color w:val="000000" w:themeColor="text1"/>
          <w:szCs w:val="21"/>
          <w:u w:val="single"/>
          <w:lang w:val="en-US" w:eastAsia="zh-CN"/>
          <w14:textFill>
            <w14:solidFill>
              <w14:schemeClr w14:val="tx1"/>
            </w14:solidFill>
          </w14:textFill>
        </w:rPr>
      </w:pPr>
      <w:r>
        <w:rPr>
          <w:rFonts w:hint="eastAsia" w:ascii="宋体" w:hAnsi="宋体" w:eastAsia="宋体" w:cs="宋体"/>
          <w:b/>
          <w:color w:val="000000" w:themeColor="text1"/>
          <w:szCs w:val="21"/>
          <w:u w:val="single"/>
          <w:lang w:val="en-US" w:eastAsia="zh-CN"/>
          <w14:textFill>
            <w14:solidFill>
              <w14:schemeClr w14:val="tx1"/>
            </w14:solidFill>
          </w14:textFill>
        </w:rPr>
        <w:t>表4.2-5石油烃监测结果</w:t>
      </w:r>
    </w:p>
    <w:tbl>
      <w:tblPr>
        <w:tblStyle w:val="3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60"/>
        <w:gridCol w:w="2463"/>
        <w:gridCol w:w="2463"/>
        <w:gridCol w:w="24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Align w:val="center"/>
          </w:tcPr>
          <w:p>
            <w:pPr>
              <w:widowControl w:val="0"/>
              <w:jc w:val="center"/>
              <w:rPr>
                <w:rFonts w:hint="eastAsia" w:ascii="宋体" w:hAnsi="宋体" w:eastAsia="宋体" w:cs="宋体"/>
                <w:color w:val="000000" w:themeColor="text1"/>
                <w:sz w:val="21"/>
                <w:highlight w:val="none"/>
                <w:u w:val="single"/>
                <w:lang w:val="en-US" w:eastAsia="zh-CN" w:bidi="en-US"/>
                <w14:textFill>
                  <w14:solidFill>
                    <w14:schemeClr w14:val="tx1"/>
                  </w14:solidFill>
                </w14:textFill>
              </w:rPr>
            </w:pPr>
            <w:r>
              <w:rPr>
                <w:rFonts w:hint="eastAsia" w:ascii="宋体" w:hAnsi="宋体" w:eastAsia="宋体" w:cs="宋体"/>
                <w:color w:val="000000" w:themeColor="text1"/>
                <w:sz w:val="21"/>
                <w:highlight w:val="none"/>
                <w:u w:val="single"/>
                <w:lang w:val="en-US" w:eastAsia="zh-CN" w:bidi="en-US"/>
                <w14:textFill>
                  <w14:solidFill>
                    <w14:schemeClr w14:val="tx1"/>
                  </w14:solidFill>
                </w14:textFill>
              </w:rPr>
              <w:t>检测点位</w:t>
            </w:r>
          </w:p>
        </w:tc>
        <w:tc>
          <w:tcPr>
            <w:tcW w:w="1250" w:type="pct"/>
            <w:vAlign w:val="center"/>
          </w:tcPr>
          <w:p>
            <w:pPr>
              <w:widowControl w:val="0"/>
              <w:jc w:val="center"/>
              <w:rPr>
                <w:rFonts w:hint="eastAsia" w:ascii="宋体" w:hAnsi="宋体" w:eastAsia="宋体" w:cs="宋体"/>
                <w:color w:val="000000" w:themeColor="text1"/>
                <w:sz w:val="21"/>
                <w:highlight w:val="none"/>
                <w:u w:val="single"/>
                <w:lang w:val="en-US" w:eastAsia="zh-CN" w:bidi="en-US"/>
                <w14:textFill>
                  <w14:solidFill>
                    <w14:schemeClr w14:val="tx1"/>
                  </w14:solidFill>
                </w14:textFill>
              </w:rPr>
            </w:pPr>
            <w:r>
              <w:rPr>
                <w:rFonts w:hint="eastAsia" w:ascii="宋体" w:hAnsi="宋体" w:eastAsia="宋体" w:cs="宋体"/>
                <w:color w:val="000000" w:themeColor="text1"/>
                <w:sz w:val="21"/>
                <w:highlight w:val="none"/>
                <w:u w:val="single"/>
                <w:lang w:val="en-US" w:eastAsia="zh-CN" w:bidi="en-US"/>
                <w14:textFill>
                  <w14:solidFill>
                    <w14:schemeClr w14:val="tx1"/>
                  </w14:solidFill>
                </w14:textFill>
              </w:rPr>
              <w:t>检测项目</w:t>
            </w:r>
          </w:p>
        </w:tc>
        <w:tc>
          <w:tcPr>
            <w:tcW w:w="1250" w:type="pct"/>
            <w:vAlign w:val="center"/>
          </w:tcPr>
          <w:p>
            <w:pPr>
              <w:widowControl w:val="0"/>
              <w:jc w:val="center"/>
              <w:rPr>
                <w:rFonts w:hint="eastAsia" w:ascii="宋体" w:hAnsi="宋体" w:eastAsia="宋体" w:cs="宋体"/>
                <w:color w:val="000000" w:themeColor="text1"/>
                <w:sz w:val="21"/>
                <w:highlight w:val="none"/>
                <w:u w:val="single"/>
                <w:lang w:val="en-US" w:eastAsia="zh-CN" w:bidi="en-US"/>
                <w14:textFill>
                  <w14:solidFill>
                    <w14:schemeClr w14:val="tx1"/>
                  </w14:solidFill>
                </w14:textFill>
              </w:rPr>
            </w:pPr>
            <w:r>
              <w:rPr>
                <w:rFonts w:hint="eastAsia" w:ascii="宋体" w:hAnsi="宋体" w:eastAsia="宋体" w:cs="宋体"/>
                <w:color w:val="000000" w:themeColor="text1"/>
                <w:sz w:val="21"/>
                <w:highlight w:val="none"/>
                <w:u w:val="single"/>
                <w:lang w:val="en-US" w:eastAsia="zh-CN" w:bidi="en-US"/>
                <w14:textFill>
                  <w14:solidFill>
                    <w14:schemeClr w14:val="tx1"/>
                  </w14:solidFill>
                </w14:textFill>
              </w:rPr>
              <w:t>检测结果（mg/kg）</w:t>
            </w:r>
          </w:p>
        </w:tc>
        <w:tc>
          <w:tcPr>
            <w:tcW w:w="1250" w:type="pct"/>
            <w:vAlign w:val="center"/>
          </w:tcPr>
          <w:p>
            <w:pPr>
              <w:widowControl w:val="0"/>
              <w:jc w:val="center"/>
              <w:rPr>
                <w:rFonts w:hint="eastAsia" w:ascii="宋体" w:hAnsi="宋体" w:eastAsia="宋体" w:cs="宋体"/>
                <w:color w:val="000000" w:themeColor="text1"/>
                <w:sz w:val="21"/>
                <w:highlight w:val="none"/>
                <w:u w:val="single"/>
                <w:lang w:val="en-US" w:eastAsia="zh-CN" w:bidi="en-US"/>
                <w14:textFill>
                  <w14:solidFill>
                    <w14:schemeClr w14:val="tx1"/>
                  </w14:solidFill>
                </w14:textFill>
              </w:rPr>
            </w:pPr>
            <w:r>
              <w:rPr>
                <w:rFonts w:hint="eastAsia" w:ascii="宋体" w:hAnsi="宋体" w:eastAsia="宋体" w:cs="宋体"/>
                <w:color w:val="000000" w:themeColor="text1"/>
                <w:sz w:val="21"/>
                <w:highlight w:val="none"/>
                <w:u w:val="single"/>
                <w:lang w:val="en-US" w:eastAsia="zh-CN" w:bidi="en-US"/>
                <w14:textFill>
                  <w14:solidFill>
                    <w14:schemeClr w14:val="tx1"/>
                  </w14:solidFill>
                </w14:textFill>
              </w:rPr>
              <w:t>参考限值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Align w:val="center"/>
          </w:tcPr>
          <w:p>
            <w:pPr>
              <w:widowControl w:val="0"/>
              <w:jc w:val="center"/>
              <w:rPr>
                <w:rFonts w:hint="eastAsia" w:ascii="宋体" w:hAnsi="宋体" w:eastAsia="宋体" w:cs="宋体"/>
                <w:color w:val="000000" w:themeColor="text1"/>
                <w:sz w:val="21"/>
                <w:highlight w:val="none"/>
                <w:u w:val="single"/>
                <w:lang w:val="en-US" w:eastAsia="zh-CN" w:bidi="en-US"/>
                <w14:textFill>
                  <w14:solidFill>
                    <w14:schemeClr w14:val="tx1"/>
                  </w14:solidFill>
                </w14:textFill>
              </w:rPr>
            </w:pPr>
            <w:r>
              <w:rPr>
                <w:rFonts w:hint="eastAsia" w:ascii="宋体" w:hAnsi="宋体" w:eastAsia="宋体" w:cs="宋体"/>
                <w:color w:val="000000" w:themeColor="text1"/>
                <w:sz w:val="21"/>
                <w:highlight w:val="none"/>
                <w:u w:val="single"/>
                <w:lang w:val="en-US" w:eastAsia="zh-CN" w:bidi="en-US"/>
                <w14:textFill>
                  <w14:solidFill>
                    <w14:schemeClr w14:val="tx1"/>
                  </w14:solidFill>
                </w14:textFill>
              </w:rPr>
              <w:t>T1场外北侧</w:t>
            </w:r>
          </w:p>
        </w:tc>
        <w:tc>
          <w:tcPr>
            <w:tcW w:w="1250" w:type="pct"/>
            <w:vMerge w:val="restart"/>
            <w:vAlign w:val="center"/>
          </w:tcPr>
          <w:p>
            <w:pPr>
              <w:widowControl w:val="0"/>
              <w:jc w:val="center"/>
              <w:rPr>
                <w:rFonts w:hint="eastAsia" w:ascii="宋体" w:hAnsi="宋体" w:eastAsia="宋体" w:cs="宋体"/>
                <w:color w:val="000000" w:themeColor="text1"/>
                <w:sz w:val="21"/>
                <w:highlight w:val="none"/>
                <w:u w:val="single"/>
                <w:lang w:val="en-US" w:eastAsia="zh-CN" w:bidi="en-US"/>
                <w14:textFill>
                  <w14:solidFill>
                    <w14:schemeClr w14:val="tx1"/>
                  </w14:solidFill>
                </w14:textFill>
              </w:rPr>
            </w:pPr>
            <w:r>
              <w:rPr>
                <w:rFonts w:hint="eastAsia" w:ascii="宋体" w:hAnsi="宋体" w:eastAsia="宋体" w:cs="宋体"/>
                <w:color w:val="000000" w:themeColor="text1"/>
                <w:sz w:val="21"/>
                <w:highlight w:val="none"/>
                <w:u w:val="single"/>
                <w:lang w:val="en-US" w:eastAsia="zh-CN" w:bidi="en-US"/>
                <w14:textFill>
                  <w14:solidFill>
                    <w14:schemeClr w14:val="tx1"/>
                  </w14:solidFill>
                </w14:textFill>
              </w:rPr>
              <w:t>石油烃</w:t>
            </w:r>
          </w:p>
        </w:tc>
        <w:tc>
          <w:tcPr>
            <w:tcW w:w="1250" w:type="pct"/>
            <w:vAlign w:val="center"/>
          </w:tcPr>
          <w:p>
            <w:pPr>
              <w:widowControl w:val="0"/>
              <w:jc w:val="center"/>
              <w:rPr>
                <w:rFonts w:hint="eastAsia" w:ascii="宋体" w:hAnsi="宋体" w:eastAsia="宋体" w:cs="宋体"/>
                <w:color w:val="000000" w:themeColor="text1"/>
                <w:sz w:val="21"/>
                <w:highlight w:val="none"/>
                <w:u w:val="single"/>
                <w:lang w:val="en-US" w:eastAsia="zh-CN" w:bidi="en-US"/>
                <w14:textFill>
                  <w14:solidFill>
                    <w14:schemeClr w14:val="tx1"/>
                  </w14:solidFill>
                </w14:textFill>
              </w:rPr>
            </w:pPr>
            <w:r>
              <w:rPr>
                <w:rFonts w:hint="eastAsia" w:ascii="宋体" w:hAnsi="宋体" w:eastAsia="宋体" w:cs="宋体"/>
                <w:color w:val="000000" w:themeColor="text1"/>
                <w:sz w:val="21"/>
                <w:highlight w:val="none"/>
                <w:u w:val="single"/>
                <w:lang w:val="en-US" w:eastAsia="zh-CN" w:bidi="en-US"/>
                <w14:textFill>
                  <w14:solidFill>
                    <w14:schemeClr w14:val="tx1"/>
                  </w14:solidFill>
                </w14:textFill>
              </w:rPr>
              <w:t>＜6</w:t>
            </w:r>
          </w:p>
        </w:tc>
        <w:tc>
          <w:tcPr>
            <w:tcW w:w="1250" w:type="pct"/>
            <w:vAlign w:val="center"/>
          </w:tcPr>
          <w:p>
            <w:pPr>
              <w:widowControl w:val="0"/>
              <w:jc w:val="center"/>
              <w:rPr>
                <w:rFonts w:hint="eastAsia" w:ascii="宋体" w:hAnsi="宋体" w:eastAsia="宋体" w:cs="宋体"/>
                <w:color w:val="000000" w:themeColor="text1"/>
                <w:sz w:val="21"/>
                <w:highlight w:val="none"/>
                <w:u w:val="single"/>
                <w:lang w:val="en-US" w:eastAsia="zh-CN" w:bidi="en-US"/>
                <w14:textFill>
                  <w14:solidFill>
                    <w14:schemeClr w14:val="tx1"/>
                  </w14:solidFill>
                </w14:textFill>
              </w:rPr>
            </w:pPr>
            <w:r>
              <w:rPr>
                <w:rFonts w:hint="eastAsia" w:ascii="宋体" w:hAnsi="宋体" w:eastAsia="宋体" w:cs="宋体"/>
                <w:color w:val="000000" w:themeColor="text1"/>
                <w:sz w:val="21"/>
                <w:highlight w:val="none"/>
                <w:u w:val="single"/>
                <w:lang w:val="en-US" w:eastAsia="zh-CN" w:bidi="en-US"/>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Align w:val="center"/>
          </w:tcPr>
          <w:p>
            <w:pPr>
              <w:widowControl w:val="0"/>
              <w:jc w:val="center"/>
              <w:rPr>
                <w:rFonts w:hint="eastAsia" w:ascii="宋体" w:hAnsi="宋体" w:eastAsia="宋体" w:cs="宋体"/>
                <w:color w:val="000000" w:themeColor="text1"/>
                <w:sz w:val="21"/>
                <w:highlight w:val="none"/>
                <w:u w:val="single"/>
                <w:lang w:val="en-US" w:eastAsia="zh-CN" w:bidi="en-US"/>
                <w14:textFill>
                  <w14:solidFill>
                    <w14:schemeClr w14:val="tx1"/>
                  </w14:solidFill>
                </w14:textFill>
              </w:rPr>
            </w:pPr>
            <w:r>
              <w:rPr>
                <w:rFonts w:hint="eastAsia" w:ascii="宋体" w:hAnsi="宋体" w:eastAsia="宋体" w:cs="宋体"/>
                <w:color w:val="000000" w:themeColor="text1"/>
                <w:sz w:val="21"/>
                <w:highlight w:val="none"/>
                <w:u w:val="single"/>
                <w:lang w:val="en-US" w:eastAsia="zh-CN" w:bidi="en-US"/>
                <w14:textFill>
                  <w14:solidFill>
                    <w14:schemeClr w14:val="tx1"/>
                  </w14:solidFill>
                </w14:textFill>
              </w:rPr>
              <w:t>T2厂内2#涂装房旁</w:t>
            </w:r>
          </w:p>
        </w:tc>
        <w:tc>
          <w:tcPr>
            <w:tcW w:w="1250" w:type="pct"/>
            <w:vMerge w:val="continue"/>
            <w:vAlign w:val="center"/>
          </w:tcPr>
          <w:p>
            <w:pPr>
              <w:widowControl w:val="0"/>
              <w:jc w:val="center"/>
              <w:rPr>
                <w:rFonts w:hint="eastAsia" w:ascii="宋体" w:hAnsi="宋体" w:eastAsia="宋体" w:cs="宋体"/>
                <w:color w:val="000000" w:themeColor="text1"/>
                <w:sz w:val="21"/>
                <w:highlight w:val="none"/>
                <w:u w:val="single"/>
                <w:lang w:val="en-US" w:eastAsia="zh-CN" w:bidi="en-US"/>
                <w14:textFill>
                  <w14:solidFill>
                    <w14:schemeClr w14:val="tx1"/>
                  </w14:solidFill>
                </w14:textFill>
              </w:rPr>
            </w:pPr>
          </w:p>
        </w:tc>
        <w:tc>
          <w:tcPr>
            <w:tcW w:w="1250" w:type="pct"/>
            <w:vAlign w:val="center"/>
          </w:tcPr>
          <w:p>
            <w:pPr>
              <w:widowControl w:val="0"/>
              <w:jc w:val="center"/>
              <w:rPr>
                <w:rFonts w:hint="eastAsia" w:ascii="宋体" w:hAnsi="宋体" w:eastAsia="宋体" w:cs="宋体"/>
                <w:color w:val="000000" w:themeColor="text1"/>
                <w:sz w:val="21"/>
                <w:highlight w:val="none"/>
                <w:u w:val="single"/>
                <w:lang w:val="en-US" w:eastAsia="zh-CN" w:bidi="en-US"/>
                <w14:textFill>
                  <w14:solidFill>
                    <w14:schemeClr w14:val="tx1"/>
                  </w14:solidFill>
                </w14:textFill>
              </w:rPr>
            </w:pPr>
            <w:r>
              <w:rPr>
                <w:rFonts w:hint="eastAsia" w:ascii="宋体" w:hAnsi="宋体" w:eastAsia="宋体" w:cs="宋体"/>
                <w:color w:val="000000" w:themeColor="text1"/>
                <w:sz w:val="21"/>
                <w:highlight w:val="none"/>
                <w:u w:val="single"/>
                <w:lang w:val="en-US" w:eastAsia="zh-CN" w:bidi="en-US"/>
                <w14:textFill>
                  <w14:solidFill>
                    <w14:schemeClr w14:val="tx1"/>
                  </w14:solidFill>
                </w14:textFill>
              </w:rPr>
              <w:t>＜6</w:t>
            </w:r>
          </w:p>
        </w:tc>
        <w:tc>
          <w:tcPr>
            <w:tcW w:w="1250" w:type="pct"/>
            <w:vAlign w:val="center"/>
          </w:tcPr>
          <w:p>
            <w:pPr>
              <w:widowControl w:val="0"/>
              <w:jc w:val="center"/>
              <w:rPr>
                <w:rFonts w:hint="eastAsia" w:ascii="宋体" w:hAnsi="宋体" w:eastAsia="宋体" w:cs="宋体"/>
                <w:color w:val="000000" w:themeColor="text1"/>
                <w:sz w:val="21"/>
                <w:highlight w:val="none"/>
                <w:u w:val="single"/>
                <w:lang w:val="en-US" w:eastAsia="zh-CN" w:bidi="en-US"/>
                <w14:textFill>
                  <w14:solidFill>
                    <w14:schemeClr w14:val="tx1"/>
                  </w14:solidFill>
                </w14:textFill>
              </w:rPr>
            </w:pPr>
            <w:r>
              <w:rPr>
                <w:rFonts w:hint="eastAsia" w:ascii="宋体" w:hAnsi="宋体" w:eastAsia="宋体" w:cs="宋体"/>
                <w:color w:val="000000" w:themeColor="text1"/>
                <w:sz w:val="21"/>
                <w:highlight w:val="none"/>
                <w:u w:val="single"/>
                <w:lang w:val="en-US" w:eastAsia="zh-CN" w:bidi="en-US"/>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Align w:val="center"/>
          </w:tcPr>
          <w:p>
            <w:pPr>
              <w:widowControl w:val="0"/>
              <w:jc w:val="center"/>
              <w:rPr>
                <w:rFonts w:hint="eastAsia" w:ascii="宋体" w:hAnsi="宋体" w:eastAsia="宋体" w:cs="宋体"/>
                <w:color w:val="000000" w:themeColor="text1"/>
                <w:sz w:val="21"/>
                <w:highlight w:val="none"/>
                <w:u w:val="single"/>
                <w:lang w:val="en-US" w:eastAsia="zh-CN" w:bidi="en-US"/>
                <w14:textFill>
                  <w14:solidFill>
                    <w14:schemeClr w14:val="tx1"/>
                  </w14:solidFill>
                </w14:textFill>
              </w:rPr>
            </w:pPr>
            <w:r>
              <w:rPr>
                <w:rFonts w:hint="eastAsia" w:ascii="宋体" w:hAnsi="宋体" w:eastAsia="宋体" w:cs="宋体"/>
                <w:color w:val="000000" w:themeColor="text1"/>
                <w:sz w:val="21"/>
                <w:highlight w:val="none"/>
                <w:u w:val="single"/>
                <w:lang w:val="en-US" w:eastAsia="zh-CN" w:bidi="en-US"/>
                <w14:textFill>
                  <w14:solidFill>
                    <w14:schemeClr w14:val="tx1"/>
                  </w14:solidFill>
                </w14:textFill>
              </w:rPr>
              <w:t>T3厂内危化库旁</w:t>
            </w:r>
          </w:p>
        </w:tc>
        <w:tc>
          <w:tcPr>
            <w:tcW w:w="1250" w:type="pct"/>
            <w:vMerge w:val="continue"/>
            <w:vAlign w:val="center"/>
          </w:tcPr>
          <w:p>
            <w:pPr>
              <w:widowControl w:val="0"/>
              <w:jc w:val="center"/>
              <w:rPr>
                <w:rFonts w:hint="eastAsia" w:ascii="宋体" w:hAnsi="宋体" w:eastAsia="宋体" w:cs="宋体"/>
                <w:color w:val="000000" w:themeColor="text1"/>
                <w:sz w:val="21"/>
                <w:highlight w:val="none"/>
                <w:u w:val="single"/>
                <w:lang w:val="en-US" w:eastAsia="zh-CN" w:bidi="en-US"/>
                <w14:textFill>
                  <w14:solidFill>
                    <w14:schemeClr w14:val="tx1"/>
                  </w14:solidFill>
                </w14:textFill>
              </w:rPr>
            </w:pPr>
          </w:p>
        </w:tc>
        <w:tc>
          <w:tcPr>
            <w:tcW w:w="1250" w:type="pct"/>
            <w:vAlign w:val="center"/>
          </w:tcPr>
          <w:p>
            <w:pPr>
              <w:widowControl w:val="0"/>
              <w:jc w:val="center"/>
              <w:rPr>
                <w:rFonts w:hint="eastAsia" w:ascii="宋体" w:hAnsi="宋体" w:eastAsia="宋体" w:cs="宋体"/>
                <w:color w:val="000000" w:themeColor="text1"/>
                <w:sz w:val="21"/>
                <w:highlight w:val="none"/>
                <w:u w:val="single"/>
                <w:lang w:val="en-US" w:eastAsia="zh-CN" w:bidi="en-US"/>
                <w14:textFill>
                  <w14:solidFill>
                    <w14:schemeClr w14:val="tx1"/>
                  </w14:solidFill>
                </w14:textFill>
              </w:rPr>
            </w:pPr>
            <w:r>
              <w:rPr>
                <w:rFonts w:hint="eastAsia" w:ascii="宋体" w:hAnsi="宋体" w:eastAsia="宋体" w:cs="宋体"/>
                <w:color w:val="000000" w:themeColor="text1"/>
                <w:sz w:val="21"/>
                <w:highlight w:val="none"/>
                <w:u w:val="single"/>
                <w:lang w:val="en-US" w:eastAsia="zh-CN" w:bidi="en-US"/>
                <w14:textFill>
                  <w14:solidFill>
                    <w14:schemeClr w14:val="tx1"/>
                  </w14:solidFill>
                </w14:textFill>
              </w:rPr>
              <w:t>＜6</w:t>
            </w:r>
          </w:p>
        </w:tc>
        <w:tc>
          <w:tcPr>
            <w:tcW w:w="1250" w:type="pct"/>
            <w:vAlign w:val="center"/>
          </w:tcPr>
          <w:p>
            <w:pPr>
              <w:widowControl w:val="0"/>
              <w:jc w:val="center"/>
              <w:rPr>
                <w:rFonts w:hint="eastAsia" w:ascii="宋体" w:hAnsi="宋体" w:eastAsia="宋体" w:cs="宋体"/>
                <w:color w:val="000000" w:themeColor="text1"/>
                <w:sz w:val="21"/>
                <w:highlight w:val="none"/>
                <w:u w:val="single"/>
                <w:lang w:val="en-US" w:eastAsia="zh-CN" w:bidi="en-US"/>
                <w14:textFill>
                  <w14:solidFill>
                    <w14:schemeClr w14:val="tx1"/>
                  </w14:solidFill>
                </w14:textFill>
              </w:rPr>
            </w:pPr>
            <w:r>
              <w:rPr>
                <w:rFonts w:hint="eastAsia" w:ascii="宋体" w:hAnsi="宋体" w:eastAsia="宋体" w:cs="宋体"/>
                <w:color w:val="000000" w:themeColor="text1"/>
                <w:sz w:val="21"/>
                <w:highlight w:val="none"/>
                <w:u w:val="single"/>
                <w:lang w:val="en-US" w:eastAsia="zh-CN" w:bidi="en-US"/>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Align w:val="center"/>
          </w:tcPr>
          <w:p>
            <w:pPr>
              <w:widowControl w:val="0"/>
              <w:jc w:val="center"/>
              <w:rPr>
                <w:rFonts w:hint="eastAsia" w:ascii="宋体" w:hAnsi="宋体" w:eastAsia="宋体" w:cs="宋体"/>
                <w:color w:val="000000" w:themeColor="text1"/>
                <w:sz w:val="21"/>
                <w:highlight w:val="none"/>
                <w:u w:val="single"/>
                <w:lang w:val="en-US" w:eastAsia="zh-CN" w:bidi="en-US"/>
                <w14:textFill>
                  <w14:solidFill>
                    <w14:schemeClr w14:val="tx1"/>
                  </w14:solidFill>
                </w14:textFill>
              </w:rPr>
            </w:pPr>
            <w:r>
              <w:rPr>
                <w:rFonts w:hint="eastAsia" w:ascii="宋体" w:hAnsi="宋体" w:eastAsia="宋体" w:cs="宋体"/>
                <w:color w:val="000000" w:themeColor="text1"/>
                <w:sz w:val="21"/>
                <w:highlight w:val="none"/>
                <w:u w:val="single"/>
                <w:lang w:val="en-US" w:eastAsia="zh-CN" w:bidi="en-US"/>
                <w14:textFill>
                  <w14:solidFill>
                    <w14:schemeClr w14:val="tx1"/>
                  </w14:solidFill>
                </w14:textFill>
              </w:rPr>
              <w:t>T4厂内1#涂装房旁</w:t>
            </w:r>
          </w:p>
        </w:tc>
        <w:tc>
          <w:tcPr>
            <w:tcW w:w="1250" w:type="pct"/>
            <w:vMerge w:val="continue"/>
            <w:vAlign w:val="center"/>
          </w:tcPr>
          <w:p>
            <w:pPr>
              <w:widowControl w:val="0"/>
              <w:jc w:val="center"/>
              <w:rPr>
                <w:rFonts w:hint="eastAsia" w:ascii="宋体" w:hAnsi="宋体" w:eastAsia="宋体" w:cs="宋体"/>
                <w:color w:val="000000" w:themeColor="text1"/>
                <w:sz w:val="21"/>
                <w:highlight w:val="none"/>
                <w:u w:val="single"/>
                <w:lang w:val="en-US" w:eastAsia="zh-CN" w:bidi="en-US"/>
                <w14:textFill>
                  <w14:solidFill>
                    <w14:schemeClr w14:val="tx1"/>
                  </w14:solidFill>
                </w14:textFill>
              </w:rPr>
            </w:pPr>
          </w:p>
        </w:tc>
        <w:tc>
          <w:tcPr>
            <w:tcW w:w="1250" w:type="pct"/>
            <w:vAlign w:val="center"/>
          </w:tcPr>
          <w:p>
            <w:pPr>
              <w:widowControl w:val="0"/>
              <w:jc w:val="center"/>
              <w:rPr>
                <w:rFonts w:hint="eastAsia" w:ascii="宋体" w:hAnsi="宋体" w:eastAsia="宋体" w:cs="宋体"/>
                <w:color w:val="000000" w:themeColor="text1"/>
                <w:sz w:val="21"/>
                <w:highlight w:val="none"/>
                <w:u w:val="single"/>
                <w:lang w:val="en-US" w:eastAsia="zh-CN" w:bidi="en-US"/>
                <w14:textFill>
                  <w14:solidFill>
                    <w14:schemeClr w14:val="tx1"/>
                  </w14:solidFill>
                </w14:textFill>
              </w:rPr>
            </w:pPr>
            <w:r>
              <w:rPr>
                <w:rFonts w:hint="eastAsia" w:ascii="宋体" w:hAnsi="宋体" w:eastAsia="宋体" w:cs="宋体"/>
                <w:color w:val="000000" w:themeColor="text1"/>
                <w:sz w:val="21"/>
                <w:highlight w:val="none"/>
                <w:u w:val="single"/>
                <w:lang w:val="en-US" w:eastAsia="zh-CN" w:bidi="en-US"/>
                <w14:textFill>
                  <w14:solidFill>
                    <w14:schemeClr w14:val="tx1"/>
                  </w14:solidFill>
                </w14:textFill>
              </w:rPr>
              <w:t>＜6</w:t>
            </w:r>
          </w:p>
        </w:tc>
        <w:tc>
          <w:tcPr>
            <w:tcW w:w="1250" w:type="pct"/>
            <w:vAlign w:val="center"/>
          </w:tcPr>
          <w:p>
            <w:pPr>
              <w:widowControl w:val="0"/>
              <w:jc w:val="center"/>
              <w:rPr>
                <w:rFonts w:hint="eastAsia" w:ascii="宋体" w:hAnsi="宋体" w:eastAsia="宋体" w:cs="宋体"/>
                <w:color w:val="000000" w:themeColor="text1"/>
                <w:sz w:val="21"/>
                <w:highlight w:val="none"/>
                <w:u w:val="single"/>
                <w:lang w:val="en-US" w:eastAsia="zh-CN" w:bidi="en-US"/>
                <w14:textFill>
                  <w14:solidFill>
                    <w14:schemeClr w14:val="tx1"/>
                  </w14:solidFill>
                </w14:textFill>
              </w:rPr>
            </w:pPr>
            <w:r>
              <w:rPr>
                <w:rFonts w:hint="eastAsia" w:ascii="宋体" w:hAnsi="宋体" w:eastAsia="宋体" w:cs="宋体"/>
                <w:color w:val="000000" w:themeColor="text1"/>
                <w:sz w:val="21"/>
                <w:highlight w:val="none"/>
                <w:u w:val="single"/>
                <w:lang w:val="en-US" w:eastAsia="zh-CN" w:bidi="en-US"/>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Align w:val="center"/>
          </w:tcPr>
          <w:p>
            <w:pPr>
              <w:widowControl w:val="0"/>
              <w:jc w:val="center"/>
              <w:rPr>
                <w:rFonts w:hint="eastAsia" w:ascii="宋体" w:hAnsi="宋体" w:eastAsia="宋体" w:cs="宋体"/>
                <w:color w:val="000000" w:themeColor="text1"/>
                <w:sz w:val="21"/>
                <w:highlight w:val="none"/>
                <w:u w:val="single"/>
                <w:lang w:val="en-US" w:eastAsia="zh-CN" w:bidi="en-US"/>
                <w14:textFill>
                  <w14:solidFill>
                    <w14:schemeClr w14:val="tx1"/>
                  </w14:solidFill>
                </w14:textFill>
              </w:rPr>
            </w:pPr>
            <w:r>
              <w:rPr>
                <w:rFonts w:hint="eastAsia" w:ascii="宋体" w:hAnsi="宋体" w:eastAsia="宋体" w:cs="宋体"/>
                <w:color w:val="000000" w:themeColor="text1"/>
                <w:sz w:val="21"/>
                <w:highlight w:val="none"/>
                <w:u w:val="single"/>
                <w:lang w:val="en-US" w:eastAsia="zh-CN" w:bidi="en-US"/>
                <w14:textFill>
                  <w14:solidFill>
                    <w14:schemeClr w14:val="tx1"/>
                  </w14:solidFill>
                </w14:textFill>
              </w:rPr>
              <w:t>T5厂内危废暂存间旁</w:t>
            </w:r>
          </w:p>
        </w:tc>
        <w:tc>
          <w:tcPr>
            <w:tcW w:w="1250" w:type="pct"/>
            <w:vMerge w:val="continue"/>
            <w:vAlign w:val="center"/>
          </w:tcPr>
          <w:p>
            <w:pPr>
              <w:widowControl w:val="0"/>
              <w:jc w:val="center"/>
              <w:rPr>
                <w:rFonts w:hint="eastAsia" w:ascii="宋体" w:hAnsi="宋体" w:eastAsia="宋体" w:cs="宋体"/>
                <w:color w:val="000000" w:themeColor="text1"/>
                <w:sz w:val="21"/>
                <w:highlight w:val="none"/>
                <w:u w:val="single"/>
                <w:lang w:val="en-US" w:eastAsia="zh-CN" w:bidi="en-US"/>
                <w14:textFill>
                  <w14:solidFill>
                    <w14:schemeClr w14:val="tx1"/>
                  </w14:solidFill>
                </w14:textFill>
              </w:rPr>
            </w:pPr>
          </w:p>
        </w:tc>
        <w:tc>
          <w:tcPr>
            <w:tcW w:w="1250" w:type="pct"/>
            <w:vAlign w:val="center"/>
          </w:tcPr>
          <w:p>
            <w:pPr>
              <w:widowControl w:val="0"/>
              <w:jc w:val="center"/>
              <w:rPr>
                <w:rFonts w:hint="eastAsia" w:ascii="宋体" w:hAnsi="宋体" w:eastAsia="宋体" w:cs="宋体"/>
                <w:color w:val="000000" w:themeColor="text1"/>
                <w:sz w:val="21"/>
                <w:highlight w:val="none"/>
                <w:u w:val="single"/>
                <w:lang w:val="en-US" w:eastAsia="zh-CN" w:bidi="en-US"/>
                <w14:textFill>
                  <w14:solidFill>
                    <w14:schemeClr w14:val="tx1"/>
                  </w14:solidFill>
                </w14:textFill>
              </w:rPr>
            </w:pPr>
            <w:r>
              <w:rPr>
                <w:rFonts w:hint="eastAsia" w:ascii="宋体" w:hAnsi="宋体" w:eastAsia="宋体" w:cs="宋体"/>
                <w:color w:val="000000" w:themeColor="text1"/>
                <w:sz w:val="21"/>
                <w:highlight w:val="none"/>
                <w:u w:val="single"/>
                <w:lang w:val="en-US" w:eastAsia="zh-CN" w:bidi="en-US"/>
                <w14:textFill>
                  <w14:solidFill>
                    <w14:schemeClr w14:val="tx1"/>
                  </w14:solidFill>
                </w14:textFill>
              </w:rPr>
              <w:t>＜6</w:t>
            </w:r>
          </w:p>
        </w:tc>
        <w:tc>
          <w:tcPr>
            <w:tcW w:w="1250" w:type="pct"/>
            <w:vAlign w:val="center"/>
          </w:tcPr>
          <w:p>
            <w:pPr>
              <w:widowControl w:val="0"/>
              <w:jc w:val="center"/>
              <w:rPr>
                <w:rFonts w:hint="eastAsia" w:ascii="宋体" w:hAnsi="宋体" w:eastAsia="宋体" w:cs="宋体"/>
                <w:color w:val="000000" w:themeColor="text1"/>
                <w:sz w:val="21"/>
                <w:highlight w:val="none"/>
                <w:u w:val="single"/>
                <w:lang w:val="en-US" w:eastAsia="zh-CN" w:bidi="en-US"/>
                <w14:textFill>
                  <w14:solidFill>
                    <w14:schemeClr w14:val="tx1"/>
                  </w14:solidFill>
                </w14:textFill>
              </w:rPr>
            </w:pPr>
            <w:r>
              <w:rPr>
                <w:rFonts w:hint="eastAsia" w:ascii="宋体" w:hAnsi="宋体" w:eastAsia="宋体" w:cs="宋体"/>
                <w:color w:val="000000" w:themeColor="text1"/>
                <w:sz w:val="21"/>
                <w:highlight w:val="none"/>
                <w:u w:val="single"/>
                <w:lang w:val="en-US" w:eastAsia="zh-CN" w:bidi="en-US"/>
                <w14:textFill>
                  <w14:solidFill>
                    <w14:schemeClr w14:val="tx1"/>
                  </w14:solidFill>
                </w14:textFill>
              </w:rPr>
              <w:t>/</w:t>
            </w:r>
          </w:p>
        </w:tc>
      </w:tr>
    </w:tbl>
    <w:p>
      <w:pPr>
        <w:keepNext w:val="0"/>
        <w:keepLines w:val="0"/>
        <w:pageBreakBefore w:val="0"/>
        <w:kinsoku/>
        <w:wordWrap/>
        <w:overflowPunct/>
        <w:topLinePunct w:val="0"/>
        <w:bidi w:val="0"/>
        <w:adjustRightInd/>
        <w:snapToGrid/>
        <w:spacing w:line="360" w:lineRule="auto"/>
        <w:ind w:firstLine="480" w:firstLineChars="200"/>
        <w:jc w:val="both"/>
        <w:textAlignment w:val="auto"/>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t>监测结果表明，项目周边土壤环境质量现状满足《土壤环境质量建设用地土壤污染风险管控标准（试行）》（GB36600-2018）第二类用地筛选值标准限值要求，且土壤中石油烃</w:t>
      </w:r>
      <w:r>
        <w:rPr>
          <w:rFonts w:hint="eastAsia" w:ascii="宋体" w:hAnsi="宋体" w:eastAsia="宋体" w:cs="宋体"/>
          <w:color w:val="000000" w:themeColor="text1"/>
          <w:sz w:val="21"/>
          <w:highlight w:val="none"/>
          <w:lang w:val="en-US" w:eastAsia="zh-CN" w:bidi="en-US"/>
          <w14:textFill>
            <w14:solidFill>
              <w14:schemeClr w14:val="tx1"/>
            </w14:solidFill>
          </w14:textFill>
        </w:rPr>
        <w:t>＜6mg/kg</w:t>
      </w:r>
      <w:r>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t>。</w:t>
      </w:r>
    </w:p>
    <w:p>
      <w:pPr>
        <w:pStyle w:val="8"/>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Cs/>
          <w:color w:val="000000" w:themeColor="text1"/>
          <w:highlight w:val="none"/>
          <w:lang w:val="en-US" w:eastAsia="zh-CN"/>
          <w14:textFill>
            <w14:solidFill>
              <w14:schemeClr w14:val="tx1"/>
            </w14:solidFill>
          </w14:textFill>
        </w:rPr>
      </w:pPr>
      <w:bookmarkStart w:id="387" w:name="_Toc7442"/>
      <w:bookmarkStart w:id="388" w:name="_Toc26711"/>
      <w:bookmarkStart w:id="389" w:name="_Toc18935"/>
      <w:bookmarkStart w:id="390" w:name="_Toc13145"/>
      <w:bookmarkStart w:id="391" w:name="_Toc28727"/>
      <w:r>
        <w:rPr>
          <w:rFonts w:hint="eastAsia" w:ascii="宋体" w:hAnsi="宋体" w:eastAsia="宋体" w:cs="宋体"/>
          <w:bCs/>
          <w:color w:val="000000" w:themeColor="text1"/>
          <w:highlight w:val="none"/>
          <w:lang w:val="en-US" w:eastAsia="zh-CN"/>
          <w14:textFill>
            <w14:solidFill>
              <w14:schemeClr w14:val="tx1"/>
            </w14:solidFill>
          </w14:textFill>
        </w:rPr>
        <w:t>4.2.5生态</w:t>
      </w:r>
      <w:bookmarkEnd w:id="387"/>
    </w:p>
    <w:p>
      <w:pPr>
        <w:keepNext w:val="0"/>
        <w:keepLines w:val="0"/>
        <w:pageBreakBefore w:val="0"/>
        <w:kinsoku/>
        <w:wordWrap/>
        <w:overflowPunct/>
        <w:topLinePunct w:val="0"/>
        <w:bidi w:val="0"/>
        <w:adjustRightInd/>
        <w:snapToGrid/>
        <w:spacing w:line="360" w:lineRule="auto"/>
        <w:ind w:firstLine="480" w:firstLineChars="200"/>
        <w:jc w:val="both"/>
        <w:textAlignment w:val="auto"/>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t>本项目位于工业园区，项目周边由于人类多年的开发活动，本项目所在地天然植被已大部分转化为人工植被。区域内野生动物较少，主要有鼠、蛙、昆虫类等。土地主要为住宅、工业和道路用地，植被主要为园区绿化、道路两旁种植有各种林木和花卉。项目周边区域内无珍惜动、植物保护区和自然保护区、风景名胜区、重点文物保护区，现场调查未发现国家保护的珍惜动、植物物种。</w:t>
      </w:r>
    </w:p>
    <w:p>
      <w:pPr>
        <w:pStyle w:val="7"/>
        <w:keepNext w:val="0"/>
        <w:keepLines w:val="0"/>
        <w:pageBreakBefore w:val="0"/>
        <w:widowControl/>
        <w:kinsoku/>
        <w:wordWrap/>
        <w:overflowPunct/>
        <w:topLinePunct w:val="0"/>
        <w:autoSpaceDE w:val="0"/>
        <w:autoSpaceDN w:val="0"/>
        <w:bidi w:val="0"/>
        <w:adjustRightInd/>
        <w:snapToGrid/>
        <w:ind w:firstLine="482" w:firstLineChars="200"/>
        <w:textAlignment w:val="auto"/>
        <w:rPr>
          <w:rFonts w:hint="eastAsia" w:ascii="宋体" w:hAnsi="宋体" w:eastAsia="宋体" w:cs="宋体"/>
          <w:b/>
          <w:bCs/>
          <w:color w:val="000000" w:themeColor="text1"/>
          <w:kern w:val="2"/>
          <w:sz w:val="24"/>
          <w:szCs w:val="24"/>
          <w:highlight w:val="none"/>
          <w:lang w:val="zh-CN" w:eastAsia="zh-CN" w:bidi="ar-SA"/>
          <w14:textFill>
            <w14:solidFill>
              <w14:schemeClr w14:val="tx1"/>
            </w14:solidFill>
          </w14:textFill>
        </w:rPr>
      </w:pPr>
      <w:bookmarkStart w:id="392" w:name="_Toc18779"/>
      <w:r>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t>4.</w:t>
      </w:r>
      <w:r>
        <w:rPr>
          <w:rFonts w:hint="eastAsia" w:ascii="宋体" w:hAnsi="宋体" w:eastAsia="宋体" w:cs="宋体"/>
          <w:b/>
          <w:bCs/>
          <w:color w:val="000000" w:themeColor="text1"/>
          <w:kern w:val="2"/>
          <w:sz w:val="24"/>
          <w:szCs w:val="24"/>
          <w:highlight w:val="none"/>
          <w:lang w:val="zh-CN" w:eastAsia="zh-CN" w:bidi="ar-SA"/>
          <w14:textFill>
            <w14:solidFill>
              <w14:schemeClr w14:val="tx1"/>
            </w14:solidFill>
          </w14:textFill>
        </w:rPr>
        <w:t>3区域污染源调查</w:t>
      </w:r>
      <w:bookmarkEnd w:id="388"/>
      <w:bookmarkEnd w:id="389"/>
      <w:bookmarkEnd w:id="390"/>
      <w:bookmarkEnd w:id="391"/>
      <w:bookmarkEnd w:id="392"/>
    </w:p>
    <w:p>
      <w:pPr>
        <w:keepNext w:val="0"/>
        <w:keepLines w:val="0"/>
        <w:pageBreakBefore w:val="0"/>
        <w:kinsoku/>
        <w:wordWrap/>
        <w:overflowPunct/>
        <w:topLinePunct w:val="0"/>
        <w:bidi w:val="0"/>
        <w:adjustRightInd/>
        <w:snapToGrid/>
        <w:spacing w:line="360" w:lineRule="auto"/>
        <w:ind w:firstLine="480" w:firstLineChars="200"/>
        <w:jc w:val="both"/>
        <w:textAlignment w:val="auto"/>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t>本项目位于株洲市天元区新马工业园仙月环路，四周均为已建厂房。项目周边最近居民为西面701m处的恒大御景天下小区。评价区域内无历史文物遗址和风景名胜区等需要特别保护的文化遗产、自然遗产、自然景观。本项目同一片区周边主要企业及污染源调查见下表</w:t>
      </w:r>
    </w:p>
    <w:p>
      <w:pPr>
        <w:keepNext w:val="0"/>
        <w:keepLines w:val="0"/>
        <w:pageBreakBefore w:val="0"/>
        <w:widowControl/>
        <w:kinsoku/>
        <w:wordWrap/>
        <w:overflowPunct/>
        <w:topLinePunct w:val="0"/>
        <w:autoSpaceDE/>
        <w:autoSpaceDN/>
        <w:bidi w:val="0"/>
        <w:adjustRightInd/>
        <w:snapToGrid/>
        <w:spacing w:before="167" w:beforeLines="50" w:after="167" w:afterLines="50" w:line="360" w:lineRule="auto"/>
        <w:ind w:right="0" w:rightChars="0" w:firstLine="0"/>
        <w:jc w:val="center"/>
        <w:textAlignment w:val="auto"/>
        <w:rPr>
          <w:rFonts w:hint="eastAsia" w:ascii="宋体" w:hAnsi="宋体" w:eastAsia="宋体" w:cs="宋体"/>
          <w:b/>
          <w:color w:val="000000" w:themeColor="text1"/>
          <w:szCs w:val="21"/>
          <w:lang w:val="en-US" w:eastAsia="zh-CN"/>
          <w14:textFill>
            <w14:solidFill>
              <w14:schemeClr w14:val="tx1"/>
            </w14:solidFill>
          </w14:textFill>
        </w:rPr>
      </w:pPr>
      <w:r>
        <w:rPr>
          <w:rFonts w:hint="eastAsia" w:ascii="宋体" w:hAnsi="宋体" w:eastAsia="宋体" w:cs="宋体"/>
          <w:b/>
          <w:color w:val="000000" w:themeColor="text1"/>
          <w:szCs w:val="21"/>
          <w:lang w:val="en-US" w:eastAsia="zh-CN"/>
          <w14:textFill>
            <w14:solidFill>
              <w14:schemeClr w14:val="tx1"/>
            </w14:solidFill>
          </w14:textFill>
        </w:rPr>
        <w:t>表4.3-1区域污染源调查表</w:t>
      </w:r>
    </w:p>
    <w:tbl>
      <w:tblPr>
        <w:tblStyle w:val="3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83"/>
        <w:gridCol w:w="2042"/>
        <w:gridCol w:w="45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企业名称</w:t>
            </w:r>
          </w:p>
        </w:tc>
        <w:tc>
          <w:tcPr>
            <w:tcW w:w="1036" w:type="pct"/>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相对方位</w:t>
            </w:r>
          </w:p>
        </w:tc>
        <w:tc>
          <w:tcPr>
            <w:tcW w:w="2296" w:type="pct"/>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污染源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株洲市锦程新能供应链有限责任公司</w:t>
            </w:r>
          </w:p>
        </w:tc>
        <w:tc>
          <w:tcPr>
            <w:tcW w:w="1036" w:type="pct"/>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NW，82m</w:t>
            </w:r>
          </w:p>
        </w:tc>
        <w:tc>
          <w:tcPr>
            <w:tcW w:w="2296" w:type="pct"/>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生活污水、固废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株洲三鑫技术开发有限公司</w:t>
            </w:r>
          </w:p>
        </w:tc>
        <w:tc>
          <w:tcPr>
            <w:tcW w:w="1036" w:type="pct"/>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NW，122m</w:t>
            </w:r>
          </w:p>
        </w:tc>
        <w:tc>
          <w:tcPr>
            <w:tcW w:w="2296" w:type="pct"/>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生活污水、固废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湖南锐扬创科智能科技有限公司</w:t>
            </w:r>
          </w:p>
        </w:tc>
        <w:tc>
          <w:tcPr>
            <w:tcW w:w="1036" w:type="pct"/>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N,124m</w:t>
            </w:r>
          </w:p>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p>
        </w:tc>
        <w:tc>
          <w:tcPr>
            <w:tcW w:w="2296" w:type="pct"/>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生活污水、固废、噪声、VOCs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株洲海纳硬质合金有限公司</w:t>
            </w:r>
          </w:p>
        </w:tc>
        <w:tc>
          <w:tcPr>
            <w:tcW w:w="1036" w:type="pct"/>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N,229m</w:t>
            </w:r>
          </w:p>
        </w:tc>
        <w:tc>
          <w:tcPr>
            <w:tcW w:w="2296" w:type="pct"/>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生活污水、固废、噪声、VOCs、粉尘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湖南弘辉科技有限公司</w:t>
            </w:r>
          </w:p>
        </w:tc>
        <w:tc>
          <w:tcPr>
            <w:tcW w:w="1036" w:type="pct"/>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N,283m</w:t>
            </w:r>
          </w:p>
        </w:tc>
        <w:tc>
          <w:tcPr>
            <w:tcW w:w="2296" w:type="pct"/>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生活污水、固废、噪声、粉尘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湖南宏工智能科技有限公司</w:t>
            </w:r>
          </w:p>
        </w:tc>
        <w:tc>
          <w:tcPr>
            <w:tcW w:w="1036" w:type="pct"/>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SW,50m</w:t>
            </w:r>
          </w:p>
        </w:tc>
        <w:tc>
          <w:tcPr>
            <w:tcW w:w="2296" w:type="pct"/>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生活污水、固废、噪声、粉尘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湖南鑫泰民食品有限公司</w:t>
            </w:r>
          </w:p>
        </w:tc>
        <w:tc>
          <w:tcPr>
            <w:tcW w:w="1036" w:type="pct"/>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SW,266m</w:t>
            </w:r>
          </w:p>
        </w:tc>
        <w:tc>
          <w:tcPr>
            <w:tcW w:w="2296" w:type="pct"/>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生活污水、固废、噪声、VOCs、粉尘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湖南德尚源耐磨工业有限公司株洲工厂</w:t>
            </w:r>
          </w:p>
        </w:tc>
        <w:tc>
          <w:tcPr>
            <w:tcW w:w="1036" w:type="pct"/>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W，266m</w:t>
            </w:r>
          </w:p>
        </w:tc>
        <w:tc>
          <w:tcPr>
            <w:tcW w:w="2296" w:type="pct"/>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生活污水、固废、噪声、粉尘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萨格机床</w:t>
            </w:r>
          </w:p>
        </w:tc>
        <w:tc>
          <w:tcPr>
            <w:tcW w:w="1036" w:type="pct"/>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W,273m</w:t>
            </w:r>
          </w:p>
        </w:tc>
        <w:tc>
          <w:tcPr>
            <w:tcW w:w="2296" w:type="pct"/>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生活污水、固废、噪声、粉尘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斯普瑞热喷涂</w:t>
            </w:r>
          </w:p>
        </w:tc>
        <w:tc>
          <w:tcPr>
            <w:tcW w:w="1036" w:type="pct"/>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W,286m</w:t>
            </w:r>
          </w:p>
        </w:tc>
        <w:tc>
          <w:tcPr>
            <w:tcW w:w="2296" w:type="pct"/>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生活污水、固废、噪声、VOCs、粉尘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湖南世鑫新材料有限公司</w:t>
            </w:r>
          </w:p>
        </w:tc>
        <w:tc>
          <w:tcPr>
            <w:tcW w:w="1036" w:type="pct"/>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W，303m</w:t>
            </w:r>
          </w:p>
        </w:tc>
        <w:tc>
          <w:tcPr>
            <w:tcW w:w="2296" w:type="pct"/>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生活污水、固废、噪声、VOCs、粉尘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湖南德通物流股份有限公司</w:t>
            </w:r>
          </w:p>
        </w:tc>
        <w:tc>
          <w:tcPr>
            <w:tcW w:w="1036" w:type="pct"/>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W，335m</w:t>
            </w:r>
          </w:p>
        </w:tc>
        <w:tc>
          <w:tcPr>
            <w:tcW w:w="2296" w:type="pct"/>
          </w:tcPr>
          <w:p>
            <w:pPr>
              <w:widowControl w:val="0"/>
              <w:jc w:val="center"/>
              <w:rPr>
                <w:rFonts w:hint="eastAsia" w:ascii="宋体" w:hAnsi="宋体" w:eastAsia="宋体" w:cs="宋体"/>
                <w:color w:val="000000" w:themeColor="text1"/>
                <w:sz w:val="21"/>
                <w:highlight w:val="none"/>
                <w:lang w:val="en-US" w:eastAsia="zh-CN" w:bidi="en-US"/>
                <w14:textFill>
                  <w14:solidFill>
                    <w14:schemeClr w14:val="tx1"/>
                  </w14:solidFill>
                </w14:textFill>
              </w:rPr>
            </w:pPr>
            <w:r>
              <w:rPr>
                <w:rFonts w:hint="eastAsia" w:ascii="宋体" w:hAnsi="宋体" w:eastAsia="宋体" w:cs="宋体"/>
                <w:color w:val="000000" w:themeColor="text1"/>
                <w:sz w:val="21"/>
                <w:highlight w:val="none"/>
                <w:lang w:val="en-US" w:eastAsia="zh-CN" w:bidi="en-US"/>
                <w14:textFill>
                  <w14:solidFill>
                    <w14:schemeClr w14:val="tx1"/>
                  </w14:solidFill>
                </w14:textFill>
              </w:rPr>
              <w:t>生活污水、固废</w:t>
            </w:r>
          </w:p>
        </w:tc>
      </w:tr>
    </w:tbl>
    <w:p>
      <w:pPr>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br w:type="page"/>
      </w:r>
    </w:p>
    <w:p>
      <w:pPr>
        <w:pStyle w:val="6"/>
        <w:numPr>
          <w:ilvl w:val="0"/>
          <w:numId w:val="3"/>
        </w:numPr>
        <w:bidi w:val="0"/>
        <w:ind w:left="240" w:leftChars="0" w:firstLineChars="0"/>
        <w:rPr>
          <w:rFonts w:hint="eastAsia" w:ascii="宋体" w:hAnsi="宋体" w:eastAsia="宋体" w:cs="宋体"/>
          <w:color w:val="000000" w:themeColor="text1"/>
          <w:lang w:eastAsia="zh-CN"/>
          <w14:textFill>
            <w14:solidFill>
              <w14:schemeClr w14:val="tx1"/>
            </w14:solidFill>
          </w14:textFill>
        </w:rPr>
      </w:pPr>
      <w:bookmarkStart w:id="393" w:name="_Toc10438"/>
      <w:r>
        <w:rPr>
          <w:rFonts w:hint="eastAsia" w:ascii="宋体" w:hAnsi="宋体" w:eastAsia="宋体" w:cs="宋体"/>
          <w:color w:val="000000" w:themeColor="text1"/>
          <w:lang w:eastAsia="zh-CN"/>
          <w14:textFill>
            <w14:solidFill>
              <w14:schemeClr w14:val="tx1"/>
            </w14:solidFill>
          </w14:textFill>
        </w:rPr>
        <w:t>环境影响与预测</w:t>
      </w:r>
      <w:bookmarkEnd w:id="393"/>
    </w:p>
    <w:p>
      <w:pPr>
        <w:pStyle w:val="7"/>
        <w:pageBreakBefore w:val="0"/>
        <w:widowControl/>
        <w:kinsoku/>
        <w:wordWrap/>
        <w:overflowPunct/>
        <w:topLinePunct w:val="0"/>
        <w:bidi w:val="0"/>
        <w:adjustRightInd/>
        <w:snapToGrid/>
        <w:ind w:firstLine="482"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bookmarkStart w:id="394" w:name="_Toc10725"/>
      <w:r>
        <w:rPr>
          <w:rFonts w:hint="eastAsia" w:ascii="宋体" w:hAnsi="宋体" w:eastAsia="宋体" w:cs="宋体"/>
          <w:color w:val="000000" w:themeColor="text1"/>
          <w:sz w:val="24"/>
          <w:szCs w:val="24"/>
          <w:highlight w:val="none"/>
          <w:lang w:val="en-US" w:eastAsia="zh-CN"/>
          <w14:textFill>
            <w14:solidFill>
              <w14:schemeClr w14:val="tx1"/>
            </w14:solidFill>
          </w14:textFill>
        </w:rPr>
        <w:t>5.1施工期环境影响分析</w:t>
      </w:r>
      <w:bookmarkEnd w:id="394"/>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项目新增部分施工内容涉及新增设备的安装等，项目不涉及土建，主要环境影响仅为施工期的噪声，在施工期内存在，随着施工结束后这些影响会随之消除，本次不对施工期再进行详细分析。</w:t>
      </w:r>
    </w:p>
    <w:p>
      <w:pPr>
        <w:pStyle w:val="7"/>
        <w:pageBreakBefore w:val="0"/>
        <w:widowControl/>
        <w:kinsoku/>
        <w:wordWrap/>
        <w:overflowPunct/>
        <w:topLinePunct w:val="0"/>
        <w:bidi w:val="0"/>
        <w:adjustRightInd/>
        <w:snapToGrid/>
        <w:ind w:firstLine="482"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bookmarkStart w:id="395" w:name="_Toc9173"/>
      <w:r>
        <w:rPr>
          <w:rFonts w:hint="eastAsia" w:ascii="宋体" w:hAnsi="宋体" w:eastAsia="宋体" w:cs="宋体"/>
          <w:color w:val="000000" w:themeColor="text1"/>
          <w:sz w:val="24"/>
          <w:szCs w:val="24"/>
          <w:highlight w:val="none"/>
          <w:lang w:val="en-US" w:eastAsia="zh-CN"/>
          <w14:textFill>
            <w14:solidFill>
              <w14:schemeClr w14:val="tx1"/>
            </w14:solidFill>
          </w14:textFill>
        </w:rPr>
        <w:t>5.2营运期环境影响分析</w:t>
      </w:r>
      <w:bookmarkEnd w:id="395"/>
    </w:p>
    <w:p>
      <w:pPr>
        <w:pStyle w:val="8"/>
        <w:keepNext/>
        <w:keepLines/>
        <w:pageBreakBefore w:val="0"/>
        <w:widowControl/>
        <w:kinsoku/>
        <w:wordWrap/>
        <w:overflowPunct/>
        <w:topLinePunct w:val="0"/>
        <w:autoSpaceDE/>
        <w:autoSpaceDN/>
        <w:bidi w:val="0"/>
        <w:adjustRightInd/>
        <w:snapToGrid/>
        <w:ind w:firstLine="482" w:firstLineChars="200"/>
        <w:textAlignment w:val="auto"/>
        <w:rPr>
          <w:rFonts w:hint="eastAsia" w:ascii="宋体" w:hAnsi="宋体" w:eastAsia="宋体" w:cs="宋体"/>
          <w:bCs/>
          <w:color w:val="000000" w:themeColor="text1"/>
          <w:highlight w:val="none"/>
          <w:lang w:val="en-US" w:eastAsia="zh-CN"/>
          <w14:textFill>
            <w14:solidFill>
              <w14:schemeClr w14:val="tx1"/>
            </w14:solidFill>
          </w14:textFill>
        </w:rPr>
      </w:pPr>
      <w:bookmarkStart w:id="396" w:name="_Toc27590"/>
      <w:r>
        <w:rPr>
          <w:rFonts w:hint="eastAsia" w:ascii="宋体" w:hAnsi="宋体" w:eastAsia="宋体" w:cs="宋体"/>
          <w:bCs/>
          <w:color w:val="000000" w:themeColor="text1"/>
          <w:highlight w:val="none"/>
          <w:lang w:val="en-US" w:eastAsia="zh-CN"/>
          <w14:textFill>
            <w14:solidFill>
              <w14:schemeClr w14:val="tx1"/>
            </w14:solidFill>
          </w14:textFill>
        </w:rPr>
        <w:t>5.2.1大气环境影响分析</w:t>
      </w:r>
      <w:bookmarkEnd w:id="396"/>
    </w:p>
    <w:p>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outlineLvl w:val="3"/>
        <w:rPr>
          <w:rFonts w:hint="eastAsia" w:ascii="宋体" w:hAnsi="宋体" w:eastAsia="宋体" w:cs="宋体"/>
          <w:b/>
          <w:bCs/>
          <w:color w:val="000000" w:themeColor="text1"/>
          <w:lang w:eastAsia="zh-CN"/>
          <w14:textFill>
            <w14:solidFill>
              <w14:schemeClr w14:val="tx1"/>
            </w14:solidFill>
          </w14:textFill>
        </w:rPr>
      </w:pPr>
      <w:r>
        <w:rPr>
          <w:rFonts w:hint="eastAsia" w:ascii="宋体" w:hAnsi="宋体" w:eastAsia="宋体" w:cs="宋体"/>
          <w:b/>
          <w:bCs/>
          <w:color w:val="000000" w:themeColor="text1"/>
          <w:lang w:val="en-US" w:eastAsia="zh-CN"/>
          <w14:textFill>
            <w14:solidFill>
              <w14:schemeClr w14:val="tx1"/>
            </w14:solidFill>
          </w14:textFill>
        </w:rPr>
        <w:t>5.2</w:t>
      </w:r>
      <w:r>
        <w:rPr>
          <w:rFonts w:hint="eastAsia" w:ascii="宋体" w:hAnsi="宋体" w:eastAsia="宋体" w:cs="宋体"/>
          <w:b/>
          <w:bCs/>
          <w:color w:val="000000" w:themeColor="text1"/>
          <w:lang w:eastAsia="zh-CN"/>
          <w14:textFill>
            <w14:solidFill>
              <w14:schemeClr w14:val="tx1"/>
            </w14:solidFill>
          </w14:textFill>
        </w:rPr>
        <w:t>.</w:t>
      </w:r>
      <w:r>
        <w:rPr>
          <w:rFonts w:hint="eastAsia" w:ascii="宋体" w:hAnsi="宋体" w:eastAsia="宋体" w:cs="宋体"/>
          <w:b/>
          <w:bCs/>
          <w:color w:val="000000" w:themeColor="text1"/>
          <w:lang w:val="en-US" w:eastAsia="zh-CN"/>
          <w14:textFill>
            <w14:solidFill>
              <w14:schemeClr w14:val="tx1"/>
            </w14:solidFill>
          </w14:textFill>
        </w:rPr>
        <w:t>1</w:t>
      </w:r>
      <w:r>
        <w:rPr>
          <w:rFonts w:hint="eastAsia" w:ascii="宋体" w:hAnsi="宋体" w:eastAsia="宋体" w:cs="宋体"/>
          <w:b/>
          <w:bCs/>
          <w:color w:val="000000" w:themeColor="text1"/>
          <w:lang w:eastAsia="zh-CN"/>
          <w14:textFill>
            <w14:solidFill>
              <w14:schemeClr w14:val="tx1"/>
            </w14:solidFill>
          </w14:textFill>
        </w:rPr>
        <w:t>.1污染气象特征分析</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val="0"/>
          <w:bCs w:val="0"/>
          <w:i w:val="0"/>
          <w:iCs w:val="0"/>
          <w:color w:val="000000" w:themeColor="text1"/>
          <w:sz w:val="24"/>
          <w:szCs w:val="24"/>
          <w14:textFill>
            <w14:solidFill>
              <w14:schemeClr w14:val="tx1"/>
            </w14:solidFill>
          </w14:textFill>
        </w:rPr>
        <w:t>本评价区域地面情况与株洲市气象站地区大体相同，因此本评价地面风场情况采用市气象站提供的资料。整理株洲市气象站累年平均风速、大气稳定度频率、近30年风向频</w:t>
      </w:r>
      <w:r>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t>率</w:t>
      </w:r>
      <w:r>
        <w:rPr>
          <w:rFonts w:hint="eastAsia" w:ascii="宋体" w:hAnsi="宋体" w:eastAsia="宋体" w:cs="宋体"/>
          <w:color w:val="000000" w:themeColor="text1"/>
          <w:highlight w:val="none"/>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before="167" w:beforeLines="50" w:after="167" w:afterLines="50" w:line="360" w:lineRule="auto"/>
        <w:ind w:right="0" w:rightChars="0" w:firstLine="0"/>
        <w:jc w:val="center"/>
        <w:textAlignment w:val="auto"/>
        <w:rPr>
          <w:rFonts w:hint="eastAsia" w:ascii="宋体" w:hAnsi="宋体" w:eastAsia="宋体" w:cs="宋体"/>
          <w:b/>
          <w:color w:val="000000" w:themeColor="text1"/>
          <w:szCs w:val="21"/>
          <w:lang w:val="en-US" w:eastAsia="zh-CN"/>
          <w14:textFill>
            <w14:solidFill>
              <w14:schemeClr w14:val="tx1"/>
            </w14:solidFill>
          </w14:textFill>
        </w:rPr>
      </w:pPr>
      <w:r>
        <w:rPr>
          <w:rFonts w:hint="eastAsia" w:ascii="宋体" w:hAnsi="宋体" w:eastAsia="宋体" w:cs="宋体"/>
          <w:b/>
          <w:color w:val="000000" w:themeColor="text1"/>
          <w:szCs w:val="21"/>
          <w:lang w:val="en-US" w:eastAsia="zh-CN"/>
          <w14:textFill>
            <w14:solidFill>
              <w14:schemeClr w14:val="tx1"/>
            </w14:solidFill>
          </w14:textFill>
        </w:rPr>
        <w:t>表5.2-1株洲市累年平均风速表</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1"/>
        <w:gridCol w:w="684"/>
        <w:gridCol w:w="684"/>
        <w:gridCol w:w="684"/>
        <w:gridCol w:w="685"/>
        <w:gridCol w:w="685"/>
        <w:gridCol w:w="685"/>
        <w:gridCol w:w="685"/>
        <w:gridCol w:w="685"/>
        <w:gridCol w:w="685"/>
        <w:gridCol w:w="685"/>
        <w:gridCol w:w="685"/>
        <w:gridCol w:w="685"/>
        <w:gridCol w:w="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2" w:type="pct"/>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月份</w:t>
            </w:r>
          </w:p>
        </w:tc>
        <w:tc>
          <w:tcPr>
            <w:tcW w:w="347" w:type="pct"/>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w:t>
            </w:r>
          </w:p>
        </w:tc>
        <w:tc>
          <w:tcPr>
            <w:tcW w:w="347" w:type="pct"/>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w:t>
            </w:r>
          </w:p>
        </w:tc>
        <w:tc>
          <w:tcPr>
            <w:tcW w:w="347" w:type="pct"/>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3</w:t>
            </w:r>
          </w:p>
        </w:tc>
        <w:tc>
          <w:tcPr>
            <w:tcW w:w="347" w:type="pct"/>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4</w:t>
            </w:r>
          </w:p>
        </w:tc>
        <w:tc>
          <w:tcPr>
            <w:tcW w:w="347" w:type="pct"/>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5</w:t>
            </w:r>
          </w:p>
        </w:tc>
        <w:tc>
          <w:tcPr>
            <w:tcW w:w="347" w:type="pct"/>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6</w:t>
            </w:r>
          </w:p>
        </w:tc>
        <w:tc>
          <w:tcPr>
            <w:tcW w:w="347" w:type="pct"/>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7</w:t>
            </w:r>
          </w:p>
        </w:tc>
        <w:tc>
          <w:tcPr>
            <w:tcW w:w="347" w:type="pct"/>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8</w:t>
            </w:r>
          </w:p>
        </w:tc>
        <w:tc>
          <w:tcPr>
            <w:tcW w:w="347" w:type="pct"/>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9</w:t>
            </w:r>
          </w:p>
        </w:tc>
        <w:tc>
          <w:tcPr>
            <w:tcW w:w="347" w:type="pct"/>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10</w:t>
            </w:r>
          </w:p>
        </w:tc>
        <w:tc>
          <w:tcPr>
            <w:tcW w:w="347" w:type="pct"/>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11</w:t>
            </w:r>
          </w:p>
        </w:tc>
        <w:tc>
          <w:tcPr>
            <w:tcW w:w="347" w:type="pct"/>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12</w:t>
            </w:r>
          </w:p>
        </w:tc>
        <w:tc>
          <w:tcPr>
            <w:tcW w:w="347" w:type="pct"/>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平均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2" w:type="pct"/>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风速（m/s）</w:t>
            </w:r>
          </w:p>
        </w:tc>
        <w:tc>
          <w:tcPr>
            <w:tcW w:w="347" w:type="pct"/>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2.0</w:t>
            </w:r>
          </w:p>
        </w:tc>
        <w:tc>
          <w:tcPr>
            <w:tcW w:w="347" w:type="pct"/>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1.9</w:t>
            </w:r>
          </w:p>
        </w:tc>
        <w:tc>
          <w:tcPr>
            <w:tcW w:w="347" w:type="pct"/>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2.3</w:t>
            </w:r>
          </w:p>
        </w:tc>
        <w:tc>
          <w:tcPr>
            <w:tcW w:w="347" w:type="pct"/>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2.4</w:t>
            </w:r>
          </w:p>
        </w:tc>
        <w:tc>
          <w:tcPr>
            <w:tcW w:w="347" w:type="pct"/>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2.0</w:t>
            </w:r>
          </w:p>
        </w:tc>
        <w:tc>
          <w:tcPr>
            <w:tcW w:w="347" w:type="pct"/>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2.1</w:t>
            </w:r>
          </w:p>
        </w:tc>
        <w:tc>
          <w:tcPr>
            <w:tcW w:w="347" w:type="pct"/>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2.5</w:t>
            </w:r>
          </w:p>
        </w:tc>
        <w:tc>
          <w:tcPr>
            <w:tcW w:w="347" w:type="pct"/>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2.2</w:t>
            </w:r>
          </w:p>
        </w:tc>
        <w:tc>
          <w:tcPr>
            <w:tcW w:w="347" w:type="pct"/>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2.4</w:t>
            </w:r>
          </w:p>
        </w:tc>
        <w:tc>
          <w:tcPr>
            <w:tcW w:w="347" w:type="pct"/>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2.0</w:t>
            </w:r>
          </w:p>
        </w:tc>
        <w:tc>
          <w:tcPr>
            <w:tcW w:w="347" w:type="pct"/>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2.1</w:t>
            </w:r>
          </w:p>
        </w:tc>
        <w:tc>
          <w:tcPr>
            <w:tcW w:w="347" w:type="pct"/>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2.0</w:t>
            </w:r>
          </w:p>
        </w:tc>
        <w:tc>
          <w:tcPr>
            <w:tcW w:w="347" w:type="pct"/>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2.2</w:t>
            </w:r>
          </w:p>
        </w:tc>
      </w:tr>
    </w:tbl>
    <w:p>
      <w:pPr>
        <w:keepNext w:val="0"/>
        <w:keepLines w:val="0"/>
        <w:pageBreakBefore w:val="0"/>
        <w:widowControl/>
        <w:kinsoku/>
        <w:wordWrap/>
        <w:overflowPunct/>
        <w:topLinePunct w:val="0"/>
        <w:autoSpaceDE/>
        <w:autoSpaceDN/>
        <w:bidi w:val="0"/>
        <w:adjustRightInd/>
        <w:snapToGrid/>
        <w:spacing w:before="167" w:beforeLines="50" w:after="167" w:afterLines="50" w:line="360" w:lineRule="auto"/>
        <w:ind w:firstLine="0" w:firstLineChars="0"/>
        <w:jc w:val="center"/>
        <w:textAlignment w:val="auto"/>
        <w:rPr>
          <w:rFonts w:hint="eastAsia" w:ascii="宋体" w:hAnsi="宋体" w:eastAsia="宋体" w:cs="宋体"/>
          <w:b/>
          <w:bCs/>
          <w:color w:val="000000" w:themeColor="text1"/>
          <w:highlight w:val="none"/>
          <w:lang w:val="en-US" w:eastAsia="zh-CN"/>
          <w14:textFill>
            <w14:solidFill>
              <w14:schemeClr w14:val="tx1"/>
            </w14:solidFill>
          </w14:textFill>
        </w:rPr>
      </w:pPr>
      <w:r>
        <w:rPr>
          <w:rFonts w:hint="eastAsia" w:ascii="宋体" w:hAnsi="宋体" w:eastAsia="宋体" w:cs="宋体"/>
          <w:b/>
          <w:bCs/>
          <w:color w:val="000000" w:themeColor="text1"/>
          <w:highlight w:val="none"/>
          <w:lang w:val="en-US" w:eastAsia="zh-CN"/>
          <w14:textFill>
            <w14:solidFill>
              <w14:schemeClr w14:val="tx1"/>
            </w14:solidFill>
          </w14:textFill>
        </w:rPr>
        <w:t>表5.2-2大气稳定度频率（%）</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4"/>
        <w:gridCol w:w="1404"/>
        <w:gridCol w:w="1404"/>
        <w:gridCol w:w="1408"/>
        <w:gridCol w:w="1411"/>
        <w:gridCol w:w="1411"/>
        <w:gridCol w:w="14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pct"/>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稳定度</w:t>
            </w:r>
          </w:p>
        </w:tc>
        <w:tc>
          <w:tcPr>
            <w:tcW w:w="712" w:type="pct"/>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A</w:t>
            </w:r>
          </w:p>
        </w:tc>
        <w:tc>
          <w:tcPr>
            <w:tcW w:w="712" w:type="pct"/>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B</w:t>
            </w:r>
          </w:p>
        </w:tc>
        <w:tc>
          <w:tcPr>
            <w:tcW w:w="714" w:type="pct"/>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C</w:t>
            </w:r>
          </w:p>
        </w:tc>
        <w:tc>
          <w:tcPr>
            <w:tcW w:w="715" w:type="pct"/>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D</w:t>
            </w:r>
          </w:p>
        </w:tc>
        <w:tc>
          <w:tcPr>
            <w:tcW w:w="715" w:type="pct"/>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E</w:t>
            </w:r>
          </w:p>
        </w:tc>
        <w:tc>
          <w:tcPr>
            <w:tcW w:w="715" w:type="pct"/>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pct"/>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夏</w:t>
            </w:r>
          </w:p>
        </w:tc>
        <w:tc>
          <w:tcPr>
            <w:tcW w:w="712" w:type="pct"/>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2.5</w:t>
            </w:r>
          </w:p>
        </w:tc>
        <w:tc>
          <w:tcPr>
            <w:tcW w:w="712" w:type="pct"/>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8.8</w:t>
            </w:r>
          </w:p>
        </w:tc>
        <w:tc>
          <w:tcPr>
            <w:tcW w:w="714" w:type="pct"/>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16.1</w:t>
            </w:r>
          </w:p>
        </w:tc>
        <w:tc>
          <w:tcPr>
            <w:tcW w:w="715" w:type="pct"/>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42.6</w:t>
            </w:r>
          </w:p>
        </w:tc>
        <w:tc>
          <w:tcPr>
            <w:tcW w:w="715" w:type="pct"/>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16.2</w:t>
            </w:r>
          </w:p>
        </w:tc>
        <w:tc>
          <w:tcPr>
            <w:tcW w:w="715" w:type="pct"/>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pct"/>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冬</w:t>
            </w:r>
          </w:p>
        </w:tc>
        <w:tc>
          <w:tcPr>
            <w:tcW w:w="712" w:type="pct"/>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0.6</w:t>
            </w:r>
          </w:p>
        </w:tc>
        <w:tc>
          <w:tcPr>
            <w:tcW w:w="712" w:type="pct"/>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4.6</w:t>
            </w:r>
          </w:p>
        </w:tc>
        <w:tc>
          <w:tcPr>
            <w:tcW w:w="714" w:type="pct"/>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9.2</w:t>
            </w:r>
          </w:p>
        </w:tc>
        <w:tc>
          <w:tcPr>
            <w:tcW w:w="715" w:type="pct"/>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54.0</w:t>
            </w:r>
          </w:p>
        </w:tc>
        <w:tc>
          <w:tcPr>
            <w:tcW w:w="715" w:type="pct"/>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22.9</w:t>
            </w:r>
          </w:p>
        </w:tc>
        <w:tc>
          <w:tcPr>
            <w:tcW w:w="715" w:type="pct"/>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pct"/>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全年</w:t>
            </w:r>
          </w:p>
        </w:tc>
        <w:tc>
          <w:tcPr>
            <w:tcW w:w="712" w:type="pct"/>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1.9</w:t>
            </w:r>
          </w:p>
        </w:tc>
        <w:tc>
          <w:tcPr>
            <w:tcW w:w="712" w:type="pct"/>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8.1</w:t>
            </w:r>
          </w:p>
        </w:tc>
        <w:tc>
          <w:tcPr>
            <w:tcW w:w="714" w:type="pct"/>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11.6</w:t>
            </w:r>
          </w:p>
        </w:tc>
        <w:tc>
          <w:tcPr>
            <w:tcW w:w="715" w:type="pct"/>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49.9</w:t>
            </w:r>
          </w:p>
        </w:tc>
        <w:tc>
          <w:tcPr>
            <w:tcW w:w="715" w:type="pct"/>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18.2</w:t>
            </w:r>
          </w:p>
        </w:tc>
        <w:tc>
          <w:tcPr>
            <w:tcW w:w="715" w:type="pct"/>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10.3</w:t>
            </w:r>
          </w:p>
        </w:tc>
      </w:tr>
    </w:tbl>
    <w:p>
      <w:pPr>
        <w:keepNext w:val="0"/>
        <w:keepLines w:val="0"/>
        <w:pageBreakBefore w:val="0"/>
        <w:widowControl/>
        <w:kinsoku/>
        <w:wordWrap/>
        <w:overflowPunct/>
        <w:topLinePunct w:val="0"/>
        <w:autoSpaceDE/>
        <w:autoSpaceDN/>
        <w:bidi w:val="0"/>
        <w:adjustRightInd/>
        <w:snapToGrid/>
        <w:spacing w:before="167" w:beforeLines="50" w:after="167" w:afterLines="50" w:line="360" w:lineRule="auto"/>
        <w:ind w:firstLine="0" w:firstLineChars="0"/>
        <w:jc w:val="center"/>
        <w:textAlignment w:val="auto"/>
        <w:rPr>
          <w:rFonts w:hint="eastAsia" w:ascii="宋体" w:hAnsi="宋体" w:eastAsia="宋体" w:cs="宋体"/>
          <w:b/>
          <w:bCs/>
          <w:color w:val="000000" w:themeColor="text1"/>
          <w:highlight w:val="none"/>
          <w:lang w:val="en-US" w:eastAsia="zh-CN"/>
          <w14:textFill>
            <w14:solidFill>
              <w14:schemeClr w14:val="tx1"/>
            </w14:solidFill>
          </w14:textFill>
        </w:rPr>
      </w:pPr>
      <w:r>
        <w:rPr>
          <w:rFonts w:hint="eastAsia" w:ascii="宋体" w:hAnsi="宋体" w:eastAsia="宋体" w:cs="宋体"/>
          <w:b/>
          <w:bCs/>
          <w:color w:val="000000" w:themeColor="text1"/>
          <w:highlight w:val="none"/>
          <w:lang w:val="en-US" w:eastAsia="zh-CN"/>
          <w14:textFill>
            <w14:solidFill>
              <w14:schemeClr w14:val="tx1"/>
            </w14:solidFill>
          </w14:textFill>
        </w:rPr>
        <w:t>表5.2-3株洲市气象台全年及四季风向频率(%)分布</w:t>
      </w:r>
    </w:p>
    <w:tbl>
      <w:tblPr>
        <w:tblStyle w:val="30"/>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711"/>
        <w:gridCol w:w="537"/>
        <w:gridCol w:w="537"/>
        <w:gridCol w:w="537"/>
        <w:gridCol w:w="537"/>
        <w:gridCol w:w="537"/>
        <w:gridCol w:w="537"/>
        <w:gridCol w:w="537"/>
        <w:gridCol w:w="537"/>
        <w:gridCol w:w="537"/>
        <w:gridCol w:w="537"/>
        <w:gridCol w:w="537"/>
        <w:gridCol w:w="537"/>
        <w:gridCol w:w="537"/>
        <w:gridCol w:w="537"/>
        <w:gridCol w:w="537"/>
        <w:gridCol w:w="537"/>
        <w:gridCol w:w="55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c>
          <w:tcPr>
            <w:tcW w:w="36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风向</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时间</w:t>
            </w: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N</w:t>
            </w: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NNE</w:t>
            </w: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NE</w:t>
            </w: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ENE</w:t>
            </w: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E</w:t>
            </w: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ESE</w:t>
            </w: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SE</w:t>
            </w: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SSE</w:t>
            </w: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S</w:t>
            </w: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SSW</w:t>
            </w: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SW</w:t>
            </w: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WSW</w:t>
            </w: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W</w:t>
            </w: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WNW</w:t>
            </w: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NW</w:t>
            </w: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NNW</w:t>
            </w:r>
          </w:p>
        </w:tc>
        <w:tc>
          <w:tcPr>
            <w:tcW w:w="27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C</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36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春季</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3～5月</w:t>
            </w: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15.0</w:t>
            </w: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7.5</w:t>
            </w: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7.0</w:t>
            </w: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2.5</w:t>
            </w: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2.0</w:t>
            </w: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2.5</w:t>
            </w: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3.0</w:t>
            </w: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9.5</w:t>
            </w: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2.5</w:t>
            </w: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2.5</w:t>
            </w: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2.0</w:t>
            </w: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2.0</w:t>
            </w: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1.5</w:t>
            </w: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2.0</w:t>
            </w: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6.5</w:t>
            </w: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12.0</w:t>
            </w:r>
          </w:p>
        </w:tc>
        <w:tc>
          <w:tcPr>
            <w:tcW w:w="27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36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夏季</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6～8月</w:t>
            </w: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2.5</w:t>
            </w: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1.0</w:t>
            </w: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2.0</w:t>
            </w: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2.0</w:t>
            </w: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6.0</w:t>
            </w: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8.0</w:t>
            </w: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14.5</w:t>
            </w: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24.5</w:t>
            </w: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10.0</w:t>
            </w: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6.0</w:t>
            </w: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1.0</w:t>
            </w: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0.0</w:t>
            </w: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0.0</w:t>
            </w: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1.0</w:t>
            </w: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1.5</w:t>
            </w: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2.0</w:t>
            </w:r>
          </w:p>
        </w:tc>
        <w:tc>
          <w:tcPr>
            <w:tcW w:w="27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36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秋季</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9～11月</w:t>
            </w: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11.0</w:t>
            </w: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3.0</w:t>
            </w: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2.0</w:t>
            </w: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1.0</w:t>
            </w: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1.0</w:t>
            </w: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1.0</w:t>
            </w: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1.0</w:t>
            </w: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1.0</w:t>
            </w: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0.0</w:t>
            </w: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0.0</w:t>
            </w: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1.0</w:t>
            </w: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0.0</w:t>
            </w: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0.0</w:t>
            </w: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2.5</w:t>
            </w: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20.5</w:t>
            </w: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30.0</w:t>
            </w:r>
          </w:p>
        </w:tc>
        <w:tc>
          <w:tcPr>
            <w:tcW w:w="27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36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风向</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时间</w:t>
            </w: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N</w:t>
            </w: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NNE</w:t>
            </w: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NE</w:t>
            </w: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ENE</w:t>
            </w: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E</w:t>
            </w: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ESE</w:t>
            </w: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SE</w:t>
            </w: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SSE</w:t>
            </w: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S</w:t>
            </w: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SSW</w:t>
            </w: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SW</w:t>
            </w: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WSW</w:t>
            </w: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W</w:t>
            </w: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WNW</w:t>
            </w: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NW</w:t>
            </w: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NNW</w:t>
            </w:r>
          </w:p>
        </w:tc>
        <w:tc>
          <w:tcPr>
            <w:tcW w:w="27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C</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36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冬季</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12～2月</w:t>
            </w: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10.0</w:t>
            </w: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3.0</w:t>
            </w: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1.5</w:t>
            </w: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1.5</w:t>
            </w: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2.0</w:t>
            </w: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2.0</w:t>
            </w: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2.5</w:t>
            </w: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1.0</w:t>
            </w: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1.0</w:t>
            </w: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1.0</w:t>
            </w: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1.0</w:t>
            </w: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3.0</w:t>
            </w: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2.5</w:t>
            </w: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9.0</w:t>
            </w: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20.5</w:t>
            </w: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19.0</w:t>
            </w:r>
          </w:p>
        </w:tc>
        <w:tc>
          <w:tcPr>
            <w:tcW w:w="27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19.5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36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全年</w:t>
            </w: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9.6</w:t>
            </w: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3.6</w:t>
            </w: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3.1</w:t>
            </w: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1.5</w:t>
            </w: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2.8</w:t>
            </w: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3.4</w:t>
            </w: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5.2</w:t>
            </w: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9.0</w:t>
            </w: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3.4</w:t>
            </w: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2.4</w:t>
            </w: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1.3</w:t>
            </w: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1.3</w:t>
            </w: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1.0</w:t>
            </w: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3.6</w:t>
            </w: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12.3</w:t>
            </w: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16.0</w:t>
            </w:r>
          </w:p>
        </w:tc>
        <w:tc>
          <w:tcPr>
            <w:tcW w:w="27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20.5</w:t>
            </w:r>
          </w:p>
        </w:tc>
      </w:tr>
    </w:tbl>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i w:val="0"/>
          <w:iCs w:val="0"/>
          <w:color w:val="000000" w:themeColor="text1"/>
          <w:sz w:val="24"/>
          <w:szCs w:val="24"/>
          <w:lang w:eastAsia="zh-CN"/>
          <w14:textFill>
            <w14:solidFill>
              <w14:schemeClr w14:val="tx1"/>
            </w14:solidFill>
          </w14:textFill>
        </w:rPr>
      </w:pPr>
      <w:r>
        <w:rPr>
          <w:rFonts w:hint="eastAsia" w:ascii="宋体" w:hAnsi="宋体" w:eastAsia="宋体" w:cs="宋体"/>
          <w:b w:val="0"/>
          <w:bCs w:val="0"/>
          <w:i w:val="0"/>
          <w:iCs w:val="0"/>
          <w:color w:val="000000" w:themeColor="text1"/>
          <w:sz w:val="24"/>
          <w:szCs w:val="24"/>
          <w14:textFill>
            <w14:solidFill>
              <w14:schemeClr w14:val="tx1"/>
            </w14:solidFill>
          </w14:textFill>
        </w:rPr>
        <w:t>该区域常年主导风向为NNW，频率为16%，夏季盛行SSE风，频率为24.5%，冬季盛行NW风，频率为20.5%，全年静风频率为20.5%。历年月平均风速最大值出现在7月，而小于年平均风速值的有1、2、5、6、10、11和12月。按季而言，夏季最高，冬季最小。累计年主导风向为NNW方向，除夏季外，其余三季均如此。夏季则为南风或东南风。历年日平均风速变化的特点是白天大于夜间，从7、8时后，风速逐渐增大，14－16时达到最高值，以后逐渐减小，夜间风速变化不大。其各季情况类似。</w:t>
      </w:r>
    </w:p>
    <w:p>
      <w:pPr>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drawing>
          <wp:inline distT="0" distB="0" distL="114300" distR="114300">
            <wp:extent cx="6116955" cy="6613525"/>
            <wp:effectExtent l="0" t="0" r="17145" b="15875"/>
            <wp:docPr id="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pic:cNvPicPr>
                      <a:picLocks noChangeAspect="1"/>
                    </pic:cNvPicPr>
                  </pic:nvPicPr>
                  <pic:blipFill>
                    <a:blip r:embed="rId29"/>
                    <a:stretch>
                      <a:fillRect/>
                    </a:stretch>
                  </pic:blipFill>
                  <pic:spPr>
                    <a:xfrm>
                      <a:off x="0" y="0"/>
                      <a:ext cx="6116955" cy="661352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before="167" w:beforeLines="50" w:after="167" w:afterLines="50" w:line="360" w:lineRule="auto"/>
        <w:ind w:firstLine="0" w:firstLineChars="0"/>
        <w:jc w:val="center"/>
        <w:textAlignment w:val="auto"/>
        <w:rPr>
          <w:rFonts w:hint="eastAsia" w:ascii="宋体" w:hAnsi="宋体" w:eastAsia="宋体" w:cs="宋体"/>
          <w:b/>
          <w:bCs/>
          <w:color w:val="000000" w:themeColor="text1"/>
          <w:highlight w:val="none"/>
          <w:lang w:val="en-US" w:eastAsia="zh-CN"/>
          <w14:textFill>
            <w14:solidFill>
              <w14:schemeClr w14:val="tx1"/>
            </w14:solidFill>
          </w14:textFill>
        </w:rPr>
      </w:pPr>
      <w:r>
        <w:rPr>
          <w:rFonts w:hint="eastAsia" w:ascii="宋体" w:hAnsi="宋体" w:eastAsia="宋体" w:cs="宋体"/>
          <w:b/>
          <w:bCs/>
          <w:color w:val="000000" w:themeColor="text1"/>
          <w:highlight w:val="none"/>
          <w:lang w:val="en-US" w:eastAsia="zh-CN"/>
          <w14:textFill>
            <w14:solidFill>
              <w14:schemeClr w14:val="tx1"/>
            </w14:solidFill>
          </w14:textFill>
        </w:rPr>
        <w:t>图5.2-1株洲市近年相应的风向频率玫瑰图</w:t>
      </w:r>
    </w:p>
    <w:p>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outlineLvl w:val="3"/>
        <w:rPr>
          <w:rFonts w:hint="eastAsia" w:ascii="宋体" w:hAnsi="宋体" w:eastAsia="宋体" w:cs="宋体"/>
          <w:b/>
          <w:bCs/>
          <w:color w:val="000000" w:themeColor="text1"/>
          <w:lang w:val="en-US" w:eastAsia="zh-CN"/>
          <w14:textFill>
            <w14:solidFill>
              <w14:schemeClr w14:val="tx1"/>
            </w14:solidFill>
          </w14:textFill>
        </w:rPr>
      </w:pPr>
      <w:r>
        <w:rPr>
          <w:rFonts w:hint="eastAsia" w:ascii="宋体" w:hAnsi="宋体" w:eastAsia="宋体" w:cs="宋体"/>
          <w:b/>
          <w:bCs/>
          <w:color w:val="000000" w:themeColor="text1"/>
          <w:lang w:val="en-US" w:eastAsia="zh-CN"/>
          <w14:textFill>
            <w14:solidFill>
              <w14:schemeClr w14:val="tx1"/>
            </w14:solidFill>
          </w14:textFill>
        </w:rPr>
        <w:t>5.2.1.2预测因子及评价标准</w:t>
      </w:r>
    </w:p>
    <w:p>
      <w:pPr>
        <w:pStyle w:val="3"/>
        <w:spacing w:after="0" w:line="360" w:lineRule="auto"/>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val="0"/>
          <w:bCs w:val="0"/>
          <w:i w:val="0"/>
          <w:iCs w:val="0"/>
          <w:color w:val="000000" w:themeColor="text1"/>
          <w:sz w:val="24"/>
          <w:szCs w:val="24"/>
          <w14:textFill>
            <w14:solidFill>
              <w14:schemeClr w14:val="tx1"/>
            </w14:solidFill>
          </w14:textFill>
        </w:rPr>
        <w:t>按项目建成时段进行预测。同时，考虑正常排放和非正常排放两种工况。</w:t>
      </w:r>
      <w:r>
        <w:rPr>
          <w:rFonts w:hint="eastAsia" w:ascii="宋体" w:hAnsi="宋体" w:eastAsia="宋体" w:cs="宋体"/>
          <w:color w:val="000000" w:themeColor="text1"/>
          <w:highlight w:val="none"/>
          <w14:textFill>
            <w14:solidFill>
              <w14:schemeClr w14:val="tx1"/>
            </w14:solidFill>
          </w14:textFill>
        </w:rPr>
        <w:t>根据工程分析，确定本次预测因子为：</w:t>
      </w:r>
      <w:r>
        <w:rPr>
          <w:rFonts w:hint="eastAsia" w:ascii="宋体" w:hAnsi="宋体" w:eastAsia="宋体" w:cs="宋体"/>
          <w:color w:val="000000" w:themeColor="text1"/>
          <w:highlight w:val="none"/>
          <w:lang w:eastAsia="zh-CN"/>
          <w14:textFill>
            <w14:solidFill>
              <w14:schemeClr w14:val="tx1"/>
            </w14:solidFill>
          </w14:textFill>
        </w:rPr>
        <w:t>非甲烷总烃、</w:t>
      </w:r>
      <w:r>
        <w:rPr>
          <w:rFonts w:hint="eastAsia" w:ascii="宋体" w:hAnsi="宋体" w:eastAsia="宋体" w:cs="宋体"/>
          <w:color w:val="000000" w:themeColor="text1"/>
          <w:highlight w:val="none"/>
          <w:lang w:val="en-US" w:eastAsia="zh-CN"/>
          <w14:textFill>
            <w14:solidFill>
              <w14:schemeClr w14:val="tx1"/>
            </w14:solidFill>
          </w14:textFill>
        </w:rPr>
        <w:t>氨</w:t>
      </w:r>
      <w:r>
        <w:rPr>
          <w:rFonts w:hint="eastAsia" w:ascii="宋体" w:hAnsi="宋体" w:eastAsia="宋体" w:cs="宋体"/>
          <w:color w:val="000000" w:themeColor="text1"/>
          <w:highlight w:val="none"/>
          <w14:textFill>
            <w14:solidFill>
              <w14:schemeClr w14:val="tx1"/>
            </w14:solidFill>
          </w14:textFill>
        </w:rPr>
        <w:t>。</w:t>
      </w:r>
    </w:p>
    <w:p>
      <w:pPr>
        <w:pStyle w:val="3"/>
        <w:spacing w:after="0" w:line="360" w:lineRule="auto"/>
        <w:jc w:val="left"/>
        <w:rPr>
          <w:rFonts w:hint="eastAsia" w:ascii="宋体" w:hAnsi="宋体" w:eastAsia="宋体" w:cs="宋体"/>
          <w:color w:val="000000" w:themeColor="text1"/>
          <w:lang w:val="en-US" w:eastAsia="zh-CN"/>
          <w14:textFill>
            <w14:solidFill>
              <w14:schemeClr w14:val="tx1"/>
            </w14:solidFill>
          </w14:textFill>
        </w:rPr>
        <w:sectPr>
          <w:footerReference r:id="rId9" w:type="default"/>
          <w:pgSz w:w="11905" w:h="16838"/>
          <w:pgMar w:top="1440" w:right="1134" w:bottom="1440" w:left="1134" w:header="850" w:footer="992" w:gutter="0"/>
          <w:pgBorders w:offsetFrom="page">
            <w:top w:val="none" w:sz="0" w:space="0"/>
            <w:left w:val="none" w:sz="0" w:space="0"/>
            <w:bottom w:val="none" w:sz="0" w:space="0"/>
            <w:right w:val="none" w:sz="0" w:space="0"/>
          </w:pgBorders>
          <w:pgNumType w:fmt="decimal"/>
          <w:cols w:space="0" w:num="1"/>
          <w:rtlGutter w:val="0"/>
          <w:docGrid w:type="lines" w:linePitch="332" w:charSpace="0"/>
        </w:sectPr>
      </w:pPr>
    </w:p>
    <w:p>
      <w:pPr>
        <w:keepNext w:val="0"/>
        <w:keepLines w:val="0"/>
        <w:pageBreakBefore w:val="0"/>
        <w:widowControl/>
        <w:kinsoku/>
        <w:wordWrap/>
        <w:overflowPunct/>
        <w:topLinePunct w:val="0"/>
        <w:autoSpaceDE/>
        <w:autoSpaceDN/>
        <w:bidi w:val="0"/>
        <w:adjustRightInd/>
        <w:snapToGrid/>
        <w:spacing w:before="167" w:beforeLines="50" w:after="167" w:afterLines="50" w:line="360" w:lineRule="auto"/>
        <w:ind w:firstLine="0" w:firstLineChars="0"/>
        <w:jc w:val="center"/>
        <w:textAlignment w:val="auto"/>
        <w:rPr>
          <w:rFonts w:hint="eastAsia" w:ascii="宋体" w:hAnsi="宋体" w:eastAsia="宋体" w:cs="宋体"/>
          <w:b/>
          <w:bCs/>
          <w:color w:val="000000" w:themeColor="text1"/>
          <w:highlight w:val="none"/>
          <w:lang w:val="en-US" w:eastAsia="zh-CN"/>
          <w14:textFill>
            <w14:solidFill>
              <w14:schemeClr w14:val="tx1"/>
            </w14:solidFill>
          </w14:textFill>
        </w:rPr>
      </w:pPr>
      <w:r>
        <w:rPr>
          <w:rFonts w:hint="eastAsia" w:ascii="宋体" w:hAnsi="宋体" w:eastAsia="宋体" w:cs="宋体"/>
          <w:b/>
          <w:bCs/>
          <w:color w:val="000000" w:themeColor="text1"/>
          <w:highlight w:val="none"/>
          <w:lang w:val="en-US" w:eastAsia="zh-CN"/>
          <w14:textFill>
            <w14:solidFill>
              <w14:schemeClr w14:val="tx1"/>
            </w14:solidFill>
          </w14:textFill>
        </w:rPr>
        <w:t>表5.2-4点源参数表</w:t>
      </w:r>
    </w:p>
    <w:tbl>
      <w:tblPr>
        <w:tblStyle w:val="30"/>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91"/>
        <w:gridCol w:w="1060"/>
        <w:gridCol w:w="956"/>
        <w:gridCol w:w="1028"/>
        <w:gridCol w:w="1028"/>
        <w:gridCol w:w="746"/>
        <w:gridCol w:w="779"/>
        <w:gridCol w:w="779"/>
        <w:gridCol w:w="554"/>
        <w:gridCol w:w="1074"/>
        <w:gridCol w:w="8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410" w:type="pct"/>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点源编号</w:t>
            </w:r>
          </w:p>
        </w:tc>
        <w:tc>
          <w:tcPr>
            <w:tcW w:w="549" w:type="pct"/>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经度</w:t>
            </w:r>
          </w:p>
        </w:tc>
        <w:tc>
          <w:tcPr>
            <w:tcW w:w="495" w:type="pct"/>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纬度</w:t>
            </w:r>
          </w:p>
        </w:tc>
        <w:tc>
          <w:tcPr>
            <w:tcW w:w="532" w:type="pct"/>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排气筒高度（m）</w:t>
            </w:r>
          </w:p>
        </w:tc>
        <w:tc>
          <w:tcPr>
            <w:tcW w:w="532" w:type="pct"/>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排气筒内径（m）</w:t>
            </w:r>
          </w:p>
        </w:tc>
        <w:tc>
          <w:tcPr>
            <w:tcW w:w="386" w:type="pct"/>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烟气</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流速（m/s）</w:t>
            </w:r>
          </w:p>
        </w:tc>
        <w:tc>
          <w:tcPr>
            <w:tcW w:w="403" w:type="pct"/>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烟气温度（℃）</w:t>
            </w:r>
          </w:p>
        </w:tc>
        <w:tc>
          <w:tcPr>
            <w:tcW w:w="403" w:type="pct"/>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排放小时数（h）</w:t>
            </w:r>
          </w:p>
        </w:tc>
        <w:tc>
          <w:tcPr>
            <w:tcW w:w="287" w:type="pct"/>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排放工况</w:t>
            </w:r>
          </w:p>
        </w:tc>
        <w:tc>
          <w:tcPr>
            <w:tcW w:w="556" w:type="pct"/>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非甲烷总烃排放速率（kg/h）</w:t>
            </w:r>
          </w:p>
        </w:tc>
        <w:tc>
          <w:tcPr>
            <w:tcW w:w="441" w:type="pct"/>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氨排放速率（kg/h）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410" w:type="pct"/>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DA001</w:t>
            </w:r>
          </w:p>
        </w:tc>
        <w:tc>
          <w:tcPr>
            <w:tcW w:w="549" w:type="pct"/>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113.045688</w:t>
            </w:r>
          </w:p>
        </w:tc>
        <w:tc>
          <w:tcPr>
            <w:tcW w:w="495" w:type="pct"/>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27.823012</w:t>
            </w:r>
          </w:p>
        </w:tc>
        <w:tc>
          <w:tcPr>
            <w:tcW w:w="532" w:type="pct"/>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20</w:t>
            </w:r>
          </w:p>
        </w:tc>
        <w:tc>
          <w:tcPr>
            <w:tcW w:w="532" w:type="pct"/>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0.3</w:t>
            </w:r>
          </w:p>
        </w:tc>
        <w:tc>
          <w:tcPr>
            <w:tcW w:w="386" w:type="pct"/>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15</w:t>
            </w:r>
          </w:p>
        </w:tc>
        <w:tc>
          <w:tcPr>
            <w:tcW w:w="403" w:type="pct"/>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20</w:t>
            </w:r>
          </w:p>
        </w:tc>
        <w:tc>
          <w:tcPr>
            <w:tcW w:w="403" w:type="pct"/>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7200</w:t>
            </w:r>
          </w:p>
        </w:tc>
        <w:tc>
          <w:tcPr>
            <w:tcW w:w="287" w:type="pct"/>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正常连续</w:t>
            </w:r>
          </w:p>
        </w:tc>
        <w:tc>
          <w:tcPr>
            <w:tcW w:w="556" w:type="pct"/>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0.01618</w:t>
            </w:r>
          </w:p>
        </w:tc>
        <w:tc>
          <w:tcPr>
            <w:tcW w:w="441" w:type="pct"/>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0.0054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410" w:type="pct"/>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DA002</w:t>
            </w:r>
          </w:p>
        </w:tc>
        <w:tc>
          <w:tcPr>
            <w:tcW w:w="549" w:type="pct"/>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113.045676</w:t>
            </w:r>
          </w:p>
        </w:tc>
        <w:tc>
          <w:tcPr>
            <w:tcW w:w="495" w:type="pct"/>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27.823034</w:t>
            </w:r>
          </w:p>
        </w:tc>
        <w:tc>
          <w:tcPr>
            <w:tcW w:w="532" w:type="pct"/>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20</w:t>
            </w:r>
          </w:p>
        </w:tc>
        <w:tc>
          <w:tcPr>
            <w:tcW w:w="532" w:type="pct"/>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0.3</w:t>
            </w:r>
          </w:p>
        </w:tc>
        <w:tc>
          <w:tcPr>
            <w:tcW w:w="386" w:type="pct"/>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15</w:t>
            </w:r>
          </w:p>
        </w:tc>
        <w:tc>
          <w:tcPr>
            <w:tcW w:w="403" w:type="pct"/>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20</w:t>
            </w:r>
          </w:p>
        </w:tc>
        <w:tc>
          <w:tcPr>
            <w:tcW w:w="403" w:type="pct"/>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7200</w:t>
            </w:r>
          </w:p>
        </w:tc>
        <w:tc>
          <w:tcPr>
            <w:tcW w:w="287" w:type="pct"/>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正常连续</w:t>
            </w:r>
          </w:p>
        </w:tc>
        <w:tc>
          <w:tcPr>
            <w:tcW w:w="556" w:type="pct"/>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0.08982</w:t>
            </w:r>
          </w:p>
        </w:tc>
        <w:tc>
          <w:tcPr>
            <w:tcW w:w="441" w:type="pct"/>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0.001</w:t>
            </w:r>
          </w:p>
        </w:tc>
      </w:tr>
    </w:tbl>
    <w:p>
      <w:pPr>
        <w:keepNext w:val="0"/>
        <w:keepLines w:val="0"/>
        <w:pageBreakBefore w:val="0"/>
        <w:widowControl/>
        <w:kinsoku/>
        <w:wordWrap/>
        <w:overflowPunct/>
        <w:topLinePunct w:val="0"/>
        <w:autoSpaceDE/>
        <w:autoSpaceDN/>
        <w:bidi w:val="0"/>
        <w:adjustRightInd/>
        <w:snapToGrid/>
        <w:spacing w:before="167" w:beforeLines="50" w:after="167" w:afterLines="50" w:line="360" w:lineRule="auto"/>
        <w:ind w:firstLine="0" w:firstLineChars="0"/>
        <w:jc w:val="center"/>
        <w:textAlignment w:val="auto"/>
        <w:rPr>
          <w:rFonts w:hint="eastAsia" w:ascii="宋体" w:hAnsi="宋体" w:eastAsia="宋体" w:cs="宋体"/>
          <w:b/>
          <w:bCs/>
          <w:color w:val="000000" w:themeColor="text1"/>
          <w:highlight w:val="none"/>
          <w:lang w:val="en-US" w:eastAsia="zh-CN"/>
          <w14:textFill>
            <w14:solidFill>
              <w14:schemeClr w14:val="tx1"/>
            </w14:solidFill>
          </w14:textFill>
        </w:rPr>
      </w:pPr>
      <w:r>
        <w:rPr>
          <w:rFonts w:hint="eastAsia" w:ascii="宋体" w:hAnsi="宋体" w:eastAsia="宋体" w:cs="宋体"/>
          <w:b/>
          <w:bCs/>
          <w:color w:val="000000" w:themeColor="text1"/>
          <w:highlight w:val="none"/>
          <w:lang w:val="en-US" w:eastAsia="zh-CN"/>
          <w14:textFill>
            <w14:solidFill>
              <w14:schemeClr w14:val="tx1"/>
            </w14:solidFill>
          </w14:textFill>
        </w:rPr>
        <w:t>表5.2-5矩形面源参数表</w:t>
      </w:r>
    </w:p>
    <w:tbl>
      <w:tblPr>
        <w:tblStyle w:val="30"/>
        <w:tblW w:w="4995"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092"/>
        <w:gridCol w:w="1092"/>
        <w:gridCol w:w="1093"/>
        <w:gridCol w:w="1093"/>
        <w:gridCol w:w="1093"/>
        <w:gridCol w:w="1093"/>
        <w:gridCol w:w="1093"/>
        <w:gridCol w:w="1093"/>
        <w:gridCol w:w="110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006" w:hRule="atLeast"/>
          <w:tblHeader/>
          <w:jc w:val="center"/>
        </w:trPr>
        <w:tc>
          <w:tcPr>
            <w:tcW w:w="555" w:type="pct"/>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污染物</w:t>
            </w:r>
          </w:p>
        </w:tc>
        <w:tc>
          <w:tcPr>
            <w:tcW w:w="555" w:type="pct"/>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名称</w:t>
            </w:r>
          </w:p>
        </w:tc>
        <w:tc>
          <w:tcPr>
            <w:tcW w:w="555" w:type="pct"/>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面源</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长度</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/m</w:t>
            </w:r>
          </w:p>
        </w:tc>
        <w:tc>
          <w:tcPr>
            <w:tcW w:w="555" w:type="pct"/>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面源</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宽度</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/m</w:t>
            </w:r>
          </w:p>
        </w:tc>
        <w:tc>
          <w:tcPr>
            <w:tcW w:w="555" w:type="pct"/>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与正北</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夹角/°</w:t>
            </w:r>
          </w:p>
        </w:tc>
        <w:tc>
          <w:tcPr>
            <w:tcW w:w="555" w:type="pct"/>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面源初始排放高度/m</w:t>
            </w:r>
          </w:p>
        </w:tc>
        <w:tc>
          <w:tcPr>
            <w:tcW w:w="555" w:type="pct"/>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年排放</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小时h</w:t>
            </w:r>
          </w:p>
        </w:tc>
        <w:tc>
          <w:tcPr>
            <w:tcW w:w="555" w:type="pct"/>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排放</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工况</w:t>
            </w:r>
          </w:p>
        </w:tc>
        <w:tc>
          <w:tcPr>
            <w:tcW w:w="559" w:type="pct"/>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排放速率（kg/h）</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3" w:hRule="atLeast"/>
          <w:jc w:val="center"/>
        </w:trPr>
        <w:tc>
          <w:tcPr>
            <w:tcW w:w="555" w:type="pct"/>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非甲烷总烃</w:t>
            </w:r>
          </w:p>
        </w:tc>
        <w:tc>
          <w:tcPr>
            <w:tcW w:w="555" w:type="pct"/>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生产车间</w:t>
            </w:r>
          </w:p>
        </w:tc>
        <w:tc>
          <w:tcPr>
            <w:tcW w:w="555" w:type="pct"/>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66.6</w:t>
            </w:r>
          </w:p>
        </w:tc>
        <w:tc>
          <w:tcPr>
            <w:tcW w:w="555" w:type="pct"/>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32</w:t>
            </w:r>
          </w:p>
        </w:tc>
        <w:tc>
          <w:tcPr>
            <w:tcW w:w="555" w:type="pct"/>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w:t>
            </w:r>
          </w:p>
        </w:tc>
        <w:tc>
          <w:tcPr>
            <w:tcW w:w="555" w:type="pct"/>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6</w:t>
            </w:r>
          </w:p>
        </w:tc>
        <w:tc>
          <w:tcPr>
            <w:tcW w:w="555" w:type="pct"/>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7200</w:t>
            </w:r>
          </w:p>
        </w:tc>
        <w:tc>
          <w:tcPr>
            <w:tcW w:w="555" w:type="pct"/>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正常连续</w:t>
            </w:r>
          </w:p>
        </w:tc>
        <w:tc>
          <w:tcPr>
            <w:tcW w:w="559" w:type="pct"/>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0.0083</w:t>
            </w:r>
          </w:p>
        </w:tc>
      </w:tr>
    </w:tbl>
    <w:p>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outlineLvl w:val="3"/>
        <w:rPr>
          <w:rFonts w:hint="eastAsia" w:ascii="宋体" w:hAnsi="宋体" w:eastAsia="宋体" w:cs="宋体"/>
          <w:b/>
          <w:bCs/>
          <w:color w:val="000000" w:themeColor="text1"/>
          <w:lang w:val="en-US" w:eastAsia="zh-CN"/>
          <w14:textFill>
            <w14:solidFill>
              <w14:schemeClr w14:val="tx1"/>
            </w14:solidFill>
          </w14:textFill>
        </w:rPr>
      </w:pPr>
      <w:r>
        <w:rPr>
          <w:rFonts w:hint="eastAsia" w:ascii="宋体" w:hAnsi="宋体" w:eastAsia="宋体" w:cs="宋体"/>
          <w:b/>
          <w:bCs/>
          <w:color w:val="000000" w:themeColor="text1"/>
          <w:lang w:val="en-US" w:eastAsia="zh-CN"/>
          <w14:textFill>
            <w14:solidFill>
              <w14:schemeClr w14:val="tx1"/>
            </w14:solidFill>
          </w14:textFill>
        </w:rPr>
        <w:t>5.2.1.3预测模式及模型参数</w:t>
      </w:r>
    </w:p>
    <w:p>
      <w:pPr>
        <w:pStyle w:val="3"/>
        <w:spacing w:after="0" w:line="360" w:lineRule="auto"/>
        <w:jc w:val="left"/>
        <w:rPr>
          <w:rFonts w:hint="eastAsia" w:ascii="宋体" w:hAnsi="宋体" w:eastAsia="宋体" w:cs="宋体"/>
          <w:b w:val="0"/>
          <w:bCs w:val="0"/>
          <w:i w:val="0"/>
          <w:iCs w:val="0"/>
          <w:color w:val="000000" w:themeColor="text1"/>
          <w:sz w:val="24"/>
          <w:szCs w:val="24"/>
          <w14:textFill>
            <w14:solidFill>
              <w14:schemeClr w14:val="tx1"/>
            </w14:solidFill>
          </w14:textFill>
        </w:rPr>
      </w:pPr>
      <w:r>
        <w:rPr>
          <w:rFonts w:hint="eastAsia" w:ascii="宋体" w:hAnsi="宋体" w:eastAsia="宋体" w:cs="宋体"/>
          <w:b w:val="0"/>
          <w:bCs w:val="0"/>
          <w:i w:val="0"/>
          <w:iCs w:val="0"/>
          <w:color w:val="000000" w:themeColor="text1"/>
          <w:sz w:val="24"/>
          <w:szCs w:val="24"/>
          <w14:textFill>
            <w14:solidFill>
              <w14:schemeClr w14:val="tx1"/>
            </w14:solidFill>
          </w14:textFill>
        </w:rPr>
        <w:t>采用《环境影响评价技术导则-大气环境》（HJ2.2-2018）AERSCREEN模型进行预测，其计算结果作为预测与分析依据。估算模型参数见下表。</w:t>
      </w:r>
    </w:p>
    <w:p>
      <w:pPr>
        <w:keepNext w:val="0"/>
        <w:keepLines w:val="0"/>
        <w:pageBreakBefore w:val="0"/>
        <w:widowControl/>
        <w:kinsoku/>
        <w:wordWrap/>
        <w:overflowPunct/>
        <w:topLinePunct w:val="0"/>
        <w:autoSpaceDE/>
        <w:autoSpaceDN/>
        <w:bidi w:val="0"/>
        <w:adjustRightInd/>
        <w:snapToGrid/>
        <w:spacing w:before="167" w:beforeLines="50" w:after="167" w:afterLines="50" w:line="360" w:lineRule="auto"/>
        <w:ind w:firstLine="0" w:firstLineChars="0"/>
        <w:jc w:val="center"/>
        <w:textAlignment w:val="auto"/>
        <w:rPr>
          <w:rFonts w:hint="eastAsia" w:ascii="宋体" w:hAnsi="宋体" w:eastAsia="宋体" w:cs="宋体"/>
          <w:b/>
          <w:bCs/>
          <w:color w:val="000000" w:themeColor="text1"/>
          <w:highlight w:val="none"/>
          <w:lang w:val="en-US" w:eastAsia="zh-CN"/>
          <w14:textFill>
            <w14:solidFill>
              <w14:schemeClr w14:val="tx1"/>
            </w14:solidFill>
          </w14:textFill>
        </w:rPr>
      </w:pPr>
      <w:r>
        <w:rPr>
          <w:rFonts w:hint="eastAsia" w:ascii="宋体" w:hAnsi="宋体" w:eastAsia="宋体" w:cs="宋体"/>
          <w:b/>
          <w:bCs/>
          <w:color w:val="000000" w:themeColor="text1"/>
          <w:highlight w:val="none"/>
          <w:lang w:val="en-US" w:eastAsia="zh-CN"/>
          <w14:textFill>
            <w14:solidFill>
              <w14:schemeClr w14:val="tx1"/>
            </w14:solidFill>
          </w14:textFill>
        </w:rPr>
        <w:t>表5.2-6项目估算模型参数一览表</w:t>
      </w:r>
    </w:p>
    <w:tbl>
      <w:tblPr>
        <w:tblStyle w:val="30"/>
        <w:tblW w:w="4999"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293"/>
        <w:gridCol w:w="2631"/>
        <w:gridCol w:w="492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exact"/>
          <w:jc w:val="center"/>
        </w:trPr>
        <w:tc>
          <w:tcPr>
            <w:tcW w:w="2499"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参数</w:t>
            </w:r>
          </w:p>
        </w:tc>
        <w:tc>
          <w:tcPr>
            <w:tcW w:w="25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取值</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exact"/>
          <w:jc w:val="center"/>
        </w:trPr>
        <w:tc>
          <w:tcPr>
            <w:tcW w:w="1164"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城市/农村选项</w:t>
            </w:r>
          </w:p>
        </w:tc>
        <w:tc>
          <w:tcPr>
            <w:tcW w:w="133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城市/农村</w:t>
            </w:r>
          </w:p>
        </w:tc>
        <w:tc>
          <w:tcPr>
            <w:tcW w:w="25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城市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exact"/>
          <w:jc w:val="center"/>
        </w:trPr>
        <w:tc>
          <w:tcPr>
            <w:tcW w:w="116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p>
        </w:tc>
        <w:tc>
          <w:tcPr>
            <w:tcW w:w="133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人口数</w:t>
            </w:r>
          </w:p>
        </w:tc>
        <w:tc>
          <w:tcPr>
            <w:tcW w:w="25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120万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exact"/>
          <w:jc w:val="center"/>
        </w:trPr>
        <w:tc>
          <w:tcPr>
            <w:tcW w:w="2499"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最高环境温度/℃</w:t>
            </w:r>
          </w:p>
        </w:tc>
        <w:tc>
          <w:tcPr>
            <w:tcW w:w="25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40.5℃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exact"/>
          <w:jc w:val="center"/>
        </w:trPr>
        <w:tc>
          <w:tcPr>
            <w:tcW w:w="2499"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最低环境温度/℃</w:t>
            </w:r>
          </w:p>
        </w:tc>
        <w:tc>
          <w:tcPr>
            <w:tcW w:w="25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-11.5℃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exact"/>
          <w:jc w:val="center"/>
        </w:trPr>
        <w:tc>
          <w:tcPr>
            <w:tcW w:w="2499"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土地利用类型</w:t>
            </w:r>
          </w:p>
        </w:tc>
        <w:tc>
          <w:tcPr>
            <w:tcW w:w="25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城市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exact"/>
          <w:jc w:val="center"/>
        </w:trPr>
        <w:tc>
          <w:tcPr>
            <w:tcW w:w="2499"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区域湿度条件</w:t>
            </w:r>
          </w:p>
        </w:tc>
        <w:tc>
          <w:tcPr>
            <w:tcW w:w="25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潮湿</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exact"/>
          <w:jc w:val="center"/>
        </w:trPr>
        <w:tc>
          <w:tcPr>
            <w:tcW w:w="1164"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是否考虑地形</w:t>
            </w:r>
          </w:p>
        </w:tc>
        <w:tc>
          <w:tcPr>
            <w:tcW w:w="133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考虑地形</w:t>
            </w:r>
          </w:p>
        </w:tc>
        <w:tc>
          <w:tcPr>
            <w:tcW w:w="25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考虑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exact"/>
          <w:jc w:val="center"/>
        </w:trPr>
        <w:tc>
          <w:tcPr>
            <w:tcW w:w="116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p>
        </w:tc>
        <w:tc>
          <w:tcPr>
            <w:tcW w:w="133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地形数据分辨率/m</w:t>
            </w:r>
          </w:p>
        </w:tc>
        <w:tc>
          <w:tcPr>
            <w:tcW w:w="25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90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exact"/>
          <w:jc w:val="center"/>
        </w:trPr>
        <w:tc>
          <w:tcPr>
            <w:tcW w:w="1164"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是否考虑岸线熏烟</w:t>
            </w:r>
          </w:p>
        </w:tc>
        <w:tc>
          <w:tcPr>
            <w:tcW w:w="133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岸线距离/km</w:t>
            </w:r>
          </w:p>
        </w:tc>
        <w:tc>
          <w:tcPr>
            <w:tcW w:w="25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exact"/>
          <w:jc w:val="center"/>
        </w:trPr>
        <w:tc>
          <w:tcPr>
            <w:tcW w:w="116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p>
        </w:tc>
        <w:tc>
          <w:tcPr>
            <w:tcW w:w="133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岸线方向/°</w:t>
            </w:r>
          </w:p>
        </w:tc>
        <w:tc>
          <w:tcPr>
            <w:tcW w:w="25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w:t>
            </w:r>
          </w:p>
        </w:tc>
      </w:tr>
    </w:tbl>
    <w:p>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outlineLvl w:val="3"/>
        <w:rPr>
          <w:rFonts w:hint="eastAsia" w:ascii="宋体" w:hAnsi="宋体" w:eastAsia="宋体" w:cs="宋体"/>
          <w:b/>
          <w:bCs/>
          <w:color w:val="000000" w:themeColor="text1"/>
          <w:lang w:val="en-US" w:eastAsia="zh-CN"/>
          <w14:textFill>
            <w14:solidFill>
              <w14:schemeClr w14:val="tx1"/>
            </w14:solidFill>
          </w14:textFill>
        </w:rPr>
      </w:pPr>
      <w:r>
        <w:rPr>
          <w:rFonts w:hint="eastAsia" w:ascii="宋体" w:hAnsi="宋体" w:eastAsia="宋体" w:cs="宋体"/>
          <w:b/>
          <w:bCs/>
          <w:color w:val="000000" w:themeColor="text1"/>
          <w:lang w:val="en-US" w:eastAsia="zh-CN"/>
          <w14:textFill>
            <w14:solidFill>
              <w14:schemeClr w14:val="tx1"/>
            </w14:solidFill>
          </w14:textFill>
        </w:rPr>
        <w:t>5.2.1.4估算模式计算结果</w:t>
      </w:r>
    </w:p>
    <w:p>
      <w:pPr>
        <w:spacing w:line="480" w:lineRule="exact"/>
        <w:ind w:firstLine="480" w:firstLineChars="200"/>
        <w:rPr>
          <w:rFonts w:hint="eastAsia" w:ascii="宋体" w:hAnsi="宋体" w:eastAsia="宋体" w:cs="宋体"/>
          <w:b/>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2"/>
          <w:highlight w:val="none"/>
          <w14:textFill>
            <w14:solidFill>
              <w14:schemeClr w14:val="tx1"/>
            </w14:solidFill>
          </w14:textFill>
        </w:rPr>
        <w:t>采用《环境影响评价技术导则-大气环境》（HJ2.2-2018）推荐模式清单中的估算模式分别计算本项目各个污染源排放污染物的下风向轴线浓度，并计算相应浓度占标率，结果如下。</w:t>
      </w:r>
    </w:p>
    <w:p>
      <w:pPr>
        <w:keepNext w:val="0"/>
        <w:keepLines w:val="0"/>
        <w:pageBreakBefore w:val="0"/>
        <w:widowControl/>
        <w:kinsoku/>
        <w:wordWrap/>
        <w:overflowPunct/>
        <w:topLinePunct w:val="0"/>
        <w:autoSpaceDE/>
        <w:autoSpaceDN/>
        <w:bidi w:val="0"/>
        <w:adjustRightInd/>
        <w:snapToGrid/>
        <w:spacing w:before="167" w:beforeLines="50" w:after="167" w:afterLines="50" w:line="360" w:lineRule="auto"/>
        <w:ind w:firstLine="0" w:firstLineChars="0"/>
        <w:jc w:val="center"/>
        <w:textAlignment w:val="auto"/>
        <w:rPr>
          <w:rFonts w:hint="eastAsia" w:ascii="宋体" w:hAnsi="宋体" w:eastAsia="宋体" w:cs="宋体"/>
          <w:b/>
          <w:bCs/>
          <w:color w:val="000000" w:themeColor="text1"/>
          <w:highlight w:val="none"/>
          <w:lang w:val="en-US" w:eastAsia="zh-CN"/>
          <w14:textFill>
            <w14:solidFill>
              <w14:schemeClr w14:val="tx1"/>
            </w14:solidFill>
          </w14:textFill>
        </w:rPr>
      </w:pPr>
      <w:r>
        <w:rPr>
          <w:rFonts w:hint="eastAsia" w:ascii="宋体" w:hAnsi="宋体" w:eastAsia="宋体" w:cs="宋体"/>
          <w:b/>
          <w:bCs/>
          <w:color w:val="000000" w:themeColor="text1"/>
          <w:highlight w:val="none"/>
          <w:lang w:val="en-US" w:eastAsia="zh-CN"/>
          <w14:textFill>
            <w14:solidFill>
              <w14:schemeClr w14:val="tx1"/>
            </w14:solidFill>
          </w14:textFill>
        </w:rPr>
        <w:t>表5.2-7 DA001主要大气污染物估算模型计算结果</w:t>
      </w:r>
    </w:p>
    <w:tbl>
      <w:tblPr>
        <w:tblStyle w:val="31"/>
        <w:tblW w:w="499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0"/>
        <w:gridCol w:w="1591"/>
        <w:gridCol w:w="1819"/>
        <w:gridCol w:w="1819"/>
        <w:gridCol w:w="1"/>
        <w:gridCol w:w="1818"/>
        <w:gridCol w:w="18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pct"/>
            <w:vMerge w:val="restar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序号</w:t>
            </w:r>
          </w:p>
        </w:tc>
        <w:tc>
          <w:tcPr>
            <w:tcW w:w="808" w:type="pct"/>
            <w:vMerge w:val="restar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距离</w:t>
            </w:r>
          </w:p>
        </w:tc>
        <w:tc>
          <w:tcPr>
            <w:tcW w:w="1849" w:type="pct"/>
            <w:gridSpan w:val="3"/>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非甲烷总烃</w:t>
            </w:r>
          </w:p>
        </w:tc>
        <w:tc>
          <w:tcPr>
            <w:tcW w:w="1849" w:type="pct"/>
            <w:gridSpan w:val="2"/>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p>
        </w:tc>
        <w:tc>
          <w:tcPr>
            <w:tcW w:w="808"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p>
        </w:tc>
        <w:tc>
          <w:tcPr>
            <w:tcW w:w="92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最大落地浓度（mg/m³）</w:t>
            </w:r>
          </w:p>
        </w:tc>
        <w:tc>
          <w:tcPr>
            <w:tcW w:w="92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最大占标率（%）</w:t>
            </w:r>
          </w:p>
        </w:tc>
        <w:tc>
          <w:tcPr>
            <w:tcW w:w="924" w:type="pct"/>
            <w:gridSpan w:val="2"/>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最大落地浓度（mg/m³）</w:t>
            </w:r>
          </w:p>
        </w:tc>
        <w:tc>
          <w:tcPr>
            <w:tcW w:w="925"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最大占标率（%）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w:t>
            </w:r>
          </w:p>
        </w:tc>
        <w:tc>
          <w:tcPr>
            <w:tcW w:w="808"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10</w:t>
            </w:r>
          </w:p>
        </w:tc>
        <w:tc>
          <w:tcPr>
            <w:tcW w:w="92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9.21E-06</w:t>
            </w:r>
          </w:p>
        </w:tc>
        <w:tc>
          <w:tcPr>
            <w:tcW w:w="92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w:t>
            </w:r>
          </w:p>
        </w:tc>
        <w:tc>
          <w:tcPr>
            <w:tcW w:w="924" w:type="pct"/>
            <w:gridSpan w:val="2"/>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2.76E-05</w:t>
            </w:r>
          </w:p>
        </w:tc>
        <w:tc>
          <w:tcPr>
            <w:tcW w:w="925"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w:t>
            </w:r>
          </w:p>
        </w:tc>
        <w:tc>
          <w:tcPr>
            <w:tcW w:w="808"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23</w:t>
            </w:r>
          </w:p>
        </w:tc>
        <w:tc>
          <w:tcPr>
            <w:tcW w:w="92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2.58E-04</w:t>
            </w:r>
          </w:p>
        </w:tc>
        <w:tc>
          <w:tcPr>
            <w:tcW w:w="92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0.13</w:t>
            </w:r>
          </w:p>
        </w:tc>
        <w:tc>
          <w:tcPr>
            <w:tcW w:w="924" w:type="pct"/>
            <w:gridSpan w:val="2"/>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7.74E-04</w:t>
            </w:r>
          </w:p>
        </w:tc>
        <w:tc>
          <w:tcPr>
            <w:tcW w:w="925"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3</w:t>
            </w:r>
          </w:p>
        </w:tc>
        <w:tc>
          <w:tcPr>
            <w:tcW w:w="808"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25</w:t>
            </w:r>
          </w:p>
        </w:tc>
        <w:tc>
          <w:tcPr>
            <w:tcW w:w="92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2.56E-04</w:t>
            </w:r>
          </w:p>
        </w:tc>
        <w:tc>
          <w:tcPr>
            <w:tcW w:w="92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0.13</w:t>
            </w:r>
          </w:p>
        </w:tc>
        <w:tc>
          <w:tcPr>
            <w:tcW w:w="924" w:type="pct"/>
            <w:gridSpan w:val="2"/>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7.68E-04</w:t>
            </w:r>
          </w:p>
        </w:tc>
        <w:tc>
          <w:tcPr>
            <w:tcW w:w="925"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4</w:t>
            </w:r>
          </w:p>
        </w:tc>
        <w:tc>
          <w:tcPr>
            <w:tcW w:w="808"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50</w:t>
            </w:r>
          </w:p>
        </w:tc>
        <w:tc>
          <w:tcPr>
            <w:tcW w:w="92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1.41E-04</w:t>
            </w:r>
          </w:p>
        </w:tc>
        <w:tc>
          <w:tcPr>
            <w:tcW w:w="92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0.07</w:t>
            </w:r>
          </w:p>
        </w:tc>
        <w:tc>
          <w:tcPr>
            <w:tcW w:w="924" w:type="pct"/>
            <w:gridSpan w:val="2"/>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4.23E-04</w:t>
            </w:r>
          </w:p>
        </w:tc>
        <w:tc>
          <w:tcPr>
            <w:tcW w:w="925"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5</w:t>
            </w:r>
          </w:p>
        </w:tc>
        <w:tc>
          <w:tcPr>
            <w:tcW w:w="808"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75</w:t>
            </w:r>
          </w:p>
        </w:tc>
        <w:tc>
          <w:tcPr>
            <w:tcW w:w="92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1.74E-04</w:t>
            </w:r>
          </w:p>
        </w:tc>
        <w:tc>
          <w:tcPr>
            <w:tcW w:w="92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0.09</w:t>
            </w:r>
          </w:p>
        </w:tc>
        <w:tc>
          <w:tcPr>
            <w:tcW w:w="924" w:type="pct"/>
            <w:gridSpan w:val="2"/>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5.20E-04</w:t>
            </w:r>
          </w:p>
        </w:tc>
        <w:tc>
          <w:tcPr>
            <w:tcW w:w="925"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6</w:t>
            </w:r>
          </w:p>
        </w:tc>
        <w:tc>
          <w:tcPr>
            <w:tcW w:w="808"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100</w:t>
            </w:r>
          </w:p>
        </w:tc>
        <w:tc>
          <w:tcPr>
            <w:tcW w:w="92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1.32E-04</w:t>
            </w:r>
          </w:p>
        </w:tc>
        <w:tc>
          <w:tcPr>
            <w:tcW w:w="92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0.07</w:t>
            </w:r>
          </w:p>
        </w:tc>
        <w:tc>
          <w:tcPr>
            <w:tcW w:w="924" w:type="pct"/>
            <w:gridSpan w:val="2"/>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3.96E-04</w:t>
            </w:r>
          </w:p>
        </w:tc>
        <w:tc>
          <w:tcPr>
            <w:tcW w:w="925"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7</w:t>
            </w:r>
          </w:p>
        </w:tc>
        <w:tc>
          <w:tcPr>
            <w:tcW w:w="808"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125</w:t>
            </w:r>
          </w:p>
        </w:tc>
        <w:tc>
          <w:tcPr>
            <w:tcW w:w="92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1.06E-04</w:t>
            </w:r>
          </w:p>
        </w:tc>
        <w:tc>
          <w:tcPr>
            <w:tcW w:w="92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0.05</w:t>
            </w:r>
          </w:p>
        </w:tc>
        <w:tc>
          <w:tcPr>
            <w:tcW w:w="924" w:type="pct"/>
            <w:gridSpan w:val="2"/>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3.18E-04</w:t>
            </w:r>
          </w:p>
        </w:tc>
        <w:tc>
          <w:tcPr>
            <w:tcW w:w="925"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8</w:t>
            </w:r>
          </w:p>
        </w:tc>
        <w:tc>
          <w:tcPr>
            <w:tcW w:w="808"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150</w:t>
            </w:r>
          </w:p>
        </w:tc>
        <w:tc>
          <w:tcPr>
            <w:tcW w:w="92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1.32E-04</w:t>
            </w:r>
          </w:p>
        </w:tc>
        <w:tc>
          <w:tcPr>
            <w:tcW w:w="92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0.07</w:t>
            </w:r>
          </w:p>
        </w:tc>
        <w:tc>
          <w:tcPr>
            <w:tcW w:w="924" w:type="pct"/>
            <w:gridSpan w:val="2"/>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3.95E-04</w:t>
            </w:r>
          </w:p>
        </w:tc>
        <w:tc>
          <w:tcPr>
            <w:tcW w:w="925"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9</w:t>
            </w:r>
          </w:p>
        </w:tc>
        <w:tc>
          <w:tcPr>
            <w:tcW w:w="808"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175</w:t>
            </w:r>
          </w:p>
        </w:tc>
        <w:tc>
          <w:tcPr>
            <w:tcW w:w="92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1.44E-04</w:t>
            </w:r>
          </w:p>
        </w:tc>
        <w:tc>
          <w:tcPr>
            <w:tcW w:w="92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0.07</w:t>
            </w:r>
          </w:p>
        </w:tc>
        <w:tc>
          <w:tcPr>
            <w:tcW w:w="924" w:type="pct"/>
            <w:gridSpan w:val="2"/>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4.32E-04</w:t>
            </w:r>
          </w:p>
        </w:tc>
        <w:tc>
          <w:tcPr>
            <w:tcW w:w="925"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10</w:t>
            </w:r>
          </w:p>
        </w:tc>
        <w:tc>
          <w:tcPr>
            <w:tcW w:w="808"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200</w:t>
            </w:r>
          </w:p>
        </w:tc>
        <w:tc>
          <w:tcPr>
            <w:tcW w:w="92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1.46E-04</w:t>
            </w:r>
          </w:p>
        </w:tc>
        <w:tc>
          <w:tcPr>
            <w:tcW w:w="92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0.07</w:t>
            </w:r>
          </w:p>
        </w:tc>
        <w:tc>
          <w:tcPr>
            <w:tcW w:w="924" w:type="pct"/>
            <w:gridSpan w:val="2"/>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4.37E-04</w:t>
            </w:r>
          </w:p>
        </w:tc>
        <w:tc>
          <w:tcPr>
            <w:tcW w:w="925"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11</w:t>
            </w:r>
          </w:p>
        </w:tc>
        <w:tc>
          <w:tcPr>
            <w:tcW w:w="808"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225</w:t>
            </w:r>
          </w:p>
        </w:tc>
        <w:tc>
          <w:tcPr>
            <w:tcW w:w="92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1.40E-04</w:t>
            </w:r>
          </w:p>
        </w:tc>
        <w:tc>
          <w:tcPr>
            <w:tcW w:w="92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0.07</w:t>
            </w:r>
          </w:p>
        </w:tc>
        <w:tc>
          <w:tcPr>
            <w:tcW w:w="924" w:type="pct"/>
            <w:gridSpan w:val="2"/>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4.20E-04</w:t>
            </w:r>
          </w:p>
        </w:tc>
        <w:tc>
          <w:tcPr>
            <w:tcW w:w="925"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12</w:t>
            </w:r>
          </w:p>
        </w:tc>
        <w:tc>
          <w:tcPr>
            <w:tcW w:w="808"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250</w:t>
            </w:r>
          </w:p>
        </w:tc>
        <w:tc>
          <w:tcPr>
            <w:tcW w:w="92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1.33E-04</w:t>
            </w:r>
          </w:p>
        </w:tc>
        <w:tc>
          <w:tcPr>
            <w:tcW w:w="92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0.07</w:t>
            </w:r>
          </w:p>
        </w:tc>
        <w:tc>
          <w:tcPr>
            <w:tcW w:w="924" w:type="pct"/>
            <w:gridSpan w:val="2"/>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3.98E-04</w:t>
            </w:r>
          </w:p>
        </w:tc>
        <w:tc>
          <w:tcPr>
            <w:tcW w:w="925"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13</w:t>
            </w:r>
          </w:p>
        </w:tc>
        <w:tc>
          <w:tcPr>
            <w:tcW w:w="808"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275</w:t>
            </w:r>
          </w:p>
        </w:tc>
        <w:tc>
          <w:tcPr>
            <w:tcW w:w="92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1.25E-04</w:t>
            </w:r>
          </w:p>
        </w:tc>
        <w:tc>
          <w:tcPr>
            <w:tcW w:w="92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0.06</w:t>
            </w:r>
          </w:p>
        </w:tc>
        <w:tc>
          <w:tcPr>
            <w:tcW w:w="924" w:type="pct"/>
            <w:gridSpan w:val="2"/>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3.75E-04</w:t>
            </w:r>
          </w:p>
        </w:tc>
        <w:tc>
          <w:tcPr>
            <w:tcW w:w="925"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14</w:t>
            </w:r>
          </w:p>
        </w:tc>
        <w:tc>
          <w:tcPr>
            <w:tcW w:w="808"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300</w:t>
            </w:r>
          </w:p>
        </w:tc>
        <w:tc>
          <w:tcPr>
            <w:tcW w:w="92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1.17E-04</w:t>
            </w:r>
          </w:p>
        </w:tc>
        <w:tc>
          <w:tcPr>
            <w:tcW w:w="92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0.06</w:t>
            </w:r>
          </w:p>
        </w:tc>
        <w:tc>
          <w:tcPr>
            <w:tcW w:w="924" w:type="pct"/>
            <w:gridSpan w:val="2"/>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3.52E-04</w:t>
            </w:r>
          </w:p>
        </w:tc>
        <w:tc>
          <w:tcPr>
            <w:tcW w:w="925"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15</w:t>
            </w:r>
          </w:p>
        </w:tc>
        <w:tc>
          <w:tcPr>
            <w:tcW w:w="808"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325</w:t>
            </w:r>
          </w:p>
        </w:tc>
        <w:tc>
          <w:tcPr>
            <w:tcW w:w="92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1.10E-04</w:t>
            </w:r>
          </w:p>
        </w:tc>
        <w:tc>
          <w:tcPr>
            <w:tcW w:w="92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0.06</w:t>
            </w:r>
          </w:p>
        </w:tc>
        <w:tc>
          <w:tcPr>
            <w:tcW w:w="924" w:type="pct"/>
            <w:gridSpan w:val="2"/>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3.30E-04</w:t>
            </w:r>
          </w:p>
        </w:tc>
        <w:tc>
          <w:tcPr>
            <w:tcW w:w="925"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16</w:t>
            </w:r>
          </w:p>
        </w:tc>
        <w:tc>
          <w:tcPr>
            <w:tcW w:w="808"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350</w:t>
            </w:r>
          </w:p>
        </w:tc>
        <w:tc>
          <w:tcPr>
            <w:tcW w:w="92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1.03E-04</w:t>
            </w:r>
          </w:p>
        </w:tc>
        <w:tc>
          <w:tcPr>
            <w:tcW w:w="92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0.05</w:t>
            </w:r>
          </w:p>
        </w:tc>
        <w:tc>
          <w:tcPr>
            <w:tcW w:w="924" w:type="pct"/>
            <w:gridSpan w:val="2"/>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3.10E-04</w:t>
            </w:r>
          </w:p>
        </w:tc>
        <w:tc>
          <w:tcPr>
            <w:tcW w:w="925"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17</w:t>
            </w:r>
          </w:p>
        </w:tc>
        <w:tc>
          <w:tcPr>
            <w:tcW w:w="808"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375</w:t>
            </w:r>
          </w:p>
        </w:tc>
        <w:tc>
          <w:tcPr>
            <w:tcW w:w="92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9.71E-05</w:t>
            </w:r>
          </w:p>
        </w:tc>
        <w:tc>
          <w:tcPr>
            <w:tcW w:w="92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0.05</w:t>
            </w:r>
          </w:p>
        </w:tc>
        <w:tc>
          <w:tcPr>
            <w:tcW w:w="924" w:type="pct"/>
            <w:gridSpan w:val="2"/>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2.91E-04</w:t>
            </w:r>
          </w:p>
        </w:tc>
        <w:tc>
          <w:tcPr>
            <w:tcW w:w="925"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18</w:t>
            </w:r>
          </w:p>
        </w:tc>
        <w:tc>
          <w:tcPr>
            <w:tcW w:w="808"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400</w:t>
            </w:r>
          </w:p>
        </w:tc>
        <w:tc>
          <w:tcPr>
            <w:tcW w:w="92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9.13E-05</w:t>
            </w:r>
          </w:p>
        </w:tc>
        <w:tc>
          <w:tcPr>
            <w:tcW w:w="92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0.05</w:t>
            </w:r>
          </w:p>
        </w:tc>
        <w:tc>
          <w:tcPr>
            <w:tcW w:w="924" w:type="pct"/>
            <w:gridSpan w:val="2"/>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2.74E-04</w:t>
            </w:r>
          </w:p>
        </w:tc>
        <w:tc>
          <w:tcPr>
            <w:tcW w:w="925"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19</w:t>
            </w:r>
          </w:p>
        </w:tc>
        <w:tc>
          <w:tcPr>
            <w:tcW w:w="808"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425</w:t>
            </w:r>
          </w:p>
        </w:tc>
        <w:tc>
          <w:tcPr>
            <w:tcW w:w="92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8.60E-05</w:t>
            </w:r>
          </w:p>
        </w:tc>
        <w:tc>
          <w:tcPr>
            <w:tcW w:w="92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0.04</w:t>
            </w:r>
          </w:p>
        </w:tc>
        <w:tc>
          <w:tcPr>
            <w:tcW w:w="924" w:type="pct"/>
            <w:gridSpan w:val="2"/>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2.58E-04</w:t>
            </w:r>
          </w:p>
        </w:tc>
        <w:tc>
          <w:tcPr>
            <w:tcW w:w="925"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20</w:t>
            </w:r>
          </w:p>
        </w:tc>
        <w:tc>
          <w:tcPr>
            <w:tcW w:w="808"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450</w:t>
            </w:r>
          </w:p>
        </w:tc>
        <w:tc>
          <w:tcPr>
            <w:tcW w:w="92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8.11E-05</w:t>
            </w:r>
          </w:p>
        </w:tc>
        <w:tc>
          <w:tcPr>
            <w:tcW w:w="92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0.04</w:t>
            </w:r>
          </w:p>
        </w:tc>
        <w:tc>
          <w:tcPr>
            <w:tcW w:w="924" w:type="pct"/>
            <w:gridSpan w:val="2"/>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2.43E-04</w:t>
            </w:r>
          </w:p>
        </w:tc>
        <w:tc>
          <w:tcPr>
            <w:tcW w:w="925"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21</w:t>
            </w:r>
          </w:p>
        </w:tc>
        <w:tc>
          <w:tcPr>
            <w:tcW w:w="808"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475</w:t>
            </w:r>
          </w:p>
        </w:tc>
        <w:tc>
          <w:tcPr>
            <w:tcW w:w="92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7.66E-05</w:t>
            </w:r>
          </w:p>
        </w:tc>
        <w:tc>
          <w:tcPr>
            <w:tcW w:w="92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0.04</w:t>
            </w:r>
          </w:p>
        </w:tc>
        <w:tc>
          <w:tcPr>
            <w:tcW w:w="924" w:type="pct"/>
            <w:gridSpan w:val="2"/>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2.30E-04</w:t>
            </w:r>
          </w:p>
        </w:tc>
        <w:tc>
          <w:tcPr>
            <w:tcW w:w="925"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22</w:t>
            </w:r>
          </w:p>
        </w:tc>
        <w:tc>
          <w:tcPr>
            <w:tcW w:w="808"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500</w:t>
            </w:r>
          </w:p>
        </w:tc>
        <w:tc>
          <w:tcPr>
            <w:tcW w:w="92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7.25E-05</w:t>
            </w:r>
          </w:p>
        </w:tc>
        <w:tc>
          <w:tcPr>
            <w:tcW w:w="92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0.04</w:t>
            </w:r>
          </w:p>
        </w:tc>
        <w:tc>
          <w:tcPr>
            <w:tcW w:w="924" w:type="pct"/>
            <w:gridSpan w:val="2"/>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2.17E-04</w:t>
            </w:r>
          </w:p>
        </w:tc>
        <w:tc>
          <w:tcPr>
            <w:tcW w:w="925"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0.01</w:t>
            </w:r>
          </w:p>
        </w:tc>
      </w:tr>
    </w:tbl>
    <w:p>
      <w:pPr>
        <w:keepNext w:val="0"/>
        <w:keepLines w:val="0"/>
        <w:pageBreakBefore w:val="0"/>
        <w:widowControl/>
        <w:kinsoku/>
        <w:wordWrap/>
        <w:overflowPunct/>
        <w:topLinePunct w:val="0"/>
        <w:autoSpaceDE/>
        <w:autoSpaceDN/>
        <w:bidi w:val="0"/>
        <w:adjustRightInd/>
        <w:snapToGrid/>
        <w:spacing w:before="167" w:beforeLines="50" w:after="167" w:afterLines="50" w:line="360" w:lineRule="auto"/>
        <w:ind w:firstLine="0" w:firstLineChars="0"/>
        <w:jc w:val="center"/>
        <w:textAlignment w:val="auto"/>
        <w:rPr>
          <w:rFonts w:hint="eastAsia" w:ascii="宋体" w:hAnsi="宋体" w:eastAsia="宋体" w:cs="宋体"/>
          <w:b/>
          <w:bCs/>
          <w:color w:val="000000" w:themeColor="text1"/>
          <w:highlight w:val="none"/>
          <w:lang w:val="en-US" w:eastAsia="zh-CN"/>
          <w14:textFill>
            <w14:solidFill>
              <w14:schemeClr w14:val="tx1"/>
            </w14:solidFill>
          </w14:textFill>
        </w:rPr>
      </w:pPr>
      <w:r>
        <w:rPr>
          <w:rFonts w:hint="eastAsia" w:ascii="宋体" w:hAnsi="宋体" w:eastAsia="宋体" w:cs="宋体"/>
          <w:b/>
          <w:bCs/>
          <w:color w:val="000000" w:themeColor="text1"/>
          <w:highlight w:val="none"/>
          <w:lang w:val="en-US" w:eastAsia="zh-CN"/>
          <w14:textFill>
            <w14:solidFill>
              <w14:schemeClr w14:val="tx1"/>
            </w14:solidFill>
          </w14:textFill>
        </w:rPr>
        <w:t>表5.2-8 DA002主要大气污染物估算模型计算结果</w:t>
      </w:r>
    </w:p>
    <w:tbl>
      <w:tblPr>
        <w:tblStyle w:val="31"/>
        <w:tblW w:w="499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0"/>
        <w:gridCol w:w="1591"/>
        <w:gridCol w:w="1819"/>
        <w:gridCol w:w="1819"/>
        <w:gridCol w:w="1"/>
        <w:gridCol w:w="1818"/>
        <w:gridCol w:w="18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pct"/>
            <w:vMerge w:val="restar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序号</w:t>
            </w:r>
          </w:p>
        </w:tc>
        <w:tc>
          <w:tcPr>
            <w:tcW w:w="808" w:type="pct"/>
            <w:vMerge w:val="restar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距离</w:t>
            </w:r>
          </w:p>
        </w:tc>
        <w:tc>
          <w:tcPr>
            <w:tcW w:w="1849" w:type="pct"/>
            <w:gridSpan w:val="3"/>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非甲烷总烃</w:t>
            </w:r>
          </w:p>
        </w:tc>
        <w:tc>
          <w:tcPr>
            <w:tcW w:w="1849" w:type="pct"/>
            <w:gridSpan w:val="2"/>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p>
        </w:tc>
        <w:tc>
          <w:tcPr>
            <w:tcW w:w="808"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p>
        </w:tc>
        <w:tc>
          <w:tcPr>
            <w:tcW w:w="92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最大落地浓度（mg/m³）</w:t>
            </w:r>
          </w:p>
        </w:tc>
        <w:tc>
          <w:tcPr>
            <w:tcW w:w="92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最大占标率（%）</w:t>
            </w:r>
          </w:p>
        </w:tc>
        <w:tc>
          <w:tcPr>
            <w:tcW w:w="924" w:type="pct"/>
            <w:gridSpan w:val="2"/>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最大落地浓度（mg/m³）</w:t>
            </w:r>
          </w:p>
        </w:tc>
        <w:tc>
          <w:tcPr>
            <w:tcW w:w="925"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最大占标率（%）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w:t>
            </w:r>
          </w:p>
        </w:tc>
        <w:tc>
          <w:tcPr>
            <w:tcW w:w="1591"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10</w:t>
            </w:r>
          </w:p>
        </w:tc>
        <w:tc>
          <w:tcPr>
            <w:tcW w:w="1819"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6.10E-07</w:t>
            </w:r>
          </w:p>
        </w:tc>
        <w:tc>
          <w:tcPr>
            <w:tcW w:w="1819"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w:t>
            </w:r>
          </w:p>
        </w:tc>
        <w:tc>
          <w:tcPr>
            <w:tcW w:w="1819" w:type="dxa"/>
            <w:gridSpan w:val="2"/>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5.48E-05</w:t>
            </w:r>
          </w:p>
        </w:tc>
        <w:tc>
          <w:tcPr>
            <w:tcW w:w="1822"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w:t>
            </w:r>
          </w:p>
        </w:tc>
        <w:tc>
          <w:tcPr>
            <w:tcW w:w="1591"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25</w:t>
            </w:r>
          </w:p>
        </w:tc>
        <w:tc>
          <w:tcPr>
            <w:tcW w:w="1819"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3.21E-05</w:t>
            </w:r>
          </w:p>
        </w:tc>
        <w:tc>
          <w:tcPr>
            <w:tcW w:w="1819"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0.02</w:t>
            </w:r>
          </w:p>
        </w:tc>
        <w:tc>
          <w:tcPr>
            <w:tcW w:w="1819" w:type="dxa"/>
            <w:gridSpan w:val="2"/>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2.89E-03</w:t>
            </w:r>
          </w:p>
        </w:tc>
        <w:tc>
          <w:tcPr>
            <w:tcW w:w="1822"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3</w:t>
            </w:r>
          </w:p>
        </w:tc>
        <w:tc>
          <w:tcPr>
            <w:tcW w:w="1591"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50</w:t>
            </w:r>
          </w:p>
        </w:tc>
        <w:tc>
          <w:tcPr>
            <w:tcW w:w="1819"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3.27E-05</w:t>
            </w:r>
          </w:p>
        </w:tc>
        <w:tc>
          <w:tcPr>
            <w:tcW w:w="1819"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0.02</w:t>
            </w:r>
          </w:p>
        </w:tc>
        <w:tc>
          <w:tcPr>
            <w:tcW w:w="1819" w:type="dxa"/>
            <w:gridSpan w:val="2"/>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2.94E-03</w:t>
            </w:r>
          </w:p>
        </w:tc>
        <w:tc>
          <w:tcPr>
            <w:tcW w:w="1822"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4</w:t>
            </w:r>
          </w:p>
        </w:tc>
        <w:tc>
          <w:tcPr>
            <w:tcW w:w="1591"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75</w:t>
            </w:r>
          </w:p>
        </w:tc>
        <w:tc>
          <w:tcPr>
            <w:tcW w:w="1819"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3.76E-05</w:t>
            </w:r>
          </w:p>
        </w:tc>
        <w:tc>
          <w:tcPr>
            <w:tcW w:w="1819"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0.02</w:t>
            </w:r>
          </w:p>
        </w:tc>
        <w:tc>
          <w:tcPr>
            <w:tcW w:w="1819" w:type="dxa"/>
            <w:gridSpan w:val="2"/>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3.37E-03</w:t>
            </w:r>
          </w:p>
        </w:tc>
        <w:tc>
          <w:tcPr>
            <w:tcW w:w="1822"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5</w:t>
            </w:r>
          </w:p>
        </w:tc>
        <w:tc>
          <w:tcPr>
            <w:tcW w:w="1591"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100</w:t>
            </w:r>
          </w:p>
        </w:tc>
        <w:tc>
          <w:tcPr>
            <w:tcW w:w="1819"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6.03E-05</w:t>
            </w:r>
          </w:p>
        </w:tc>
        <w:tc>
          <w:tcPr>
            <w:tcW w:w="1819"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0.03</w:t>
            </w:r>
          </w:p>
        </w:tc>
        <w:tc>
          <w:tcPr>
            <w:tcW w:w="1819" w:type="dxa"/>
            <w:gridSpan w:val="2"/>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5.42E-03</w:t>
            </w:r>
          </w:p>
        </w:tc>
        <w:tc>
          <w:tcPr>
            <w:tcW w:w="1822"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6</w:t>
            </w:r>
          </w:p>
        </w:tc>
        <w:tc>
          <w:tcPr>
            <w:tcW w:w="1591"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110</w:t>
            </w:r>
          </w:p>
        </w:tc>
        <w:tc>
          <w:tcPr>
            <w:tcW w:w="1819"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6.25E-05</w:t>
            </w:r>
          </w:p>
        </w:tc>
        <w:tc>
          <w:tcPr>
            <w:tcW w:w="1819"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0.03</w:t>
            </w:r>
          </w:p>
        </w:tc>
        <w:tc>
          <w:tcPr>
            <w:tcW w:w="1819" w:type="dxa"/>
            <w:gridSpan w:val="2"/>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5.61E-03</w:t>
            </w:r>
          </w:p>
        </w:tc>
        <w:tc>
          <w:tcPr>
            <w:tcW w:w="1822"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7</w:t>
            </w:r>
          </w:p>
        </w:tc>
        <w:tc>
          <w:tcPr>
            <w:tcW w:w="1591"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125</w:t>
            </w:r>
          </w:p>
        </w:tc>
        <w:tc>
          <w:tcPr>
            <w:tcW w:w="1819"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6.10E-05</w:t>
            </w:r>
          </w:p>
        </w:tc>
        <w:tc>
          <w:tcPr>
            <w:tcW w:w="1819"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0.03</w:t>
            </w:r>
          </w:p>
        </w:tc>
        <w:tc>
          <w:tcPr>
            <w:tcW w:w="1819" w:type="dxa"/>
            <w:gridSpan w:val="2"/>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5.48E-03</w:t>
            </w:r>
          </w:p>
        </w:tc>
        <w:tc>
          <w:tcPr>
            <w:tcW w:w="1822"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8</w:t>
            </w:r>
          </w:p>
        </w:tc>
        <w:tc>
          <w:tcPr>
            <w:tcW w:w="1591"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150</w:t>
            </w:r>
          </w:p>
        </w:tc>
        <w:tc>
          <w:tcPr>
            <w:tcW w:w="1819"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5.75E-05</w:t>
            </w:r>
          </w:p>
        </w:tc>
        <w:tc>
          <w:tcPr>
            <w:tcW w:w="1819"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0.03</w:t>
            </w:r>
          </w:p>
        </w:tc>
        <w:tc>
          <w:tcPr>
            <w:tcW w:w="1819" w:type="dxa"/>
            <w:gridSpan w:val="2"/>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5.17E-03</w:t>
            </w:r>
          </w:p>
        </w:tc>
        <w:tc>
          <w:tcPr>
            <w:tcW w:w="1822"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9</w:t>
            </w:r>
          </w:p>
        </w:tc>
        <w:tc>
          <w:tcPr>
            <w:tcW w:w="1591"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175</w:t>
            </w:r>
          </w:p>
        </w:tc>
        <w:tc>
          <w:tcPr>
            <w:tcW w:w="1819"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5.27E-05</w:t>
            </w:r>
          </w:p>
        </w:tc>
        <w:tc>
          <w:tcPr>
            <w:tcW w:w="1819"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0.03</w:t>
            </w:r>
          </w:p>
        </w:tc>
        <w:tc>
          <w:tcPr>
            <w:tcW w:w="1819" w:type="dxa"/>
            <w:gridSpan w:val="2"/>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4.73E-03</w:t>
            </w:r>
          </w:p>
        </w:tc>
        <w:tc>
          <w:tcPr>
            <w:tcW w:w="1822"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10</w:t>
            </w:r>
          </w:p>
        </w:tc>
        <w:tc>
          <w:tcPr>
            <w:tcW w:w="1591"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200</w:t>
            </w:r>
          </w:p>
        </w:tc>
        <w:tc>
          <w:tcPr>
            <w:tcW w:w="1819"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4.73E-05</w:t>
            </w:r>
          </w:p>
        </w:tc>
        <w:tc>
          <w:tcPr>
            <w:tcW w:w="1819"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0.02</w:t>
            </w:r>
          </w:p>
        </w:tc>
        <w:tc>
          <w:tcPr>
            <w:tcW w:w="1819" w:type="dxa"/>
            <w:gridSpan w:val="2"/>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4.25E-03</w:t>
            </w:r>
          </w:p>
        </w:tc>
        <w:tc>
          <w:tcPr>
            <w:tcW w:w="1822"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11</w:t>
            </w:r>
          </w:p>
        </w:tc>
        <w:tc>
          <w:tcPr>
            <w:tcW w:w="1591"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225</w:t>
            </w:r>
          </w:p>
        </w:tc>
        <w:tc>
          <w:tcPr>
            <w:tcW w:w="1819"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4.49E-05</w:t>
            </w:r>
          </w:p>
        </w:tc>
        <w:tc>
          <w:tcPr>
            <w:tcW w:w="1819"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0.02</w:t>
            </w:r>
          </w:p>
        </w:tc>
        <w:tc>
          <w:tcPr>
            <w:tcW w:w="1819" w:type="dxa"/>
            <w:gridSpan w:val="2"/>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4.03E-03</w:t>
            </w:r>
          </w:p>
        </w:tc>
        <w:tc>
          <w:tcPr>
            <w:tcW w:w="1822"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12</w:t>
            </w:r>
          </w:p>
        </w:tc>
        <w:tc>
          <w:tcPr>
            <w:tcW w:w="1591"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250</w:t>
            </w:r>
          </w:p>
        </w:tc>
        <w:tc>
          <w:tcPr>
            <w:tcW w:w="1819"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4.61E-05</w:t>
            </w:r>
          </w:p>
        </w:tc>
        <w:tc>
          <w:tcPr>
            <w:tcW w:w="1819"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0.02</w:t>
            </w:r>
          </w:p>
        </w:tc>
        <w:tc>
          <w:tcPr>
            <w:tcW w:w="1819" w:type="dxa"/>
            <w:gridSpan w:val="2"/>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4.14E-03</w:t>
            </w:r>
          </w:p>
        </w:tc>
        <w:tc>
          <w:tcPr>
            <w:tcW w:w="1822"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13</w:t>
            </w:r>
          </w:p>
        </w:tc>
        <w:tc>
          <w:tcPr>
            <w:tcW w:w="1591"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275</w:t>
            </w:r>
          </w:p>
        </w:tc>
        <w:tc>
          <w:tcPr>
            <w:tcW w:w="1819"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4.78E-05</w:t>
            </w:r>
          </w:p>
        </w:tc>
        <w:tc>
          <w:tcPr>
            <w:tcW w:w="1819"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0.02</w:t>
            </w:r>
          </w:p>
        </w:tc>
        <w:tc>
          <w:tcPr>
            <w:tcW w:w="1819" w:type="dxa"/>
            <w:gridSpan w:val="2"/>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4.29E-03</w:t>
            </w:r>
          </w:p>
        </w:tc>
        <w:tc>
          <w:tcPr>
            <w:tcW w:w="1822"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14</w:t>
            </w:r>
          </w:p>
        </w:tc>
        <w:tc>
          <w:tcPr>
            <w:tcW w:w="1591"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300</w:t>
            </w:r>
          </w:p>
        </w:tc>
        <w:tc>
          <w:tcPr>
            <w:tcW w:w="1819"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4.75E-05</w:t>
            </w:r>
          </w:p>
        </w:tc>
        <w:tc>
          <w:tcPr>
            <w:tcW w:w="1819"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0.02</w:t>
            </w:r>
          </w:p>
        </w:tc>
        <w:tc>
          <w:tcPr>
            <w:tcW w:w="1819" w:type="dxa"/>
            <w:gridSpan w:val="2"/>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4.26E-03</w:t>
            </w:r>
          </w:p>
        </w:tc>
        <w:tc>
          <w:tcPr>
            <w:tcW w:w="1822"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15</w:t>
            </w:r>
          </w:p>
        </w:tc>
        <w:tc>
          <w:tcPr>
            <w:tcW w:w="1591"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325</w:t>
            </w:r>
          </w:p>
        </w:tc>
        <w:tc>
          <w:tcPr>
            <w:tcW w:w="1819"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4.65E-05</w:t>
            </w:r>
          </w:p>
        </w:tc>
        <w:tc>
          <w:tcPr>
            <w:tcW w:w="1819"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0.02</w:t>
            </w:r>
          </w:p>
        </w:tc>
        <w:tc>
          <w:tcPr>
            <w:tcW w:w="1819" w:type="dxa"/>
            <w:gridSpan w:val="2"/>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4.18E-03</w:t>
            </w:r>
          </w:p>
        </w:tc>
        <w:tc>
          <w:tcPr>
            <w:tcW w:w="1822"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16</w:t>
            </w:r>
          </w:p>
        </w:tc>
        <w:tc>
          <w:tcPr>
            <w:tcW w:w="1591"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350</w:t>
            </w:r>
          </w:p>
        </w:tc>
        <w:tc>
          <w:tcPr>
            <w:tcW w:w="1819"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4.53E-05</w:t>
            </w:r>
          </w:p>
        </w:tc>
        <w:tc>
          <w:tcPr>
            <w:tcW w:w="1819"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0.02</w:t>
            </w:r>
          </w:p>
        </w:tc>
        <w:tc>
          <w:tcPr>
            <w:tcW w:w="1819" w:type="dxa"/>
            <w:gridSpan w:val="2"/>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4.07E-03</w:t>
            </w:r>
          </w:p>
        </w:tc>
        <w:tc>
          <w:tcPr>
            <w:tcW w:w="1822"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17</w:t>
            </w:r>
          </w:p>
        </w:tc>
        <w:tc>
          <w:tcPr>
            <w:tcW w:w="1591"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375</w:t>
            </w:r>
          </w:p>
        </w:tc>
        <w:tc>
          <w:tcPr>
            <w:tcW w:w="1819"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4.40E-05</w:t>
            </w:r>
          </w:p>
        </w:tc>
        <w:tc>
          <w:tcPr>
            <w:tcW w:w="1819"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0.02</w:t>
            </w:r>
          </w:p>
        </w:tc>
        <w:tc>
          <w:tcPr>
            <w:tcW w:w="1819" w:type="dxa"/>
            <w:gridSpan w:val="2"/>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3.95E-03</w:t>
            </w:r>
          </w:p>
        </w:tc>
        <w:tc>
          <w:tcPr>
            <w:tcW w:w="1822"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18</w:t>
            </w:r>
          </w:p>
        </w:tc>
        <w:tc>
          <w:tcPr>
            <w:tcW w:w="1591"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400</w:t>
            </w:r>
          </w:p>
        </w:tc>
        <w:tc>
          <w:tcPr>
            <w:tcW w:w="1819"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4.25E-05</w:t>
            </w:r>
          </w:p>
        </w:tc>
        <w:tc>
          <w:tcPr>
            <w:tcW w:w="1819"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0.02</w:t>
            </w:r>
          </w:p>
        </w:tc>
        <w:tc>
          <w:tcPr>
            <w:tcW w:w="1819" w:type="dxa"/>
            <w:gridSpan w:val="2"/>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3.82E-03</w:t>
            </w:r>
          </w:p>
        </w:tc>
        <w:tc>
          <w:tcPr>
            <w:tcW w:w="1822"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19</w:t>
            </w:r>
          </w:p>
        </w:tc>
        <w:tc>
          <w:tcPr>
            <w:tcW w:w="1591"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425</w:t>
            </w:r>
          </w:p>
        </w:tc>
        <w:tc>
          <w:tcPr>
            <w:tcW w:w="1819"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4.10E-05</w:t>
            </w:r>
          </w:p>
        </w:tc>
        <w:tc>
          <w:tcPr>
            <w:tcW w:w="1819"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0.02</w:t>
            </w:r>
          </w:p>
        </w:tc>
        <w:tc>
          <w:tcPr>
            <w:tcW w:w="1819" w:type="dxa"/>
            <w:gridSpan w:val="2"/>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3.68E-03</w:t>
            </w:r>
          </w:p>
        </w:tc>
        <w:tc>
          <w:tcPr>
            <w:tcW w:w="1822"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20</w:t>
            </w:r>
          </w:p>
        </w:tc>
        <w:tc>
          <w:tcPr>
            <w:tcW w:w="1591"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450</w:t>
            </w:r>
          </w:p>
        </w:tc>
        <w:tc>
          <w:tcPr>
            <w:tcW w:w="1819"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3.95E-05</w:t>
            </w:r>
          </w:p>
        </w:tc>
        <w:tc>
          <w:tcPr>
            <w:tcW w:w="1819"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0.02</w:t>
            </w:r>
          </w:p>
        </w:tc>
        <w:tc>
          <w:tcPr>
            <w:tcW w:w="1819" w:type="dxa"/>
            <w:gridSpan w:val="2"/>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3.55E-03</w:t>
            </w:r>
          </w:p>
        </w:tc>
        <w:tc>
          <w:tcPr>
            <w:tcW w:w="1822"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21</w:t>
            </w:r>
          </w:p>
        </w:tc>
        <w:tc>
          <w:tcPr>
            <w:tcW w:w="1591"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475</w:t>
            </w:r>
          </w:p>
        </w:tc>
        <w:tc>
          <w:tcPr>
            <w:tcW w:w="1819"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3.81E-05</w:t>
            </w:r>
          </w:p>
        </w:tc>
        <w:tc>
          <w:tcPr>
            <w:tcW w:w="1819"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0.02</w:t>
            </w:r>
          </w:p>
        </w:tc>
        <w:tc>
          <w:tcPr>
            <w:tcW w:w="1819" w:type="dxa"/>
            <w:gridSpan w:val="2"/>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3.42E-03</w:t>
            </w:r>
          </w:p>
        </w:tc>
        <w:tc>
          <w:tcPr>
            <w:tcW w:w="1822"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22</w:t>
            </w:r>
          </w:p>
        </w:tc>
        <w:tc>
          <w:tcPr>
            <w:tcW w:w="1591"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500</w:t>
            </w:r>
          </w:p>
        </w:tc>
        <w:tc>
          <w:tcPr>
            <w:tcW w:w="1819"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3.67E-05</w:t>
            </w:r>
          </w:p>
        </w:tc>
        <w:tc>
          <w:tcPr>
            <w:tcW w:w="1819"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0.02</w:t>
            </w:r>
          </w:p>
        </w:tc>
        <w:tc>
          <w:tcPr>
            <w:tcW w:w="1819" w:type="dxa"/>
            <w:gridSpan w:val="2"/>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3.29E-03</w:t>
            </w:r>
          </w:p>
        </w:tc>
        <w:tc>
          <w:tcPr>
            <w:tcW w:w="1822"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0.16</w:t>
            </w:r>
          </w:p>
        </w:tc>
      </w:tr>
    </w:tbl>
    <w:p>
      <w:pPr>
        <w:keepNext w:val="0"/>
        <w:keepLines w:val="0"/>
        <w:pageBreakBefore w:val="0"/>
        <w:widowControl/>
        <w:kinsoku/>
        <w:wordWrap/>
        <w:overflowPunct/>
        <w:topLinePunct w:val="0"/>
        <w:autoSpaceDE/>
        <w:autoSpaceDN/>
        <w:bidi w:val="0"/>
        <w:adjustRightInd/>
        <w:snapToGrid/>
        <w:spacing w:before="167" w:beforeLines="50" w:after="167" w:afterLines="50" w:line="360" w:lineRule="auto"/>
        <w:ind w:firstLine="0" w:firstLineChars="0"/>
        <w:jc w:val="center"/>
        <w:textAlignment w:val="auto"/>
        <w:rPr>
          <w:rFonts w:hint="eastAsia" w:ascii="宋体" w:hAnsi="宋体" w:eastAsia="宋体" w:cs="宋体"/>
          <w:b/>
          <w:bCs/>
          <w:color w:val="000000" w:themeColor="text1"/>
          <w:highlight w:val="none"/>
          <w:lang w:val="en-US" w:eastAsia="zh-CN"/>
          <w14:textFill>
            <w14:solidFill>
              <w14:schemeClr w14:val="tx1"/>
            </w14:solidFill>
          </w14:textFill>
        </w:rPr>
      </w:pPr>
      <w:r>
        <w:rPr>
          <w:rFonts w:hint="eastAsia" w:ascii="宋体" w:hAnsi="宋体" w:eastAsia="宋体" w:cs="宋体"/>
          <w:b/>
          <w:bCs/>
          <w:color w:val="000000" w:themeColor="text1"/>
          <w:highlight w:val="none"/>
          <w:lang w:val="en-US" w:eastAsia="zh-CN"/>
          <w14:textFill>
            <w14:solidFill>
              <w14:schemeClr w14:val="tx1"/>
            </w14:solidFill>
          </w14:textFill>
        </w:rPr>
        <w:t>表5.2-9 无组织大气污染物估算模型计算结果</w:t>
      </w:r>
    </w:p>
    <w:tbl>
      <w:tblPr>
        <w:tblStyle w:val="31"/>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1"/>
        <w:gridCol w:w="2527"/>
        <w:gridCol w:w="2889"/>
        <w:gridCol w:w="2889"/>
        <w:gridCol w:w="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2" w:type="pct"/>
            <w:vMerge w:val="restar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序号</w:t>
            </w:r>
          </w:p>
        </w:tc>
        <w:tc>
          <w:tcPr>
            <w:tcW w:w="1282" w:type="pct"/>
            <w:vMerge w:val="restar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距离</w:t>
            </w:r>
          </w:p>
        </w:tc>
        <w:tc>
          <w:tcPr>
            <w:tcW w:w="2934" w:type="pct"/>
            <w:gridSpan w:val="3"/>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Pr>
        <w:tc>
          <w:tcPr>
            <w:tcW w:w="782"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p>
        </w:tc>
        <w:tc>
          <w:tcPr>
            <w:tcW w:w="1282"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p>
        </w:tc>
        <w:tc>
          <w:tcPr>
            <w:tcW w:w="146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最大落地浓度（mg/m³）</w:t>
            </w:r>
          </w:p>
        </w:tc>
        <w:tc>
          <w:tcPr>
            <w:tcW w:w="146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最大占标率（%）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Pr>
        <w:tc>
          <w:tcPr>
            <w:tcW w:w="782"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w:t>
            </w:r>
          </w:p>
        </w:tc>
        <w:tc>
          <w:tcPr>
            <w:tcW w:w="2527"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10</w:t>
            </w:r>
          </w:p>
        </w:tc>
        <w:tc>
          <w:tcPr>
            <w:tcW w:w="2889"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8.09E-03</w:t>
            </w:r>
          </w:p>
        </w:tc>
        <w:tc>
          <w:tcPr>
            <w:tcW w:w="2889"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Pr>
        <w:tc>
          <w:tcPr>
            <w:tcW w:w="782"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w:t>
            </w:r>
          </w:p>
        </w:tc>
        <w:tc>
          <w:tcPr>
            <w:tcW w:w="2527"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25</w:t>
            </w:r>
          </w:p>
        </w:tc>
        <w:tc>
          <w:tcPr>
            <w:tcW w:w="2889"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9.44E-03</w:t>
            </w:r>
          </w:p>
        </w:tc>
        <w:tc>
          <w:tcPr>
            <w:tcW w:w="2889"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Pr>
        <w:tc>
          <w:tcPr>
            <w:tcW w:w="782"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3</w:t>
            </w:r>
          </w:p>
        </w:tc>
        <w:tc>
          <w:tcPr>
            <w:tcW w:w="2527"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35</w:t>
            </w:r>
          </w:p>
        </w:tc>
        <w:tc>
          <w:tcPr>
            <w:tcW w:w="2889"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1.01E-02</w:t>
            </w:r>
          </w:p>
        </w:tc>
        <w:tc>
          <w:tcPr>
            <w:tcW w:w="2889"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Pr>
        <w:tc>
          <w:tcPr>
            <w:tcW w:w="782"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4</w:t>
            </w:r>
          </w:p>
        </w:tc>
        <w:tc>
          <w:tcPr>
            <w:tcW w:w="2527"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50</w:t>
            </w:r>
          </w:p>
        </w:tc>
        <w:tc>
          <w:tcPr>
            <w:tcW w:w="2889"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7.28E-03</w:t>
            </w:r>
          </w:p>
        </w:tc>
        <w:tc>
          <w:tcPr>
            <w:tcW w:w="2889"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Pr>
        <w:tc>
          <w:tcPr>
            <w:tcW w:w="782"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5</w:t>
            </w:r>
          </w:p>
        </w:tc>
        <w:tc>
          <w:tcPr>
            <w:tcW w:w="2527"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75</w:t>
            </w:r>
          </w:p>
        </w:tc>
        <w:tc>
          <w:tcPr>
            <w:tcW w:w="2889"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3.96E-03</w:t>
            </w:r>
          </w:p>
        </w:tc>
        <w:tc>
          <w:tcPr>
            <w:tcW w:w="2889"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Pr>
        <w:tc>
          <w:tcPr>
            <w:tcW w:w="782"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6</w:t>
            </w:r>
          </w:p>
        </w:tc>
        <w:tc>
          <w:tcPr>
            <w:tcW w:w="2527"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100</w:t>
            </w:r>
          </w:p>
        </w:tc>
        <w:tc>
          <w:tcPr>
            <w:tcW w:w="2889"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2.59E-03</w:t>
            </w:r>
          </w:p>
        </w:tc>
        <w:tc>
          <w:tcPr>
            <w:tcW w:w="2889"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Pr>
        <w:tc>
          <w:tcPr>
            <w:tcW w:w="782"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7</w:t>
            </w:r>
          </w:p>
        </w:tc>
        <w:tc>
          <w:tcPr>
            <w:tcW w:w="2527"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125</w:t>
            </w:r>
          </w:p>
        </w:tc>
        <w:tc>
          <w:tcPr>
            <w:tcW w:w="2889"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1.87E-03</w:t>
            </w:r>
          </w:p>
        </w:tc>
        <w:tc>
          <w:tcPr>
            <w:tcW w:w="2889"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Pr>
        <w:tc>
          <w:tcPr>
            <w:tcW w:w="782"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8</w:t>
            </w:r>
          </w:p>
        </w:tc>
        <w:tc>
          <w:tcPr>
            <w:tcW w:w="2527"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150</w:t>
            </w:r>
          </w:p>
        </w:tc>
        <w:tc>
          <w:tcPr>
            <w:tcW w:w="2889"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1.45E-03</w:t>
            </w:r>
          </w:p>
        </w:tc>
        <w:tc>
          <w:tcPr>
            <w:tcW w:w="2889"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Pr>
        <w:tc>
          <w:tcPr>
            <w:tcW w:w="782"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9</w:t>
            </w:r>
          </w:p>
        </w:tc>
        <w:tc>
          <w:tcPr>
            <w:tcW w:w="2527"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175</w:t>
            </w:r>
          </w:p>
        </w:tc>
        <w:tc>
          <w:tcPr>
            <w:tcW w:w="2889"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1.16E-03</w:t>
            </w:r>
          </w:p>
        </w:tc>
        <w:tc>
          <w:tcPr>
            <w:tcW w:w="2889"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Pr>
        <w:tc>
          <w:tcPr>
            <w:tcW w:w="782"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10</w:t>
            </w:r>
          </w:p>
        </w:tc>
        <w:tc>
          <w:tcPr>
            <w:tcW w:w="2527"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200</w:t>
            </w:r>
          </w:p>
        </w:tc>
        <w:tc>
          <w:tcPr>
            <w:tcW w:w="2889"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9.63E-04</w:t>
            </w:r>
          </w:p>
        </w:tc>
        <w:tc>
          <w:tcPr>
            <w:tcW w:w="2889"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Pr>
        <w:tc>
          <w:tcPr>
            <w:tcW w:w="782"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11</w:t>
            </w:r>
          </w:p>
        </w:tc>
        <w:tc>
          <w:tcPr>
            <w:tcW w:w="2527"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225</w:t>
            </w:r>
          </w:p>
        </w:tc>
        <w:tc>
          <w:tcPr>
            <w:tcW w:w="2889"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8.17E-04</w:t>
            </w:r>
          </w:p>
        </w:tc>
        <w:tc>
          <w:tcPr>
            <w:tcW w:w="2889"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Pr>
        <w:tc>
          <w:tcPr>
            <w:tcW w:w="782"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12</w:t>
            </w:r>
          </w:p>
        </w:tc>
        <w:tc>
          <w:tcPr>
            <w:tcW w:w="2527"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250</w:t>
            </w:r>
          </w:p>
        </w:tc>
        <w:tc>
          <w:tcPr>
            <w:tcW w:w="2889"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7.06E-04</w:t>
            </w:r>
          </w:p>
        </w:tc>
        <w:tc>
          <w:tcPr>
            <w:tcW w:w="2889"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Pr>
        <w:tc>
          <w:tcPr>
            <w:tcW w:w="782"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13</w:t>
            </w:r>
          </w:p>
        </w:tc>
        <w:tc>
          <w:tcPr>
            <w:tcW w:w="2527"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275</w:t>
            </w:r>
          </w:p>
        </w:tc>
        <w:tc>
          <w:tcPr>
            <w:tcW w:w="2889"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6.18E-04</w:t>
            </w:r>
          </w:p>
        </w:tc>
        <w:tc>
          <w:tcPr>
            <w:tcW w:w="2889"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Pr>
        <w:tc>
          <w:tcPr>
            <w:tcW w:w="782"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14</w:t>
            </w:r>
          </w:p>
        </w:tc>
        <w:tc>
          <w:tcPr>
            <w:tcW w:w="2527"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300</w:t>
            </w:r>
          </w:p>
        </w:tc>
        <w:tc>
          <w:tcPr>
            <w:tcW w:w="2889"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5.48E-04</w:t>
            </w:r>
          </w:p>
        </w:tc>
        <w:tc>
          <w:tcPr>
            <w:tcW w:w="2889"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Pr>
        <w:tc>
          <w:tcPr>
            <w:tcW w:w="782"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15</w:t>
            </w:r>
          </w:p>
        </w:tc>
        <w:tc>
          <w:tcPr>
            <w:tcW w:w="2527"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325</w:t>
            </w:r>
          </w:p>
        </w:tc>
        <w:tc>
          <w:tcPr>
            <w:tcW w:w="2889"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4.90E-04</w:t>
            </w:r>
          </w:p>
        </w:tc>
        <w:tc>
          <w:tcPr>
            <w:tcW w:w="2889"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Pr>
        <w:tc>
          <w:tcPr>
            <w:tcW w:w="782"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16</w:t>
            </w:r>
          </w:p>
        </w:tc>
        <w:tc>
          <w:tcPr>
            <w:tcW w:w="2527"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350</w:t>
            </w:r>
          </w:p>
        </w:tc>
        <w:tc>
          <w:tcPr>
            <w:tcW w:w="2889"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4.42E-04</w:t>
            </w:r>
          </w:p>
        </w:tc>
        <w:tc>
          <w:tcPr>
            <w:tcW w:w="2889"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Pr>
        <w:tc>
          <w:tcPr>
            <w:tcW w:w="782"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17</w:t>
            </w:r>
          </w:p>
        </w:tc>
        <w:tc>
          <w:tcPr>
            <w:tcW w:w="2527"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375</w:t>
            </w:r>
          </w:p>
        </w:tc>
        <w:tc>
          <w:tcPr>
            <w:tcW w:w="2889"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4.02E-04</w:t>
            </w:r>
          </w:p>
        </w:tc>
        <w:tc>
          <w:tcPr>
            <w:tcW w:w="2889"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Pr>
        <w:tc>
          <w:tcPr>
            <w:tcW w:w="782"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18</w:t>
            </w:r>
          </w:p>
        </w:tc>
        <w:tc>
          <w:tcPr>
            <w:tcW w:w="2527"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400</w:t>
            </w:r>
          </w:p>
        </w:tc>
        <w:tc>
          <w:tcPr>
            <w:tcW w:w="2889"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3.68E-04</w:t>
            </w:r>
          </w:p>
        </w:tc>
        <w:tc>
          <w:tcPr>
            <w:tcW w:w="2889"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Pr>
        <w:tc>
          <w:tcPr>
            <w:tcW w:w="782"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19</w:t>
            </w:r>
          </w:p>
        </w:tc>
        <w:tc>
          <w:tcPr>
            <w:tcW w:w="2527"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425</w:t>
            </w:r>
          </w:p>
        </w:tc>
        <w:tc>
          <w:tcPr>
            <w:tcW w:w="2889"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3.38E-04</w:t>
            </w:r>
          </w:p>
        </w:tc>
        <w:tc>
          <w:tcPr>
            <w:tcW w:w="2889"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Pr>
        <w:tc>
          <w:tcPr>
            <w:tcW w:w="782"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20</w:t>
            </w:r>
          </w:p>
        </w:tc>
        <w:tc>
          <w:tcPr>
            <w:tcW w:w="2527"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450</w:t>
            </w:r>
          </w:p>
        </w:tc>
        <w:tc>
          <w:tcPr>
            <w:tcW w:w="2889"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3.12E-04</w:t>
            </w:r>
          </w:p>
        </w:tc>
        <w:tc>
          <w:tcPr>
            <w:tcW w:w="2889"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Pr>
        <w:tc>
          <w:tcPr>
            <w:tcW w:w="782"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21</w:t>
            </w:r>
          </w:p>
        </w:tc>
        <w:tc>
          <w:tcPr>
            <w:tcW w:w="2527"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475</w:t>
            </w:r>
          </w:p>
        </w:tc>
        <w:tc>
          <w:tcPr>
            <w:tcW w:w="2889"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2.90E-04</w:t>
            </w:r>
          </w:p>
        </w:tc>
        <w:tc>
          <w:tcPr>
            <w:tcW w:w="2889"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Pr>
        <w:tc>
          <w:tcPr>
            <w:tcW w:w="782"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22</w:t>
            </w:r>
          </w:p>
        </w:tc>
        <w:tc>
          <w:tcPr>
            <w:tcW w:w="2527"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500</w:t>
            </w:r>
          </w:p>
        </w:tc>
        <w:tc>
          <w:tcPr>
            <w:tcW w:w="2889"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2.70E-04</w:t>
            </w:r>
          </w:p>
        </w:tc>
        <w:tc>
          <w:tcPr>
            <w:tcW w:w="2889"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0.01</w:t>
            </w:r>
          </w:p>
        </w:tc>
      </w:tr>
    </w:tbl>
    <w:p>
      <w:pPr>
        <w:spacing w:line="360" w:lineRule="auto"/>
        <w:ind w:firstLine="480" w:firstLineChars="200"/>
        <w:jc w:val="both"/>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根据AERSCREEN模型估算结果，正常工况下DA001排气筒非甲烷总烃和氨最大落地浓度分别为</w:t>
      </w: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2.58E-04</w:t>
      </w:r>
      <w:r>
        <w:rPr>
          <w:rFonts w:hint="eastAsia" w:ascii="宋体" w:hAnsi="宋体" w:eastAsia="宋体" w:cs="宋体"/>
          <w:color w:val="000000" w:themeColor="text1"/>
          <w:highlight w:val="none"/>
          <w:lang w:val="en-US" w:eastAsia="zh-CN"/>
          <w14:textFill>
            <w14:solidFill>
              <w14:schemeClr w14:val="tx1"/>
            </w14:solidFill>
          </w14:textFill>
        </w:rPr>
        <w:t>mg/m³、</w:t>
      </w: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7.74E-04</w:t>
      </w:r>
      <w:r>
        <w:rPr>
          <w:rFonts w:hint="eastAsia" w:ascii="宋体" w:hAnsi="宋体" w:eastAsia="宋体" w:cs="宋体"/>
          <w:color w:val="000000" w:themeColor="text1"/>
          <w:highlight w:val="none"/>
          <w:lang w:val="en-US" w:eastAsia="zh-CN"/>
          <w14:textFill>
            <w14:solidFill>
              <w14:schemeClr w14:val="tx1"/>
            </w14:solidFill>
          </w14:textFill>
        </w:rPr>
        <w:t>mg/m³，出现在距离排气筒中心下风向23m处，最大占标率分别0.13%、0.03%；正常工况下DA002排气筒非甲烷总烃和氨最大落地浓度分别为</w:t>
      </w: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6.25E-05</w:t>
      </w:r>
      <w:r>
        <w:rPr>
          <w:rFonts w:hint="eastAsia" w:ascii="宋体" w:hAnsi="宋体" w:eastAsia="宋体" w:cs="宋体"/>
          <w:color w:val="000000" w:themeColor="text1"/>
          <w:highlight w:val="none"/>
          <w:lang w:val="en-US" w:eastAsia="zh-CN"/>
          <w14:textFill>
            <w14:solidFill>
              <w14:schemeClr w14:val="tx1"/>
            </w14:solidFill>
          </w14:textFill>
        </w:rPr>
        <w:t>mg/m³、</w:t>
      </w: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5.61E-03</w:t>
      </w:r>
      <w:r>
        <w:rPr>
          <w:rFonts w:hint="eastAsia" w:ascii="宋体" w:hAnsi="宋体" w:eastAsia="宋体" w:cs="宋体"/>
          <w:color w:val="000000" w:themeColor="text1"/>
          <w:highlight w:val="none"/>
          <w:lang w:val="en-US" w:eastAsia="zh-CN"/>
          <w14:textFill>
            <w14:solidFill>
              <w14:schemeClr w14:val="tx1"/>
            </w14:solidFill>
          </w14:textFill>
        </w:rPr>
        <w:t>mg/m³，出现在距离排气筒中心下风向110m处，最大占标率分别0.03%、0.28%；车间无组织排放的非甲烷总烃的最大落地浓度为1.01E-02mg/m³，出现在厂房外下风向25m处，最大占标率0.5%。</w:t>
      </w:r>
    </w:p>
    <w:p>
      <w:pPr>
        <w:spacing w:line="360" w:lineRule="auto"/>
        <w:ind w:firstLine="480" w:firstLineChars="200"/>
        <w:jc w:val="both"/>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根据《环境影响评价技术导则大气环境》（HJ2.2-2018）分级判据，确定本项目大气环境影响评价工作等级为</w:t>
      </w:r>
      <w:r>
        <w:rPr>
          <w:rFonts w:hint="eastAsia" w:ascii="宋体" w:hAnsi="宋体" w:eastAsia="宋体" w:cs="宋体"/>
          <w:color w:val="000000" w:themeColor="text1"/>
          <w:highlight w:val="none"/>
          <w:lang w:val="en-US" w:eastAsia="zh-CN"/>
          <w14:textFill>
            <w14:solidFill>
              <w14:schemeClr w14:val="tx1"/>
            </w14:solidFill>
          </w14:textFill>
        </w:rPr>
        <w:t>三</w:t>
      </w:r>
      <w:r>
        <w:rPr>
          <w:rFonts w:hint="eastAsia" w:ascii="宋体" w:hAnsi="宋体" w:eastAsia="宋体" w:cs="宋体"/>
          <w:color w:val="000000" w:themeColor="text1"/>
          <w:highlight w:val="none"/>
          <w14:textFill>
            <w14:solidFill>
              <w14:schemeClr w14:val="tx1"/>
            </w14:solidFill>
          </w14:textFill>
        </w:rPr>
        <w:t>级。</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三级评价项目不进行进一步预测与评价，只对污染物排放量进行核算。</w:t>
      </w:r>
    </w:p>
    <w:p>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outlineLvl w:val="3"/>
        <w:rPr>
          <w:rFonts w:hint="eastAsia" w:ascii="宋体" w:hAnsi="宋体" w:eastAsia="宋体" w:cs="宋体"/>
          <w:b/>
          <w:bCs/>
          <w:color w:val="000000" w:themeColor="text1"/>
          <w:lang w:val="en-US" w:eastAsia="zh-CN"/>
          <w14:textFill>
            <w14:solidFill>
              <w14:schemeClr w14:val="tx1"/>
            </w14:solidFill>
          </w14:textFill>
        </w:rPr>
      </w:pPr>
      <w:r>
        <w:rPr>
          <w:rFonts w:hint="eastAsia" w:ascii="宋体" w:hAnsi="宋体" w:eastAsia="宋体" w:cs="宋体"/>
          <w:b/>
          <w:bCs/>
          <w:color w:val="000000" w:themeColor="text1"/>
          <w:lang w:val="en-US" w:eastAsia="zh-CN"/>
          <w14:textFill>
            <w14:solidFill>
              <w14:schemeClr w14:val="tx1"/>
            </w14:solidFill>
          </w14:textFill>
        </w:rPr>
        <w:t>5.2.1.5污染物排放量核算</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拟建项目产生的大气污染物排放量见表3.3.2-2。</w:t>
      </w:r>
    </w:p>
    <w:p>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outlineLvl w:val="3"/>
        <w:rPr>
          <w:rFonts w:hint="eastAsia" w:ascii="宋体" w:hAnsi="宋体" w:eastAsia="宋体" w:cs="宋体"/>
          <w:b/>
          <w:bCs/>
          <w:color w:val="000000" w:themeColor="text1"/>
          <w:lang w:val="en-US" w:eastAsia="zh-CN"/>
          <w14:textFill>
            <w14:solidFill>
              <w14:schemeClr w14:val="tx1"/>
            </w14:solidFill>
          </w14:textFill>
        </w:rPr>
      </w:pPr>
      <w:r>
        <w:rPr>
          <w:rFonts w:hint="eastAsia" w:ascii="宋体" w:hAnsi="宋体" w:eastAsia="宋体" w:cs="宋体"/>
          <w:b/>
          <w:bCs/>
          <w:color w:val="000000" w:themeColor="text1"/>
          <w:lang w:val="en-US" w:eastAsia="zh-CN"/>
          <w14:textFill>
            <w14:solidFill>
              <w14:schemeClr w14:val="tx1"/>
            </w14:solidFill>
          </w14:textFill>
        </w:rPr>
        <w:t>5.2.1.6环境防护距离</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根据以上计算，扩建项目无大气超标点，无需设置大气防护距离。</w:t>
      </w:r>
    </w:p>
    <w:p>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outlineLvl w:val="3"/>
        <w:rPr>
          <w:rFonts w:hint="eastAsia" w:ascii="宋体" w:hAnsi="宋体" w:eastAsia="宋体" w:cs="宋体"/>
          <w:b/>
          <w:bCs/>
          <w:color w:val="000000" w:themeColor="text1"/>
          <w:lang w:val="en-US" w:eastAsia="zh-CN"/>
          <w14:textFill>
            <w14:solidFill>
              <w14:schemeClr w14:val="tx1"/>
            </w14:solidFill>
          </w14:textFill>
        </w:rPr>
      </w:pPr>
      <w:r>
        <w:rPr>
          <w:rFonts w:hint="eastAsia" w:ascii="宋体" w:hAnsi="宋体" w:eastAsia="宋体" w:cs="宋体"/>
          <w:b/>
          <w:bCs/>
          <w:color w:val="000000" w:themeColor="text1"/>
          <w:lang w:val="en-US" w:eastAsia="zh-CN"/>
          <w14:textFill>
            <w14:solidFill>
              <w14:schemeClr w14:val="tx1"/>
            </w14:solidFill>
          </w14:textFill>
        </w:rPr>
        <w:t>5.2.1.7小结</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（1）根据估算结果来看，本项目建成后全厂污染因子区域最大落地浓度的占标率仅为1.01%，故本项目建成投产后对周边大气环境的影响很小。</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（2）本项目所在区域虽属于不达标区域，但区域已加大对大气环境整治力度，严格执行国家政策，严格污染物排放总量控制，严控高挥发性有机物排放项目等，通过上述一系列防治措施的相继实施，Pm</w:t>
      </w:r>
      <w:r>
        <w:rPr>
          <w:rFonts w:hint="eastAsia" w:ascii="宋体" w:hAnsi="宋体" w:eastAsia="宋体" w:cs="宋体"/>
          <w:color w:val="000000" w:themeColor="text1"/>
          <w:kern w:val="0"/>
          <w:sz w:val="24"/>
          <w:szCs w:val="24"/>
          <w:vertAlign w:val="subscript"/>
          <w:lang w:val="en-US" w:eastAsia="zh-CN" w:bidi="ar"/>
          <w14:textFill>
            <w14:solidFill>
              <w14:schemeClr w14:val="tx1"/>
            </w14:solidFill>
          </w14:textFill>
        </w:rPr>
        <w:t>².5</w:t>
      </w:r>
      <w:r>
        <w:rPr>
          <w:rFonts w:hint="eastAsia" w:ascii="宋体" w:hAnsi="宋体" w:eastAsia="宋体" w:cs="宋体"/>
          <w:color w:val="000000" w:themeColor="text1"/>
          <w:kern w:val="0"/>
          <w:sz w:val="24"/>
          <w:szCs w:val="24"/>
          <w:lang w:val="en-US" w:eastAsia="zh-CN" w:bidi="ar"/>
          <w14:textFill>
            <w14:solidFill>
              <w14:schemeClr w14:val="tx1"/>
            </w14:solidFill>
          </w14:textFill>
        </w:rPr>
        <w:t>超标问题会得到逐步改善。</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（3）综合考虑，本项目无需设置环境防护距离。</w:t>
      </w:r>
    </w:p>
    <w:p>
      <w:pPr>
        <w:pStyle w:val="8"/>
        <w:keepNext/>
        <w:keepLines/>
        <w:pageBreakBefore w:val="0"/>
        <w:widowControl/>
        <w:kinsoku/>
        <w:wordWrap/>
        <w:overflowPunct/>
        <w:topLinePunct w:val="0"/>
        <w:autoSpaceDE/>
        <w:autoSpaceDN/>
        <w:bidi w:val="0"/>
        <w:adjustRightInd/>
        <w:snapToGrid/>
        <w:ind w:firstLine="482" w:firstLineChars="200"/>
        <w:textAlignment w:val="auto"/>
        <w:rPr>
          <w:rFonts w:hint="eastAsia" w:ascii="宋体" w:hAnsi="宋体" w:eastAsia="宋体" w:cs="宋体"/>
          <w:bCs/>
          <w:color w:val="000000" w:themeColor="text1"/>
          <w:highlight w:val="none"/>
          <w:lang w:val="en-US" w:eastAsia="zh-CN"/>
          <w14:textFill>
            <w14:solidFill>
              <w14:schemeClr w14:val="tx1"/>
            </w14:solidFill>
          </w14:textFill>
        </w:rPr>
      </w:pPr>
      <w:bookmarkStart w:id="397" w:name="_Toc10657"/>
      <w:r>
        <w:rPr>
          <w:rFonts w:hint="eastAsia" w:ascii="宋体" w:hAnsi="宋体" w:eastAsia="宋体" w:cs="宋体"/>
          <w:bCs/>
          <w:color w:val="000000" w:themeColor="text1"/>
          <w:highlight w:val="none"/>
          <w:lang w:val="en-US" w:eastAsia="zh-CN"/>
          <w14:textFill>
            <w14:solidFill>
              <w14:schemeClr w14:val="tx1"/>
            </w14:solidFill>
          </w14:textFill>
        </w:rPr>
        <w:t>5.2.2地表水环境影响分析</w:t>
      </w:r>
      <w:bookmarkEnd w:id="397"/>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本项目废水经污水总排口排入市政污水管网，最终进入河西污水处理厂深度处理，属于间接排放，根据《环境影响评价技术导则地表水环境》（HJ2.3-2018），地表水环境影响评价等级为三级B。对于水污染影响型三级B评价。主要评价内容包括：水污染控制和水环境影响减缓措施有效性评价；依托污水处理设施的环境可行性评价。详见7.2节。</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本项目废水排放按照“清污分流”原则。循环冷却水系统排水和地面保洁废水一起经园区污水总排口排入市政污水管网。</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根据废水处理系统处理效率核算，厂区污水总排口废水水质均可达到河西污水处理厂接管标准，进入河西污水处理厂进一步处理，本项目水污染控制措施有效。</w:t>
      </w:r>
    </w:p>
    <w:p>
      <w:pPr>
        <w:keepNext w:val="0"/>
        <w:keepLines w:val="0"/>
        <w:pageBreakBefore w:val="0"/>
        <w:widowControl/>
        <w:kinsoku/>
        <w:wordWrap/>
        <w:overflowPunct/>
        <w:topLinePunct w:val="0"/>
        <w:autoSpaceDE/>
        <w:autoSpaceDN/>
        <w:bidi w:val="0"/>
        <w:adjustRightInd/>
        <w:snapToGrid/>
        <w:spacing w:before="167" w:beforeLines="50" w:after="167" w:afterLines="50" w:line="360" w:lineRule="auto"/>
        <w:ind w:firstLine="0" w:firstLineChars="0"/>
        <w:jc w:val="center"/>
        <w:textAlignment w:val="auto"/>
        <w:rPr>
          <w:rFonts w:hint="eastAsia" w:ascii="宋体" w:hAnsi="宋体" w:eastAsia="宋体" w:cs="宋体"/>
          <w:b/>
          <w:bCs/>
          <w:color w:val="000000" w:themeColor="text1"/>
          <w:highlight w:val="none"/>
          <w:lang w:val="en-US" w:eastAsia="zh-CN"/>
          <w14:textFill>
            <w14:solidFill>
              <w14:schemeClr w14:val="tx1"/>
            </w14:solidFill>
          </w14:textFill>
        </w:rPr>
      </w:pPr>
      <w:r>
        <w:rPr>
          <w:rFonts w:hint="eastAsia" w:ascii="宋体" w:hAnsi="宋体" w:eastAsia="宋体" w:cs="宋体"/>
          <w:b/>
          <w:bCs/>
          <w:color w:val="000000" w:themeColor="text1"/>
          <w:highlight w:val="none"/>
          <w:lang w:val="en-US" w:eastAsia="zh-CN"/>
          <w14:textFill>
            <w14:solidFill>
              <w14:schemeClr w14:val="tx1"/>
            </w14:solidFill>
          </w14:textFill>
        </w:rPr>
        <w:t>表5.2-9</w:t>
      </w:r>
      <w:r>
        <w:rPr>
          <w:rFonts w:hint="eastAsia" w:ascii="宋体" w:hAnsi="宋体" w:eastAsia="宋体" w:cs="宋体"/>
          <w:b/>
          <w:bCs/>
          <w:color w:val="000000" w:themeColor="text1"/>
          <w:highlight w:val="none"/>
          <w:lang w:val="en-US" w:eastAsia="zh-CN"/>
          <w14:textFill>
            <w14:solidFill>
              <w14:schemeClr w14:val="tx1"/>
            </w14:solidFill>
          </w14:textFill>
        </w:rPr>
        <w:tab/>
      </w:r>
      <w:r>
        <w:rPr>
          <w:rFonts w:hint="eastAsia" w:ascii="宋体" w:hAnsi="宋体" w:eastAsia="宋体" w:cs="宋体"/>
          <w:b/>
          <w:bCs/>
          <w:color w:val="000000" w:themeColor="text1"/>
          <w:highlight w:val="none"/>
          <w:lang w:val="en-US" w:eastAsia="zh-CN"/>
          <w14:textFill>
            <w14:solidFill>
              <w14:schemeClr w14:val="tx1"/>
            </w14:solidFill>
          </w14:textFill>
        </w:rPr>
        <w:t>废水污染物排放信息表</w:t>
      </w:r>
    </w:p>
    <w:tbl>
      <w:tblPr>
        <w:tblStyle w:val="31"/>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4"/>
        <w:gridCol w:w="1971"/>
        <w:gridCol w:w="1983"/>
        <w:gridCol w:w="1971"/>
        <w:gridCol w:w="19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1" w:type="pct"/>
            <w:vMerge w:val="restar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污染物</w:t>
            </w:r>
          </w:p>
        </w:tc>
        <w:tc>
          <w:tcPr>
            <w:tcW w:w="2006" w:type="pct"/>
            <w:gridSpan w:val="2"/>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化粪池预处理后</w:t>
            </w:r>
          </w:p>
        </w:tc>
        <w:tc>
          <w:tcPr>
            <w:tcW w:w="1000" w:type="pct"/>
            <w:vMerge w:val="restar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污水处理厂接管标准（mg/l）</w:t>
            </w:r>
          </w:p>
        </w:tc>
        <w:tc>
          <w:tcPr>
            <w:tcW w:w="1000" w:type="pct"/>
            <w:vMerge w:val="restar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排放标准（mg/l）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1"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p>
        </w:tc>
        <w:tc>
          <w:tcPr>
            <w:tcW w:w="1000"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排放量t/a</w:t>
            </w:r>
          </w:p>
        </w:tc>
        <w:tc>
          <w:tcPr>
            <w:tcW w:w="1005"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排放浓度（mg/l）</w:t>
            </w:r>
          </w:p>
        </w:tc>
        <w:tc>
          <w:tcPr>
            <w:tcW w:w="1000"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p>
        </w:tc>
        <w:tc>
          <w:tcPr>
            <w:tcW w:w="1000"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1"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废水量</w:t>
            </w:r>
          </w:p>
        </w:tc>
        <w:tc>
          <w:tcPr>
            <w:tcW w:w="1000"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2232</w:t>
            </w:r>
          </w:p>
        </w:tc>
        <w:tc>
          <w:tcPr>
            <w:tcW w:w="1005"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w:t>
            </w:r>
          </w:p>
        </w:tc>
        <w:tc>
          <w:tcPr>
            <w:tcW w:w="1000"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w:t>
            </w:r>
          </w:p>
        </w:tc>
        <w:tc>
          <w:tcPr>
            <w:tcW w:w="1000"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1"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COD</w:t>
            </w:r>
          </w:p>
        </w:tc>
        <w:tc>
          <w:tcPr>
            <w:tcW w:w="1000"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0.1253</w:t>
            </w:r>
          </w:p>
        </w:tc>
        <w:tc>
          <w:tcPr>
            <w:tcW w:w="1005"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55</w:t>
            </w:r>
          </w:p>
        </w:tc>
        <w:tc>
          <w:tcPr>
            <w:tcW w:w="1000"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230</w:t>
            </w:r>
          </w:p>
        </w:tc>
        <w:tc>
          <w:tcPr>
            <w:tcW w:w="1000"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1"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SS</w:t>
            </w:r>
          </w:p>
        </w:tc>
        <w:tc>
          <w:tcPr>
            <w:tcW w:w="1000"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0.1944</w:t>
            </w:r>
          </w:p>
        </w:tc>
        <w:tc>
          <w:tcPr>
            <w:tcW w:w="1005"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45</w:t>
            </w:r>
          </w:p>
        </w:tc>
        <w:tc>
          <w:tcPr>
            <w:tcW w:w="1000"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180</w:t>
            </w:r>
          </w:p>
        </w:tc>
        <w:tc>
          <w:tcPr>
            <w:tcW w:w="1000"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1"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NH3-N</w:t>
            </w:r>
          </w:p>
        </w:tc>
        <w:tc>
          <w:tcPr>
            <w:tcW w:w="1000"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0.0018</w:t>
            </w:r>
          </w:p>
        </w:tc>
        <w:tc>
          <w:tcPr>
            <w:tcW w:w="1005"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10</w:t>
            </w:r>
          </w:p>
        </w:tc>
        <w:tc>
          <w:tcPr>
            <w:tcW w:w="1000"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25</w:t>
            </w:r>
          </w:p>
        </w:tc>
        <w:tc>
          <w:tcPr>
            <w:tcW w:w="1000"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1"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BOD5</w:t>
            </w:r>
          </w:p>
        </w:tc>
        <w:tc>
          <w:tcPr>
            <w:tcW w:w="1000"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0.0504</w:t>
            </w:r>
          </w:p>
        </w:tc>
        <w:tc>
          <w:tcPr>
            <w:tcW w:w="1005"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25</w:t>
            </w:r>
          </w:p>
        </w:tc>
        <w:tc>
          <w:tcPr>
            <w:tcW w:w="1000"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130</w:t>
            </w:r>
          </w:p>
        </w:tc>
        <w:tc>
          <w:tcPr>
            <w:tcW w:w="1000"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10</w:t>
            </w:r>
          </w:p>
        </w:tc>
      </w:tr>
    </w:tbl>
    <w:p>
      <w:pPr>
        <w:pStyle w:val="8"/>
        <w:keepNext/>
        <w:keepLines/>
        <w:pageBreakBefore w:val="0"/>
        <w:widowControl/>
        <w:kinsoku/>
        <w:wordWrap/>
        <w:overflowPunct/>
        <w:topLinePunct w:val="0"/>
        <w:autoSpaceDE/>
        <w:autoSpaceDN/>
        <w:bidi w:val="0"/>
        <w:adjustRightInd/>
        <w:snapToGrid/>
        <w:ind w:firstLine="482" w:firstLineChars="200"/>
        <w:textAlignment w:val="auto"/>
        <w:rPr>
          <w:rFonts w:hint="eastAsia" w:ascii="宋体" w:hAnsi="宋体" w:eastAsia="宋体" w:cs="宋体"/>
          <w:bCs/>
          <w:color w:val="000000" w:themeColor="text1"/>
          <w:highlight w:val="none"/>
          <w:lang w:val="en-US" w:eastAsia="zh-CN"/>
          <w14:textFill>
            <w14:solidFill>
              <w14:schemeClr w14:val="tx1"/>
            </w14:solidFill>
          </w14:textFill>
        </w:rPr>
      </w:pPr>
      <w:bookmarkStart w:id="398" w:name="_Toc19000"/>
      <w:r>
        <w:rPr>
          <w:rFonts w:hint="eastAsia" w:ascii="宋体" w:hAnsi="宋体" w:eastAsia="宋体" w:cs="宋体"/>
          <w:bCs/>
          <w:color w:val="000000" w:themeColor="text1"/>
          <w:highlight w:val="none"/>
          <w:lang w:val="en-US" w:eastAsia="zh-CN"/>
          <w14:textFill>
            <w14:solidFill>
              <w14:schemeClr w14:val="tx1"/>
            </w14:solidFill>
          </w14:textFill>
        </w:rPr>
        <w:t>5.2.3噪声环境影响分析</w:t>
      </w:r>
      <w:bookmarkEnd w:id="398"/>
    </w:p>
    <w:p>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outlineLvl w:val="3"/>
        <w:rPr>
          <w:rFonts w:hint="eastAsia" w:ascii="宋体" w:hAnsi="宋体" w:eastAsia="宋体" w:cs="宋体"/>
          <w:b/>
          <w:bCs/>
          <w:color w:val="000000" w:themeColor="text1"/>
          <w:lang w:val="en-US" w:eastAsia="zh-CN"/>
          <w14:textFill>
            <w14:solidFill>
              <w14:schemeClr w14:val="tx1"/>
            </w14:solidFill>
          </w14:textFill>
        </w:rPr>
      </w:pPr>
      <w:r>
        <w:rPr>
          <w:rFonts w:hint="eastAsia" w:ascii="宋体" w:hAnsi="宋体" w:eastAsia="宋体" w:cs="宋体"/>
          <w:b/>
          <w:bCs/>
          <w:color w:val="000000" w:themeColor="text1"/>
          <w:lang w:val="en-US" w:eastAsia="zh-CN"/>
          <w14:textFill>
            <w14:solidFill>
              <w14:schemeClr w14:val="tx1"/>
            </w14:solidFill>
          </w14:textFill>
        </w:rPr>
        <w:t>5.2.3.1噪声源强及污染防治措施</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根据《环境影响评价技术导则声环境》（HJ2.4-2021），预测范围为项目厂界。项目主要噪声设备为流涎机、真空泵、收卷机、冷却塔、循环水泵、风机、分切机等，主要为机械设备运转和空气动力性噪声等，其源强约为70～90dB（A）。噪声源强及其治理措施见表3.2-4。</w:t>
      </w:r>
    </w:p>
    <w:p>
      <w:pPr>
        <w:adjustRightInd w:val="0"/>
        <w:snapToGrid w:val="0"/>
        <w:spacing w:line="360" w:lineRule="auto"/>
        <w:ind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根据项目平面布置以及项目周边环境情况，本环评将项目生产车间作为噪声面声源考虑，在考虑隔声降噪措施、考虑四周建筑物、围墙的衰减情况下，对其噪声衰减分布情况进行预测分析。</w:t>
      </w:r>
    </w:p>
    <w:p>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outlineLvl w:val="3"/>
        <w:rPr>
          <w:rFonts w:hint="eastAsia" w:ascii="宋体" w:hAnsi="宋体" w:eastAsia="宋体" w:cs="宋体"/>
          <w:b/>
          <w:bCs/>
          <w:color w:val="000000" w:themeColor="text1"/>
          <w:lang w:val="en-US" w:eastAsia="zh-CN"/>
          <w14:textFill>
            <w14:solidFill>
              <w14:schemeClr w14:val="tx1"/>
            </w14:solidFill>
          </w14:textFill>
        </w:rPr>
      </w:pPr>
      <w:bookmarkStart w:id="399" w:name="_Toc13026"/>
      <w:bookmarkStart w:id="400" w:name="_Toc24383"/>
      <w:bookmarkStart w:id="401" w:name="_Toc22558"/>
      <w:bookmarkStart w:id="402" w:name="_Toc16542"/>
      <w:bookmarkStart w:id="403" w:name="_Toc4313"/>
      <w:bookmarkStart w:id="404" w:name="_Toc10485"/>
      <w:r>
        <w:rPr>
          <w:rFonts w:hint="eastAsia" w:ascii="宋体" w:hAnsi="宋体" w:eastAsia="宋体" w:cs="宋体"/>
          <w:b/>
          <w:bCs/>
          <w:color w:val="000000" w:themeColor="text1"/>
          <w:lang w:val="en-US" w:eastAsia="zh-CN"/>
          <w14:textFill>
            <w14:solidFill>
              <w14:schemeClr w14:val="tx1"/>
            </w14:solidFill>
          </w14:textFill>
        </w:rPr>
        <w:t>5.2.3.2噪声环境评价范围、标准及评价量</w:t>
      </w:r>
      <w:bookmarkEnd w:id="399"/>
      <w:bookmarkEnd w:id="400"/>
      <w:bookmarkEnd w:id="401"/>
      <w:bookmarkEnd w:id="402"/>
      <w:bookmarkEnd w:id="403"/>
      <w:bookmarkEnd w:id="404"/>
    </w:p>
    <w:p>
      <w:pPr>
        <w:spacing w:line="360" w:lineRule="auto"/>
        <w:ind w:firstLine="480" w:firstLineChars="200"/>
        <w:jc w:val="both"/>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项目区域声环境质量执行《声环境质量标准》（GB3096—2008）3类标准。项目投产后不能降低其现状声质量标准。评价因子为等效连续A声级。</w:t>
      </w:r>
    </w:p>
    <w:p>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outlineLvl w:val="3"/>
        <w:rPr>
          <w:rFonts w:hint="eastAsia" w:ascii="宋体" w:hAnsi="宋体" w:eastAsia="宋体" w:cs="宋体"/>
          <w:b/>
          <w:bCs/>
          <w:color w:val="000000" w:themeColor="text1"/>
          <w:lang w:val="en-US" w:eastAsia="zh-CN"/>
          <w14:textFill>
            <w14:solidFill>
              <w14:schemeClr w14:val="tx1"/>
            </w14:solidFill>
          </w14:textFill>
        </w:rPr>
      </w:pPr>
      <w:bookmarkStart w:id="405" w:name="_Toc4796"/>
      <w:bookmarkStart w:id="406" w:name="_Toc21564"/>
      <w:bookmarkStart w:id="407" w:name="_Toc22354"/>
      <w:bookmarkStart w:id="408" w:name="_Toc3835"/>
      <w:bookmarkStart w:id="409" w:name="_Toc5696"/>
      <w:bookmarkStart w:id="410" w:name="_Toc2720"/>
      <w:r>
        <w:rPr>
          <w:rFonts w:hint="eastAsia" w:ascii="宋体" w:hAnsi="宋体" w:eastAsia="宋体" w:cs="宋体"/>
          <w:b/>
          <w:bCs/>
          <w:color w:val="000000" w:themeColor="text1"/>
          <w:lang w:val="en-US" w:eastAsia="zh-CN"/>
          <w14:textFill>
            <w14:solidFill>
              <w14:schemeClr w14:val="tx1"/>
            </w14:solidFill>
          </w14:textFill>
        </w:rPr>
        <w:t>5.2.3.3预测点布设</w:t>
      </w:r>
      <w:bookmarkEnd w:id="405"/>
      <w:bookmarkEnd w:id="406"/>
      <w:bookmarkEnd w:id="407"/>
      <w:bookmarkEnd w:id="408"/>
      <w:bookmarkEnd w:id="409"/>
      <w:bookmarkEnd w:id="410"/>
    </w:p>
    <w:p>
      <w:pPr>
        <w:spacing w:line="360" w:lineRule="auto"/>
        <w:ind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拟建项目声环境现状评价中分别在东、南、西、北厂界布置四个监测点，厂界200m范围内无居民区声环境敏感点，故本次评价预测厂界噪声。</w:t>
      </w:r>
    </w:p>
    <w:p>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outlineLvl w:val="3"/>
        <w:rPr>
          <w:rFonts w:hint="eastAsia" w:ascii="宋体" w:hAnsi="宋体" w:eastAsia="宋体" w:cs="宋体"/>
          <w:b/>
          <w:bCs/>
          <w:color w:val="000000" w:themeColor="text1"/>
          <w:lang w:val="en-US" w:eastAsia="zh-CN"/>
          <w14:textFill>
            <w14:solidFill>
              <w14:schemeClr w14:val="tx1"/>
            </w14:solidFill>
          </w14:textFill>
        </w:rPr>
      </w:pPr>
      <w:bookmarkStart w:id="411" w:name="_Toc31757"/>
      <w:bookmarkStart w:id="412" w:name="_Toc10613"/>
      <w:bookmarkStart w:id="413" w:name="_Toc31138"/>
      <w:bookmarkStart w:id="414" w:name="_Toc31340"/>
      <w:bookmarkStart w:id="415" w:name="_Toc27329"/>
      <w:bookmarkStart w:id="416" w:name="_Toc7393"/>
      <w:r>
        <w:rPr>
          <w:rFonts w:hint="eastAsia" w:ascii="宋体" w:hAnsi="宋体" w:eastAsia="宋体" w:cs="宋体"/>
          <w:b/>
          <w:bCs/>
          <w:color w:val="000000" w:themeColor="text1"/>
          <w:lang w:val="en-US" w:eastAsia="zh-CN"/>
          <w14:textFill>
            <w14:solidFill>
              <w14:schemeClr w14:val="tx1"/>
            </w14:solidFill>
          </w14:textFill>
        </w:rPr>
        <w:t>5.2.3.4预测模式</w:t>
      </w:r>
      <w:bookmarkEnd w:id="411"/>
      <w:bookmarkEnd w:id="412"/>
      <w:bookmarkEnd w:id="413"/>
      <w:bookmarkEnd w:id="414"/>
      <w:bookmarkEnd w:id="415"/>
      <w:bookmarkEnd w:id="416"/>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本评价采用《环境影响评价技术导则—声环境》（HJ2.4-20</w:t>
      </w:r>
      <w:r>
        <w:rPr>
          <w:rFonts w:hint="eastAsia" w:ascii="宋体" w:hAnsi="宋体" w:eastAsia="宋体" w:cs="宋体"/>
          <w:color w:val="000000" w:themeColor="text1"/>
          <w:highlight w:val="none"/>
          <w:lang w:val="en-US" w:eastAsia="zh-CN"/>
          <w14:textFill>
            <w14:solidFill>
              <w14:schemeClr w14:val="tx1"/>
            </w14:solidFill>
          </w14:textFill>
        </w:rPr>
        <w:t>21</w:t>
      </w:r>
      <w:r>
        <w:rPr>
          <w:rFonts w:hint="eastAsia" w:ascii="宋体" w:hAnsi="宋体" w:eastAsia="宋体" w:cs="宋体"/>
          <w:color w:val="000000" w:themeColor="text1"/>
          <w:highlight w:val="none"/>
          <w14:textFill>
            <w14:solidFill>
              <w14:schemeClr w14:val="tx1"/>
            </w14:solidFill>
          </w14:textFill>
        </w:rPr>
        <w:t>）中推荐的工业噪声预测计算模式，对项目运行后的厂界噪声变化情况进行分析。拟建项目主要声源均布置在车间内，采取室内声源等效室外声源声功率级计算方法。</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宋体" w:hAnsi="宋体" w:eastAsia="宋体" w:cs="宋体"/>
          <w:bCs/>
          <w:color w:val="000000" w:themeColor="text1"/>
          <w:position w:val="-14"/>
          <w:szCs w:val="28"/>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drawing>
          <wp:inline distT="0" distB="0" distL="114300" distR="114300">
            <wp:extent cx="2242820" cy="1233170"/>
            <wp:effectExtent l="0" t="0" r="5080" b="5080"/>
            <wp:docPr id="1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7"/>
                    <pic:cNvPicPr>
                      <a:picLocks noChangeAspect="1"/>
                    </pic:cNvPicPr>
                  </pic:nvPicPr>
                  <pic:blipFill>
                    <a:blip r:embed="rId30"/>
                    <a:stretch>
                      <a:fillRect/>
                    </a:stretch>
                  </pic:blipFill>
                  <pic:spPr>
                    <a:xfrm>
                      <a:off x="0" y="0"/>
                      <a:ext cx="2242820" cy="123317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000000" w:themeColor="text1"/>
          <w:position w:val="-14"/>
          <w:szCs w:val="28"/>
          <w:highlight w:val="none"/>
          <w14:textFill>
            <w14:solidFill>
              <w14:schemeClr w14:val="tx1"/>
            </w14:solidFill>
          </w14:textFill>
        </w:rPr>
      </w:pPr>
      <w:r>
        <w:rPr>
          <w:rFonts w:hint="eastAsia" w:ascii="宋体" w:hAnsi="宋体" w:eastAsia="宋体" w:cs="宋体"/>
          <w:bCs/>
          <w:color w:val="000000" w:themeColor="text1"/>
          <w:position w:val="-14"/>
          <w:szCs w:val="28"/>
          <w:highlight w:val="none"/>
          <w14:textFill>
            <w14:solidFill>
              <w14:schemeClr w14:val="tx1"/>
            </w14:solidFill>
          </w14:textFill>
        </w:rPr>
        <w:t>①首先计算出某个室内靠近围护结构处的倍频带声压级：</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宋体" w:hAnsi="宋体" w:eastAsia="宋体" w:cs="宋体"/>
          <w:bCs/>
          <w:color w:val="000000" w:themeColor="text1"/>
          <w:position w:val="-14"/>
          <w:szCs w:val="28"/>
          <w:highlight w:val="none"/>
          <w14:textFill>
            <w14:solidFill>
              <w14:schemeClr w14:val="tx1"/>
            </w14:solidFill>
          </w14:textFill>
        </w:rPr>
      </w:pPr>
      <w:r>
        <w:rPr>
          <w:rFonts w:hint="eastAsia" w:ascii="宋体" w:hAnsi="宋体" w:eastAsia="宋体" w:cs="宋体"/>
          <w:color w:val="000000" w:themeColor="text1"/>
          <w:position w:val="-36"/>
          <w:szCs w:val="28"/>
          <w:highlight w:val="none"/>
          <w14:textFill>
            <w14:solidFill>
              <w14:schemeClr w14:val="tx1"/>
            </w14:solidFill>
          </w14:textFill>
        </w:rPr>
        <w:drawing>
          <wp:inline distT="0" distB="0" distL="114300" distR="114300">
            <wp:extent cx="1988185" cy="531495"/>
            <wp:effectExtent l="0" t="0" r="12065" b="1905"/>
            <wp:docPr id="1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8"/>
                    <pic:cNvPicPr>
                      <a:picLocks noChangeAspect="1"/>
                    </pic:cNvPicPr>
                  </pic:nvPicPr>
                  <pic:blipFill>
                    <a:blip r:embed="rId31"/>
                    <a:stretch>
                      <a:fillRect/>
                    </a:stretch>
                  </pic:blipFill>
                  <pic:spPr>
                    <a:xfrm>
                      <a:off x="0" y="0"/>
                      <a:ext cx="1988185" cy="53149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000000" w:themeColor="text1"/>
          <w:position w:val="-14"/>
          <w:szCs w:val="28"/>
          <w:highlight w:val="none"/>
          <w14:textFill>
            <w14:solidFill>
              <w14:schemeClr w14:val="tx1"/>
            </w14:solidFill>
          </w14:textFill>
        </w:rPr>
      </w:pPr>
      <w:r>
        <w:rPr>
          <w:rFonts w:hint="eastAsia" w:ascii="宋体" w:hAnsi="宋体" w:eastAsia="宋体" w:cs="宋体"/>
          <w:bCs/>
          <w:color w:val="000000" w:themeColor="text1"/>
          <w:position w:val="-14"/>
          <w:szCs w:val="28"/>
          <w:highlight w:val="none"/>
          <w14:textFill>
            <w14:solidFill>
              <w14:schemeClr w14:val="tx1"/>
            </w14:solidFill>
          </w14:textFill>
        </w:rPr>
        <w:t>式中：</w:t>
      </w:r>
      <w:r>
        <w:rPr>
          <w:rFonts w:hint="eastAsia" w:ascii="宋体" w:hAnsi="宋体" w:eastAsia="宋体" w:cs="宋体"/>
          <w:color w:val="000000" w:themeColor="text1"/>
          <w:position w:val="-10"/>
          <w:szCs w:val="28"/>
          <w:highlight w:val="none"/>
          <w14:textFill>
            <w14:solidFill>
              <w14:schemeClr w14:val="tx1"/>
            </w14:solidFill>
          </w14:textFill>
        </w:rPr>
        <w:drawing>
          <wp:inline distT="0" distB="0" distL="114300" distR="114300">
            <wp:extent cx="233680" cy="233680"/>
            <wp:effectExtent l="0" t="0" r="14605" b="15875"/>
            <wp:docPr id="1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9"/>
                    <pic:cNvPicPr>
                      <a:picLocks noChangeAspect="1"/>
                    </pic:cNvPicPr>
                  </pic:nvPicPr>
                  <pic:blipFill>
                    <a:blip r:embed="rId32"/>
                    <a:stretch>
                      <a:fillRect/>
                    </a:stretch>
                  </pic:blipFill>
                  <pic:spPr>
                    <a:xfrm>
                      <a:off x="0" y="0"/>
                      <a:ext cx="233680" cy="233680"/>
                    </a:xfrm>
                    <a:prstGeom prst="rect">
                      <a:avLst/>
                    </a:prstGeom>
                    <a:noFill/>
                    <a:ln>
                      <a:noFill/>
                    </a:ln>
                  </pic:spPr>
                </pic:pic>
              </a:graphicData>
            </a:graphic>
          </wp:inline>
        </w:drawing>
      </w:r>
      <w:r>
        <w:rPr>
          <w:rFonts w:hint="eastAsia" w:ascii="宋体" w:hAnsi="宋体" w:eastAsia="宋体" w:cs="宋体"/>
          <w:bCs/>
          <w:color w:val="000000" w:themeColor="text1"/>
          <w:position w:val="-14"/>
          <w:szCs w:val="28"/>
          <w:highlight w:val="none"/>
          <w14:textFill>
            <w14:solidFill>
              <w14:schemeClr w14:val="tx1"/>
            </w14:solidFill>
          </w14:textFill>
        </w:rPr>
        <w:t>——某个室内声源在靠近围护结构处产生的倍频带声压级；</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000000" w:themeColor="text1"/>
          <w:position w:val="-14"/>
          <w:szCs w:val="28"/>
          <w:highlight w:val="none"/>
          <w14:textFill>
            <w14:solidFill>
              <w14:schemeClr w14:val="tx1"/>
            </w14:solidFill>
          </w14:textFill>
        </w:rPr>
      </w:pPr>
      <w:r>
        <w:rPr>
          <w:rFonts w:hint="eastAsia" w:ascii="宋体" w:hAnsi="宋体" w:eastAsia="宋体" w:cs="宋体"/>
          <w:color w:val="000000" w:themeColor="text1"/>
          <w:position w:val="-4"/>
          <w:szCs w:val="28"/>
          <w:highlight w:val="none"/>
          <w14:textFill>
            <w14:solidFill>
              <w14:schemeClr w14:val="tx1"/>
            </w14:solidFill>
          </w14:textFill>
        </w:rPr>
        <w:drawing>
          <wp:inline distT="0" distB="0" distL="114300" distR="114300">
            <wp:extent cx="212725" cy="159385"/>
            <wp:effectExtent l="0" t="0" r="0" b="13970"/>
            <wp:docPr id="1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20"/>
                    <pic:cNvPicPr>
                      <a:picLocks noChangeAspect="1"/>
                    </pic:cNvPicPr>
                  </pic:nvPicPr>
                  <pic:blipFill>
                    <a:blip r:embed="rId33"/>
                    <a:stretch>
                      <a:fillRect/>
                    </a:stretch>
                  </pic:blipFill>
                  <pic:spPr>
                    <a:xfrm>
                      <a:off x="0" y="0"/>
                      <a:ext cx="212725" cy="159385"/>
                    </a:xfrm>
                    <a:prstGeom prst="rect">
                      <a:avLst/>
                    </a:prstGeom>
                    <a:noFill/>
                    <a:ln>
                      <a:noFill/>
                    </a:ln>
                  </pic:spPr>
                </pic:pic>
              </a:graphicData>
            </a:graphic>
          </wp:inline>
        </w:drawing>
      </w:r>
      <w:r>
        <w:rPr>
          <w:rFonts w:hint="eastAsia" w:ascii="宋体" w:hAnsi="宋体" w:eastAsia="宋体" w:cs="宋体"/>
          <w:bCs/>
          <w:color w:val="000000" w:themeColor="text1"/>
          <w:position w:val="-14"/>
          <w:szCs w:val="28"/>
          <w:highlight w:val="none"/>
          <w14:textFill>
            <w14:solidFill>
              <w14:schemeClr w14:val="tx1"/>
            </w14:solidFill>
          </w14:textFill>
        </w:rPr>
        <w:t>——某个声源的倍频带声功率级；</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000000" w:themeColor="text1"/>
          <w:position w:val="-14"/>
          <w:szCs w:val="28"/>
          <w:highlight w:val="none"/>
          <w14:textFill>
            <w14:solidFill>
              <w14:schemeClr w14:val="tx1"/>
            </w14:solidFill>
          </w14:textFill>
        </w:rPr>
      </w:pPr>
      <w:r>
        <w:rPr>
          <w:rFonts w:hint="eastAsia" w:ascii="宋体" w:hAnsi="宋体" w:eastAsia="宋体" w:cs="宋体"/>
          <w:bCs/>
          <w:i/>
          <w:color w:val="000000" w:themeColor="text1"/>
          <w:position w:val="-14"/>
          <w:szCs w:val="28"/>
          <w:highlight w:val="none"/>
          <w14:textFill>
            <w14:solidFill>
              <w14:schemeClr w14:val="tx1"/>
            </w14:solidFill>
          </w14:textFill>
        </w:rPr>
        <w:t>r</w:t>
      </w:r>
      <w:r>
        <w:rPr>
          <w:rFonts w:hint="eastAsia" w:ascii="宋体" w:hAnsi="宋体" w:eastAsia="宋体" w:cs="宋体"/>
          <w:bCs/>
          <w:color w:val="000000" w:themeColor="text1"/>
          <w:position w:val="-14"/>
          <w:szCs w:val="28"/>
          <w:highlight w:val="none"/>
          <w14:textFill>
            <w14:solidFill>
              <w14:schemeClr w14:val="tx1"/>
            </w14:solidFill>
          </w14:textFill>
        </w:rPr>
        <w:t>——室内某个声源与靠近围护结构处的距离；</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000000" w:themeColor="text1"/>
          <w:position w:val="-14"/>
          <w:szCs w:val="28"/>
          <w:highlight w:val="none"/>
          <w14:textFill>
            <w14:solidFill>
              <w14:schemeClr w14:val="tx1"/>
            </w14:solidFill>
          </w14:textFill>
        </w:rPr>
      </w:pPr>
      <w:r>
        <w:rPr>
          <w:rFonts w:hint="eastAsia" w:ascii="宋体" w:hAnsi="宋体" w:eastAsia="宋体" w:cs="宋体"/>
          <w:bCs/>
          <w:i/>
          <w:color w:val="000000" w:themeColor="text1"/>
          <w:position w:val="-14"/>
          <w:szCs w:val="28"/>
          <w:highlight w:val="none"/>
          <w14:textFill>
            <w14:solidFill>
              <w14:schemeClr w14:val="tx1"/>
            </w14:solidFill>
          </w14:textFill>
        </w:rPr>
        <w:t>R</w:t>
      </w:r>
      <w:r>
        <w:rPr>
          <w:rFonts w:hint="eastAsia" w:ascii="宋体" w:hAnsi="宋体" w:eastAsia="宋体" w:cs="宋体"/>
          <w:bCs/>
          <w:color w:val="000000" w:themeColor="text1"/>
          <w:position w:val="-14"/>
          <w:szCs w:val="28"/>
          <w:highlight w:val="none"/>
          <w14:textFill>
            <w14:solidFill>
              <w14:schemeClr w14:val="tx1"/>
            </w14:solidFill>
          </w14:textFill>
        </w:rPr>
        <w:t>——房间常数；R=Sα/(1−α)，S为房间内表面面积，</w:t>
      </w:r>
      <w:r>
        <w:rPr>
          <w:rFonts w:hint="eastAsia" w:ascii="宋体" w:hAnsi="宋体" w:eastAsia="宋体" w:cs="宋体"/>
          <w:bCs/>
          <w:color w:val="000000" w:themeColor="text1"/>
          <w:position w:val="-14"/>
          <w:szCs w:val="28"/>
          <w:highlight w:val="none"/>
          <w:lang w:eastAsia="zh-CN"/>
          <w14:textFill>
            <w14:solidFill>
              <w14:schemeClr w14:val="tx1"/>
            </w14:solidFill>
          </w14:textFill>
        </w:rPr>
        <w:t>m²</w:t>
      </w:r>
      <w:r>
        <w:rPr>
          <w:rFonts w:hint="eastAsia" w:ascii="宋体" w:hAnsi="宋体" w:eastAsia="宋体" w:cs="宋体"/>
          <w:bCs/>
          <w:color w:val="000000" w:themeColor="text1"/>
          <w:position w:val="-14"/>
          <w:szCs w:val="28"/>
          <w:highlight w:val="none"/>
          <w14:textFill>
            <w14:solidFill>
              <w14:schemeClr w14:val="tx1"/>
            </w14:solidFill>
          </w14:textFill>
        </w:rPr>
        <w:t>；α为平均吸声系数。</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000000" w:themeColor="text1"/>
          <w:position w:val="-14"/>
          <w:szCs w:val="28"/>
          <w:highlight w:val="none"/>
          <w14:textFill>
            <w14:solidFill>
              <w14:schemeClr w14:val="tx1"/>
            </w14:solidFill>
          </w14:textFill>
        </w:rPr>
      </w:pPr>
      <w:r>
        <w:rPr>
          <w:rFonts w:hint="eastAsia" w:ascii="宋体" w:hAnsi="宋体" w:eastAsia="宋体" w:cs="宋体"/>
          <w:bCs/>
          <w:i/>
          <w:color w:val="000000" w:themeColor="text1"/>
          <w:position w:val="-14"/>
          <w:szCs w:val="28"/>
          <w:highlight w:val="none"/>
          <w14:textFill>
            <w14:solidFill>
              <w14:schemeClr w14:val="tx1"/>
            </w14:solidFill>
          </w14:textFill>
        </w:rPr>
        <w:t>Q</w:t>
      </w:r>
      <w:r>
        <w:rPr>
          <w:rFonts w:hint="eastAsia" w:ascii="宋体" w:hAnsi="宋体" w:eastAsia="宋体" w:cs="宋体"/>
          <w:bCs/>
          <w:color w:val="000000" w:themeColor="text1"/>
          <w:position w:val="-14"/>
          <w:szCs w:val="28"/>
          <w:highlight w:val="none"/>
          <w14:textFill>
            <w14:solidFill>
              <w14:schemeClr w14:val="tx1"/>
            </w14:solidFill>
          </w14:textFill>
        </w:rPr>
        <w:t>——方向性因子，通常对无指向性声源，当声源放在房间中心时，Q=1；当放</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000000" w:themeColor="text1"/>
          <w:position w:val="-14"/>
          <w:szCs w:val="28"/>
          <w:highlight w:val="none"/>
          <w14:textFill>
            <w14:solidFill>
              <w14:schemeClr w14:val="tx1"/>
            </w14:solidFill>
          </w14:textFill>
        </w:rPr>
      </w:pPr>
      <w:r>
        <w:rPr>
          <w:rFonts w:hint="eastAsia" w:ascii="宋体" w:hAnsi="宋体" w:eastAsia="宋体" w:cs="宋体"/>
          <w:bCs/>
          <w:color w:val="000000" w:themeColor="text1"/>
          <w:position w:val="-14"/>
          <w:szCs w:val="28"/>
          <w:highlight w:val="none"/>
          <w14:textFill>
            <w14:solidFill>
              <w14:schemeClr w14:val="tx1"/>
            </w14:solidFill>
          </w14:textFill>
        </w:rPr>
        <w:t>在一面墙的中心时，Q=2；当放在两面墙夹角处时，Q=4；当放在三面墙夹角处时，Q=8。</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000000" w:themeColor="text1"/>
          <w:position w:val="-14"/>
          <w:szCs w:val="28"/>
          <w:highlight w:val="none"/>
          <w14:textFill>
            <w14:solidFill>
              <w14:schemeClr w14:val="tx1"/>
            </w14:solidFill>
          </w14:textFill>
        </w:rPr>
      </w:pPr>
      <w:r>
        <w:rPr>
          <w:rFonts w:hint="eastAsia" w:ascii="宋体" w:hAnsi="宋体" w:eastAsia="宋体" w:cs="宋体"/>
          <w:bCs/>
          <w:color w:val="000000" w:themeColor="text1"/>
          <w:position w:val="-14"/>
          <w:szCs w:val="28"/>
          <w:highlight w:val="none"/>
          <w14:textFill>
            <w14:solidFill>
              <w14:schemeClr w14:val="tx1"/>
            </w14:solidFill>
          </w14:textFill>
        </w:rPr>
        <w:t>②计算出所有室内声源在靠近围护结构处产生的总倍频带声压级：</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000000" w:themeColor="text1"/>
          <w:position w:val="-14"/>
          <w:szCs w:val="28"/>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drawing>
          <wp:anchor distT="0" distB="0" distL="114300" distR="114300" simplePos="0" relativeHeight="251663360" behindDoc="0" locked="0" layoutInCell="1" allowOverlap="1">
            <wp:simplePos x="0" y="0"/>
            <wp:positionH relativeFrom="column">
              <wp:posOffset>1800225</wp:posOffset>
            </wp:positionH>
            <wp:positionV relativeFrom="paragraph">
              <wp:posOffset>99060</wp:posOffset>
            </wp:positionV>
            <wp:extent cx="1695450" cy="524510"/>
            <wp:effectExtent l="0" t="0" r="0" b="8890"/>
            <wp:wrapTopAndBottom/>
            <wp:docPr id="122"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47"/>
                    <pic:cNvPicPr>
                      <a:picLocks noChangeAspect="1"/>
                    </pic:cNvPicPr>
                  </pic:nvPicPr>
                  <pic:blipFill>
                    <a:blip r:embed="rId34"/>
                    <a:stretch>
                      <a:fillRect/>
                    </a:stretch>
                  </pic:blipFill>
                  <pic:spPr>
                    <a:xfrm>
                      <a:off x="0" y="0"/>
                      <a:ext cx="1695450" cy="524510"/>
                    </a:xfrm>
                    <a:prstGeom prst="rect">
                      <a:avLst/>
                    </a:prstGeom>
                    <a:noFill/>
                    <a:ln>
                      <a:noFill/>
                    </a:ln>
                  </pic:spPr>
                </pic:pic>
              </a:graphicData>
            </a:graphic>
          </wp:anchor>
        </w:drawing>
      </w:r>
      <w:r>
        <w:rPr>
          <w:rFonts w:hint="eastAsia" w:ascii="宋体" w:hAnsi="宋体" w:eastAsia="宋体" w:cs="宋体"/>
          <w:bCs/>
          <w:color w:val="000000" w:themeColor="text1"/>
          <w:position w:val="-14"/>
          <w:szCs w:val="28"/>
          <w:highlight w:val="none"/>
          <w14:textFill>
            <w14:solidFill>
              <w14:schemeClr w14:val="tx1"/>
            </w14:solidFill>
          </w14:textFill>
        </w:rPr>
        <w:t>③计算出室外靠近围护结构的声压级：</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宋体" w:hAnsi="宋体" w:eastAsia="宋体" w:cs="宋体"/>
          <w:bCs/>
          <w:color w:val="000000" w:themeColor="text1"/>
          <w:position w:val="-14"/>
          <w:szCs w:val="28"/>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drawing>
          <wp:inline distT="0" distB="0" distL="114300" distR="114300">
            <wp:extent cx="1924050" cy="318770"/>
            <wp:effectExtent l="0" t="0" r="0" b="5080"/>
            <wp:docPr id="12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21"/>
                    <pic:cNvPicPr>
                      <a:picLocks noChangeAspect="1"/>
                    </pic:cNvPicPr>
                  </pic:nvPicPr>
                  <pic:blipFill>
                    <a:blip r:embed="rId35"/>
                    <a:stretch>
                      <a:fillRect/>
                    </a:stretch>
                  </pic:blipFill>
                  <pic:spPr>
                    <a:xfrm>
                      <a:off x="0" y="0"/>
                      <a:ext cx="1924050" cy="31877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000000" w:themeColor="text1"/>
          <w:position w:val="-14"/>
          <w:szCs w:val="28"/>
          <w:highlight w:val="none"/>
          <w14:textFill>
            <w14:solidFill>
              <w14:schemeClr w14:val="tx1"/>
            </w14:solidFill>
          </w14:textFill>
        </w:rPr>
      </w:pPr>
      <w:r>
        <w:rPr>
          <w:rFonts w:hint="eastAsia" w:ascii="宋体" w:hAnsi="宋体" w:eastAsia="宋体" w:cs="宋体"/>
          <w:bCs/>
          <w:color w:val="000000" w:themeColor="text1"/>
          <w:position w:val="-14"/>
          <w:szCs w:val="28"/>
          <w:highlight w:val="none"/>
          <w14:textFill>
            <w14:solidFill>
              <w14:schemeClr w14:val="tx1"/>
            </w14:solidFill>
          </w14:textFill>
        </w:rPr>
        <w:t>式中：L</w:t>
      </w:r>
      <w:r>
        <w:rPr>
          <w:rFonts w:hint="eastAsia" w:ascii="宋体" w:hAnsi="宋体" w:eastAsia="宋体" w:cs="宋体"/>
          <w:bCs/>
          <w:color w:val="000000" w:themeColor="text1"/>
          <w:spacing w:val="-20"/>
          <w:kern w:val="28"/>
          <w:position w:val="-14"/>
          <w:szCs w:val="28"/>
          <w:highlight w:val="none"/>
          <w:vertAlign w:val="subscript"/>
          <w14:textFill>
            <w14:solidFill>
              <w14:schemeClr w14:val="tx1"/>
            </w14:solidFill>
          </w14:textFill>
        </w:rPr>
        <w:t>p2i</w:t>
      </w:r>
      <w:r>
        <w:rPr>
          <w:rFonts w:hint="eastAsia" w:ascii="宋体" w:hAnsi="宋体" w:eastAsia="宋体" w:cs="宋体"/>
          <w:bCs/>
          <w:color w:val="000000" w:themeColor="text1"/>
          <w:position w:val="-14"/>
          <w:szCs w:val="28"/>
          <w:highlight w:val="none"/>
          <w14:textFill>
            <w14:solidFill>
              <w14:schemeClr w14:val="tx1"/>
            </w14:solidFill>
          </w14:textFill>
        </w:rPr>
        <w:t>(T)——靠近围护结构处室外N个声源i倍频带的叠加声压级，dB；</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bCs/>
          <w:color w:val="000000" w:themeColor="text1"/>
          <w:position w:val="-14"/>
          <w:szCs w:val="28"/>
          <w:highlight w:val="none"/>
          <w14:textFill>
            <w14:solidFill>
              <w14:schemeClr w14:val="tx1"/>
            </w14:solidFill>
          </w14:textFill>
        </w:rPr>
      </w:pPr>
      <w:r>
        <w:rPr>
          <w:rFonts w:hint="eastAsia" w:ascii="宋体" w:hAnsi="宋体" w:eastAsia="宋体" w:cs="宋体"/>
          <w:bCs/>
          <w:color w:val="000000" w:themeColor="text1"/>
          <w:position w:val="-14"/>
          <w:szCs w:val="28"/>
          <w:highlight w:val="none"/>
          <w14:textFill>
            <w14:solidFill>
              <w14:schemeClr w14:val="tx1"/>
            </w14:solidFill>
          </w14:textFill>
        </w:rPr>
        <w:t>TL</w:t>
      </w:r>
      <w:r>
        <w:rPr>
          <w:rFonts w:hint="eastAsia" w:ascii="宋体" w:hAnsi="宋体" w:eastAsia="宋体" w:cs="宋体"/>
          <w:bCs/>
          <w:color w:val="000000" w:themeColor="text1"/>
          <w:position w:val="-14"/>
          <w:szCs w:val="28"/>
          <w:highlight w:val="none"/>
          <w:vertAlign w:val="subscript"/>
          <w14:textFill>
            <w14:solidFill>
              <w14:schemeClr w14:val="tx1"/>
            </w14:solidFill>
          </w14:textFill>
        </w:rPr>
        <w:t>i</w:t>
      </w:r>
      <w:r>
        <w:rPr>
          <w:rFonts w:hint="eastAsia" w:ascii="宋体" w:hAnsi="宋体" w:eastAsia="宋体" w:cs="宋体"/>
          <w:bCs/>
          <w:color w:val="000000" w:themeColor="text1"/>
          <w:position w:val="-14"/>
          <w:szCs w:val="28"/>
          <w:highlight w:val="none"/>
          <w14:textFill>
            <w14:solidFill>
              <w14:schemeClr w14:val="tx1"/>
            </w14:solidFill>
          </w14:textFill>
        </w:rPr>
        <w:t>——围护结构i倍频带的隔声量，dB。</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000000" w:themeColor="text1"/>
          <w:position w:val="-14"/>
          <w:szCs w:val="28"/>
          <w:highlight w:val="none"/>
          <w14:textFill>
            <w14:solidFill>
              <w14:schemeClr w14:val="tx1"/>
            </w14:solidFill>
          </w14:textFill>
        </w:rPr>
      </w:pPr>
      <w:r>
        <w:rPr>
          <w:rFonts w:hint="eastAsia" w:ascii="宋体" w:hAnsi="宋体" w:eastAsia="宋体" w:cs="宋体"/>
          <w:bCs/>
          <w:color w:val="000000" w:themeColor="text1"/>
          <w:position w:val="-14"/>
          <w:szCs w:val="28"/>
          <w:highlight w:val="none"/>
          <w14:textFill>
            <w14:solidFill>
              <w14:schemeClr w14:val="tx1"/>
            </w14:solidFill>
          </w14:textFill>
        </w:rPr>
        <w:t>④将室外声级和透声面积换算成等效的室外声源，计算出等效声源第</w:t>
      </w:r>
      <w:r>
        <w:rPr>
          <w:rFonts w:hint="eastAsia" w:ascii="宋体" w:hAnsi="宋体" w:eastAsia="宋体" w:cs="宋体"/>
          <w:bCs/>
          <w:i/>
          <w:color w:val="000000" w:themeColor="text1"/>
          <w:position w:val="-14"/>
          <w:szCs w:val="28"/>
          <w:highlight w:val="none"/>
          <w14:textFill>
            <w14:solidFill>
              <w14:schemeClr w14:val="tx1"/>
            </w14:solidFill>
          </w14:textFill>
        </w:rPr>
        <w:t>i</w:t>
      </w:r>
      <w:r>
        <w:rPr>
          <w:rFonts w:hint="eastAsia" w:ascii="宋体" w:hAnsi="宋体" w:eastAsia="宋体" w:cs="宋体"/>
          <w:bCs/>
          <w:color w:val="000000" w:themeColor="text1"/>
          <w:position w:val="-14"/>
          <w:szCs w:val="28"/>
          <w:highlight w:val="none"/>
          <w14:textFill>
            <w14:solidFill>
              <w14:schemeClr w14:val="tx1"/>
            </w14:solidFill>
          </w14:textFill>
        </w:rPr>
        <w:t>个倍频带的声功率级L</w:t>
      </w:r>
      <w:r>
        <w:rPr>
          <w:rFonts w:hint="eastAsia" w:ascii="宋体" w:hAnsi="宋体" w:eastAsia="宋体" w:cs="宋体"/>
          <w:bCs/>
          <w:color w:val="000000" w:themeColor="text1"/>
          <w:position w:val="-14"/>
          <w:szCs w:val="28"/>
          <w:highlight w:val="none"/>
          <w:vertAlign w:val="subscript"/>
          <w14:textFill>
            <w14:solidFill>
              <w14:schemeClr w14:val="tx1"/>
            </w14:solidFill>
          </w14:textFill>
        </w:rPr>
        <w:t>w</w:t>
      </w:r>
      <w:r>
        <w:rPr>
          <w:rFonts w:hint="eastAsia" w:ascii="宋体" w:hAnsi="宋体" w:eastAsia="宋体" w:cs="宋体"/>
          <w:bCs/>
          <w:color w:val="000000" w:themeColor="text1"/>
          <w:position w:val="-14"/>
          <w:szCs w:val="28"/>
          <w:highlight w:val="none"/>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宋体" w:hAnsi="宋体" w:eastAsia="宋体" w:cs="宋体"/>
          <w:bCs/>
          <w:color w:val="000000" w:themeColor="text1"/>
          <w:position w:val="-14"/>
          <w:szCs w:val="28"/>
          <w:highlight w:val="none"/>
          <w14:textFill>
            <w14:solidFill>
              <w14:schemeClr w14:val="tx1"/>
            </w14:solidFill>
          </w14:textFill>
        </w:rPr>
      </w:pPr>
      <w:r>
        <w:rPr>
          <w:rFonts w:hint="eastAsia" w:ascii="宋体" w:hAnsi="宋体" w:eastAsia="宋体" w:cs="宋体"/>
          <w:bCs/>
          <w:color w:val="000000" w:themeColor="text1"/>
          <w:position w:val="-14"/>
          <w:szCs w:val="28"/>
          <w:highlight w:val="none"/>
          <w14:textFill>
            <w14:solidFill>
              <w14:schemeClr w14:val="tx1"/>
            </w14:solidFill>
          </w14:textFill>
        </w:rPr>
        <w:t>L</w:t>
      </w:r>
      <w:r>
        <w:rPr>
          <w:rFonts w:hint="eastAsia" w:ascii="宋体" w:hAnsi="宋体" w:eastAsia="宋体" w:cs="宋体"/>
          <w:bCs/>
          <w:color w:val="000000" w:themeColor="text1"/>
          <w:position w:val="-14"/>
          <w:szCs w:val="28"/>
          <w:highlight w:val="none"/>
          <w:vertAlign w:val="subscript"/>
          <w14:textFill>
            <w14:solidFill>
              <w14:schemeClr w14:val="tx1"/>
            </w14:solidFill>
          </w14:textFill>
        </w:rPr>
        <w:t>W</w:t>
      </w:r>
      <w:r>
        <w:rPr>
          <w:rFonts w:hint="eastAsia" w:ascii="宋体" w:hAnsi="宋体" w:eastAsia="宋体" w:cs="宋体"/>
          <w:bCs/>
          <w:color w:val="000000" w:themeColor="text1"/>
          <w:position w:val="-14"/>
          <w:szCs w:val="28"/>
          <w:highlight w:val="none"/>
          <w14:textFill>
            <w14:solidFill>
              <w14:schemeClr w14:val="tx1"/>
            </w14:solidFill>
          </w14:textFill>
        </w:rPr>
        <w:t>=L</w:t>
      </w:r>
      <w:r>
        <w:rPr>
          <w:rFonts w:hint="eastAsia" w:ascii="宋体" w:hAnsi="宋体" w:eastAsia="宋体" w:cs="宋体"/>
          <w:bCs/>
          <w:color w:val="000000" w:themeColor="text1"/>
          <w:position w:val="-14"/>
          <w:szCs w:val="28"/>
          <w:highlight w:val="none"/>
          <w:vertAlign w:val="subscript"/>
          <w14:textFill>
            <w14:solidFill>
              <w14:schemeClr w14:val="tx1"/>
            </w14:solidFill>
          </w14:textFill>
        </w:rPr>
        <w:t>p2</w:t>
      </w:r>
      <w:r>
        <w:rPr>
          <w:rFonts w:hint="eastAsia" w:ascii="宋体" w:hAnsi="宋体" w:eastAsia="宋体" w:cs="宋体"/>
          <w:bCs/>
          <w:color w:val="000000" w:themeColor="text1"/>
          <w:position w:val="-14"/>
          <w:szCs w:val="28"/>
          <w:highlight w:val="none"/>
          <w14:textFill>
            <w14:solidFill>
              <w14:schemeClr w14:val="tx1"/>
            </w14:solidFill>
          </w14:textFill>
        </w:rPr>
        <w:t>(T)+10lgS</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000000" w:themeColor="text1"/>
          <w:position w:val="-14"/>
          <w:szCs w:val="28"/>
          <w:highlight w:val="none"/>
          <w14:textFill>
            <w14:solidFill>
              <w14:schemeClr w14:val="tx1"/>
            </w14:solidFill>
          </w14:textFill>
        </w:rPr>
      </w:pPr>
      <w:r>
        <w:rPr>
          <w:rFonts w:hint="eastAsia" w:ascii="宋体" w:hAnsi="宋体" w:eastAsia="宋体" w:cs="宋体"/>
          <w:bCs/>
          <w:color w:val="000000" w:themeColor="text1"/>
          <w:position w:val="-14"/>
          <w:szCs w:val="28"/>
          <w:highlight w:val="none"/>
          <w14:textFill>
            <w14:solidFill>
              <w14:schemeClr w14:val="tx1"/>
            </w14:solidFill>
          </w14:textFill>
        </w:rPr>
        <w:t>式中：</w:t>
      </w:r>
      <w:r>
        <w:rPr>
          <w:rFonts w:hint="eastAsia" w:ascii="宋体" w:hAnsi="宋体" w:eastAsia="宋体" w:cs="宋体"/>
          <w:bCs/>
          <w:i/>
          <w:color w:val="000000" w:themeColor="text1"/>
          <w:position w:val="-14"/>
          <w:szCs w:val="28"/>
          <w:highlight w:val="none"/>
          <w14:textFill>
            <w14:solidFill>
              <w14:schemeClr w14:val="tx1"/>
            </w14:solidFill>
          </w14:textFill>
        </w:rPr>
        <w:t>S</w:t>
      </w:r>
      <w:r>
        <w:rPr>
          <w:rFonts w:hint="eastAsia" w:ascii="宋体" w:hAnsi="宋体" w:eastAsia="宋体" w:cs="宋体"/>
          <w:bCs/>
          <w:color w:val="000000" w:themeColor="text1"/>
          <w:position w:val="-14"/>
          <w:szCs w:val="28"/>
          <w:highlight w:val="none"/>
          <w14:textFill>
            <w14:solidFill>
              <w14:schemeClr w14:val="tx1"/>
            </w14:solidFill>
          </w14:textFill>
        </w:rPr>
        <w:t>——透声面积，</w:t>
      </w:r>
      <w:r>
        <w:rPr>
          <w:rFonts w:hint="eastAsia" w:ascii="宋体" w:hAnsi="宋体" w:eastAsia="宋体" w:cs="宋体"/>
          <w:bCs/>
          <w:color w:val="000000" w:themeColor="text1"/>
          <w:position w:val="-14"/>
          <w:szCs w:val="28"/>
          <w:highlight w:val="none"/>
          <w:lang w:eastAsia="zh-CN"/>
          <w14:textFill>
            <w14:solidFill>
              <w14:schemeClr w14:val="tx1"/>
            </w14:solidFill>
          </w14:textFill>
        </w:rPr>
        <w:t>m²</w:t>
      </w:r>
      <w:r>
        <w:rPr>
          <w:rFonts w:hint="eastAsia" w:ascii="宋体" w:hAnsi="宋体" w:eastAsia="宋体" w:cs="宋体"/>
          <w:bCs/>
          <w:color w:val="000000" w:themeColor="text1"/>
          <w:position w:val="-14"/>
          <w:szCs w:val="28"/>
          <w:highlight w:val="none"/>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000000" w:themeColor="text1"/>
          <w:position w:val="-14"/>
          <w:szCs w:val="28"/>
          <w:highlight w:val="none"/>
          <w14:textFill>
            <w14:solidFill>
              <w14:schemeClr w14:val="tx1"/>
            </w14:solidFill>
          </w14:textFill>
        </w:rPr>
      </w:pPr>
      <w:r>
        <w:rPr>
          <w:rFonts w:hint="eastAsia" w:ascii="宋体" w:hAnsi="宋体" w:eastAsia="宋体" w:cs="宋体"/>
          <w:bCs/>
          <w:color w:val="000000" w:themeColor="text1"/>
          <w:position w:val="-14"/>
          <w:szCs w:val="28"/>
          <w:highlight w:val="none"/>
          <w14:textFill>
            <w14:solidFill>
              <w14:schemeClr w14:val="tx1"/>
            </w14:solidFill>
          </w14:textFill>
        </w:rPr>
        <w:t>⑤按室外声源预测方法计算预测点处的A声级。室外声源处于半自由声场情况下，且声源可看作是位于地面上的，则：</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宋体" w:hAnsi="宋体" w:eastAsia="宋体" w:cs="宋体"/>
          <w:bCs/>
          <w:color w:val="000000" w:themeColor="text1"/>
          <w:position w:val="-14"/>
          <w:szCs w:val="28"/>
          <w:highlight w:val="none"/>
          <w14:textFill>
            <w14:solidFill>
              <w14:schemeClr w14:val="tx1"/>
            </w14:solidFill>
          </w14:textFill>
        </w:rPr>
      </w:pPr>
      <w:r>
        <w:rPr>
          <w:rFonts w:hint="eastAsia" w:ascii="宋体" w:hAnsi="宋体" w:eastAsia="宋体" w:cs="宋体"/>
          <w:bCs/>
          <w:color w:val="000000" w:themeColor="text1"/>
          <w:position w:val="-14"/>
          <w:szCs w:val="28"/>
          <w:highlight w:val="none"/>
          <w14:textFill>
            <w14:solidFill>
              <w14:schemeClr w14:val="tx1"/>
            </w14:solidFill>
          </w14:textFill>
        </w:rPr>
        <w:t>L</w:t>
      </w:r>
      <w:r>
        <w:rPr>
          <w:rFonts w:hint="eastAsia" w:ascii="宋体" w:hAnsi="宋体" w:eastAsia="宋体" w:cs="宋体"/>
          <w:bCs/>
          <w:color w:val="000000" w:themeColor="text1"/>
          <w:position w:val="-14"/>
          <w:szCs w:val="28"/>
          <w:highlight w:val="none"/>
          <w:vertAlign w:val="subscript"/>
          <w14:textFill>
            <w14:solidFill>
              <w14:schemeClr w14:val="tx1"/>
            </w14:solidFill>
          </w14:textFill>
        </w:rPr>
        <w:t>p</w:t>
      </w:r>
      <w:r>
        <w:rPr>
          <w:rFonts w:hint="eastAsia" w:ascii="宋体" w:hAnsi="宋体" w:eastAsia="宋体" w:cs="宋体"/>
          <w:bCs/>
          <w:color w:val="000000" w:themeColor="text1"/>
          <w:position w:val="-14"/>
          <w:szCs w:val="28"/>
          <w:highlight w:val="none"/>
          <w14:textFill>
            <w14:solidFill>
              <w14:schemeClr w14:val="tx1"/>
            </w14:solidFill>
          </w14:textFill>
        </w:rPr>
        <w:t>(r)=L</w:t>
      </w:r>
      <w:r>
        <w:rPr>
          <w:rFonts w:hint="eastAsia" w:ascii="宋体" w:hAnsi="宋体" w:eastAsia="宋体" w:cs="宋体"/>
          <w:bCs/>
          <w:color w:val="000000" w:themeColor="text1"/>
          <w:position w:val="-14"/>
          <w:szCs w:val="28"/>
          <w:highlight w:val="none"/>
          <w:vertAlign w:val="subscript"/>
          <w14:textFill>
            <w14:solidFill>
              <w14:schemeClr w14:val="tx1"/>
            </w14:solidFill>
          </w14:textFill>
        </w:rPr>
        <w:t>W</w:t>
      </w:r>
      <w:r>
        <w:rPr>
          <w:rFonts w:hint="eastAsia" w:ascii="宋体" w:hAnsi="宋体" w:eastAsia="宋体" w:cs="宋体"/>
          <w:bCs/>
          <w:color w:val="000000" w:themeColor="text1"/>
          <w:position w:val="-14"/>
          <w:szCs w:val="28"/>
          <w:highlight w:val="none"/>
          <w14:textFill>
            <w14:solidFill>
              <w14:schemeClr w14:val="tx1"/>
            </w14:solidFill>
          </w14:textFill>
        </w:rPr>
        <w:t>-20lg(r)-8</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000000" w:themeColor="text1"/>
          <w:position w:val="-14"/>
          <w:szCs w:val="28"/>
          <w:highlight w:val="none"/>
          <w14:textFill>
            <w14:solidFill>
              <w14:schemeClr w14:val="tx1"/>
            </w14:solidFill>
          </w14:textFill>
        </w:rPr>
      </w:pPr>
      <w:r>
        <w:rPr>
          <w:rFonts w:hint="eastAsia" w:ascii="宋体" w:hAnsi="宋体" w:eastAsia="宋体" w:cs="宋体"/>
          <w:bCs/>
          <w:color w:val="000000" w:themeColor="text1"/>
          <w:position w:val="-14"/>
          <w:szCs w:val="28"/>
          <w:highlight w:val="none"/>
          <w14:textFill>
            <w14:solidFill>
              <w14:schemeClr w14:val="tx1"/>
            </w14:solidFill>
          </w14:textFill>
        </w:rPr>
        <w:t>式中：r——点声源到受声点的距离，m。</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000000" w:themeColor="text1"/>
          <w:position w:val="-14"/>
          <w:szCs w:val="28"/>
          <w:highlight w:val="none"/>
          <w14:textFill>
            <w14:solidFill>
              <w14:schemeClr w14:val="tx1"/>
            </w14:solidFill>
          </w14:textFill>
        </w:rPr>
      </w:pPr>
      <w:r>
        <w:rPr>
          <w:rFonts w:hint="eastAsia" w:ascii="宋体" w:hAnsi="宋体" w:eastAsia="宋体" w:cs="宋体"/>
          <w:bCs/>
          <w:color w:val="000000" w:themeColor="text1"/>
          <w:position w:val="-14"/>
          <w:szCs w:val="28"/>
          <w:highlight w:val="none"/>
          <w14:textFill>
            <w14:solidFill>
              <w14:schemeClr w14:val="tx1"/>
            </w14:solidFill>
          </w14:textFill>
        </w:rPr>
        <w:t>⑥倍频带声压级和A声级转换</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宋体" w:hAnsi="宋体" w:eastAsia="宋体" w:cs="宋体"/>
          <w:bCs/>
          <w:color w:val="000000" w:themeColor="text1"/>
          <w:position w:val="-14"/>
          <w:szCs w:val="28"/>
          <w:highlight w:val="none"/>
          <w14:textFill>
            <w14:solidFill>
              <w14:schemeClr w14:val="tx1"/>
            </w14:solidFill>
          </w14:textFill>
        </w:rPr>
      </w:pPr>
      <w:r>
        <w:rPr>
          <w:rFonts w:hint="eastAsia" w:ascii="宋体" w:hAnsi="宋体" w:eastAsia="宋体" w:cs="宋体"/>
          <w:color w:val="000000" w:themeColor="text1"/>
          <w:position w:val="-14"/>
          <w:szCs w:val="28"/>
          <w:highlight w:val="none"/>
          <w14:textFill>
            <w14:solidFill>
              <w14:schemeClr w14:val="tx1"/>
            </w14:solidFill>
          </w14:textFill>
        </w:rPr>
        <w:drawing>
          <wp:inline distT="0" distB="0" distL="114300" distR="114300">
            <wp:extent cx="1945005" cy="499745"/>
            <wp:effectExtent l="0" t="0" r="17145" b="14605"/>
            <wp:docPr id="12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22"/>
                    <pic:cNvPicPr>
                      <a:picLocks noChangeAspect="1"/>
                    </pic:cNvPicPr>
                  </pic:nvPicPr>
                  <pic:blipFill>
                    <a:blip r:embed="rId36"/>
                    <a:stretch>
                      <a:fillRect/>
                    </a:stretch>
                  </pic:blipFill>
                  <pic:spPr>
                    <a:xfrm>
                      <a:off x="0" y="0"/>
                      <a:ext cx="1945005" cy="49974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000000" w:themeColor="text1"/>
          <w:position w:val="-14"/>
          <w:szCs w:val="28"/>
          <w:highlight w:val="none"/>
          <w14:textFill>
            <w14:solidFill>
              <w14:schemeClr w14:val="tx1"/>
            </w14:solidFill>
          </w14:textFill>
        </w:rPr>
      </w:pPr>
      <w:r>
        <w:rPr>
          <w:rFonts w:hint="eastAsia" w:ascii="宋体" w:hAnsi="宋体" w:eastAsia="宋体" w:cs="宋体"/>
          <w:bCs/>
          <w:color w:val="000000" w:themeColor="text1"/>
          <w:position w:val="-14"/>
          <w:szCs w:val="28"/>
          <w:highlight w:val="none"/>
          <w14:textFill>
            <w14:solidFill>
              <w14:schemeClr w14:val="tx1"/>
            </w14:solidFill>
          </w14:textFill>
        </w:rPr>
        <w:t>⑦运行设备到厂界噪声叠加按照下式计算：</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宋体" w:hAnsi="宋体" w:eastAsia="宋体" w:cs="宋体"/>
          <w:bCs/>
          <w:color w:val="000000" w:themeColor="text1"/>
          <w:szCs w:val="28"/>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drawing>
          <wp:inline distT="0" distB="0" distL="114300" distR="114300">
            <wp:extent cx="2616200" cy="535305"/>
            <wp:effectExtent l="0" t="0" r="12700" b="17145"/>
            <wp:docPr id="12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23"/>
                    <pic:cNvPicPr>
                      <a:picLocks noChangeAspect="1"/>
                    </pic:cNvPicPr>
                  </pic:nvPicPr>
                  <pic:blipFill>
                    <a:blip r:embed="rId37"/>
                    <a:stretch>
                      <a:fillRect/>
                    </a:stretch>
                  </pic:blipFill>
                  <pic:spPr>
                    <a:xfrm>
                      <a:off x="0" y="0"/>
                      <a:ext cx="2616200" cy="53530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000000" w:themeColor="text1"/>
          <w:szCs w:val="28"/>
          <w:highlight w:val="none"/>
          <w14:textFill>
            <w14:solidFill>
              <w14:schemeClr w14:val="tx1"/>
            </w14:solidFill>
          </w14:textFill>
        </w:rPr>
      </w:pPr>
      <w:r>
        <w:rPr>
          <w:rFonts w:hint="eastAsia" w:ascii="宋体" w:hAnsi="宋体" w:eastAsia="宋体" w:cs="宋体"/>
          <w:bCs/>
          <w:color w:val="000000" w:themeColor="text1"/>
          <w:szCs w:val="28"/>
          <w:highlight w:val="none"/>
          <w14:textFill>
            <w14:solidFill>
              <w14:schemeClr w14:val="tx1"/>
            </w14:solidFill>
          </w14:textFill>
        </w:rPr>
        <w:t>式中：</w:t>
      </w:r>
      <w:r>
        <w:rPr>
          <w:rFonts w:hint="eastAsia" w:ascii="宋体" w:hAnsi="宋体" w:eastAsia="宋体" w:cs="宋体"/>
          <w:bCs/>
          <w:i/>
          <w:color w:val="000000" w:themeColor="text1"/>
          <w:szCs w:val="28"/>
          <w:highlight w:val="none"/>
          <w14:textFill>
            <w14:solidFill>
              <w14:schemeClr w14:val="tx1"/>
            </w14:solidFill>
          </w14:textFill>
        </w:rPr>
        <w:t>L</w:t>
      </w:r>
      <w:r>
        <w:rPr>
          <w:rFonts w:hint="eastAsia" w:ascii="宋体" w:hAnsi="宋体" w:eastAsia="宋体" w:cs="宋体"/>
          <w:bCs/>
          <w:i/>
          <w:color w:val="000000" w:themeColor="text1"/>
          <w:szCs w:val="28"/>
          <w:highlight w:val="none"/>
          <w:vertAlign w:val="subscript"/>
          <w14:textFill>
            <w14:solidFill>
              <w14:schemeClr w14:val="tx1"/>
            </w14:solidFill>
          </w14:textFill>
        </w:rPr>
        <w:t>eqg</w:t>
      </w:r>
      <w:r>
        <w:rPr>
          <w:rFonts w:hint="eastAsia" w:ascii="宋体" w:hAnsi="宋体" w:eastAsia="宋体" w:cs="宋体"/>
          <w:bCs/>
          <w:color w:val="000000" w:themeColor="text1"/>
          <w:szCs w:val="28"/>
          <w:highlight w:val="none"/>
          <w14:textFill>
            <w14:solidFill>
              <w14:schemeClr w14:val="tx1"/>
            </w14:solidFill>
          </w14:textFill>
        </w:rPr>
        <w:t>——建设项目声源在预测点的等效声级贡献值，dB(A)；</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000000" w:themeColor="text1"/>
          <w:szCs w:val="28"/>
          <w:highlight w:val="none"/>
          <w14:textFill>
            <w14:solidFill>
              <w14:schemeClr w14:val="tx1"/>
            </w14:solidFill>
          </w14:textFill>
        </w:rPr>
      </w:pPr>
      <w:r>
        <w:rPr>
          <w:rFonts w:hint="eastAsia" w:ascii="宋体" w:hAnsi="宋体" w:eastAsia="宋体" w:cs="宋体"/>
          <w:color w:val="000000" w:themeColor="text1"/>
          <w:position w:val="-12"/>
          <w:szCs w:val="28"/>
          <w:highlight w:val="none"/>
          <w14:textFill>
            <w14:solidFill>
              <w14:schemeClr w14:val="tx1"/>
            </w14:solidFill>
          </w14:textFill>
        </w:rPr>
        <w:drawing>
          <wp:inline distT="0" distB="0" distL="114300" distR="114300">
            <wp:extent cx="317500" cy="201930"/>
            <wp:effectExtent l="0" t="0" r="0" b="6350"/>
            <wp:docPr id="12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24"/>
                    <pic:cNvPicPr>
                      <a:picLocks noChangeAspect="1"/>
                    </pic:cNvPicPr>
                  </pic:nvPicPr>
                  <pic:blipFill>
                    <a:blip r:embed="rId38"/>
                    <a:stretch>
                      <a:fillRect/>
                    </a:stretch>
                  </pic:blipFill>
                  <pic:spPr>
                    <a:xfrm>
                      <a:off x="0" y="0"/>
                      <a:ext cx="317500" cy="201930"/>
                    </a:xfrm>
                    <a:prstGeom prst="rect">
                      <a:avLst/>
                    </a:prstGeom>
                    <a:noFill/>
                    <a:ln>
                      <a:noFill/>
                    </a:ln>
                  </pic:spPr>
                </pic:pic>
              </a:graphicData>
            </a:graphic>
          </wp:inline>
        </w:drawing>
      </w:r>
      <w:r>
        <w:rPr>
          <w:rFonts w:hint="eastAsia" w:ascii="宋体" w:hAnsi="宋体" w:eastAsia="宋体" w:cs="宋体"/>
          <w:bCs/>
          <w:color w:val="000000" w:themeColor="text1"/>
          <w:szCs w:val="28"/>
          <w:highlight w:val="none"/>
          <w14:textFill>
            <w14:solidFill>
              <w14:schemeClr w14:val="tx1"/>
            </w14:solidFill>
          </w14:textFill>
        </w:rPr>
        <w:t>——室外i声源在预测点产生的A声级，dB(A)；</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000000" w:themeColor="text1"/>
          <w:szCs w:val="28"/>
          <w:highlight w:val="none"/>
          <w14:textFill>
            <w14:solidFill>
              <w14:schemeClr w14:val="tx1"/>
            </w14:solidFill>
          </w14:textFill>
        </w:rPr>
      </w:pPr>
      <w:r>
        <w:rPr>
          <w:rFonts w:hint="eastAsia" w:ascii="宋体" w:hAnsi="宋体" w:eastAsia="宋体" w:cs="宋体"/>
          <w:bCs/>
          <w:i/>
          <w:color w:val="000000" w:themeColor="text1"/>
          <w:szCs w:val="28"/>
          <w:highlight w:val="none"/>
          <w14:textFill>
            <w14:solidFill>
              <w14:schemeClr w14:val="tx1"/>
            </w14:solidFill>
          </w14:textFill>
        </w:rPr>
        <w:t>t</w:t>
      </w:r>
      <w:r>
        <w:rPr>
          <w:rFonts w:hint="eastAsia" w:ascii="宋体" w:hAnsi="宋体" w:eastAsia="宋体" w:cs="宋体"/>
          <w:bCs/>
          <w:i/>
          <w:color w:val="000000" w:themeColor="text1"/>
          <w:szCs w:val="28"/>
          <w:highlight w:val="none"/>
          <w:vertAlign w:val="subscript"/>
          <w14:textFill>
            <w14:solidFill>
              <w14:schemeClr w14:val="tx1"/>
            </w14:solidFill>
          </w14:textFill>
        </w:rPr>
        <w:t>j</w:t>
      </w:r>
      <w:r>
        <w:rPr>
          <w:rFonts w:hint="eastAsia" w:ascii="宋体" w:hAnsi="宋体" w:eastAsia="宋体" w:cs="宋体"/>
          <w:bCs/>
          <w:color w:val="000000" w:themeColor="text1"/>
          <w:szCs w:val="28"/>
          <w:highlight w:val="none"/>
          <w14:textFill>
            <w14:solidFill>
              <w14:schemeClr w14:val="tx1"/>
            </w14:solidFill>
          </w14:textFill>
        </w:rPr>
        <w:t>——等效室外声源在T时间内j声源工作时间，s；</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000000" w:themeColor="text1"/>
          <w:szCs w:val="28"/>
          <w:highlight w:val="none"/>
          <w14:textFill>
            <w14:solidFill>
              <w14:schemeClr w14:val="tx1"/>
            </w14:solidFill>
          </w14:textFill>
        </w:rPr>
      </w:pPr>
      <w:r>
        <w:rPr>
          <w:rFonts w:hint="eastAsia" w:ascii="宋体" w:hAnsi="宋体" w:eastAsia="宋体" w:cs="宋体"/>
          <w:bCs/>
          <w:i/>
          <w:color w:val="000000" w:themeColor="text1"/>
          <w:szCs w:val="28"/>
          <w:highlight w:val="none"/>
          <w14:textFill>
            <w14:solidFill>
              <w14:schemeClr w14:val="tx1"/>
            </w14:solidFill>
          </w14:textFill>
        </w:rPr>
        <w:t>t</w:t>
      </w:r>
      <w:r>
        <w:rPr>
          <w:rFonts w:hint="eastAsia" w:ascii="宋体" w:hAnsi="宋体" w:eastAsia="宋体" w:cs="宋体"/>
          <w:bCs/>
          <w:i/>
          <w:color w:val="000000" w:themeColor="text1"/>
          <w:szCs w:val="28"/>
          <w:highlight w:val="none"/>
          <w:vertAlign w:val="subscript"/>
          <w14:textFill>
            <w14:solidFill>
              <w14:schemeClr w14:val="tx1"/>
            </w14:solidFill>
          </w14:textFill>
        </w:rPr>
        <w:t>i</w:t>
      </w:r>
      <w:r>
        <w:rPr>
          <w:rFonts w:hint="eastAsia" w:ascii="宋体" w:hAnsi="宋体" w:eastAsia="宋体" w:cs="宋体"/>
          <w:bCs/>
          <w:color w:val="000000" w:themeColor="text1"/>
          <w:szCs w:val="28"/>
          <w:highlight w:val="none"/>
          <w14:textFill>
            <w14:solidFill>
              <w14:schemeClr w14:val="tx1"/>
            </w14:solidFill>
          </w14:textFill>
        </w:rPr>
        <w:t>——室外声源在T时间内i声源工作时间，s；</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iCs/>
          <w:color w:val="000000" w:themeColor="text1"/>
          <w:highlight w:val="none"/>
          <w14:textFill>
            <w14:solidFill>
              <w14:schemeClr w14:val="tx1"/>
            </w14:solidFill>
          </w14:textFill>
        </w:rPr>
      </w:pPr>
      <w:r>
        <w:rPr>
          <w:rFonts w:hint="eastAsia" w:ascii="宋体" w:hAnsi="宋体" w:eastAsia="宋体" w:cs="宋体"/>
          <w:i/>
          <w:color w:val="000000" w:themeColor="text1"/>
          <w:highlight w:val="none"/>
          <w14:textFill>
            <w14:solidFill>
              <w14:schemeClr w14:val="tx1"/>
            </w14:solidFill>
          </w14:textFill>
        </w:rPr>
        <w:t>T</w:t>
      </w:r>
      <w:r>
        <w:rPr>
          <w:rFonts w:hint="eastAsia" w:ascii="宋体" w:hAnsi="宋体" w:eastAsia="宋体" w:cs="宋体"/>
          <w:iCs/>
          <w:color w:val="000000" w:themeColor="text1"/>
          <w:highlight w:val="none"/>
          <w14:textFill>
            <w14:solidFill>
              <w14:schemeClr w14:val="tx1"/>
            </w14:solidFill>
          </w14:textFill>
        </w:rPr>
        <w:t>——用于计算等效声级的时间，s。</w:t>
      </w:r>
    </w:p>
    <w:p>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outlineLvl w:val="3"/>
        <w:rPr>
          <w:rFonts w:hint="eastAsia" w:ascii="宋体" w:hAnsi="宋体" w:eastAsia="宋体" w:cs="宋体"/>
          <w:b/>
          <w:bCs/>
          <w:color w:val="000000" w:themeColor="text1"/>
          <w:lang w:val="en-US" w:eastAsia="zh-CN"/>
          <w14:textFill>
            <w14:solidFill>
              <w14:schemeClr w14:val="tx1"/>
            </w14:solidFill>
          </w14:textFill>
        </w:rPr>
      </w:pPr>
      <w:r>
        <w:rPr>
          <w:rFonts w:hint="eastAsia" w:ascii="宋体" w:hAnsi="宋体" w:eastAsia="宋体" w:cs="宋体"/>
          <w:b/>
          <w:bCs/>
          <w:color w:val="000000" w:themeColor="text1"/>
          <w:lang w:val="en-US" w:eastAsia="zh-CN"/>
          <w14:textFill>
            <w14:solidFill>
              <w14:schemeClr w14:val="tx1"/>
            </w14:solidFill>
          </w14:textFill>
        </w:rPr>
        <w:t>5.2.3.5预测结果</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000000" w:themeColor="text1"/>
          <w:szCs w:val="28"/>
          <w:highlight w:val="none"/>
          <w14:textFill>
            <w14:solidFill>
              <w14:schemeClr w14:val="tx1"/>
            </w14:solidFill>
          </w14:textFill>
        </w:rPr>
      </w:pPr>
      <w:r>
        <w:rPr>
          <w:rFonts w:hint="eastAsia" w:ascii="宋体" w:hAnsi="宋体" w:eastAsia="宋体" w:cs="宋体"/>
          <w:bCs/>
          <w:color w:val="000000" w:themeColor="text1"/>
          <w:szCs w:val="28"/>
          <w:highlight w:val="none"/>
          <w14:textFill>
            <w14:solidFill>
              <w14:schemeClr w14:val="tx1"/>
            </w14:solidFill>
          </w14:textFill>
        </w:rPr>
        <w:t>根据《环境影响评价技术导则——声环境》（HJ2.4-20</w:t>
      </w:r>
      <w:r>
        <w:rPr>
          <w:rFonts w:hint="eastAsia" w:ascii="宋体" w:hAnsi="宋体" w:eastAsia="宋体" w:cs="宋体"/>
          <w:bCs/>
          <w:color w:val="000000" w:themeColor="text1"/>
          <w:szCs w:val="28"/>
          <w:highlight w:val="none"/>
          <w:lang w:val="en-US" w:eastAsia="zh-CN"/>
          <w14:textFill>
            <w14:solidFill>
              <w14:schemeClr w14:val="tx1"/>
            </w14:solidFill>
          </w14:textFill>
        </w:rPr>
        <w:t>21</w:t>
      </w:r>
      <w:r>
        <w:rPr>
          <w:rFonts w:hint="eastAsia" w:ascii="宋体" w:hAnsi="宋体" w:eastAsia="宋体" w:cs="宋体"/>
          <w:bCs/>
          <w:color w:val="000000" w:themeColor="text1"/>
          <w:szCs w:val="28"/>
          <w:highlight w:val="none"/>
          <w14:textFill>
            <w14:solidFill>
              <w14:schemeClr w14:val="tx1"/>
            </w14:solidFill>
          </w14:textFill>
        </w:rPr>
        <w:t>），项目预测具体结果见表5.2-</w:t>
      </w:r>
      <w:r>
        <w:rPr>
          <w:rFonts w:hint="eastAsia" w:ascii="宋体" w:hAnsi="宋体" w:eastAsia="宋体" w:cs="宋体"/>
          <w:bCs/>
          <w:color w:val="000000" w:themeColor="text1"/>
          <w:szCs w:val="28"/>
          <w:highlight w:val="none"/>
          <w:lang w:val="en-US" w:eastAsia="zh-CN"/>
          <w14:textFill>
            <w14:solidFill>
              <w14:schemeClr w14:val="tx1"/>
            </w14:solidFill>
          </w14:textFill>
        </w:rPr>
        <w:t>10</w:t>
      </w:r>
      <w:r>
        <w:rPr>
          <w:rFonts w:hint="eastAsia" w:ascii="宋体" w:hAnsi="宋体" w:eastAsia="宋体" w:cs="宋体"/>
          <w:bCs/>
          <w:color w:val="000000" w:themeColor="text1"/>
          <w:szCs w:val="28"/>
          <w:highlight w:val="none"/>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before="167" w:beforeLines="50" w:after="167" w:afterLines="50" w:line="360" w:lineRule="auto"/>
        <w:ind w:firstLine="0" w:firstLineChars="0"/>
        <w:jc w:val="center"/>
        <w:textAlignment w:val="auto"/>
        <w:rPr>
          <w:rFonts w:hint="eastAsia" w:ascii="宋体" w:hAnsi="宋体" w:eastAsia="宋体" w:cs="宋体"/>
          <w:b/>
          <w:bCs/>
          <w:color w:val="000000" w:themeColor="text1"/>
          <w:highlight w:val="none"/>
          <w:lang w:val="en-US" w:eastAsia="zh-CN"/>
          <w14:textFill>
            <w14:solidFill>
              <w14:schemeClr w14:val="tx1"/>
            </w14:solidFill>
          </w14:textFill>
        </w:rPr>
      </w:pPr>
      <w:r>
        <w:rPr>
          <w:rFonts w:hint="eastAsia" w:ascii="宋体" w:hAnsi="宋体" w:eastAsia="宋体" w:cs="宋体"/>
          <w:b/>
          <w:bCs/>
          <w:color w:val="000000" w:themeColor="text1"/>
          <w:highlight w:val="none"/>
          <w:lang w:val="en-US" w:eastAsia="zh-CN"/>
          <w14:textFill>
            <w14:solidFill>
              <w14:schemeClr w14:val="tx1"/>
            </w14:solidFill>
          </w14:textFill>
        </w:rPr>
        <w:t>表5.2-10环境噪声预测结果单位：dB(A)</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86"/>
        <w:gridCol w:w="2048"/>
        <w:gridCol w:w="3067"/>
        <w:gridCol w:w="20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3"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点位</w:t>
            </w:r>
          </w:p>
        </w:tc>
        <w:tc>
          <w:tcPr>
            <w:tcW w:w="103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时间段</w:t>
            </w:r>
          </w:p>
        </w:tc>
        <w:tc>
          <w:tcPr>
            <w:tcW w:w="155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最大贡献值（预测值）</w:t>
            </w:r>
          </w:p>
        </w:tc>
        <w:tc>
          <w:tcPr>
            <w:tcW w:w="1039" w:type="pct"/>
            <w:noWrap w:val="0"/>
            <w:vAlign w:val="top"/>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3"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东厂界</w:t>
            </w:r>
          </w:p>
        </w:tc>
        <w:tc>
          <w:tcPr>
            <w:tcW w:w="103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昼间</w:t>
            </w:r>
          </w:p>
        </w:tc>
        <w:tc>
          <w:tcPr>
            <w:tcW w:w="155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55.3</w:t>
            </w:r>
          </w:p>
        </w:tc>
        <w:tc>
          <w:tcPr>
            <w:tcW w:w="1039" w:type="pct"/>
            <w:noWrap w:val="0"/>
            <w:vAlign w:val="top"/>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3"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p>
        </w:tc>
        <w:tc>
          <w:tcPr>
            <w:tcW w:w="103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夜间</w:t>
            </w:r>
          </w:p>
        </w:tc>
        <w:tc>
          <w:tcPr>
            <w:tcW w:w="155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54.2</w:t>
            </w:r>
          </w:p>
        </w:tc>
        <w:tc>
          <w:tcPr>
            <w:tcW w:w="1039" w:type="pct"/>
            <w:noWrap w:val="0"/>
            <w:vAlign w:val="top"/>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3"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南厂界</w:t>
            </w:r>
          </w:p>
        </w:tc>
        <w:tc>
          <w:tcPr>
            <w:tcW w:w="103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昼间</w:t>
            </w:r>
          </w:p>
        </w:tc>
        <w:tc>
          <w:tcPr>
            <w:tcW w:w="155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50.5</w:t>
            </w:r>
          </w:p>
        </w:tc>
        <w:tc>
          <w:tcPr>
            <w:tcW w:w="1039" w:type="pct"/>
            <w:noWrap w:val="0"/>
            <w:vAlign w:val="top"/>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3"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p>
        </w:tc>
        <w:tc>
          <w:tcPr>
            <w:tcW w:w="103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夜间</w:t>
            </w:r>
          </w:p>
        </w:tc>
        <w:tc>
          <w:tcPr>
            <w:tcW w:w="155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56.2</w:t>
            </w:r>
          </w:p>
        </w:tc>
        <w:tc>
          <w:tcPr>
            <w:tcW w:w="1039" w:type="pct"/>
            <w:noWrap w:val="0"/>
            <w:vAlign w:val="top"/>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1363"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西厂界</w:t>
            </w:r>
          </w:p>
        </w:tc>
        <w:tc>
          <w:tcPr>
            <w:tcW w:w="103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昼间</w:t>
            </w:r>
          </w:p>
        </w:tc>
        <w:tc>
          <w:tcPr>
            <w:tcW w:w="155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50.7</w:t>
            </w:r>
          </w:p>
        </w:tc>
        <w:tc>
          <w:tcPr>
            <w:tcW w:w="1039" w:type="pct"/>
            <w:noWrap w:val="0"/>
            <w:vAlign w:val="top"/>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3"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p>
        </w:tc>
        <w:tc>
          <w:tcPr>
            <w:tcW w:w="103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夜间</w:t>
            </w:r>
          </w:p>
        </w:tc>
        <w:tc>
          <w:tcPr>
            <w:tcW w:w="155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50.7</w:t>
            </w:r>
          </w:p>
        </w:tc>
        <w:tc>
          <w:tcPr>
            <w:tcW w:w="1039" w:type="pct"/>
            <w:noWrap w:val="0"/>
            <w:vAlign w:val="top"/>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3"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北厂界</w:t>
            </w:r>
          </w:p>
        </w:tc>
        <w:tc>
          <w:tcPr>
            <w:tcW w:w="103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昼间</w:t>
            </w:r>
          </w:p>
        </w:tc>
        <w:tc>
          <w:tcPr>
            <w:tcW w:w="155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53.5</w:t>
            </w:r>
          </w:p>
        </w:tc>
        <w:tc>
          <w:tcPr>
            <w:tcW w:w="1039" w:type="pct"/>
            <w:noWrap w:val="0"/>
            <w:vAlign w:val="top"/>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3"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p>
        </w:tc>
        <w:tc>
          <w:tcPr>
            <w:tcW w:w="103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夜间</w:t>
            </w:r>
          </w:p>
        </w:tc>
        <w:tc>
          <w:tcPr>
            <w:tcW w:w="155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53.5</w:t>
            </w:r>
          </w:p>
        </w:tc>
        <w:tc>
          <w:tcPr>
            <w:tcW w:w="1039" w:type="pct"/>
            <w:noWrap w:val="0"/>
            <w:vAlign w:val="top"/>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55</w:t>
            </w:r>
          </w:p>
        </w:tc>
      </w:tr>
    </w:tbl>
    <w:p>
      <w:pPr>
        <w:widowControl w:val="0"/>
        <w:spacing w:line="360" w:lineRule="auto"/>
        <w:ind w:firstLine="480" w:firstLineChars="200"/>
        <w:jc w:val="both"/>
        <w:rPr>
          <w:rFonts w:hint="eastAsia" w:ascii="宋体" w:hAnsi="宋体" w:eastAsia="宋体" w:cs="宋体"/>
          <w:b/>
          <w:bCs/>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预测结果表明，在采取相应的隔声减振消声等降噪措施处理后，生产过程中各种设备同时运转产生的噪声</w:t>
      </w:r>
      <w:r>
        <w:rPr>
          <w:rFonts w:hint="eastAsia" w:ascii="宋体" w:hAnsi="宋体" w:eastAsia="宋体" w:cs="宋体"/>
          <w:color w:val="000000" w:themeColor="text1"/>
          <w:highlight w:val="none"/>
          <w:lang w:val="en-US" w:eastAsia="zh-CN"/>
          <w14:textFill>
            <w14:solidFill>
              <w14:schemeClr w14:val="tx1"/>
            </w14:solidFill>
          </w14:textFill>
        </w:rPr>
        <w:t>对厂界</w:t>
      </w:r>
      <w:r>
        <w:rPr>
          <w:rFonts w:hint="eastAsia" w:ascii="宋体" w:hAnsi="宋体" w:eastAsia="宋体" w:cs="宋体"/>
          <w:color w:val="000000" w:themeColor="text1"/>
          <w:highlight w:val="none"/>
          <w14:textFill>
            <w14:solidFill>
              <w14:schemeClr w14:val="tx1"/>
            </w14:solidFill>
          </w14:textFill>
        </w:rPr>
        <w:t>满足《工业企业厂界环境噪声排放标准》(GB12348-2008)中3类标准。本评价认为，项目生产过程中的噪声不会对区域声环境造成不利影响。</w:t>
      </w:r>
    </w:p>
    <w:p>
      <w:pPr>
        <w:pStyle w:val="8"/>
        <w:keepNext/>
        <w:keepLines/>
        <w:pageBreakBefore w:val="0"/>
        <w:widowControl/>
        <w:kinsoku/>
        <w:wordWrap/>
        <w:overflowPunct/>
        <w:topLinePunct w:val="0"/>
        <w:autoSpaceDE/>
        <w:autoSpaceDN/>
        <w:bidi w:val="0"/>
        <w:adjustRightInd/>
        <w:snapToGrid/>
        <w:ind w:firstLine="482" w:firstLineChars="200"/>
        <w:textAlignment w:val="auto"/>
        <w:rPr>
          <w:rFonts w:hint="eastAsia" w:ascii="宋体" w:hAnsi="宋体" w:eastAsia="宋体" w:cs="宋体"/>
          <w:bCs/>
          <w:color w:val="000000" w:themeColor="text1"/>
          <w:highlight w:val="none"/>
          <w:lang w:val="en-US" w:eastAsia="zh-CN"/>
          <w14:textFill>
            <w14:solidFill>
              <w14:schemeClr w14:val="tx1"/>
            </w14:solidFill>
          </w14:textFill>
        </w:rPr>
      </w:pPr>
      <w:bookmarkStart w:id="417" w:name="_Toc18537"/>
      <w:r>
        <w:rPr>
          <w:rFonts w:hint="eastAsia" w:ascii="宋体" w:hAnsi="宋体" w:eastAsia="宋体" w:cs="宋体"/>
          <w:bCs/>
          <w:color w:val="000000" w:themeColor="text1"/>
          <w:highlight w:val="none"/>
          <w:lang w:val="en-US" w:eastAsia="zh-CN"/>
          <w14:textFill>
            <w14:solidFill>
              <w14:schemeClr w14:val="tx1"/>
            </w14:solidFill>
          </w14:textFill>
        </w:rPr>
        <w:t>5.2.4固体废物环境影响分析</w:t>
      </w:r>
      <w:bookmarkEnd w:id="417"/>
    </w:p>
    <w:p>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outlineLvl w:val="3"/>
        <w:rPr>
          <w:rFonts w:hint="eastAsia" w:ascii="宋体" w:hAnsi="宋体" w:eastAsia="宋体" w:cs="宋体"/>
          <w:b/>
          <w:bCs/>
          <w:color w:val="000000" w:themeColor="text1"/>
          <w:lang w:val="en-US" w:eastAsia="zh-CN"/>
          <w14:textFill>
            <w14:solidFill>
              <w14:schemeClr w14:val="tx1"/>
            </w14:solidFill>
          </w14:textFill>
        </w:rPr>
      </w:pPr>
      <w:r>
        <w:rPr>
          <w:rFonts w:hint="eastAsia" w:ascii="宋体" w:hAnsi="宋体" w:eastAsia="宋体" w:cs="宋体"/>
          <w:b/>
          <w:bCs/>
          <w:color w:val="000000" w:themeColor="text1"/>
          <w:lang w:val="en-US" w:eastAsia="zh-CN"/>
          <w14:textFill>
            <w14:solidFill>
              <w14:schemeClr w14:val="tx1"/>
            </w14:solidFill>
          </w14:textFill>
        </w:rPr>
        <w:t>5.2.4.1固体废物种类</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本项目产生的固体废物主要包括一般工业固体废物、危险废物。</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一般工业固体废物主要为</w:t>
      </w:r>
      <w:r>
        <w:rPr>
          <w:rFonts w:hint="eastAsia" w:ascii="宋体" w:hAnsi="宋体" w:eastAsia="宋体" w:cs="宋体"/>
          <w:color w:val="000000" w:themeColor="text1"/>
          <w:highlight w:val="none"/>
          <w14:textFill>
            <w14:solidFill>
              <w14:schemeClr w14:val="tx1"/>
            </w14:solidFill>
          </w14:textFill>
        </w:rPr>
        <w:t>生产时产生的</w:t>
      </w:r>
      <w:r>
        <w:rPr>
          <w:rFonts w:hint="eastAsia" w:ascii="宋体" w:hAnsi="宋体" w:eastAsia="宋体" w:cs="宋体"/>
          <w:color w:val="000000" w:themeColor="text1"/>
          <w:highlight w:val="none"/>
          <w:lang w:val="en-US" w:eastAsia="zh-CN"/>
          <w14:textFill>
            <w14:solidFill>
              <w14:schemeClr w14:val="tx1"/>
            </w14:solidFill>
          </w14:textFill>
        </w:rPr>
        <w:t>不合格品、</w:t>
      </w:r>
      <w:r>
        <w:rPr>
          <w:rFonts w:hint="eastAsia" w:ascii="宋体" w:hAnsi="宋体" w:eastAsia="宋体" w:cs="宋体"/>
          <w:color w:val="000000" w:themeColor="text1"/>
          <w:highlight w:val="none"/>
          <w14:textFill>
            <w14:solidFill>
              <w14:schemeClr w14:val="tx1"/>
            </w14:solidFill>
          </w14:textFill>
        </w:rPr>
        <w:t>边</w:t>
      </w:r>
      <w:r>
        <w:rPr>
          <w:rFonts w:hint="eastAsia" w:ascii="宋体" w:hAnsi="宋体" w:eastAsia="宋体" w:cs="宋体"/>
          <w:color w:val="000000" w:themeColor="text1"/>
          <w:highlight w:val="none"/>
          <w:lang w:val="en-US" w:eastAsia="zh-CN"/>
          <w14:textFill>
            <w14:solidFill>
              <w14:schemeClr w14:val="tx1"/>
            </w14:solidFill>
          </w14:textFill>
        </w:rPr>
        <w:t>废</w:t>
      </w:r>
      <w:r>
        <w:rPr>
          <w:rFonts w:hint="eastAsia" w:ascii="宋体" w:hAnsi="宋体" w:eastAsia="宋体" w:cs="宋体"/>
          <w:color w:val="000000" w:themeColor="text1"/>
          <w:highlight w:val="none"/>
          <w14:textFill>
            <w14:solidFill>
              <w14:schemeClr w14:val="tx1"/>
            </w14:solidFill>
          </w14:textFill>
        </w:rPr>
        <w:t>角料</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废</w:t>
      </w:r>
      <w:r>
        <w:rPr>
          <w:rFonts w:hint="eastAsia" w:ascii="宋体" w:hAnsi="宋体" w:eastAsia="宋体" w:cs="宋体"/>
          <w:color w:val="000000" w:themeColor="text1"/>
          <w:highlight w:val="none"/>
          <w14:textFill>
            <w14:solidFill>
              <w14:schemeClr w14:val="tx1"/>
            </w14:solidFill>
          </w14:textFill>
        </w:rPr>
        <w:t>外包装</w:t>
      </w:r>
      <w:r>
        <w:rPr>
          <w:rFonts w:hint="eastAsia" w:ascii="宋体" w:hAnsi="宋体" w:eastAsia="宋体" w:cs="宋体"/>
          <w:color w:val="000000" w:themeColor="text1"/>
          <w:highlight w:val="none"/>
          <w:lang w:val="en-US" w:eastAsia="zh-CN"/>
          <w14:textFill>
            <w14:solidFill>
              <w14:schemeClr w14:val="tx1"/>
            </w14:solidFill>
          </w14:textFill>
        </w:rPr>
        <w:t>材料</w:t>
      </w:r>
      <w:r>
        <w:rPr>
          <w:rFonts w:hint="eastAsia" w:ascii="宋体" w:hAnsi="宋体" w:eastAsia="宋体" w:cs="宋体"/>
          <w:color w:val="000000" w:themeColor="text1"/>
          <w:kern w:val="0"/>
          <w:sz w:val="24"/>
          <w:szCs w:val="24"/>
          <w:lang w:val="en-US" w:eastAsia="zh-CN" w:bidi="ar"/>
          <w14:textFill>
            <w14:solidFill>
              <w14:schemeClr w14:val="tx1"/>
            </w14:solidFill>
          </w14:textFill>
        </w:rPr>
        <w:t>。</w:t>
      </w:r>
    </w:p>
    <w:p>
      <w:pPr>
        <w:widowControl w:val="0"/>
        <w:spacing w:line="360" w:lineRule="auto"/>
        <w:ind w:firstLine="480" w:firstLineChars="200"/>
        <w:jc w:val="both"/>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危险废物主要为：</w:t>
      </w:r>
      <w:r>
        <w:rPr>
          <w:rFonts w:hint="eastAsia" w:ascii="宋体" w:hAnsi="宋体" w:eastAsia="宋体" w:cs="宋体"/>
          <w:color w:val="000000" w:themeColor="text1"/>
          <w:highlight w:val="none"/>
          <w14:textFill>
            <w14:solidFill>
              <w14:schemeClr w14:val="tx1"/>
            </w14:solidFill>
          </w14:textFill>
        </w:rPr>
        <w:t>废内包装材料、废润滑油、含油废抹布手套（分类收集的）</w:t>
      </w:r>
      <w:r>
        <w:rPr>
          <w:rFonts w:hint="eastAsia" w:ascii="宋体" w:hAnsi="宋体" w:eastAsia="宋体" w:cs="宋体"/>
          <w:color w:val="000000" w:themeColor="text1"/>
          <w:highlight w:val="none"/>
          <w:lang w:val="en-US" w:eastAsia="zh-CN"/>
          <w14:textFill>
            <w14:solidFill>
              <w14:schemeClr w14:val="tx1"/>
            </w14:solidFill>
          </w14:textFill>
        </w:rPr>
        <w:t>和各类残渣</w:t>
      </w:r>
      <w:r>
        <w:rPr>
          <w:rFonts w:hint="eastAsia" w:ascii="宋体" w:hAnsi="宋体" w:eastAsia="宋体" w:cs="宋体"/>
          <w:color w:val="000000" w:themeColor="text1"/>
          <w:highlight w:val="none"/>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outlineLvl w:val="3"/>
        <w:rPr>
          <w:rFonts w:hint="eastAsia" w:ascii="宋体" w:hAnsi="宋体" w:eastAsia="宋体" w:cs="宋体"/>
          <w:b/>
          <w:bCs/>
          <w:color w:val="000000" w:themeColor="text1"/>
          <w:lang w:val="en-US" w:eastAsia="zh-CN"/>
          <w14:textFill>
            <w14:solidFill>
              <w14:schemeClr w14:val="tx1"/>
            </w14:solidFill>
          </w14:textFill>
        </w:rPr>
      </w:pPr>
      <w:r>
        <w:rPr>
          <w:rFonts w:hint="eastAsia" w:ascii="宋体" w:hAnsi="宋体" w:eastAsia="宋体" w:cs="宋体"/>
          <w:b/>
          <w:bCs/>
          <w:color w:val="000000" w:themeColor="text1"/>
          <w:lang w:val="en-US" w:eastAsia="zh-CN"/>
          <w14:textFill>
            <w14:solidFill>
              <w14:schemeClr w14:val="tx1"/>
            </w14:solidFill>
          </w14:textFill>
        </w:rPr>
        <w:t>5.2.4.2固体废物处置措施</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项目采取的固体废物处理措施主要包括：</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（1）危险废物</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项目产生的各类危险废物经规范包装后，均临时贮存于厂区80m²危废间内，定期交由有危废处置资质的单位外运处置。</w:t>
      </w:r>
      <w:r>
        <w:rPr>
          <w:rFonts w:hint="eastAsia" w:ascii="宋体" w:hAnsi="宋体" w:eastAsia="宋体" w:cs="宋体"/>
          <w:color w:val="000000" w:themeColor="text1"/>
          <w:kern w:val="0"/>
          <w:sz w:val="24"/>
          <w:szCs w:val="24"/>
          <w:u w:val="single"/>
          <w:lang w:val="en-US" w:eastAsia="zh-CN" w:bidi="ar"/>
          <w14:textFill>
            <w14:solidFill>
              <w14:schemeClr w14:val="tx1"/>
            </w14:solidFill>
          </w14:textFill>
        </w:rPr>
        <w:t>危险废物（废内包装材料、废润滑油、精馏残渣、含油废抹布等）须按照《危险废物贮存污染控制标准》（GB18597-2023）要求暂存，实行分级分类管理，并落实“四专”管理措施（专门危废暂存间，专门识别标志，建立专业档案，实行专人负责）、制度上墙、信息联网（视频信息、门禁信息、电子称信息、电子标签信息）交有资质的单位处置。</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（2）一般工业固废</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项目产生的</w:t>
      </w:r>
      <w:r>
        <w:rPr>
          <w:rFonts w:hint="eastAsia" w:ascii="宋体" w:hAnsi="宋体" w:eastAsia="宋体" w:cs="宋体"/>
          <w:color w:val="000000" w:themeColor="text1"/>
          <w:highlight w:val="none"/>
          <w:lang w:val="en-US" w:eastAsia="zh-CN"/>
          <w14:textFill>
            <w14:solidFill>
              <w14:schemeClr w14:val="tx1"/>
            </w14:solidFill>
          </w14:textFill>
        </w:rPr>
        <w:t>不合格品、</w:t>
      </w:r>
      <w:r>
        <w:rPr>
          <w:rFonts w:hint="eastAsia" w:ascii="宋体" w:hAnsi="宋体" w:eastAsia="宋体" w:cs="宋体"/>
          <w:color w:val="000000" w:themeColor="text1"/>
          <w:highlight w:val="none"/>
          <w14:textFill>
            <w14:solidFill>
              <w14:schemeClr w14:val="tx1"/>
            </w14:solidFill>
          </w14:textFill>
        </w:rPr>
        <w:t>边</w:t>
      </w:r>
      <w:r>
        <w:rPr>
          <w:rFonts w:hint="eastAsia" w:ascii="宋体" w:hAnsi="宋体" w:eastAsia="宋体" w:cs="宋体"/>
          <w:color w:val="000000" w:themeColor="text1"/>
          <w:highlight w:val="none"/>
          <w:lang w:val="en-US" w:eastAsia="zh-CN"/>
          <w14:textFill>
            <w14:solidFill>
              <w14:schemeClr w14:val="tx1"/>
            </w14:solidFill>
          </w14:textFill>
        </w:rPr>
        <w:t>废</w:t>
      </w:r>
      <w:r>
        <w:rPr>
          <w:rFonts w:hint="eastAsia" w:ascii="宋体" w:hAnsi="宋体" w:eastAsia="宋体" w:cs="宋体"/>
          <w:color w:val="000000" w:themeColor="text1"/>
          <w:highlight w:val="none"/>
          <w14:textFill>
            <w14:solidFill>
              <w14:schemeClr w14:val="tx1"/>
            </w14:solidFill>
          </w14:textFill>
        </w:rPr>
        <w:t>角料</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废</w:t>
      </w:r>
      <w:r>
        <w:rPr>
          <w:rFonts w:hint="eastAsia" w:ascii="宋体" w:hAnsi="宋体" w:eastAsia="宋体" w:cs="宋体"/>
          <w:color w:val="000000" w:themeColor="text1"/>
          <w:highlight w:val="none"/>
          <w14:textFill>
            <w14:solidFill>
              <w14:schemeClr w14:val="tx1"/>
            </w14:solidFill>
          </w14:textFill>
        </w:rPr>
        <w:t>外包装</w:t>
      </w:r>
      <w:r>
        <w:rPr>
          <w:rFonts w:hint="eastAsia" w:ascii="宋体" w:hAnsi="宋体" w:eastAsia="宋体" w:cs="宋体"/>
          <w:color w:val="000000" w:themeColor="text1"/>
          <w:highlight w:val="none"/>
          <w:lang w:val="en-US" w:eastAsia="zh-CN"/>
          <w14:textFill>
            <w14:solidFill>
              <w14:schemeClr w14:val="tx1"/>
            </w14:solidFill>
          </w14:textFill>
        </w:rPr>
        <w:t>材料收集后由物资公司回收</w:t>
      </w:r>
      <w:r>
        <w:rPr>
          <w:rFonts w:hint="eastAsia" w:ascii="宋体" w:hAnsi="宋体" w:eastAsia="宋体" w:cs="宋体"/>
          <w:color w:val="000000" w:themeColor="text1"/>
          <w:kern w:val="0"/>
          <w:sz w:val="24"/>
          <w:szCs w:val="24"/>
          <w:lang w:val="en-US" w:eastAsia="zh-CN" w:bidi="ar"/>
          <w14:textFill>
            <w14:solidFill>
              <w14:schemeClr w14:val="tx1"/>
            </w14:solidFill>
          </w14:textFill>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项目产生的各类固体废物均采取了合理的处理处置方式，不直接对环境排放，对环境影响较小。固体废物处理处置率可达100%。</w:t>
      </w:r>
    </w:p>
    <w:p>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outlineLvl w:val="3"/>
        <w:rPr>
          <w:rFonts w:hint="eastAsia" w:ascii="宋体" w:hAnsi="宋体" w:eastAsia="宋体" w:cs="宋体"/>
          <w:b/>
          <w:bCs/>
          <w:color w:val="000000" w:themeColor="text1"/>
          <w:lang w:val="en-US" w:eastAsia="zh-CN"/>
          <w14:textFill>
            <w14:solidFill>
              <w14:schemeClr w14:val="tx1"/>
            </w14:solidFill>
          </w14:textFill>
        </w:rPr>
      </w:pPr>
      <w:r>
        <w:rPr>
          <w:rFonts w:hint="eastAsia" w:ascii="宋体" w:hAnsi="宋体" w:eastAsia="宋体" w:cs="宋体"/>
          <w:b/>
          <w:bCs/>
          <w:color w:val="000000" w:themeColor="text1"/>
          <w:lang w:val="en-US" w:eastAsia="zh-CN"/>
          <w14:textFill>
            <w14:solidFill>
              <w14:schemeClr w14:val="tx1"/>
            </w14:solidFill>
          </w14:textFill>
        </w:rPr>
        <w:t>5.2.4.3固体废物收集、包装、运输环境影响分析</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本项目聚酰亚胺薄膜生产涉及的危废收集过程，包括两个方面，一是在危险废物产生节点将危险废物集中到适当的包装容器中或运输车辆上的活动；二是将已包装或装到运输车辆上的危险废物集中到厂内危废暂存间的内部转运。</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危险废物收集和转运作业人员应根据工作需要配备必要的个人防护装备，如手套、防护镜、防护服、防毒面积或口罩等。</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在危险废物的收集时应根据危险废物的种类、数量、危险特性、物理形态、运输要求等因素确定包装形式，包装材质要与危险废物相容，性质不相容的危险废物不应混合包装。</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危险废物转运作业应满足如下要求：</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（1）危险废物转运应尽量避开办公区，综合考虑后确定转运路线。</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（2）危险废物转运作业应采用专用的工具。</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（3）危险废物转运过程应确保无危险废物遗失在转运路线上，转运结束后应对转运工具进行清理。</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bCs/>
          <w:color w:val="000000" w:themeColor="text1"/>
          <w:lang w:val="en-US" w:eastAsia="zh-CN"/>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项目对产生的各类固体废物的包装与临时贮存有着严格规定。其中：一般工业固体废物在产生点收集后，经规范包装，由专人按规范要求运送至厂区一般固废暂存间，临时贮存于厂区一般固废暂存间内，厂区一般固废暂存间面积为80㎡。危险废物在产生点进行收集、规范包装后，临时贮存于厂区的危废暂存间内</w:t>
      </w:r>
      <w:r>
        <w:rPr>
          <w:rFonts w:hint="eastAsia" w:ascii="宋体" w:hAnsi="宋体" w:eastAsia="宋体" w:cs="宋体"/>
          <w:color w:val="000000" w:themeColor="text1"/>
          <w:sz w:val="24"/>
          <w:szCs w:val="24"/>
          <w:lang w:val="en-US"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outlineLvl w:val="3"/>
        <w:rPr>
          <w:rFonts w:hint="eastAsia" w:ascii="宋体" w:hAnsi="宋体" w:eastAsia="宋体" w:cs="宋体"/>
          <w:b/>
          <w:bCs/>
          <w:color w:val="000000" w:themeColor="text1"/>
          <w:lang w:val="en-US" w:eastAsia="zh-CN"/>
          <w14:textFill>
            <w14:solidFill>
              <w14:schemeClr w14:val="tx1"/>
            </w14:solidFill>
          </w14:textFill>
        </w:rPr>
      </w:pPr>
      <w:r>
        <w:rPr>
          <w:rFonts w:hint="eastAsia" w:ascii="宋体" w:hAnsi="宋体" w:eastAsia="宋体" w:cs="宋体"/>
          <w:b/>
          <w:bCs/>
          <w:color w:val="000000" w:themeColor="text1"/>
          <w:lang w:val="en-US" w:eastAsia="zh-CN"/>
          <w14:textFill>
            <w14:solidFill>
              <w14:schemeClr w14:val="tx1"/>
            </w14:solidFill>
          </w14:textFill>
        </w:rPr>
        <w:t>5.2.4.4危险废物贮存场所环境影响分析</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themeColor="text1"/>
          <w:sz w:val="24"/>
          <w:szCs w:val="24"/>
          <w:u w:val="single"/>
          <w14:textFill>
            <w14:solidFill>
              <w14:schemeClr w14:val="tx1"/>
            </w14:solidFill>
          </w14:textFill>
        </w:rPr>
      </w:pPr>
      <w:r>
        <w:rPr>
          <w:rFonts w:hint="eastAsia" w:ascii="宋体" w:hAnsi="宋体" w:eastAsia="宋体" w:cs="宋体"/>
          <w:color w:val="000000" w:themeColor="text1"/>
          <w:kern w:val="0"/>
          <w:sz w:val="24"/>
          <w:szCs w:val="24"/>
          <w:u w:val="single"/>
          <w:lang w:val="en-US" w:eastAsia="zh-CN" w:bidi="ar"/>
          <w14:textFill>
            <w14:solidFill>
              <w14:schemeClr w14:val="tx1"/>
            </w14:solidFill>
          </w14:textFill>
        </w:rPr>
        <w:t>根据《危险废物贮存污染控制标准》（GB18597-2023）规定，在常温常压下不水解、不挥发的固体危险废物可在贮存设施内分别堆放，除此之外其他危险废物必须装在容器内。禁止将不相容（相互反应）的危险废物在同一容器内混装。无法装入常用容器的危险废物可用防漏胶袋等盛装。装载液体、半固体危险废物的容器内须留足够空间，容器顶部与液体表面之间保留100毫米以上的空间。</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themeColor="text1"/>
          <w:sz w:val="24"/>
          <w:szCs w:val="24"/>
          <w:u w:val="single"/>
          <w14:textFill>
            <w14:solidFill>
              <w14:schemeClr w14:val="tx1"/>
            </w14:solidFill>
          </w14:textFill>
        </w:rPr>
      </w:pPr>
      <w:r>
        <w:rPr>
          <w:rFonts w:hint="eastAsia" w:ascii="宋体" w:hAnsi="宋体" w:eastAsia="宋体" w:cs="宋体"/>
          <w:color w:val="000000" w:themeColor="text1"/>
          <w:kern w:val="0"/>
          <w:sz w:val="24"/>
          <w:szCs w:val="24"/>
          <w:u w:val="single"/>
          <w:lang w:val="en-US" w:eastAsia="zh-CN" w:bidi="ar"/>
          <w14:textFill>
            <w14:solidFill>
              <w14:schemeClr w14:val="tx1"/>
            </w14:solidFill>
          </w14:textFill>
        </w:rPr>
        <w:t>危险废物贮存容器应当使用符合标准的容器盛装危险废物，装载危险废物的容器及材质要满足相应的强度要求，装载危险废物的容器必须完好无损。盛装危险废物的容器材质和衬里要与危险废物相容（不相互反应）液体危险废物可注入开孔直径不超过70毫米并有放气孔的桶中。</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themeColor="text1"/>
          <w:kern w:val="0"/>
          <w:sz w:val="24"/>
          <w:szCs w:val="24"/>
          <w:u w:val="single"/>
          <w:lang w:val="en-US" w:eastAsia="zh-CN" w:bidi="ar"/>
          <w14:textFill>
            <w14:solidFill>
              <w14:schemeClr w14:val="tx1"/>
            </w14:solidFill>
          </w14:textFill>
        </w:rPr>
      </w:pPr>
      <w:r>
        <w:rPr>
          <w:rFonts w:hint="eastAsia" w:ascii="宋体" w:hAnsi="宋体" w:eastAsia="宋体" w:cs="宋体"/>
          <w:color w:val="000000" w:themeColor="text1"/>
          <w:kern w:val="0"/>
          <w:sz w:val="24"/>
          <w:szCs w:val="24"/>
          <w:u w:val="single"/>
          <w:lang w:val="en-US" w:eastAsia="zh-CN" w:bidi="ar"/>
          <w14:textFill>
            <w14:solidFill>
              <w14:schemeClr w14:val="tx1"/>
            </w14:solidFill>
          </w14:textFill>
        </w:rPr>
        <w:t>全厂各类危险废物均分类收集、独立贮存，不得混入一般工业固废中贮存。危废尚未外送或处置之前，先暂存于危废暂存间，危废暂存间需严格按照《危险废物贮存污染控制标准》（GB18597-2023）的要求进行建设，采取防渗、防淋、防泄漏、防风、防晒等措施，并设置危险废物存放的标志牌。</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themeColor="text1"/>
          <w:sz w:val="24"/>
          <w:szCs w:val="24"/>
          <w:u w:val="single"/>
          <w14:textFill>
            <w14:solidFill>
              <w14:schemeClr w14:val="tx1"/>
            </w14:solidFill>
          </w14:textFill>
        </w:rPr>
      </w:pPr>
      <w:r>
        <w:rPr>
          <w:rFonts w:hint="eastAsia" w:ascii="宋体" w:hAnsi="宋体" w:eastAsia="宋体" w:cs="宋体"/>
          <w:color w:val="000000" w:themeColor="text1"/>
          <w:kern w:val="0"/>
          <w:sz w:val="24"/>
          <w:szCs w:val="24"/>
          <w:u w:val="single"/>
          <w:lang w:val="en-US" w:eastAsia="zh-CN" w:bidi="ar"/>
          <w14:textFill>
            <w14:solidFill>
              <w14:schemeClr w14:val="tx1"/>
            </w14:solidFill>
          </w14:textFill>
        </w:rPr>
        <w:t>本项目危废暂存间，用于临时贮存危险废物，周边无敏感目标，不会对环境空气、地表水、地下水、土壤等产生影响，选址符合要求。</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themeColor="text1"/>
          <w:kern w:val="0"/>
          <w:sz w:val="24"/>
          <w:szCs w:val="24"/>
          <w:u w:val="single"/>
          <w:lang w:val="en-US" w:eastAsia="zh-CN" w:bidi="ar"/>
          <w14:textFill>
            <w14:solidFill>
              <w14:schemeClr w14:val="tx1"/>
            </w14:solidFill>
          </w14:textFill>
        </w:rPr>
      </w:pPr>
      <w:r>
        <w:rPr>
          <w:rFonts w:hint="eastAsia" w:ascii="宋体" w:hAnsi="宋体" w:eastAsia="宋体" w:cs="宋体"/>
          <w:color w:val="000000" w:themeColor="text1"/>
          <w:kern w:val="0"/>
          <w:sz w:val="24"/>
          <w:szCs w:val="24"/>
          <w:u w:val="single"/>
          <w:lang w:val="en-US" w:eastAsia="zh-CN" w:bidi="ar"/>
          <w14:textFill>
            <w14:solidFill>
              <w14:schemeClr w14:val="tx1"/>
            </w14:solidFill>
          </w14:textFill>
        </w:rPr>
        <w:t>厂区危险废物暂存区面积为80㎡，堆放高度可达3m，最大可容纳198m³物料，经类比，废物堆比重在1.1-1.3左右，可储存物料在217-257t，危险废物暂存周期不超过3个月，按3个月考虑周转量，则厂区危险废物合计最大周转量约</w:t>
      </w:r>
      <w:r>
        <w:rPr>
          <w:rFonts w:hint="eastAsia" w:ascii="宋体" w:hAnsi="宋体" w:eastAsia="宋体" w:cs="宋体"/>
          <w:color w:val="000000" w:themeColor="text1"/>
          <w:sz w:val="24"/>
          <w:szCs w:val="24"/>
          <w:u w:val="single"/>
          <w:lang w:val="en-US" w:eastAsia="zh-CN"/>
          <w14:textFill>
            <w14:solidFill>
              <w14:schemeClr w14:val="tx1"/>
            </w14:solidFill>
          </w14:textFill>
        </w:rPr>
        <w:t>23.43t</w:t>
      </w:r>
      <w:r>
        <w:rPr>
          <w:rFonts w:hint="eastAsia" w:ascii="宋体" w:hAnsi="宋体" w:eastAsia="宋体" w:cs="宋体"/>
          <w:color w:val="000000" w:themeColor="text1"/>
          <w:kern w:val="0"/>
          <w:sz w:val="24"/>
          <w:szCs w:val="24"/>
          <w:u w:val="single"/>
          <w:lang w:val="en-US" w:eastAsia="zh-CN" w:bidi="ar"/>
          <w14:textFill>
            <w14:solidFill>
              <w14:schemeClr w14:val="tx1"/>
            </w14:solidFill>
          </w14:textFill>
        </w:rPr>
        <w:t>，因此，现有工程危险废物暂存间的容积足以满足扩建后全厂危险废物临时贮存及周转的需求。</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themeColor="text1"/>
          <w:kern w:val="0"/>
          <w:sz w:val="24"/>
          <w:szCs w:val="24"/>
          <w:u w:val="single"/>
          <w:lang w:val="en-US" w:eastAsia="zh-CN" w:bidi="ar"/>
          <w14:textFill>
            <w14:solidFill>
              <w14:schemeClr w14:val="tx1"/>
            </w14:solidFill>
          </w14:textFill>
        </w:rPr>
      </w:pPr>
      <w:r>
        <w:rPr>
          <w:rFonts w:hint="eastAsia" w:ascii="宋体" w:hAnsi="宋体" w:eastAsia="宋体" w:cs="宋体"/>
          <w:color w:val="000000" w:themeColor="text1"/>
          <w:kern w:val="0"/>
          <w:sz w:val="24"/>
          <w:szCs w:val="24"/>
          <w:u w:val="single"/>
          <w:lang w:val="en-US" w:eastAsia="zh-CN" w:bidi="ar"/>
          <w14:textFill>
            <w14:solidFill>
              <w14:schemeClr w14:val="tx1"/>
            </w14:solidFill>
          </w14:textFill>
        </w:rPr>
        <w:t xml:space="preserve">本次评价提出按照《危险废物贮存污染物控制标准》（GB18597-2023）的规定建设危险废物暂存间。具体要求如下：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themeColor="text1"/>
          <w:kern w:val="0"/>
          <w:sz w:val="24"/>
          <w:szCs w:val="24"/>
          <w:u w:val="single"/>
          <w:lang w:val="en-US" w:eastAsia="zh-CN" w:bidi="ar"/>
          <w14:textFill>
            <w14:solidFill>
              <w14:schemeClr w14:val="tx1"/>
            </w14:solidFill>
          </w14:textFill>
        </w:rPr>
      </w:pPr>
      <w:r>
        <w:rPr>
          <w:rFonts w:hint="eastAsia" w:ascii="宋体" w:hAnsi="宋体" w:eastAsia="宋体" w:cs="宋体"/>
          <w:color w:val="000000" w:themeColor="text1"/>
          <w:kern w:val="0"/>
          <w:sz w:val="24"/>
          <w:szCs w:val="24"/>
          <w:u w:val="single"/>
          <w:lang w:val="en-US" w:eastAsia="zh-CN" w:bidi="ar"/>
          <w14:textFill>
            <w14:solidFill>
              <w14:schemeClr w14:val="tx1"/>
            </w14:solidFill>
          </w14:textFill>
        </w:rPr>
        <w:t xml:space="preserve">①地面与裙脚要用坚固、防渗的材料建造，建筑材料必须与危险废物相容。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themeColor="text1"/>
          <w:kern w:val="0"/>
          <w:sz w:val="24"/>
          <w:szCs w:val="24"/>
          <w:u w:val="single"/>
          <w:lang w:val="en-US" w:eastAsia="zh-CN" w:bidi="ar"/>
          <w14:textFill>
            <w14:solidFill>
              <w14:schemeClr w14:val="tx1"/>
            </w14:solidFill>
          </w14:textFill>
        </w:rPr>
      </w:pPr>
      <w:r>
        <w:rPr>
          <w:rFonts w:hint="eastAsia" w:ascii="宋体" w:hAnsi="宋体" w:eastAsia="宋体" w:cs="宋体"/>
          <w:color w:val="000000" w:themeColor="text1"/>
          <w:kern w:val="0"/>
          <w:sz w:val="24"/>
          <w:szCs w:val="24"/>
          <w:u w:val="single"/>
          <w:lang w:val="en-US" w:eastAsia="zh-CN" w:bidi="ar"/>
          <w14:textFill>
            <w14:solidFill>
              <w14:schemeClr w14:val="tx1"/>
            </w14:solidFill>
          </w14:textFill>
        </w:rPr>
        <w:t>②基础必须防渗，防渗层为至少 1 米厚粘土层（渗透系数≤10</w:t>
      </w:r>
      <w:r>
        <w:rPr>
          <w:rFonts w:hint="eastAsia" w:ascii="宋体" w:hAnsi="宋体" w:eastAsia="宋体" w:cs="宋体"/>
          <w:color w:val="000000" w:themeColor="text1"/>
          <w:kern w:val="0"/>
          <w:sz w:val="24"/>
          <w:szCs w:val="24"/>
          <w:u w:val="single"/>
          <w:vertAlign w:val="superscript"/>
          <w:lang w:val="en-US" w:eastAsia="zh-CN" w:bidi="ar"/>
          <w14:textFill>
            <w14:solidFill>
              <w14:schemeClr w14:val="tx1"/>
            </w14:solidFill>
          </w14:textFill>
        </w:rPr>
        <w:t>-7</w:t>
      </w:r>
      <w:r>
        <w:rPr>
          <w:rFonts w:hint="eastAsia" w:ascii="宋体" w:hAnsi="宋体" w:eastAsia="宋体" w:cs="宋体"/>
          <w:color w:val="000000" w:themeColor="text1"/>
          <w:kern w:val="0"/>
          <w:sz w:val="24"/>
          <w:szCs w:val="24"/>
          <w:u w:val="single"/>
          <w:lang w:val="en-US" w:eastAsia="zh-CN" w:bidi="ar"/>
          <w14:textFill>
            <w14:solidFill>
              <w14:schemeClr w14:val="tx1"/>
            </w14:solidFill>
          </w14:textFill>
        </w:rPr>
        <w:t>厘米/秒），或2毫米厚高密度聚乙烯，或至少2毫米厚的其它人工材料，渗透系数≤10</w:t>
      </w:r>
      <w:r>
        <w:rPr>
          <w:rFonts w:hint="eastAsia" w:ascii="宋体" w:hAnsi="宋体" w:eastAsia="宋体" w:cs="宋体"/>
          <w:color w:val="000000" w:themeColor="text1"/>
          <w:kern w:val="0"/>
          <w:sz w:val="24"/>
          <w:szCs w:val="24"/>
          <w:u w:val="single"/>
          <w:vertAlign w:val="superscript"/>
          <w:lang w:val="en-US" w:eastAsia="zh-CN" w:bidi="ar"/>
          <w14:textFill>
            <w14:solidFill>
              <w14:schemeClr w14:val="tx1"/>
            </w14:solidFill>
          </w14:textFill>
        </w:rPr>
        <w:t>-10</w:t>
      </w:r>
      <w:r>
        <w:rPr>
          <w:rFonts w:hint="eastAsia" w:ascii="宋体" w:hAnsi="宋体" w:eastAsia="宋体" w:cs="宋体"/>
          <w:color w:val="000000" w:themeColor="text1"/>
          <w:kern w:val="0"/>
          <w:sz w:val="24"/>
          <w:szCs w:val="24"/>
          <w:u w:val="single"/>
          <w:lang w:val="en-US" w:eastAsia="zh-CN" w:bidi="ar"/>
          <w14:textFill>
            <w14:solidFill>
              <w14:schemeClr w14:val="tx1"/>
            </w14:solidFill>
          </w14:textFill>
        </w:rPr>
        <w:t>厘米/秒。</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themeColor="text1"/>
          <w:kern w:val="0"/>
          <w:sz w:val="24"/>
          <w:szCs w:val="24"/>
          <w:u w:val="single"/>
          <w:lang w:val="en-US" w:eastAsia="zh-CN" w:bidi="ar"/>
          <w14:textFill>
            <w14:solidFill>
              <w14:schemeClr w14:val="tx1"/>
            </w14:solidFill>
          </w14:textFill>
        </w:rPr>
      </w:pPr>
      <w:r>
        <w:rPr>
          <w:rFonts w:hint="eastAsia" w:ascii="宋体" w:hAnsi="宋体" w:eastAsia="宋体" w:cs="宋体"/>
          <w:color w:val="000000" w:themeColor="text1"/>
          <w:kern w:val="0"/>
          <w:sz w:val="24"/>
          <w:szCs w:val="24"/>
          <w:u w:val="single"/>
          <w:lang w:val="en-US" w:eastAsia="zh-CN" w:bidi="ar"/>
          <w14:textFill>
            <w14:solidFill>
              <w14:schemeClr w14:val="tx1"/>
            </w14:solidFill>
          </w14:textFill>
        </w:rPr>
        <w:t>③所有产生的危险废物均应使用符合标准要求的容器盛装，装载危险废物的容器及材质要满足相应的强度要求，且必须完好无损；</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themeColor="text1"/>
          <w:kern w:val="0"/>
          <w:sz w:val="24"/>
          <w:szCs w:val="24"/>
          <w:u w:val="single"/>
          <w:lang w:val="en-US" w:eastAsia="zh-CN" w:bidi="ar"/>
          <w14:textFill>
            <w14:solidFill>
              <w14:schemeClr w14:val="tx1"/>
            </w14:solidFill>
          </w14:textFill>
        </w:rPr>
      </w:pPr>
      <w:r>
        <w:rPr>
          <w:rFonts w:hint="eastAsia" w:ascii="宋体" w:hAnsi="宋体" w:eastAsia="宋体" w:cs="宋体"/>
          <w:color w:val="000000" w:themeColor="text1"/>
          <w:kern w:val="0"/>
          <w:sz w:val="24"/>
          <w:szCs w:val="24"/>
          <w:u w:val="single"/>
          <w:lang w:val="en-US" w:eastAsia="zh-CN" w:bidi="ar"/>
          <w14:textFill>
            <w14:solidFill>
              <w14:schemeClr w14:val="tx1"/>
            </w14:solidFill>
          </w14:textFill>
        </w:rPr>
        <w:t>④应设计堵截泄露的裙脚，地面与裙脚所围建的容积不低于堵截最大容器的最大储量或总储量的五分之一，不相容的危险废物必须分开存放，并设有隔离间隔断；</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themeColor="text1"/>
          <w:kern w:val="0"/>
          <w:sz w:val="24"/>
          <w:szCs w:val="24"/>
          <w:u w:val="single"/>
          <w:lang w:val="en-US" w:eastAsia="zh-CN" w:bidi="ar"/>
          <w14:textFill>
            <w14:solidFill>
              <w14:schemeClr w14:val="tx1"/>
            </w14:solidFill>
          </w14:textFill>
        </w:rPr>
      </w:pPr>
      <w:r>
        <w:rPr>
          <w:rFonts w:hint="eastAsia" w:ascii="宋体" w:hAnsi="宋体" w:eastAsia="宋体" w:cs="宋体"/>
          <w:color w:val="000000" w:themeColor="text1"/>
          <w:kern w:val="0"/>
          <w:sz w:val="24"/>
          <w:szCs w:val="24"/>
          <w:u w:val="single"/>
          <w:lang w:val="en-US" w:eastAsia="zh-CN" w:bidi="ar"/>
          <w14:textFill>
            <w14:solidFill>
              <w14:schemeClr w14:val="tx1"/>
            </w14:solidFill>
          </w14:textFill>
        </w:rPr>
        <w:t>⑤厂内建立危险废物台账管理制度，作好危险废物情况的记录，记录上须注明危险废物的名称、来源、数量、特性和包装容器类别、入库日期、存放库位、废物出库日期及接受单位名称，危险废物记录和货单在危险废物回取后应继续保留三年；</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themeColor="text1"/>
          <w:kern w:val="0"/>
          <w:sz w:val="24"/>
          <w:szCs w:val="24"/>
          <w:u w:val="single"/>
          <w:lang w:val="en-US" w:eastAsia="zh-CN" w:bidi="ar"/>
          <w14:textFill>
            <w14:solidFill>
              <w14:schemeClr w14:val="tx1"/>
            </w14:solidFill>
          </w14:textFill>
        </w:rPr>
      </w:pPr>
      <w:r>
        <w:rPr>
          <w:rFonts w:hint="eastAsia" w:ascii="宋体" w:hAnsi="宋体" w:eastAsia="宋体" w:cs="宋体"/>
          <w:color w:val="000000" w:themeColor="text1"/>
          <w:kern w:val="0"/>
          <w:sz w:val="24"/>
          <w:szCs w:val="24"/>
          <w:u w:val="single"/>
          <w:lang w:val="en-US" w:eastAsia="zh-CN" w:bidi="ar"/>
          <w14:textFill>
            <w14:solidFill>
              <w14:schemeClr w14:val="tx1"/>
            </w14:solidFill>
          </w14:textFill>
        </w:rPr>
        <w:t>⑥必须定期对贮存的危险废物包装容器及贮存设施进行检查，发现破损，应及时采取措施清理更换；</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themeColor="text1"/>
          <w:kern w:val="0"/>
          <w:sz w:val="24"/>
          <w:szCs w:val="24"/>
          <w:u w:val="single"/>
          <w:lang w:val="en-US" w:eastAsia="zh-CN" w:bidi="ar"/>
          <w14:textFill>
            <w14:solidFill>
              <w14:schemeClr w14:val="tx1"/>
            </w14:solidFill>
          </w14:textFill>
        </w:rPr>
      </w:pPr>
      <w:r>
        <w:rPr>
          <w:rFonts w:hint="eastAsia" w:ascii="宋体" w:hAnsi="宋体" w:eastAsia="宋体" w:cs="宋体"/>
          <w:color w:val="000000" w:themeColor="text1"/>
          <w:kern w:val="0"/>
          <w:sz w:val="24"/>
          <w:szCs w:val="24"/>
          <w:u w:val="single"/>
          <w:lang w:val="en-US" w:eastAsia="zh-CN" w:bidi="ar"/>
          <w14:textFill>
            <w14:solidFill>
              <w14:schemeClr w14:val="tx1"/>
            </w14:solidFill>
          </w14:textFill>
        </w:rPr>
        <w:t>⑦危险废物贮存设施必须按照《环境保护图形标志固体废物贮存（处置）场》（GB15562.2-1995）的规定设置警示标志。</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themeColor="text1"/>
          <w:kern w:val="0"/>
          <w:sz w:val="24"/>
          <w:szCs w:val="24"/>
          <w:u w:val="single"/>
          <w:lang w:val="en-US" w:eastAsia="zh-CN" w:bidi="ar"/>
          <w14:textFill>
            <w14:solidFill>
              <w14:schemeClr w14:val="tx1"/>
            </w14:solidFill>
          </w14:textFill>
        </w:rPr>
      </w:pPr>
      <w:r>
        <w:rPr>
          <w:rFonts w:hint="eastAsia" w:ascii="宋体" w:hAnsi="宋体" w:eastAsia="宋体" w:cs="宋体"/>
          <w:color w:val="000000" w:themeColor="text1"/>
          <w:kern w:val="0"/>
          <w:sz w:val="24"/>
          <w:szCs w:val="24"/>
          <w:u w:val="single"/>
          <w:lang w:val="en-US" w:eastAsia="zh-CN" w:bidi="ar"/>
          <w14:textFill>
            <w14:solidFill>
              <w14:schemeClr w14:val="tx1"/>
            </w14:solidFill>
          </w14:textFill>
        </w:rPr>
        <w:t>⑧危险废物应分类存放，并设有隔离间隔断，同时应设置标识牌，注明危废名称、种类、危险特性、注意事项等。</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themeColor="text1"/>
          <w:kern w:val="0"/>
          <w:sz w:val="24"/>
          <w:szCs w:val="24"/>
          <w:u w:val="single"/>
          <w:lang w:val="en-US" w:eastAsia="zh-CN" w:bidi="ar"/>
          <w14:textFill>
            <w14:solidFill>
              <w14:schemeClr w14:val="tx1"/>
            </w14:solidFill>
          </w14:textFill>
        </w:rPr>
      </w:pPr>
      <w:r>
        <w:rPr>
          <w:rFonts w:hint="eastAsia" w:ascii="宋体" w:hAnsi="宋体" w:eastAsia="宋体" w:cs="宋体"/>
          <w:color w:val="000000" w:themeColor="text1"/>
          <w:kern w:val="0"/>
          <w:sz w:val="24"/>
          <w:szCs w:val="24"/>
          <w:u w:val="single"/>
          <w:lang w:val="en-US" w:eastAsia="zh-CN" w:bidi="ar"/>
          <w14:textFill>
            <w14:solidFill>
              <w14:schemeClr w14:val="tx1"/>
            </w14:solidFill>
          </w14:textFill>
        </w:rPr>
        <w:t>⑨危废暂存间应悬挂标识牌。</w:t>
      </w:r>
    </w:p>
    <w:p>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outlineLvl w:val="3"/>
        <w:rPr>
          <w:rFonts w:hint="eastAsia" w:ascii="宋体" w:hAnsi="宋体" w:eastAsia="宋体" w:cs="宋体"/>
          <w:b/>
          <w:bCs/>
          <w:color w:val="000000" w:themeColor="text1"/>
          <w:lang w:val="en-US" w:eastAsia="zh-CN"/>
          <w14:textFill>
            <w14:solidFill>
              <w14:schemeClr w14:val="tx1"/>
            </w14:solidFill>
          </w14:textFill>
        </w:rPr>
      </w:pPr>
      <w:r>
        <w:rPr>
          <w:rFonts w:hint="eastAsia" w:ascii="宋体" w:hAnsi="宋体" w:eastAsia="宋体" w:cs="宋体"/>
          <w:b/>
          <w:bCs/>
          <w:color w:val="000000" w:themeColor="text1"/>
          <w:lang w:val="en-US" w:eastAsia="zh-CN"/>
          <w14:textFill>
            <w14:solidFill>
              <w14:schemeClr w14:val="tx1"/>
            </w14:solidFill>
          </w14:textFill>
        </w:rPr>
        <w:t>5.2.4.5危险废物运输过程的环境影响分析</w:t>
      </w:r>
    </w:p>
    <w:p>
      <w:pPr>
        <w:spacing w:line="360" w:lineRule="auto"/>
        <w:ind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危险废物的运输包括厂区内部运输从车间转移至危险废物暂存库，外运即从厂区危险废物暂存库运至危险废物处置单位或场所。</w:t>
      </w:r>
    </w:p>
    <w:p>
      <w:pPr>
        <w:spacing w:line="360" w:lineRule="auto"/>
        <w:ind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厂内运输方式采用叉车，废内包装袋采用防渗漏包装袋打包。通过规范操作，可以将转移过程中包装袋发生破裂、泼洒等几率降至最低，避免了泄漏对厂区环境造成影响。</w:t>
      </w:r>
    </w:p>
    <w:p>
      <w:pPr>
        <w:spacing w:line="360" w:lineRule="auto"/>
        <w:ind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项目危险废物在厂区暂存后委托有资质单位处置，外运过程由有资质单位采用符合要求的车辆进行运输，外运时严格执行《危险废物收集贮存运输技术规范》（HJ 2025-2012）和《危险废物转移联单管理办法》，并制定好危险废物转移运输途中的污染防范及事故应急措施，严格按照要求办理有关手续。因此，运输过程环境风险可控，环境影响较小。</w:t>
      </w:r>
    </w:p>
    <w:p>
      <w:pPr>
        <w:spacing w:line="360" w:lineRule="auto"/>
        <w:ind w:firstLine="480" w:firstLineChars="200"/>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为进一步加强项目危险废物运输和处置的管理，本评价建议，项目危险废物转移应实行就近原则，处属于全国统筹布局的特殊类别危险废物处置设施，省、自治区、直辖市之间开展区域合作的危险废物处置设施，以及企业集团内部共享的危险废物处置设施外，尽量在省内转移处置危险废物。</w:t>
      </w:r>
    </w:p>
    <w:p>
      <w:pPr>
        <w:spacing w:line="360" w:lineRule="auto"/>
        <w:ind w:firstLine="480" w:firstLineChars="200"/>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根据危废产生单位需处置量及地区分布、各地区交通路线及路况，结合《汽车危险货物运输规则》制定出危废运输路线。项目危废运输由危废处置单位负责。运输单位在运输本项目危险废物过程中应严格做好相应的防范措施，防止危险废物的泄漏，或发生重大交通事故。</w:t>
      </w:r>
    </w:p>
    <w:p>
      <w:pPr>
        <w:adjustRightInd w:val="0"/>
        <w:spacing w:line="360" w:lineRule="auto"/>
        <w:ind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通过上述分析可知，项目危险废物运输过程中在严格做好相应的防范措施后，对环境的影响较小。</w:t>
      </w:r>
    </w:p>
    <w:p>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outlineLvl w:val="3"/>
        <w:rPr>
          <w:rFonts w:hint="eastAsia" w:ascii="宋体" w:hAnsi="宋体" w:eastAsia="宋体" w:cs="宋体"/>
          <w:b/>
          <w:bCs/>
          <w:color w:val="000000" w:themeColor="text1"/>
          <w:lang w:val="en-US" w:eastAsia="zh-CN"/>
          <w14:textFill>
            <w14:solidFill>
              <w14:schemeClr w14:val="tx1"/>
            </w14:solidFill>
          </w14:textFill>
        </w:rPr>
      </w:pPr>
      <w:r>
        <w:rPr>
          <w:rFonts w:hint="eastAsia" w:ascii="宋体" w:hAnsi="宋体" w:eastAsia="宋体" w:cs="宋体"/>
          <w:b/>
          <w:bCs/>
          <w:color w:val="000000" w:themeColor="text1"/>
          <w:lang w:val="en-US" w:eastAsia="zh-CN"/>
          <w14:textFill>
            <w14:solidFill>
              <w14:schemeClr w14:val="tx1"/>
            </w14:solidFill>
          </w14:textFill>
        </w:rPr>
        <w:t>5.2.4.6危险废物委托处置的环境影响分析</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项目危险废物委托具有相关处理资质的单位处置，不直接对环境排放，不会对环境造成影响。</w:t>
      </w:r>
    </w:p>
    <w:p>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outlineLvl w:val="3"/>
        <w:rPr>
          <w:rFonts w:hint="eastAsia" w:ascii="宋体" w:hAnsi="宋体" w:eastAsia="宋体" w:cs="宋体"/>
          <w:b/>
          <w:bCs/>
          <w:color w:val="000000" w:themeColor="text1"/>
          <w:lang w:val="en-US" w:eastAsia="zh-CN"/>
          <w14:textFill>
            <w14:solidFill>
              <w14:schemeClr w14:val="tx1"/>
            </w14:solidFill>
          </w14:textFill>
        </w:rPr>
      </w:pPr>
      <w:r>
        <w:rPr>
          <w:rFonts w:hint="eastAsia" w:ascii="宋体" w:hAnsi="宋体" w:eastAsia="宋体" w:cs="宋体"/>
          <w:b/>
          <w:bCs/>
          <w:color w:val="000000" w:themeColor="text1"/>
          <w:lang w:val="en-US" w:eastAsia="zh-CN"/>
          <w14:textFill>
            <w14:solidFill>
              <w14:schemeClr w14:val="tx1"/>
            </w14:solidFill>
          </w14:textFill>
        </w:rPr>
        <w:t>5.2.4.7固体废物环境影响分析结论</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项目各类废物在产生、收集、存放、运输、处置等各个环节，均严格按照有关法律法规要求，实行从产生到最终处置的全面管理体制。项目所产生的固体废物通过以上方法处理处置后，将不会对周围环境产生影响。</w:t>
      </w:r>
    </w:p>
    <w:p>
      <w:pPr>
        <w:pStyle w:val="8"/>
        <w:keepNext/>
        <w:keepLines/>
        <w:pageBreakBefore w:val="0"/>
        <w:widowControl/>
        <w:kinsoku/>
        <w:wordWrap/>
        <w:overflowPunct/>
        <w:topLinePunct w:val="0"/>
        <w:autoSpaceDE/>
        <w:autoSpaceDN/>
        <w:bidi w:val="0"/>
        <w:adjustRightInd/>
        <w:snapToGrid/>
        <w:ind w:firstLine="482" w:firstLineChars="200"/>
        <w:textAlignment w:val="auto"/>
        <w:rPr>
          <w:rFonts w:hint="eastAsia" w:ascii="宋体" w:hAnsi="宋体" w:eastAsia="宋体" w:cs="宋体"/>
          <w:bCs/>
          <w:color w:val="000000" w:themeColor="text1"/>
          <w:highlight w:val="none"/>
          <w:lang w:val="en-US" w:eastAsia="zh-CN"/>
          <w14:textFill>
            <w14:solidFill>
              <w14:schemeClr w14:val="tx1"/>
            </w14:solidFill>
          </w14:textFill>
        </w:rPr>
      </w:pPr>
      <w:bookmarkStart w:id="418" w:name="_Toc8870"/>
      <w:bookmarkStart w:id="419" w:name="_Toc15463"/>
      <w:bookmarkStart w:id="420" w:name="_Toc11423"/>
      <w:bookmarkStart w:id="421" w:name="_Toc11358"/>
      <w:bookmarkStart w:id="422" w:name="_Toc17422"/>
      <w:bookmarkStart w:id="423" w:name="_Toc1720"/>
      <w:r>
        <w:rPr>
          <w:rFonts w:hint="eastAsia" w:ascii="宋体" w:hAnsi="宋体" w:eastAsia="宋体" w:cs="宋体"/>
          <w:bCs/>
          <w:color w:val="000000" w:themeColor="text1"/>
          <w:highlight w:val="none"/>
          <w:lang w:val="en-US" w:eastAsia="zh-CN"/>
          <w14:textFill>
            <w14:solidFill>
              <w14:schemeClr w14:val="tx1"/>
            </w14:solidFill>
          </w14:textFill>
        </w:rPr>
        <w:t>5.2.5地下水环境影响预测分析</w:t>
      </w:r>
      <w:bookmarkEnd w:id="418"/>
    </w:p>
    <w:p>
      <w:pPr>
        <w:widowControl w:val="0"/>
        <w:snapToGrid w:val="0"/>
        <w:spacing w:line="360" w:lineRule="auto"/>
        <w:ind w:firstLine="360" w:firstLineChars="150"/>
        <w:jc w:val="both"/>
        <w:rPr>
          <w:rFonts w:hint="eastAsia" w:ascii="宋体" w:hAnsi="宋体" w:eastAsia="宋体" w:cs="宋体"/>
          <w:bCs/>
          <w:color w:val="000000" w:themeColor="text1"/>
          <w:kern w:val="2"/>
          <w:szCs w:val="20"/>
          <w:highlight w:val="none"/>
          <w:lang w:val="en-US" w:eastAsia="zh-CN"/>
          <w14:textFill>
            <w14:solidFill>
              <w14:schemeClr w14:val="tx1"/>
            </w14:solidFill>
          </w14:textFill>
        </w:rPr>
      </w:pPr>
      <w:r>
        <w:rPr>
          <w:rFonts w:hint="eastAsia" w:ascii="宋体" w:hAnsi="宋体" w:eastAsia="宋体" w:cs="宋体"/>
          <w:bCs/>
          <w:color w:val="000000" w:themeColor="text1"/>
          <w:kern w:val="2"/>
          <w:szCs w:val="20"/>
          <w:highlight w:val="none"/>
          <w:lang w:val="en-US" w:eastAsia="zh-CN"/>
          <w14:textFill>
            <w14:solidFill>
              <w14:schemeClr w14:val="tx1"/>
            </w14:solidFill>
          </w14:textFill>
        </w:rPr>
        <w:t>拟建项目主要废水为地面保洁废水，水质简单，主要污染物为COD、NH3-N。</w:t>
      </w:r>
    </w:p>
    <w:p>
      <w:pPr>
        <w:widowControl w:val="0"/>
        <w:snapToGrid w:val="0"/>
        <w:spacing w:line="360" w:lineRule="auto"/>
        <w:ind w:firstLine="360" w:firstLineChars="150"/>
        <w:jc w:val="both"/>
        <w:rPr>
          <w:rFonts w:hint="eastAsia" w:ascii="宋体" w:hAnsi="宋体" w:eastAsia="宋体" w:cs="宋体"/>
          <w:bCs/>
          <w:color w:val="000000" w:themeColor="text1"/>
          <w:kern w:val="2"/>
          <w:szCs w:val="20"/>
          <w:highlight w:val="none"/>
          <w14:textFill>
            <w14:solidFill>
              <w14:schemeClr w14:val="tx1"/>
            </w14:solidFill>
          </w14:textFill>
        </w:rPr>
      </w:pPr>
      <w:r>
        <w:rPr>
          <w:rFonts w:hint="eastAsia" w:ascii="宋体" w:hAnsi="宋体" w:eastAsia="宋体" w:cs="宋体"/>
          <w:bCs/>
          <w:color w:val="000000" w:themeColor="text1"/>
          <w:kern w:val="2"/>
          <w:szCs w:val="20"/>
          <w:highlight w:val="none"/>
          <w:lang w:val="en-US" w:eastAsia="zh-CN"/>
          <w14:textFill>
            <w14:solidFill>
              <w14:schemeClr w14:val="tx1"/>
            </w14:solidFill>
          </w14:textFill>
        </w:rPr>
        <w:t>为避免渗漏对地下水产生不利影响，污水管网均采取防渗处理措施。项目按照规范和要求对污水收集处理构筑物、污水运送管线、化粪池、生活垃圾、固体废弃物等均采取有效的防渗漏、防溢流措施，并加强对各种废水及固体废物的管理，在正常运行工况下，不会对地下水环境质量造成显著的不利影响。</w:t>
      </w:r>
    </w:p>
    <w:p>
      <w:pPr>
        <w:widowControl w:val="0"/>
        <w:snapToGrid w:val="0"/>
        <w:spacing w:line="360" w:lineRule="auto"/>
        <w:ind w:firstLine="360" w:firstLineChars="150"/>
        <w:jc w:val="both"/>
        <w:rPr>
          <w:rFonts w:hint="eastAsia" w:ascii="宋体" w:hAnsi="宋体" w:eastAsia="宋体" w:cs="宋体"/>
          <w:bCs/>
          <w:color w:val="000000" w:themeColor="text1"/>
          <w:kern w:val="2"/>
          <w:szCs w:val="20"/>
          <w:highlight w:val="none"/>
          <w:lang w:val="en-US" w:eastAsia="zh-CN"/>
          <w14:textFill>
            <w14:solidFill>
              <w14:schemeClr w14:val="tx1"/>
            </w14:solidFill>
          </w14:textFill>
        </w:rPr>
      </w:pPr>
      <w:r>
        <w:rPr>
          <w:rFonts w:hint="eastAsia" w:ascii="宋体" w:hAnsi="宋体" w:eastAsia="宋体" w:cs="宋体"/>
          <w:bCs/>
          <w:color w:val="000000" w:themeColor="text1"/>
          <w:kern w:val="2"/>
          <w:szCs w:val="20"/>
          <w:highlight w:val="none"/>
          <w:lang w:val="en-US" w:eastAsia="zh-CN"/>
          <w14:textFill>
            <w14:solidFill>
              <w14:schemeClr w14:val="tx1"/>
            </w14:solidFill>
          </w14:textFill>
        </w:rPr>
        <w:t>非正常工况下厂区对地下水可能造成的影响主要是由于出现泄漏、溢流以及事故淋洒，导致污染物进入包气带并最终到达浅层地下水。厂区包气带主要为粘性土，防渗性能中等，且厂区地面已经进行了硬化，并对重点污染区进行了防腐防渗。只要不出现大量的持续渗漏，不会导致的地下水污染。</w:t>
      </w:r>
    </w:p>
    <w:p>
      <w:pPr>
        <w:keepNext w:val="0"/>
        <w:keepLines w:val="0"/>
        <w:pageBreakBefore w:val="0"/>
        <w:widowControl/>
        <w:kinsoku/>
        <w:wordWrap/>
        <w:overflowPunct/>
        <w:topLinePunct w:val="0"/>
        <w:autoSpaceDE/>
        <w:autoSpaceDN/>
        <w:bidi w:val="0"/>
        <w:adjustRightInd/>
        <w:snapToGrid/>
        <w:spacing w:before="167" w:beforeLines="50" w:after="167" w:afterLines="50" w:line="360" w:lineRule="auto"/>
        <w:ind w:firstLine="0" w:firstLineChars="0"/>
        <w:jc w:val="center"/>
        <w:textAlignment w:val="auto"/>
        <w:rPr>
          <w:rFonts w:hint="eastAsia" w:ascii="宋体" w:hAnsi="宋体" w:eastAsia="宋体" w:cs="宋体"/>
          <w:b/>
          <w:bCs/>
          <w:color w:val="000000" w:themeColor="text1"/>
          <w:highlight w:val="none"/>
          <w:lang w:val="en-US" w:eastAsia="zh-CN"/>
          <w14:textFill>
            <w14:solidFill>
              <w14:schemeClr w14:val="tx1"/>
            </w14:solidFill>
          </w14:textFill>
        </w:rPr>
      </w:pPr>
      <w:r>
        <w:rPr>
          <w:rFonts w:hint="eastAsia" w:ascii="宋体" w:hAnsi="宋体" w:eastAsia="宋体" w:cs="宋体"/>
          <w:b/>
          <w:bCs/>
          <w:color w:val="000000" w:themeColor="text1"/>
          <w:highlight w:val="none"/>
          <w:lang w:val="en-US" w:eastAsia="zh-CN"/>
          <w14:textFill>
            <w14:solidFill>
              <w14:schemeClr w14:val="tx1"/>
            </w14:solidFill>
          </w14:textFill>
        </w:rPr>
        <w:t>表5.2-11非正常工况下厂区主要地下水污染途径列表</w:t>
      </w:r>
    </w:p>
    <w:tbl>
      <w:tblPr>
        <w:tblStyle w:val="3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1"/>
        <w:gridCol w:w="1454"/>
        <w:gridCol w:w="1330"/>
        <w:gridCol w:w="61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潜在污染源</w:t>
            </w:r>
          </w:p>
        </w:tc>
        <w:tc>
          <w:tcPr>
            <w:tcW w:w="738"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污染途径</w:t>
            </w:r>
          </w:p>
        </w:tc>
        <w:tc>
          <w:tcPr>
            <w:tcW w:w="675"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主要污染物</w:t>
            </w:r>
          </w:p>
        </w:tc>
        <w:tc>
          <w:tcPr>
            <w:tcW w:w="3143"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影响分析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搅拌罐</w:t>
            </w:r>
          </w:p>
        </w:tc>
        <w:tc>
          <w:tcPr>
            <w:tcW w:w="738"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二甲基乙酰胺发生泄漏</w:t>
            </w:r>
          </w:p>
        </w:tc>
        <w:tc>
          <w:tcPr>
            <w:tcW w:w="675"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二甲基乙酰胺</w:t>
            </w:r>
          </w:p>
        </w:tc>
        <w:tc>
          <w:tcPr>
            <w:tcW w:w="3143"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二甲基乙酰胺原料存放于原料仓库内，地面采取重点防渗、仓库设置围堰和慢坡，少量泄漏会控制在仓库内，泄漏容易发现，且原料仓库按GB15603-1995《常用化学危险品贮存通则》要求作好防渗措施，只要处理及时，不易造成大范围的地下水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危废暂存间</w:t>
            </w:r>
          </w:p>
        </w:tc>
        <w:tc>
          <w:tcPr>
            <w:tcW w:w="738"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二甲基乙酰胺发生泄漏</w:t>
            </w:r>
          </w:p>
        </w:tc>
        <w:tc>
          <w:tcPr>
            <w:tcW w:w="675"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二甲基乙酰胺、废润滑油等</w:t>
            </w:r>
          </w:p>
        </w:tc>
        <w:tc>
          <w:tcPr>
            <w:tcW w:w="3143"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项目危废暂存间在厂区二楼，且对地面进行了防腐防渗，周边设置有慢坡，当发生泄漏时会控制在危废间内，不会污染地下水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流延和亚胺化</w:t>
            </w:r>
          </w:p>
        </w:tc>
        <w:tc>
          <w:tcPr>
            <w:tcW w:w="738"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生产装置发生事故时物料泄漏</w:t>
            </w:r>
          </w:p>
        </w:tc>
        <w:tc>
          <w:tcPr>
            <w:tcW w:w="675"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二甲基乙酰胺</w:t>
            </w:r>
          </w:p>
        </w:tc>
        <w:tc>
          <w:tcPr>
            <w:tcW w:w="3143"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厂区地面已进行了硬化，并对流涎和烘干拉伸区地面进行防腐防渗处理，在周边设置慢坡，发生小规模泄漏能将泄漏的物料控制在慢坡内，不会对地下水造成污染。但当发</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生火灾时会产生大量的消防废水，通过厂区雨水管网进行收集，但是收集过程中会有少部分消防废水通过厂区地面渗入地下水，对地下水造成污染</w:t>
            </w:r>
          </w:p>
        </w:tc>
      </w:tr>
    </w:tbl>
    <w:p>
      <w:pPr>
        <w:widowControl w:val="0"/>
        <w:snapToGrid w:val="0"/>
        <w:spacing w:line="360" w:lineRule="auto"/>
        <w:ind w:firstLine="360" w:firstLineChars="150"/>
        <w:jc w:val="both"/>
        <w:rPr>
          <w:rFonts w:hint="eastAsia" w:ascii="宋体" w:hAnsi="宋体" w:eastAsia="宋体" w:cs="宋体"/>
          <w:bCs/>
          <w:color w:val="000000" w:themeColor="text1"/>
          <w:kern w:val="2"/>
          <w:szCs w:val="20"/>
          <w:highlight w:val="none"/>
          <w:lang w:val="en-US" w:eastAsia="zh-CN"/>
          <w14:textFill>
            <w14:solidFill>
              <w14:schemeClr w14:val="tx1"/>
            </w14:solidFill>
          </w14:textFill>
        </w:rPr>
      </w:pPr>
      <w:r>
        <w:rPr>
          <w:rFonts w:hint="eastAsia" w:ascii="宋体" w:hAnsi="宋体" w:eastAsia="宋体" w:cs="宋体"/>
          <w:bCs/>
          <w:color w:val="000000" w:themeColor="text1"/>
          <w:kern w:val="2"/>
          <w:szCs w:val="20"/>
          <w:highlight w:val="none"/>
          <w:lang w:val="en-US" w:eastAsia="zh-CN"/>
          <w14:textFill>
            <w14:solidFill>
              <w14:schemeClr w14:val="tx1"/>
            </w14:solidFill>
          </w14:textFill>
        </w:rPr>
        <w:t>项目对地下水造成污染的最大可能事故是发生火灾时，产生的消防废水经厂区雨水管网进行收集时可能有一小部分的消防废水会渗入地下水，造成地下水污染，因此项目在设计和建设时应充分考虑采取措施防止火灾事故的发生，应在原料区和流涎及烘干拉伸区等危险部位设置可燃气体报警器、超温超压报警等防范措施，最大可能减少火灾事故的发生概率。</w:t>
      </w:r>
    </w:p>
    <w:p>
      <w:pPr>
        <w:widowControl w:val="0"/>
        <w:snapToGrid w:val="0"/>
        <w:spacing w:line="360" w:lineRule="auto"/>
        <w:ind w:firstLine="360" w:firstLineChars="150"/>
        <w:jc w:val="both"/>
        <w:rPr>
          <w:rFonts w:hint="eastAsia" w:ascii="宋体" w:hAnsi="宋体" w:eastAsia="宋体" w:cs="宋体"/>
          <w:bCs/>
          <w:color w:val="000000" w:themeColor="text1"/>
          <w:kern w:val="2"/>
          <w:szCs w:val="20"/>
          <w:highlight w:val="none"/>
          <w:lang w:val="en-US" w:eastAsia="zh-CN"/>
          <w14:textFill>
            <w14:solidFill>
              <w14:schemeClr w14:val="tx1"/>
            </w14:solidFill>
          </w14:textFill>
        </w:rPr>
      </w:pPr>
      <w:r>
        <w:rPr>
          <w:rFonts w:hint="eastAsia" w:ascii="宋体" w:hAnsi="宋体" w:eastAsia="宋体" w:cs="宋体"/>
          <w:bCs/>
          <w:color w:val="000000" w:themeColor="text1"/>
          <w:kern w:val="2"/>
          <w:szCs w:val="20"/>
          <w:highlight w:val="none"/>
          <w:lang w:val="en-US" w:eastAsia="zh-CN"/>
          <w14:textFill>
            <w14:solidFill>
              <w14:schemeClr w14:val="tx1"/>
            </w14:solidFill>
          </w14:textFill>
        </w:rPr>
        <w:t>项目设计、施工、生产过程中，在对污染源采取切实有效的污染防治措施的情况下，同时加强地下水监测工作，发现污染源泄漏对地下水造成影响时立即采取有效措施，对泄漏的污染源立即采取补救措施，防止污染源的二次泄漏，保护地下水环境。</w:t>
      </w:r>
    </w:p>
    <w:p>
      <w:pPr>
        <w:widowControl w:val="0"/>
        <w:snapToGrid w:val="0"/>
        <w:spacing w:line="360" w:lineRule="auto"/>
        <w:ind w:firstLine="360" w:firstLineChars="150"/>
        <w:jc w:val="both"/>
        <w:rPr>
          <w:rFonts w:hint="eastAsia" w:ascii="宋体" w:hAnsi="宋体" w:eastAsia="宋体" w:cs="宋体"/>
          <w:bCs/>
          <w:color w:val="000000" w:themeColor="text1"/>
          <w:kern w:val="2"/>
          <w:szCs w:val="20"/>
          <w:highlight w:val="none"/>
          <w:lang w:val="en-US" w:eastAsia="zh-CN"/>
          <w14:textFill>
            <w14:solidFill>
              <w14:schemeClr w14:val="tx1"/>
            </w14:solidFill>
          </w14:textFill>
        </w:rPr>
      </w:pPr>
      <w:r>
        <w:rPr>
          <w:rFonts w:hint="eastAsia" w:ascii="宋体" w:hAnsi="宋体" w:eastAsia="宋体" w:cs="宋体"/>
          <w:bCs/>
          <w:color w:val="000000" w:themeColor="text1"/>
          <w:kern w:val="2"/>
          <w:szCs w:val="20"/>
          <w:highlight w:val="none"/>
          <w:lang w:val="en-US" w:eastAsia="zh-CN"/>
          <w14:textFill>
            <w14:solidFill>
              <w14:schemeClr w14:val="tx1"/>
            </w14:solidFill>
          </w14:textFill>
        </w:rPr>
        <w:t>因此，本项目对地下水的环境影响较小。</w:t>
      </w:r>
    </w:p>
    <w:p>
      <w:pPr>
        <w:pStyle w:val="8"/>
        <w:keepNext/>
        <w:keepLines/>
        <w:pageBreakBefore w:val="0"/>
        <w:widowControl/>
        <w:kinsoku/>
        <w:wordWrap/>
        <w:overflowPunct/>
        <w:topLinePunct w:val="0"/>
        <w:autoSpaceDE/>
        <w:autoSpaceDN/>
        <w:bidi w:val="0"/>
        <w:adjustRightInd/>
        <w:snapToGrid/>
        <w:ind w:firstLine="482" w:firstLineChars="200"/>
        <w:textAlignment w:val="auto"/>
        <w:rPr>
          <w:rFonts w:hint="eastAsia" w:ascii="宋体" w:hAnsi="宋体" w:eastAsia="宋体" w:cs="宋体"/>
          <w:bCs/>
          <w:color w:val="000000" w:themeColor="text1"/>
          <w:highlight w:val="none"/>
          <w:lang w:val="en-US" w:eastAsia="zh-CN"/>
          <w14:textFill>
            <w14:solidFill>
              <w14:schemeClr w14:val="tx1"/>
            </w14:solidFill>
          </w14:textFill>
        </w:rPr>
      </w:pPr>
      <w:bookmarkStart w:id="424" w:name="_Toc30577"/>
      <w:r>
        <w:rPr>
          <w:rFonts w:hint="eastAsia" w:ascii="宋体" w:hAnsi="宋体" w:eastAsia="宋体" w:cs="宋体"/>
          <w:bCs/>
          <w:color w:val="000000" w:themeColor="text1"/>
          <w:highlight w:val="none"/>
          <w:lang w:val="en-US" w:eastAsia="zh-CN"/>
          <w14:textFill>
            <w14:solidFill>
              <w14:schemeClr w14:val="tx1"/>
            </w14:solidFill>
          </w14:textFill>
        </w:rPr>
        <w:t>5.2.6土壤环境影响预测分析</w:t>
      </w:r>
      <w:bookmarkEnd w:id="419"/>
      <w:bookmarkEnd w:id="420"/>
      <w:bookmarkEnd w:id="421"/>
      <w:bookmarkEnd w:id="422"/>
      <w:bookmarkEnd w:id="423"/>
      <w:bookmarkEnd w:id="424"/>
    </w:p>
    <w:p>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outlineLvl w:val="3"/>
        <w:rPr>
          <w:rFonts w:hint="eastAsia" w:ascii="宋体" w:hAnsi="宋体" w:eastAsia="宋体" w:cs="宋体"/>
          <w:b/>
          <w:bCs/>
          <w:color w:val="000000" w:themeColor="text1"/>
          <w:lang w:val="en-US" w:eastAsia="zh-CN"/>
          <w14:textFill>
            <w14:solidFill>
              <w14:schemeClr w14:val="tx1"/>
            </w14:solidFill>
          </w14:textFill>
        </w:rPr>
      </w:pPr>
      <w:bookmarkStart w:id="425" w:name="_Toc2552"/>
      <w:bookmarkStart w:id="426" w:name="_Toc910"/>
      <w:bookmarkStart w:id="427" w:name="_Toc21073"/>
      <w:bookmarkStart w:id="428" w:name="_Toc7055"/>
      <w:r>
        <w:rPr>
          <w:rFonts w:hint="eastAsia" w:ascii="宋体" w:hAnsi="宋体" w:eastAsia="宋体" w:cs="宋体"/>
          <w:b/>
          <w:bCs/>
          <w:color w:val="000000" w:themeColor="text1"/>
          <w:lang w:val="en-US" w:eastAsia="zh-CN"/>
          <w14:textFill>
            <w14:solidFill>
              <w14:schemeClr w14:val="tx1"/>
            </w14:solidFill>
          </w14:textFill>
        </w:rPr>
        <w:t>5.2.6.1土壤环境污染影响类型及影响途径</w:t>
      </w:r>
      <w:bookmarkEnd w:id="425"/>
      <w:bookmarkEnd w:id="426"/>
      <w:bookmarkEnd w:id="427"/>
      <w:bookmarkEnd w:id="428"/>
    </w:p>
    <w:p>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土壤污染是指人类活动所产生的物质(污染物)，通过各种途径进入土壤，其数量和速度超过了土壤的容纳能力和净化速度的现象。土壤污染可使土壤的性质、组成及性状等发生变化，使污染物质的积累过程逐渐占据优势，破坏土壤的自然动态平衡，从而导致土壤自然正常功能失调，土壤质量恶化，影响作物的生长发育，以致造成产量和质量的下降，并可通过食物链危害生物和人类健康。</w:t>
      </w:r>
    </w:p>
    <w:p>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本项目为土壤污染影响型项目，对土壤产生的影响主要是集中在运营期。其影响途径主要是</w:t>
      </w:r>
      <w:r>
        <w:rPr>
          <w:rFonts w:hint="eastAsia" w:ascii="宋体" w:hAnsi="宋体" w:eastAsia="宋体" w:cs="宋体"/>
          <w:bCs/>
          <w:color w:val="000000" w:themeColor="text1"/>
          <w:highlight w:val="none"/>
          <w14:textFill>
            <w14:solidFill>
              <w14:schemeClr w14:val="tx1"/>
            </w14:solidFill>
          </w14:textFill>
        </w:rPr>
        <w:t>DMAC</w:t>
      </w:r>
      <w:r>
        <w:rPr>
          <w:rFonts w:hint="eastAsia" w:ascii="宋体" w:hAnsi="宋体" w:eastAsia="宋体" w:cs="宋体"/>
          <w:color w:val="000000" w:themeColor="text1"/>
          <w:highlight w:val="none"/>
          <w14:textFill>
            <w14:solidFill>
              <w14:schemeClr w14:val="tx1"/>
            </w14:solidFill>
          </w14:textFill>
        </w:rPr>
        <w:t>等有机废气沉降、工艺废水的地表漫流以及化学原料及液体物料的垂直入渗，本项目土壤环境污染影响类型及影响途径如下表所示：</w:t>
      </w:r>
    </w:p>
    <w:p>
      <w:pPr>
        <w:keepNext w:val="0"/>
        <w:keepLines w:val="0"/>
        <w:pageBreakBefore w:val="0"/>
        <w:widowControl/>
        <w:kinsoku/>
        <w:wordWrap/>
        <w:overflowPunct/>
        <w:topLinePunct w:val="0"/>
        <w:autoSpaceDE/>
        <w:autoSpaceDN/>
        <w:bidi w:val="0"/>
        <w:adjustRightInd/>
        <w:snapToGrid/>
        <w:spacing w:before="167" w:beforeLines="50" w:after="167" w:afterLines="50" w:line="360" w:lineRule="auto"/>
        <w:ind w:firstLine="0" w:firstLineChars="0"/>
        <w:jc w:val="center"/>
        <w:textAlignment w:val="auto"/>
        <w:rPr>
          <w:rFonts w:hint="eastAsia" w:ascii="宋体" w:hAnsi="宋体" w:eastAsia="宋体" w:cs="宋体"/>
          <w:b/>
          <w:bCs/>
          <w:color w:val="000000" w:themeColor="text1"/>
          <w:highlight w:val="none"/>
          <w:lang w:val="en-US" w:eastAsia="zh-CN"/>
          <w14:textFill>
            <w14:solidFill>
              <w14:schemeClr w14:val="tx1"/>
            </w14:solidFill>
          </w14:textFill>
        </w:rPr>
      </w:pPr>
      <w:r>
        <w:rPr>
          <w:rFonts w:hint="eastAsia" w:ascii="宋体" w:hAnsi="宋体" w:eastAsia="宋体" w:cs="宋体"/>
          <w:b/>
          <w:bCs/>
          <w:color w:val="000000" w:themeColor="text1"/>
          <w:highlight w:val="none"/>
          <w:lang w:val="en-US" w:eastAsia="zh-CN"/>
          <w14:textFill>
            <w14:solidFill>
              <w14:schemeClr w14:val="tx1"/>
            </w14:solidFill>
          </w14:textFill>
        </w:rPr>
        <w:t>表5.2-12本项目土壤环境影响类型与影响途径表</w:t>
      </w:r>
    </w:p>
    <w:tbl>
      <w:tblPr>
        <w:tblStyle w:val="30"/>
        <w:tblW w:w="4999"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966"/>
        <w:gridCol w:w="1967"/>
        <w:gridCol w:w="1969"/>
        <w:gridCol w:w="1969"/>
        <w:gridCol w:w="198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998"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不同时段</w:t>
            </w:r>
          </w:p>
        </w:tc>
        <w:tc>
          <w:tcPr>
            <w:tcW w:w="4001" w:type="pct"/>
            <w:gridSpan w:val="4"/>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污染影响型</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99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p>
        </w:tc>
        <w:tc>
          <w:tcPr>
            <w:tcW w:w="9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大气沉降</w:t>
            </w:r>
          </w:p>
        </w:tc>
        <w:tc>
          <w:tcPr>
            <w:tcW w:w="99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地面漫流</w:t>
            </w:r>
          </w:p>
        </w:tc>
        <w:tc>
          <w:tcPr>
            <w:tcW w:w="99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垂直入渗</w:t>
            </w:r>
          </w:p>
        </w:tc>
        <w:tc>
          <w:tcPr>
            <w:tcW w:w="100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其他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9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运营期</w:t>
            </w:r>
          </w:p>
        </w:tc>
        <w:tc>
          <w:tcPr>
            <w:tcW w:w="9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w:t>
            </w:r>
          </w:p>
        </w:tc>
        <w:tc>
          <w:tcPr>
            <w:tcW w:w="99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p>
        </w:tc>
        <w:tc>
          <w:tcPr>
            <w:tcW w:w="99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p>
        </w:tc>
        <w:tc>
          <w:tcPr>
            <w:tcW w:w="100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p>
        </w:tc>
      </w:tr>
    </w:tbl>
    <w:p>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outlineLvl w:val="3"/>
        <w:rPr>
          <w:rFonts w:hint="eastAsia" w:ascii="宋体" w:hAnsi="宋体" w:eastAsia="宋体" w:cs="宋体"/>
          <w:b/>
          <w:bCs/>
          <w:color w:val="000000" w:themeColor="text1"/>
          <w:lang w:val="en-US" w:eastAsia="zh-CN"/>
          <w14:textFill>
            <w14:solidFill>
              <w14:schemeClr w14:val="tx1"/>
            </w14:solidFill>
          </w14:textFill>
        </w:rPr>
      </w:pPr>
      <w:bookmarkStart w:id="429" w:name="_Toc16420"/>
      <w:bookmarkStart w:id="430" w:name="_Toc24653"/>
      <w:bookmarkStart w:id="431" w:name="_Toc17245"/>
      <w:bookmarkStart w:id="432" w:name="_Toc12932"/>
      <w:r>
        <w:rPr>
          <w:rFonts w:hint="eastAsia" w:ascii="宋体" w:hAnsi="宋体" w:eastAsia="宋体" w:cs="宋体"/>
          <w:b/>
          <w:bCs/>
          <w:color w:val="000000" w:themeColor="text1"/>
          <w:lang w:val="en-US" w:eastAsia="zh-CN"/>
          <w14:textFill>
            <w14:solidFill>
              <w14:schemeClr w14:val="tx1"/>
            </w14:solidFill>
          </w14:textFill>
        </w:rPr>
        <w:t>5.2.6.2土壤环境影响源及影响因子识别</w:t>
      </w:r>
      <w:bookmarkEnd w:id="429"/>
      <w:bookmarkEnd w:id="430"/>
      <w:bookmarkEnd w:id="431"/>
      <w:bookmarkEnd w:id="432"/>
    </w:p>
    <w:p>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本项目土壤环境影响源及影响因子如下表所示：</w:t>
      </w:r>
    </w:p>
    <w:p>
      <w:pPr>
        <w:keepNext w:val="0"/>
        <w:keepLines w:val="0"/>
        <w:pageBreakBefore w:val="0"/>
        <w:widowControl/>
        <w:kinsoku/>
        <w:wordWrap/>
        <w:overflowPunct/>
        <w:topLinePunct w:val="0"/>
        <w:autoSpaceDE/>
        <w:autoSpaceDN/>
        <w:bidi w:val="0"/>
        <w:adjustRightInd/>
        <w:snapToGrid/>
        <w:spacing w:before="167" w:beforeLines="50" w:after="167" w:afterLines="50" w:line="360" w:lineRule="auto"/>
        <w:ind w:firstLine="0" w:firstLineChars="0"/>
        <w:jc w:val="center"/>
        <w:textAlignment w:val="auto"/>
        <w:rPr>
          <w:rFonts w:hint="eastAsia" w:ascii="宋体" w:hAnsi="宋体" w:eastAsia="宋体" w:cs="宋体"/>
          <w:b/>
          <w:bCs/>
          <w:color w:val="000000" w:themeColor="text1"/>
          <w:highlight w:val="none"/>
          <w:lang w:val="en-US" w:eastAsia="zh-CN"/>
          <w14:textFill>
            <w14:solidFill>
              <w14:schemeClr w14:val="tx1"/>
            </w14:solidFill>
          </w14:textFill>
        </w:rPr>
      </w:pPr>
      <w:r>
        <w:rPr>
          <w:rFonts w:hint="eastAsia" w:ascii="宋体" w:hAnsi="宋体" w:eastAsia="宋体" w:cs="宋体"/>
          <w:b/>
          <w:bCs/>
          <w:color w:val="000000" w:themeColor="text1"/>
          <w:highlight w:val="none"/>
          <w:lang w:val="en-US" w:eastAsia="zh-CN"/>
          <w14:textFill>
            <w14:solidFill>
              <w14:schemeClr w14:val="tx1"/>
            </w14:solidFill>
          </w14:textFill>
        </w:rPr>
        <w:t>表5.2-13本项目土壤环境影响源及影响因子识别表</w:t>
      </w:r>
    </w:p>
    <w:tbl>
      <w:tblPr>
        <w:tblStyle w:val="30"/>
        <w:tblW w:w="4996"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188"/>
        <w:gridCol w:w="1247"/>
        <w:gridCol w:w="1440"/>
        <w:gridCol w:w="3452"/>
        <w:gridCol w:w="1038"/>
        <w:gridCol w:w="148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60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污染源</w:t>
            </w:r>
          </w:p>
        </w:tc>
        <w:tc>
          <w:tcPr>
            <w:tcW w:w="63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工艺流程/节点</w:t>
            </w:r>
          </w:p>
        </w:tc>
        <w:tc>
          <w:tcPr>
            <w:tcW w:w="73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污染途径</w:t>
            </w:r>
          </w:p>
        </w:tc>
        <w:tc>
          <w:tcPr>
            <w:tcW w:w="175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全部污染物指标</w:t>
            </w:r>
          </w:p>
        </w:tc>
        <w:tc>
          <w:tcPr>
            <w:tcW w:w="52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特征因子</w:t>
            </w:r>
          </w:p>
        </w:tc>
        <w:tc>
          <w:tcPr>
            <w:tcW w:w="75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60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生产车间</w:t>
            </w:r>
          </w:p>
        </w:tc>
        <w:tc>
          <w:tcPr>
            <w:tcW w:w="63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配料、</w:t>
            </w:r>
            <w:r>
              <w:rPr>
                <w:rFonts w:hint="eastAsia" w:ascii="宋体" w:hAnsi="宋体" w:eastAsia="宋体" w:cs="宋体"/>
                <w:color w:val="000000" w:themeColor="text1"/>
                <w:lang w:val="en-US" w:eastAsia="zh-CN"/>
                <w14:textFill>
                  <w14:solidFill>
                    <w14:schemeClr w14:val="tx1"/>
                  </w14:solidFill>
                </w14:textFill>
              </w:rPr>
              <w:t>消泡</w:t>
            </w: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、流延、亚胺化干等</w:t>
            </w:r>
          </w:p>
        </w:tc>
        <w:tc>
          <w:tcPr>
            <w:tcW w:w="73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大气沉降</w:t>
            </w:r>
          </w:p>
        </w:tc>
        <w:tc>
          <w:tcPr>
            <w:tcW w:w="175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非甲烷总烃等</w:t>
            </w:r>
          </w:p>
        </w:tc>
        <w:tc>
          <w:tcPr>
            <w:tcW w:w="52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w:t>
            </w:r>
          </w:p>
        </w:tc>
        <w:tc>
          <w:tcPr>
            <w:tcW w:w="75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连续</w:t>
            </w:r>
          </w:p>
        </w:tc>
      </w:tr>
    </w:tbl>
    <w:p>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outlineLvl w:val="3"/>
        <w:rPr>
          <w:rFonts w:hint="eastAsia" w:ascii="宋体" w:hAnsi="宋体" w:eastAsia="宋体" w:cs="宋体"/>
          <w:b/>
          <w:bCs/>
          <w:color w:val="000000" w:themeColor="text1"/>
          <w:lang w:val="en-US" w:eastAsia="zh-CN"/>
          <w14:textFill>
            <w14:solidFill>
              <w14:schemeClr w14:val="tx1"/>
            </w14:solidFill>
          </w14:textFill>
        </w:rPr>
      </w:pPr>
      <w:bookmarkStart w:id="433" w:name="_Toc11662"/>
      <w:bookmarkStart w:id="434" w:name="_Toc9775"/>
      <w:bookmarkStart w:id="435" w:name="_Toc15270"/>
      <w:bookmarkStart w:id="436" w:name="_Toc17936"/>
      <w:r>
        <w:rPr>
          <w:rFonts w:hint="eastAsia" w:ascii="宋体" w:hAnsi="宋体" w:eastAsia="宋体" w:cs="宋体"/>
          <w:b/>
          <w:bCs/>
          <w:color w:val="000000" w:themeColor="text1"/>
          <w:lang w:val="en-US" w:eastAsia="zh-CN"/>
          <w14:textFill>
            <w14:solidFill>
              <w14:schemeClr w14:val="tx1"/>
            </w14:solidFill>
          </w14:textFill>
        </w:rPr>
        <w:t>5.2.6.3</w:t>
      </w:r>
      <w:bookmarkEnd w:id="433"/>
      <w:bookmarkEnd w:id="434"/>
      <w:bookmarkEnd w:id="435"/>
      <w:bookmarkEnd w:id="436"/>
      <w:r>
        <w:rPr>
          <w:rFonts w:hint="eastAsia" w:ascii="宋体" w:hAnsi="宋体" w:eastAsia="宋体" w:cs="宋体"/>
          <w:b/>
          <w:bCs/>
          <w:color w:val="000000" w:themeColor="text1"/>
          <w:lang w:val="en-US" w:eastAsia="zh-CN"/>
          <w14:textFill>
            <w14:solidFill>
              <w14:schemeClr w14:val="tx1"/>
            </w14:solidFill>
          </w14:textFill>
        </w:rPr>
        <w:t>废气对土壤的影响分析</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highlight w:val="none"/>
          <w14:textFill>
            <w14:solidFill>
              <w14:schemeClr w14:val="tx1"/>
            </w14:solidFill>
          </w14:textFill>
        </w:rPr>
      </w:pPr>
      <w:bookmarkStart w:id="437" w:name="_Toc2819"/>
      <w:bookmarkStart w:id="438" w:name="_Toc8718"/>
      <w:bookmarkStart w:id="439" w:name="_Toc15372"/>
      <w:bookmarkStart w:id="440" w:name="_Toc27353"/>
      <w:r>
        <w:rPr>
          <w:rFonts w:hint="eastAsia" w:ascii="宋体" w:hAnsi="宋体" w:eastAsia="宋体" w:cs="宋体"/>
          <w:color w:val="000000" w:themeColor="text1"/>
          <w:highlight w:val="none"/>
          <w14:textFill>
            <w14:solidFill>
              <w14:schemeClr w14:val="tx1"/>
            </w14:solidFill>
          </w14:textFill>
        </w:rPr>
        <w:t>拟建工程产生的废气主要为</w:t>
      </w:r>
      <w:r>
        <w:rPr>
          <w:rFonts w:hint="eastAsia" w:ascii="宋体" w:hAnsi="宋体" w:eastAsia="宋体" w:cs="宋体"/>
          <w:color w:val="000000" w:themeColor="text1"/>
          <w:highlight w:val="none"/>
          <w:lang w:val="en-US" w:eastAsia="zh-CN"/>
          <w14:textFill>
            <w14:solidFill>
              <w14:schemeClr w14:val="tx1"/>
            </w14:solidFill>
          </w14:textFill>
        </w:rPr>
        <w:t>DMAC、</w:t>
      </w:r>
      <w:r>
        <w:rPr>
          <w:rFonts w:hint="eastAsia" w:ascii="宋体" w:hAnsi="宋体" w:eastAsia="宋体" w:cs="宋体"/>
          <w:color w:val="000000" w:themeColor="text1"/>
          <w:highlight w:val="none"/>
          <w14:textFill>
            <w14:solidFill>
              <w14:schemeClr w14:val="tx1"/>
            </w14:solidFill>
          </w14:textFill>
        </w:rPr>
        <w:t>非甲烷总烃等，经过废气处理装置进行处理后，通过排气筒排放。</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本项目排放的有机废气因重力沉降或降水的作用迁移至水和土壤中，土壤的类型、孔隙率、含水率等均对污染物的迁移转化有影响。</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因DMAC无土壤环境质量标准，无法对落地浓度极大值网格内土壤中DMAC预测值及叠加值进行定量分析。考虑项目废气主要为</w:t>
      </w:r>
      <w:r>
        <w:rPr>
          <w:rFonts w:hint="eastAsia" w:ascii="宋体" w:hAnsi="宋体" w:eastAsia="宋体" w:cs="宋体"/>
          <w:color w:val="000000" w:themeColor="text1"/>
          <w:highlight w:val="none"/>
          <w:lang w:val="en-US" w:eastAsia="zh-CN"/>
          <w14:textFill>
            <w14:solidFill>
              <w14:schemeClr w14:val="tx1"/>
            </w14:solidFill>
          </w14:textFill>
        </w:rPr>
        <w:t>非甲烷总烃</w:t>
      </w:r>
      <w:r>
        <w:rPr>
          <w:rFonts w:hint="eastAsia" w:ascii="宋体" w:hAnsi="宋体" w:eastAsia="宋体" w:cs="宋体"/>
          <w:color w:val="000000" w:themeColor="text1"/>
          <w:highlight w:val="none"/>
          <w14:textFill>
            <w14:solidFill>
              <w14:schemeClr w14:val="tx1"/>
            </w14:solidFill>
          </w14:textFill>
        </w:rPr>
        <w:t>，密度比空气小，不易沉降，本项目土壤环境影响可以接受。</w:t>
      </w:r>
    </w:p>
    <w:p>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outlineLvl w:val="3"/>
        <w:rPr>
          <w:rFonts w:hint="eastAsia" w:ascii="宋体" w:hAnsi="宋体" w:eastAsia="宋体" w:cs="宋体"/>
          <w:b/>
          <w:bCs/>
          <w:color w:val="000000" w:themeColor="text1"/>
          <w:lang w:val="en-US" w:eastAsia="zh-CN"/>
          <w14:textFill>
            <w14:solidFill>
              <w14:schemeClr w14:val="tx1"/>
            </w14:solidFill>
          </w14:textFill>
        </w:rPr>
      </w:pPr>
      <w:r>
        <w:rPr>
          <w:rFonts w:hint="eastAsia" w:ascii="宋体" w:hAnsi="宋体" w:eastAsia="宋体" w:cs="宋体"/>
          <w:b/>
          <w:bCs/>
          <w:color w:val="000000" w:themeColor="text1"/>
          <w:lang w:val="en-US" w:eastAsia="zh-CN"/>
          <w14:textFill>
            <w14:solidFill>
              <w14:schemeClr w14:val="tx1"/>
            </w14:solidFill>
          </w14:textFill>
        </w:rPr>
        <w:t>5.2.6.4废水下渗对土壤的影响分析</w:t>
      </w:r>
      <w:bookmarkEnd w:id="437"/>
      <w:bookmarkEnd w:id="438"/>
      <w:bookmarkEnd w:id="439"/>
      <w:bookmarkEnd w:id="440"/>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拟建工程产生的废水经污水管道收集后，进入厂区污水处理站处理。厂区污水管沟进行了重点防渗，防渗性能不低于6.0m厚渗透系数为1.0×10</w:t>
      </w:r>
      <w:r>
        <w:rPr>
          <w:rFonts w:hint="eastAsia" w:ascii="宋体" w:hAnsi="宋体" w:eastAsia="宋体" w:cs="宋体"/>
          <w:color w:val="000000" w:themeColor="text1"/>
          <w:highlight w:val="none"/>
          <w:vertAlign w:val="superscript"/>
          <w14:textFill>
            <w14:solidFill>
              <w14:schemeClr w14:val="tx1"/>
            </w14:solidFill>
          </w14:textFill>
        </w:rPr>
        <w:t>-7</w:t>
      </w:r>
      <w:r>
        <w:rPr>
          <w:rFonts w:hint="eastAsia" w:ascii="宋体" w:hAnsi="宋体" w:eastAsia="宋体" w:cs="宋体"/>
          <w:color w:val="000000" w:themeColor="text1"/>
          <w:highlight w:val="none"/>
          <w14:textFill>
            <w14:solidFill>
              <w14:schemeClr w14:val="tx1"/>
            </w14:solidFill>
          </w14:textFill>
        </w:rPr>
        <w:t>cm/s的黏土层，可有效防止污水泄漏对土壤产生影响。</w:t>
      </w:r>
    </w:p>
    <w:p>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outlineLvl w:val="3"/>
        <w:rPr>
          <w:rFonts w:hint="eastAsia" w:ascii="宋体" w:hAnsi="宋体" w:eastAsia="宋体" w:cs="宋体"/>
          <w:b/>
          <w:bCs/>
          <w:color w:val="000000" w:themeColor="text1"/>
          <w:lang w:val="en-US" w:eastAsia="zh-CN"/>
          <w14:textFill>
            <w14:solidFill>
              <w14:schemeClr w14:val="tx1"/>
            </w14:solidFill>
          </w14:textFill>
        </w:rPr>
      </w:pPr>
      <w:bookmarkStart w:id="441" w:name="_Toc6638"/>
      <w:bookmarkStart w:id="442" w:name="_Toc25807"/>
      <w:bookmarkStart w:id="443" w:name="_Toc5055"/>
      <w:bookmarkStart w:id="444" w:name="_Toc16131"/>
      <w:r>
        <w:rPr>
          <w:rFonts w:hint="eastAsia" w:ascii="宋体" w:hAnsi="宋体" w:eastAsia="宋体" w:cs="宋体"/>
          <w:b/>
          <w:bCs/>
          <w:color w:val="000000" w:themeColor="text1"/>
          <w:lang w:val="en-US" w:eastAsia="zh-CN"/>
          <w14:textFill>
            <w14:solidFill>
              <w14:schemeClr w14:val="tx1"/>
            </w14:solidFill>
          </w14:textFill>
        </w:rPr>
        <w:t>5.2.6.5危险废物贮存对土壤的影响分析</w:t>
      </w:r>
      <w:bookmarkEnd w:id="441"/>
      <w:bookmarkEnd w:id="442"/>
      <w:bookmarkEnd w:id="443"/>
      <w:bookmarkEnd w:id="444"/>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拟建工程生产过程中产生的危险废物由危废暂存间暂存后交由有资质的单位处理，危废暂存间重点防治区进行防渗，并设置导流沟、集液池等截留设施，可有效减少危废贮存对土壤环境的影响。</w:t>
      </w:r>
    </w:p>
    <w:p>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outlineLvl w:val="3"/>
        <w:rPr>
          <w:rFonts w:hint="eastAsia" w:ascii="宋体" w:hAnsi="宋体" w:eastAsia="宋体" w:cs="宋体"/>
          <w:b/>
          <w:bCs/>
          <w:color w:val="000000" w:themeColor="text1"/>
          <w:lang w:val="en-US" w:eastAsia="zh-CN"/>
          <w14:textFill>
            <w14:solidFill>
              <w14:schemeClr w14:val="tx1"/>
            </w14:solidFill>
          </w14:textFill>
        </w:rPr>
      </w:pPr>
      <w:bookmarkStart w:id="445" w:name="_Toc18090"/>
      <w:bookmarkStart w:id="446" w:name="_Toc10034"/>
      <w:bookmarkStart w:id="447" w:name="_Toc12581"/>
      <w:bookmarkStart w:id="448" w:name="_Toc4430"/>
      <w:r>
        <w:rPr>
          <w:rFonts w:hint="eastAsia" w:ascii="宋体" w:hAnsi="宋体" w:eastAsia="宋体" w:cs="宋体"/>
          <w:b/>
          <w:bCs/>
          <w:color w:val="000000" w:themeColor="text1"/>
          <w:lang w:val="en-US" w:eastAsia="zh-CN"/>
          <w14:textFill>
            <w14:solidFill>
              <w14:schemeClr w14:val="tx1"/>
            </w14:solidFill>
          </w14:textFill>
        </w:rPr>
        <w:t>5.2.6.6类比相类似情况</w:t>
      </w:r>
    </w:p>
    <w:p>
      <w:pPr>
        <w:pStyle w:val="3"/>
        <w:keepNext w:val="0"/>
        <w:keepLines w:val="0"/>
        <w:pageBreakBefore w:val="0"/>
        <w:kinsoku/>
        <w:wordWrap/>
        <w:overflowPunct/>
        <w:topLinePunct w:val="0"/>
        <w:autoSpaceDE/>
        <w:autoSpaceDN/>
        <w:bidi w:val="0"/>
        <w:adjustRightInd/>
        <w:snapToGrid/>
        <w:spacing w:after="0" w:line="360" w:lineRule="auto"/>
        <w:ind w:left="0" w:right="0" w:firstLine="480" w:firstLineChars="200"/>
        <w:textAlignment w:val="auto"/>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t>本项目与安徽国风塑业公司现有薄膜项目均属于污染影响类项目，对土壤环境影响途径相同，主要来自于三个方面：</w:t>
      </w:r>
    </w:p>
    <w:p>
      <w:pPr>
        <w:pStyle w:val="36"/>
        <w:keepNext w:val="0"/>
        <w:keepLines w:val="0"/>
        <w:pageBreakBefore w:val="0"/>
        <w:widowControl/>
        <w:numPr>
          <w:ilvl w:val="0"/>
          <w:numId w:val="0"/>
        </w:numPr>
        <w:tabs>
          <w:tab w:val="left" w:pos="881"/>
        </w:tabs>
        <w:kinsoku/>
        <w:wordWrap/>
        <w:overflowPunct/>
        <w:topLinePunct w:val="0"/>
        <w:autoSpaceDE/>
        <w:autoSpaceDN/>
        <w:bidi w:val="0"/>
        <w:adjustRightInd/>
        <w:snapToGrid/>
        <w:spacing w:line="360" w:lineRule="auto"/>
        <w:ind w:leftChars="0" w:right="0" w:rightChars="0" w:firstLine="480" w:firstLineChars="200"/>
        <w:jc w:val="left"/>
        <w:textAlignment w:val="auto"/>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t>（1）由于废气污染物排放，通过大气沉降进入土壤环境，其影响范围以厂区下风向为主；</w:t>
      </w:r>
    </w:p>
    <w:p>
      <w:pPr>
        <w:pStyle w:val="36"/>
        <w:keepNext w:val="0"/>
        <w:keepLines w:val="0"/>
        <w:pageBreakBefore w:val="0"/>
        <w:widowControl/>
        <w:numPr>
          <w:ilvl w:val="0"/>
          <w:numId w:val="0"/>
        </w:numPr>
        <w:tabs>
          <w:tab w:val="left" w:pos="881"/>
        </w:tabs>
        <w:kinsoku/>
        <w:wordWrap/>
        <w:overflowPunct/>
        <w:topLinePunct w:val="0"/>
        <w:autoSpaceDE/>
        <w:autoSpaceDN/>
        <w:bidi w:val="0"/>
        <w:adjustRightInd/>
        <w:snapToGrid/>
        <w:spacing w:line="360" w:lineRule="auto"/>
        <w:ind w:leftChars="0" w:right="0" w:rightChars="0" w:firstLine="480" w:firstLineChars="200"/>
        <w:jc w:val="left"/>
        <w:textAlignment w:val="auto"/>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t>（2）由于生产废水或事故废水未有效收集，通过地表漫流方式进入土壤环境，其影响范围以罐区、污水处理区为主；</w:t>
      </w:r>
    </w:p>
    <w:p>
      <w:pPr>
        <w:pStyle w:val="36"/>
        <w:keepNext w:val="0"/>
        <w:keepLines w:val="0"/>
        <w:pageBreakBefore w:val="0"/>
        <w:widowControl/>
        <w:numPr>
          <w:ilvl w:val="0"/>
          <w:numId w:val="0"/>
        </w:numPr>
        <w:tabs>
          <w:tab w:val="left" w:pos="881"/>
        </w:tabs>
        <w:kinsoku/>
        <w:wordWrap/>
        <w:overflowPunct/>
        <w:topLinePunct w:val="0"/>
        <w:autoSpaceDE/>
        <w:autoSpaceDN/>
        <w:bidi w:val="0"/>
        <w:adjustRightInd/>
        <w:snapToGrid/>
        <w:spacing w:line="360" w:lineRule="auto"/>
        <w:ind w:leftChars="0" w:right="0" w:rightChars="0" w:firstLine="480" w:firstLineChars="200"/>
        <w:jc w:val="left"/>
        <w:textAlignment w:val="auto"/>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t>（3）由于厂区防渗层破坏，污水或物料入渗进入土壤环境，其影响范围以罐区、污水处理区为主。</w:t>
      </w:r>
    </w:p>
    <w:p>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outlineLvl w:val="3"/>
        <w:rPr>
          <w:rFonts w:hint="eastAsia" w:ascii="宋体" w:hAnsi="宋体" w:eastAsia="宋体" w:cs="宋体"/>
          <w:b/>
          <w:bCs/>
          <w:color w:val="000000" w:themeColor="text1"/>
          <w:lang w:val="en-US" w:eastAsia="zh-CN"/>
          <w14:textFill>
            <w14:solidFill>
              <w14:schemeClr w14:val="tx1"/>
            </w14:solidFill>
          </w14:textFill>
        </w:rPr>
      </w:pPr>
      <w:r>
        <w:rPr>
          <w:rFonts w:hint="eastAsia" w:ascii="宋体" w:hAnsi="宋体" w:eastAsia="宋体" w:cs="宋体"/>
          <w:b/>
          <w:bCs/>
          <w:color w:val="000000" w:themeColor="text1"/>
          <w:lang w:val="en-US" w:eastAsia="zh-CN"/>
          <w14:textFill>
            <w14:solidFill>
              <w14:schemeClr w14:val="tx1"/>
            </w14:solidFill>
          </w14:textFill>
        </w:rPr>
        <w:t>5.2.6.7小结</w:t>
      </w:r>
      <w:bookmarkEnd w:id="445"/>
      <w:bookmarkEnd w:id="446"/>
      <w:bookmarkEnd w:id="447"/>
      <w:bookmarkEnd w:id="448"/>
    </w:p>
    <w:p>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由污染途径及对应措施分析可知，拟建工程对可能产生土壤影响的各项途径均进行有效预防，在确保各项防渗措施得以落实，并加强维护和厂区环境管理的前提下，可有效控制厂区内的废水污染物下渗现象，避免污染土壤，因此拟建工程不会区域土壤环境产生明显影响。</w:t>
      </w:r>
    </w:p>
    <w:p>
      <w:pPr>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br w:type="page"/>
      </w:r>
    </w:p>
    <w:p>
      <w:pPr>
        <w:pStyle w:val="6"/>
        <w:numPr>
          <w:ilvl w:val="0"/>
          <w:numId w:val="3"/>
        </w:numPr>
        <w:bidi w:val="0"/>
        <w:ind w:left="240" w:leftChars="0" w:firstLineChars="0"/>
        <w:jc w:val="center"/>
        <w:rPr>
          <w:rFonts w:hint="eastAsia" w:ascii="宋体" w:hAnsi="宋体" w:eastAsia="宋体" w:cs="宋体"/>
          <w:color w:val="000000" w:themeColor="text1"/>
          <w:lang w:eastAsia="zh-CN"/>
          <w14:textFill>
            <w14:solidFill>
              <w14:schemeClr w14:val="tx1"/>
            </w14:solidFill>
          </w14:textFill>
        </w:rPr>
      </w:pPr>
      <w:bookmarkStart w:id="449" w:name="_Toc26812"/>
      <w:r>
        <w:rPr>
          <w:rFonts w:hint="eastAsia" w:ascii="宋体" w:hAnsi="宋体" w:eastAsia="宋体" w:cs="宋体"/>
          <w:color w:val="000000" w:themeColor="text1"/>
          <w:lang w:eastAsia="zh-CN"/>
          <w14:textFill>
            <w14:solidFill>
              <w14:schemeClr w14:val="tx1"/>
            </w14:solidFill>
          </w14:textFill>
        </w:rPr>
        <w:t>环境风险评价</w:t>
      </w:r>
      <w:bookmarkEnd w:id="449"/>
    </w:p>
    <w:p>
      <w:pPr>
        <w:pStyle w:val="7"/>
        <w:pageBreakBefore w:val="0"/>
        <w:widowControl/>
        <w:kinsoku/>
        <w:wordWrap/>
        <w:overflowPunct/>
        <w:topLinePunct w:val="0"/>
        <w:bidi w:val="0"/>
        <w:adjustRightInd/>
        <w:snapToGrid/>
        <w:ind w:firstLine="482"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bookmarkStart w:id="450" w:name="_Toc14146"/>
      <w:r>
        <w:rPr>
          <w:rFonts w:hint="eastAsia" w:ascii="宋体" w:hAnsi="宋体" w:eastAsia="宋体" w:cs="宋体"/>
          <w:color w:val="000000" w:themeColor="text1"/>
          <w:sz w:val="24"/>
          <w:szCs w:val="24"/>
          <w:highlight w:val="none"/>
          <w:lang w:val="en-US" w:eastAsia="zh-CN"/>
          <w14:textFill>
            <w14:solidFill>
              <w14:schemeClr w14:val="tx1"/>
            </w14:solidFill>
          </w14:textFill>
        </w:rPr>
        <w:t>6.1建设项目风险调查</w:t>
      </w:r>
      <w:bookmarkEnd w:id="450"/>
    </w:p>
    <w:p>
      <w:pPr>
        <w:pStyle w:val="8"/>
        <w:keepNext/>
        <w:keepLines/>
        <w:pageBreakBefore w:val="0"/>
        <w:widowControl/>
        <w:kinsoku/>
        <w:wordWrap/>
        <w:overflowPunct/>
        <w:topLinePunct w:val="0"/>
        <w:autoSpaceDE/>
        <w:autoSpaceDN/>
        <w:bidi w:val="0"/>
        <w:adjustRightInd/>
        <w:snapToGrid/>
        <w:ind w:firstLine="482" w:firstLineChars="200"/>
        <w:textAlignment w:val="auto"/>
        <w:rPr>
          <w:rFonts w:hint="eastAsia" w:ascii="宋体" w:hAnsi="宋体" w:eastAsia="宋体" w:cs="宋体"/>
          <w:bCs/>
          <w:color w:val="000000" w:themeColor="text1"/>
          <w:highlight w:val="none"/>
          <w:lang w:val="en-US" w:eastAsia="zh-CN"/>
          <w14:textFill>
            <w14:solidFill>
              <w14:schemeClr w14:val="tx1"/>
            </w14:solidFill>
          </w14:textFill>
        </w:rPr>
      </w:pPr>
      <w:bookmarkStart w:id="451" w:name="_Toc20524"/>
      <w:r>
        <w:rPr>
          <w:rFonts w:hint="eastAsia" w:ascii="宋体" w:hAnsi="宋体" w:eastAsia="宋体" w:cs="宋体"/>
          <w:bCs/>
          <w:color w:val="000000" w:themeColor="text1"/>
          <w:highlight w:val="none"/>
          <w:lang w:val="en-US" w:eastAsia="zh-CN"/>
          <w14:textFill>
            <w14:solidFill>
              <w14:schemeClr w14:val="tx1"/>
            </w14:solidFill>
          </w14:textFill>
        </w:rPr>
        <w:t>6.1.1风险源调查</w:t>
      </w:r>
      <w:bookmarkEnd w:id="451"/>
    </w:p>
    <w:p>
      <w:pPr>
        <w:widowControl w:val="0"/>
        <w:spacing w:line="360" w:lineRule="auto"/>
        <w:ind w:firstLine="480" w:firstLineChars="200"/>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szCs w:val="22"/>
          <w:highlight w:val="none"/>
          <w:lang w:val="en-US" w:eastAsia="zh-CN"/>
          <w14:textFill>
            <w14:solidFill>
              <w14:schemeClr w14:val="tx1"/>
            </w14:solidFill>
          </w14:textFill>
        </w:rPr>
        <w:t>本项目所涉及的危险物质汇总如下表</w:t>
      </w:r>
      <w:r>
        <w:rPr>
          <w:rFonts w:hint="eastAsia" w:ascii="宋体" w:hAnsi="宋体" w:eastAsia="宋体" w:cs="宋体"/>
          <w:color w:val="000000" w:themeColor="text1"/>
          <w:highlight w:val="none"/>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原料理化性质见表3.2.5-2。</w:t>
      </w:r>
    </w:p>
    <w:p>
      <w:pPr>
        <w:keepNext w:val="0"/>
        <w:keepLines w:val="0"/>
        <w:pageBreakBefore w:val="0"/>
        <w:widowControl/>
        <w:kinsoku/>
        <w:wordWrap/>
        <w:overflowPunct/>
        <w:topLinePunct w:val="0"/>
        <w:autoSpaceDE/>
        <w:autoSpaceDN/>
        <w:bidi w:val="0"/>
        <w:adjustRightInd/>
        <w:snapToGrid/>
        <w:spacing w:before="167" w:beforeLines="50" w:after="167" w:afterLines="50" w:line="360" w:lineRule="auto"/>
        <w:ind w:firstLine="0" w:firstLineChars="0"/>
        <w:jc w:val="center"/>
        <w:textAlignment w:val="auto"/>
        <w:rPr>
          <w:rFonts w:hint="eastAsia" w:ascii="宋体" w:hAnsi="宋体" w:eastAsia="宋体" w:cs="宋体"/>
          <w:b/>
          <w:bCs/>
          <w:color w:val="000000" w:themeColor="text1"/>
          <w:highlight w:val="none"/>
          <w:lang w:val="en-US" w:eastAsia="zh-CN"/>
          <w14:textFill>
            <w14:solidFill>
              <w14:schemeClr w14:val="tx1"/>
            </w14:solidFill>
          </w14:textFill>
        </w:rPr>
      </w:pPr>
      <w:r>
        <w:rPr>
          <w:rFonts w:hint="eastAsia" w:ascii="宋体" w:hAnsi="宋体" w:eastAsia="宋体" w:cs="宋体"/>
          <w:b/>
          <w:bCs/>
          <w:color w:val="000000" w:themeColor="text1"/>
          <w:highlight w:val="none"/>
          <w:lang w:val="en-US" w:eastAsia="zh-CN"/>
          <w14:textFill>
            <w14:solidFill>
              <w14:schemeClr w14:val="tx1"/>
            </w14:solidFill>
          </w14:textFill>
        </w:rPr>
        <w:t>表6.1-1项目危险物质分布情况一览表</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7"/>
        <w:gridCol w:w="1755"/>
        <w:gridCol w:w="1597"/>
        <w:gridCol w:w="1497"/>
        <w:gridCol w:w="2727"/>
        <w:gridCol w:w="15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7"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u w:val="singl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u w:val="single"/>
                <w:vertAlign w:val="baseline"/>
                <w:lang w:val="en-US" w:eastAsia="zh-CN"/>
                <w14:textFill>
                  <w14:solidFill>
                    <w14:schemeClr w14:val="tx1"/>
                  </w14:solidFill>
                </w14:textFill>
              </w:rPr>
              <w:t>序号</w:t>
            </w:r>
          </w:p>
        </w:tc>
        <w:tc>
          <w:tcPr>
            <w:tcW w:w="1755"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u w:val="singl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u w:val="single"/>
                <w:vertAlign w:val="baseline"/>
                <w:lang w:val="en-US" w:eastAsia="zh-CN"/>
                <w14:textFill>
                  <w14:solidFill>
                    <w14:schemeClr w14:val="tx1"/>
                  </w14:solidFill>
                </w14:textFill>
              </w:rPr>
              <w:t>名称</w:t>
            </w:r>
          </w:p>
        </w:tc>
        <w:tc>
          <w:tcPr>
            <w:tcW w:w="1597"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u w:val="singl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u w:val="single"/>
                <w:vertAlign w:val="baseline"/>
                <w:lang w:val="en-US" w:eastAsia="zh-CN"/>
                <w14:textFill>
                  <w14:solidFill>
                    <w14:schemeClr w14:val="tx1"/>
                  </w14:solidFill>
                </w14:textFill>
              </w:rPr>
              <w:t>最大存在总量（t）</w:t>
            </w:r>
          </w:p>
        </w:tc>
        <w:tc>
          <w:tcPr>
            <w:tcW w:w="1497"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u w:val="singl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u w:val="single"/>
                <w:vertAlign w:val="baseline"/>
                <w:lang w:val="en-US" w:eastAsia="zh-CN"/>
                <w14:textFill>
                  <w14:solidFill>
                    <w14:schemeClr w14:val="tx1"/>
                  </w14:solidFill>
                </w14:textFill>
              </w:rPr>
              <w:t>储存周期（d）</w:t>
            </w:r>
          </w:p>
        </w:tc>
        <w:tc>
          <w:tcPr>
            <w:tcW w:w="2727"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u w:val="singl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u w:val="single"/>
                <w:vertAlign w:val="baseline"/>
                <w:lang w:val="en-US" w:eastAsia="zh-CN"/>
                <w14:textFill>
                  <w14:solidFill>
                    <w14:schemeClr w14:val="tx1"/>
                  </w14:solidFill>
                </w14:textFill>
              </w:rPr>
              <w:t>备注</w:t>
            </w:r>
          </w:p>
        </w:tc>
        <w:tc>
          <w:tcPr>
            <w:tcW w:w="1548"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u w:val="singl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u w:val="single"/>
                <w:vertAlign w:val="baseline"/>
                <w:lang w:val="en-US" w:eastAsia="zh-CN"/>
                <w14:textFill>
                  <w14:solidFill>
                    <w14:schemeClr w14:val="tx1"/>
                  </w14:solidFill>
                </w14:textFill>
              </w:rPr>
              <w:t>临界量（t）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7"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u w:val="singl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u w:val="single"/>
                <w:vertAlign w:val="baseline"/>
                <w:lang w:val="en-US" w:eastAsia="zh-CN"/>
                <w14:textFill>
                  <w14:solidFill>
                    <w14:schemeClr w14:val="tx1"/>
                  </w14:solidFill>
                </w14:textFill>
              </w:rPr>
              <w:t>1</w:t>
            </w:r>
          </w:p>
        </w:tc>
        <w:tc>
          <w:tcPr>
            <w:tcW w:w="1755"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u w:val="single"/>
                <w:vertAlign w:val="baseline"/>
                <w:lang w:val="zh-CN" w:eastAsia="zh-CN"/>
                <w14:textFill>
                  <w14:solidFill>
                    <w14:schemeClr w14:val="tx1"/>
                  </w14:solidFill>
                </w14:textFill>
              </w:rPr>
            </w:pPr>
            <w:r>
              <w:rPr>
                <w:rFonts w:hint="eastAsia" w:ascii="宋体" w:hAnsi="宋体" w:eastAsia="宋体" w:cs="宋体"/>
                <w:color w:val="000000" w:themeColor="text1"/>
                <w:sz w:val="21"/>
                <w:szCs w:val="21"/>
                <w:highlight w:val="none"/>
                <w:u w:val="single"/>
                <w:vertAlign w:val="baseline"/>
                <w:lang w:val="zh-CN" w:eastAsia="zh-CN"/>
                <w14:textFill>
                  <w14:solidFill>
                    <w14:schemeClr w14:val="tx1"/>
                  </w14:solidFill>
                </w14:textFill>
              </w:rPr>
              <w:t>二甲基乙酰胺</w:t>
            </w:r>
          </w:p>
        </w:tc>
        <w:tc>
          <w:tcPr>
            <w:tcW w:w="1597"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u w:val="singl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u w:val="single"/>
                <w:vertAlign w:val="baseline"/>
                <w:lang w:val="en-US" w:eastAsia="zh-CN"/>
                <w14:textFill>
                  <w14:solidFill>
                    <w14:schemeClr w14:val="tx1"/>
                  </w14:solidFill>
                </w14:textFill>
              </w:rPr>
              <w:t>30</w:t>
            </w:r>
          </w:p>
        </w:tc>
        <w:tc>
          <w:tcPr>
            <w:tcW w:w="1497"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u w:val="singl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u w:val="single"/>
                <w:vertAlign w:val="baseline"/>
                <w:lang w:val="en-US" w:eastAsia="zh-CN"/>
                <w14:textFill>
                  <w14:solidFill>
                    <w14:schemeClr w14:val="tx1"/>
                  </w14:solidFill>
                </w14:textFill>
              </w:rPr>
              <w:t>3</w:t>
            </w:r>
          </w:p>
        </w:tc>
        <w:tc>
          <w:tcPr>
            <w:tcW w:w="2727"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color w:val="000000" w:themeColor="text1"/>
                <w:sz w:val="21"/>
                <w:szCs w:val="21"/>
                <w:highlight w:val="none"/>
                <w:u w:val="singl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u w:val="single"/>
                <w:vertAlign w:val="baseline"/>
                <w:lang w:val="en-US" w:eastAsia="zh-CN"/>
                <w14:textFill>
                  <w14:solidFill>
                    <w14:schemeClr w14:val="tx1"/>
                  </w14:solidFill>
                </w14:textFill>
              </w:rPr>
              <w:t>原料储存和废溶剂暂存</w:t>
            </w:r>
            <w:r>
              <w:rPr>
                <w:rFonts w:hint="eastAsia" w:cs="宋体"/>
                <w:color w:val="000000" w:themeColor="text1"/>
                <w:sz w:val="21"/>
                <w:szCs w:val="21"/>
                <w:highlight w:val="none"/>
                <w:u w:val="single"/>
                <w:vertAlign w:val="baseline"/>
                <w:lang w:val="en-US" w:eastAsia="zh-CN"/>
                <w14:textFill>
                  <w14:solidFill>
                    <w14:schemeClr w14:val="tx1"/>
                  </w14:solidFill>
                </w14:textFill>
              </w:rPr>
              <w:t>，根据施工方资料，项目二甲基乙酰胺一次投放30t，待出产品后再次投放</w:t>
            </w:r>
          </w:p>
        </w:tc>
        <w:tc>
          <w:tcPr>
            <w:tcW w:w="1548"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u w:val="singl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u w:val="single"/>
                <w:vertAlign w:val="baseline"/>
                <w:lang w:val="en-US" w:eastAsia="zh-CN"/>
                <w14:textFill>
                  <w14:solidFill>
                    <w14:schemeClr w14:val="tx1"/>
                  </w14:solidFill>
                </w14:textFill>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7"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u w:val="singl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u w:val="single"/>
                <w:vertAlign w:val="baseline"/>
                <w:lang w:val="en-US" w:eastAsia="zh-CN"/>
                <w14:textFill>
                  <w14:solidFill>
                    <w14:schemeClr w14:val="tx1"/>
                  </w14:solidFill>
                </w14:textFill>
              </w:rPr>
              <w:t>2</w:t>
            </w:r>
          </w:p>
        </w:tc>
        <w:tc>
          <w:tcPr>
            <w:tcW w:w="1755"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u w:val="singl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u w:val="single"/>
                <w:vertAlign w:val="baseline"/>
                <w:lang w:val="en-US" w:eastAsia="zh-CN"/>
                <w14:textFill>
                  <w14:solidFill>
                    <w14:schemeClr w14:val="tx1"/>
                  </w14:solidFill>
                </w14:textFill>
              </w:rPr>
              <w:t>废润滑油</w:t>
            </w:r>
          </w:p>
        </w:tc>
        <w:tc>
          <w:tcPr>
            <w:tcW w:w="1597"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u w:val="singl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u w:val="single"/>
                <w:vertAlign w:val="baseline"/>
                <w:lang w:val="en-US" w:eastAsia="zh-CN"/>
                <w14:textFill>
                  <w14:solidFill>
                    <w14:schemeClr w14:val="tx1"/>
                  </w14:solidFill>
                </w14:textFill>
              </w:rPr>
              <w:t>0.03</w:t>
            </w:r>
          </w:p>
        </w:tc>
        <w:tc>
          <w:tcPr>
            <w:tcW w:w="1497"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u w:val="singl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u w:val="single"/>
                <w:vertAlign w:val="baseline"/>
                <w:lang w:val="en-US" w:eastAsia="zh-CN"/>
                <w14:textFill>
                  <w14:solidFill>
                    <w14:schemeClr w14:val="tx1"/>
                  </w14:solidFill>
                </w14:textFill>
              </w:rPr>
              <w:t>60</w:t>
            </w:r>
          </w:p>
        </w:tc>
        <w:tc>
          <w:tcPr>
            <w:tcW w:w="2727"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u w:val="singl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u w:val="single"/>
                <w:vertAlign w:val="baseline"/>
                <w:lang w:val="en-US" w:eastAsia="zh-CN"/>
                <w14:textFill>
                  <w14:solidFill>
                    <w14:schemeClr w14:val="tx1"/>
                  </w14:solidFill>
                </w14:textFill>
              </w:rPr>
              <w:t>设备维护</w:t>
            </w:r>
          </w:p>
        </w:tc>
        <w:tc>
          <w:tcPr>
            <w:tcW w:w="1548"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u w:val="singl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u w:val="single"/>
                <w:vertAlign w:val="baseline"/>
                <w:lang w:val="en-US" w:eastAsia="zh-CN"/>
                <w14:textFill>
                  <w14:solidFill>
                    <w14:schemeClr w14:val="tx1"/>
                  </w14:solidFill>
                </w14:textFill>
              </w:rPr>
              <w:t>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7"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u w:val="singl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u w:val="single"/>
                <w:vertAlign w:val="baseline"/>
                <w:lang w:val="en-US" w:eastAsia="zh-CN"/>
                <w14:textFill>
                  <w14:solidFill>
                    <w14:schemeClr w14:val="tx1"/>
                  </w14:solidFill>
                </w14:textFill>
              </w:rPr>
              <w:t>3</w:t>
            </w:r>
          </w:p>
        </w:tc>
        <w:tc>
          <w:tcPr>
            <w:tcW w:w="1755"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u w:val="single"/>
                <w:vertAlign w:val="baseline"/>
                <w:lang w:val="zh-CN" w:eastAsia="zh-CN"/>
                <w14:textFill>
                  <w14:solidFill>
                    <w14:schemeClr w14:val="tx1"/>
                  </w14:solidFill>
                </w14:textFill>
              </w:rPr>
            </w:pPr>
            <w:r>
              <w:rPr>
                <w:rFonts w:hint="eastAsia" w:ascii="宋体" w:hAnsi="宋体" w:eastAsia="宋体" w:cs="宋体"/>
                <w:color w:val="000000" w:themeColor="text1"/>
                <w:sz w:val="21"/>
                <w:szCs w:val="21"/>
                <w:highlight w:val="none"/>
                <w:u w:val="single"/>
                <w:vertAlign w:val="baseline"/>
                <w:lang w:val="zh-CN" w:eastAsia="zh-CN"/>
                <w14:textFill>
                  <w14:solidFill>
                    <w14:schemeClr w14:val="tx1"/>
                  </w14:solidFill>
                </w14:textFill>
              </w:rPr>
              <w:t>4，4'-二氨基二苯醚</w:t>
            </w:r>
          </w:p>
        </w:tc>
        <w:tc>
          <w:tcPr>
            <w:tcW w:w="1597"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u w:val="singl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u w:val="single"/>
                <w:vertAlign w:val="baseline"/>
                <w:lang w:val="en-US" w:eastAsia="zh-CN"/>
                <w14:textFill>
                  <w14:solidFill>
                    <w14:schemeClr w14:val="tx1"/>
                  </w14:solidFill>
                </w14:textFill>
              </w:rPr>
              <w:t>10</w:t>
            </w:r>
          </w:p>
        </w:tc>
        <w:tc>
          <w:tcPr>
            <w:tcW w:w="1497"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u w:val="singl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u w:val="single"/>
                <w:vertAlign w:val="baseline"/>
                <w:lang w:val="en-US" w:eastAsia="zh-CN"/>
                <w14:textFill>
                  <w14:solidFill>
                    <w14:schemeClr w14:val="tx1"/>
                  </w14:solidFill>
                </w14:textFill>
              </w:rPr>
              <w:t>3</w:t>
            </w:r>
          </w:p>
        </w:tc>
        <w:tc>
          <w:tcPr>
            <w:tcW w:w="2727"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u w:val="singl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u w:val="single"/>
                <w:vertAlign w:val="baseline"/>
                <w:lang w:val="en-US" w:eastAsia="zh-CN"/>
                <w14:textFill>
                  <w14:solidFill>
                    <w14:schemeClr w14:val="tx1"/>
                  </w14:solidFill>
                </w14:textFill>
              </w:rPr>
              <w:t>原料储存</w:t>
            </w:r>
          </w:p>
        </w:tc>
        <w:tc>
          <w:tcPr>
            <w:tcW w:w="1548"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u w:val="singl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u w:val="single"/>
                <w:vertAlign w:val="baseline"/>
                <w:lang w:val="en-US" w:eastAsia="zh-CN"/>
                <w14:textFill>
                  <w14:solidFill>
                    <w14:schemeClr w14:val="tx1"/>
                  </w14:solidFill>
                </w14:textFil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7"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u w:val="singl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u w:val="single"/>
                <w:vertAlign w:val="baseline"/>
                <w:lang w:val="en-US" w:eastAsia="zh-CN"/>
                <w14:textFill>
                  <w14:solidFill>
                    <w14:schemeClr w14:val="tx1"/>
                  </w14:solidFill>
                </w14:textFill>
              </w:rPr>
              <w:t>4</w:t>
            </w:r>
          </w:p>
        </w:tc>
        <w:tc>
          <w:tcPr>
            <w:tcW w:w="1755"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u w:val="single"/>
                <w:vertAlign w:val="baseline"/>
                <w:lang w:val="zh-CN"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u w:val="single"/>
                <w14:textFill>
                  <w14:solidFill>
                    <w14:schemeClr w14:val="tx1"/>
                  </w14:solidFill>
                </w14:textFill>
              </w:rPr>
              <w:t>均苯四甲酸二酐</w:t>
            </w:r>
          </w:p>
        </w:tc>
        <w:tc>
          <w:tcPr>
            <w:tcW w:w="1597"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u w:val="singl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u w:val="single"/>
                <w:vertAlign w:val="baseline"/>
                <w:lang w:val="en-US" w:eastAsia="zh-CN"/>
                <w14:textFill>
                  <w14:solidFill>
                    <w14:schemeClr w14:val="tx1"/>
                  </w14:solidFill>
                </w14:textFill>
              </w:rPr>
              <w:t>10</w:t>
            </w:r>
          </w:p>
        </w:tc>
        <w:tc>
          <w:tcPr>
            <w:tcW w:w="1497"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u w:val="singl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u w:val="single"/>
                <w:vertAlign w:val="baseline"/>
                <w:lang w:val="en-US" w:eastAsia="zh-CN"/>
                <w14:textFill>
                  <w14:solidFill>
                    <w14:schemeClr w14:val="tx1"/>
                  </w14:solidFill>
                </w14:textFill>
              </w:rPr>
              <w:t>3</w:t>
            </w:r>
          </w:p>
        </w:tc>
        <w:tc>
          <w:tcPr>
            <w:tcW w:w="2727"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u w:val="singl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u w:val="single"/>
                <w:vertAlign w:val="baseline"/>
                <w:lang w:val="en-US" w:eastAsia="zh-CN"/>
                <w14:textFill>
                  <w14:solidFill>
                    <w14:schemeClr w14:val="tx1"/>
                  </w14:solidFill>
                </w14:textFill>
              </w:rPr>
              <w:t>原料储存</w:t>
            </w:r>
          </w:p>
        </w:tc>
        <w:tc>
          <w:tcPr>
            <w:tcW w:w="1548"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u w:val="singl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u w:val="single"/>
                <w:vertAlign w:val="baseline"/>
                <w:lang w:val="en-US" w:eastAsia="zh-CN"/>
                <w14:textFill>
                  <w14:solidFill>
                    <w14:schemeClr w14:val="tx1"/>
                  </w14:solidFill>
                </w14:textFill>
              </w:rPr>
              <w:t>100</w:t>
            </w:r>
          </w:p>
        </w:tc>
      </w:tr>
    </w:tbl>
    <w:p>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注：根据《建设项目环境风险评价技术导则》（HJ169-2018）中附录B突发环境事件风险物质及临界量一览表。</w:t>
      </w:r>
      <w:r>
        <w:rPr>
          <w:rFonts w:hint="eastAsia" w:ascii="宋体" w:hAnsi="宋体" w:eastAsia="宋体" w:cs="宋体"/>
          <w:color w:val="000000" w:themeColor="text1"/>
          <w:sz w:val="21"/>
          <w:szCs w:val="21"/>
          <w:highlight w:val="none"/>
          <w:vertAlign w:val="baseline"/>
          <w:lang w:val="zh-CN" w:eastAsia="zh-CN"/>
          <w14:textFill>
            <w14:solidFill>
              <w14:schemeClr w14:val="tx1"/>
            </w14:solidFill>
          </w14:textFill>
        </w:rPr>
        <w:t>二甲基乙酰胺</w:t>
      </w:r>
      <w:r>
        <w:rPr>
          <w:rFonts w:hint="eastAsia" w:ascii="宋体" w:hAnsi="宋体" w:eastAsia="宋体" w:cs="宋体"/>
          <w:color w:val="000000" w:themeColor="text1"/>
          <w:sz w:val="21"/>
          <w:szCs w:val="21"/>
          <w:lang w:val="en-US" w:eastAsia="zh-CN"/>
          <w14:textFill>
            <w14:solidFill>
              <w14:schemeClr w14:val="tx1"/>
            </w14:solidFill>
          </w14:textFill>
        </w:rPr>
        <w:t>考虑生产设备暂存量、原料暂存量和副产暂存量；</w:t>
      </w:r>
      <w:r>
        <w:rPr>
          <w:rFonts w:hint="eastAsia" w:ascii="宋体" w:hAnsi="宋体" w:eastAsia="宋体" w:cs="宋体"/>
          <w:color w:val="000000" w:themeColor="text1"/>
          <w:sz w:val="21"/>
          <w:szCs w:val="21"/>
          <w:highlight w:val="none"/>
          <w:vertAlign w:val="baseline"/>
          <w:lang w:val="zh-CN" w:eastAsia="zh-CN"/>
          <w14:textFill>
            <w14:solidFill>
              <w14:schemeClr w14:val="tx1"/>
            </w14:solidFill>
          </w14:textFill>
        </w:rPr>
        <w:t>二甲基乙酰胺</w:t>
      </w:r>
      <w:r>
        <w:rPr>
          <w:rFonts w:hint="eastAsia" w:ascii="宋体" w:hAnsi="宋体" w:eastAsia="宋体" w:cs="宋体"/>
          <w:color w:val="000000" w:themeColor="text1"/>
          <w:sz w:val="21"/>
          <w:szCs w:val="21"/>
          <w:lang w:val="en-US" w:eastAsia="zh-CN"/>
          <w14:textFill>
            <w14:solidFill>
              <w14:schemeClr w14:val="tx1"/>
            </w14:solidFill>
          </w14:textFill>
        </w:rPr>
        <w:t>临界量按附表B.2中其他危险物质临界量推荐值的类别3考虑。</w:t>
      </w:r>
    </w:p>
    <w:p>
      <w:pPr>
        <w:pStyle w:val="8"/>
        <w:keepNext/>
        <w:keepLines/>
        <w:pageBreakBefore w:val="0"/>
        <w:widowControl/>
        <w:kinsoku/>
        <w:wordWrap/>
        <w:overflowPunct/>
        <w:topLinePunct w:val="0"/>
        <w:autoSpaceDE/>
        <w:autoSpaceDN/>
        <w:bidi w:val="0"/>
        <w:adjustRightInd/>
        <w:snapToGrid/>
        <w:ind w:firstLine="482" w:firstLineChars="200"/>
        <w:textAlignment w:val="auto"/>
        <w:rPr>
          <w:rFonts w:hint="eastAsia" w:ascii="宋体" w:hAnsi="宋体" w:eastAsia="宋体" w:cs="宋体"/>
          <w:bCs/>
          <w:color w:val="000000" w:themeColor="text1"/>
          <w:highlight w:val="none"/>
          <w:lang w:val="en-US" w:eastAsia="zh-CN"/>
          <w14:textFill>
            <w14:solidFill>
              <w14:schemeClr w14:val="tx1"/>
            </w14:solidFill>
          </w14:textFill>
        </w:rPr>
      </w:pPr>
      <w:bookmarkStart w:id="452" w:name="_Toc29935"/>
      <w:r>
        <w:rPr>
          <w:rFonts w:hint="eastAsia" w:ascii="宋体" w:hAnsi="宋体" w:eastAsia="宋体" w:cs="宋体"/>
          <w:bCs/>
          <w:color w:val="000000" w:themeColor="text1"/>
          <w:highlight w:val="none"/>
          <w:lang w:val="en-US" w:eastAsia="zh-CN"/>
          <w14:textFill>
            <w14:solidFill>
              <w14:schemeClr w14:val="tx1"/>
            </w14:solidFill>
          </w14:textFill>
        </w:rPr>
        <w:t>6.1.2环境敏感目标调查</w:t>
      </w:r>
      <w:bookmarkEnd w:id="452"/>
    </w:p>
    <w:p>
      <w:pPr>
        <w:widowControl w:val="0"/>
        <w:spacing w:line="360" w:lineRule="auto"/>
        <w:ind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Cs w:val="22"/>
          <w:highlight w:val="none"/>
          <w:lang w:val="en-US" w:eastAsia="zh-CN"/>
          <w14:textFill>
            <w14:solidFill>
              <w14:schemeClr w14:val="tx1"/>
            </w14:solidFill>
          </w14:textFill>
        </w:rPr>
        <w:t>见表2.5-1。</w:t>
      </w:r>
    </w:p>
    <w:p>
      <w:pPr>
        <w:pStyle w:val="7"/>
        <w:pageBreakBefore w:val="0"/>
        <w:widowControl/>
        <w:kinsoku/>
        <w:wordWrap/>
        <w:overflowPunct/>
        <w:topLinePunct w:val="0"/>
        <w:bidi w:val="0"/>
        <w:adjustRightInd/>
        <w:snapToGrid/>
        <w:ind w:firstLine="482"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bookmarkStart w:id="453" w:name="_Toc341"/>
      <w:r>
        <w:rPr>
          <w:rFonts w:hint="eastAsia" w:ascii="宋体" w:hAnsi="宋体" w:eastAsia="宋体" w:cs="宋体"/>
          <w:color w:val="000000" w:themeColor="text1"/>
          <w:sz w:val="24"/>
          <w:szCs w:val="24"/>
          <w:highlight w:val="none"/>
          <w:lang w:val="en-US" w:eastAsia="zh-CN"/>
          <w14:textFill>
            <w14:solidFill>
              <w14:schemeClr w14:val="tx1"/>
            </w14:solidFill>
          </w14:textFill>
        </w:rPr>
        <w:t>6.2环境风险潜势初判</w:t>
      </w:r>
      <w:bookmarkEnd w:id="453"/>
    </w:p>
    <w:p>
      <w:pPr>
        <w:spacing w:line="360" w:lineRule="auto"/>
        <w:ind w:firstLine="482"/>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根据《建设项目环境风险评价技术导则》（HJ169-2018），危险物质及工艺系统危险性（P）应根据危险物质数量与临界量的比值（Q）和行业及生产工艺（M）共同确定。</w:t>
      </w:r>
    </w:p>
    <w:p>
      <w:pPr>
        <w:spacing w:line="360" w:lineRule="auto"/>
        <w:ind w:firstLine="482"/>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根据《建设项目环境风险评价技术导则》（HJ169-2018），当只涉及一种危险物质时，计算该物质的总量与其临界量比值，即为Q。</w:t>
      </w:r>
    </w:p>
    <w:p>
      <w:pPr>
        <w:spacing w:line="360" w:lineRule="auto"/>
        <w:ind w:firstLine="482"/>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当存在多种危险物质时，则按式（1）计算物质总量与其临界量比值（Q）：</w:t>
      </w:r>
    </w:p>
    <w:p>
      <w:pPr>
        <w:spacing w:line="240" w:lineRule="auto"/>
        <w:ind w:firstLine="482"/>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drawing>
          <wp:inline distT="0" distB="0" distL="114300" distR="114300">
            <wp:extent cx="2066925" cy="518160"/>
            <wp:effectExtent l="0" t="0" r="9525" b="15240"/>
            <wp:docPr id="1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6"/>
                    <pic:cNvPicPr>
                      <a:picLocks noChangeAspect="1"/>
                    </pic:cNvPicPr>
                  </pic:nvPicPr>
                  <pic:blipFill>
                    <a:blip r:embed="rId39"/>
                    <a:stretch>
                      <a:fillRect/>
                    </a:stretch>
                  </pic:blipFill>
                  <pic:spPr>
                    <a:xfrm>
                      <a:off x="0" y="0"/>
                      <a:ext cx="2066925" cy="518160"/>
                    </a:xfrm>
                    <a:prstGeom prst="rect">
                      <a:avLst/>
                    </a:prstGeom>
                    <a:noFill/>
                    <a:ln>
                      <a:noFill/>
                    </a:ln>
                  </pic:spPr>
                </pic:pic>
              </a:graphicData>
            </a:graphic>
          </wp:inline>
        </w:drawing>
      </w:r>
    </w:p>
    <w:p>
      <w:pPr>
        <w:spacing w:line="360" w:lineRule="auto"/>
        <w:ind w:firstLine="482"/>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其中：q1、q2……qn－每种危险物质贮存场所或生产场所实际存在量，t；</w:t>
      </w:r>
    </w:p>
    <w:p>
      <w:pPr>
        <w:spacing w:line="360" w:lineRule="auto"/>
        <w:ind w:firstLine="482"/>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Q1、Q2……Qn－与各危险物质相对应的生产场所或贮存区的临界量，t；</w:t>
      </w:r>
    </w:p>
    <w:p>
      <w:pPr>
        <w:spacing w:line="360" w:lineRule="auto"/>
        <w:ind w:firstLine="482"/>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当Q＜1 时，该项目环境风险潜势为Ⅰ。</w:t>
      </w:r>
    </w:p>
    <w:p>
      <w:pPr>
        <w:spacing w:line="360" w:lineRule="auto"/>
        <w:ind w:firstLine="482"/>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当Q≥1 时，将Q 值划分为：（1）1≤Q＜10；（2）10≤Q＜100；（3）Q≥100。</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对照《建设项目环境风险评价技术导则》（HJ169-2018）附录B</w:t>
      </w:r>
      <w:r>
        <w:rPr>
          <w:rFonts w:hint="eastAsia" w:ascii="宋体" w:hAnsi="宋体" w:eastAsia="宋体" w:cs="宋体"/>
          <w:color w:val="000000" w:themeColor="text1"/>
          <w:lang w:eastAsia="zh-CN"/>
          <w14:textFill>
            <w14:solidFill>
              <w14:schemeClr w14:val="tx1"/>
            </w14:solidFill>
          </w14:textFill>
        </w:rPr>
        <w:t>。</w:t>
      </w:r>
    </w:p>
    <w:p>
      <w:pPr>
        <w:spacing w:line="360" w:lineRule="auto"/>
        <w:ind w:firstLine="482"/>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项目涉及的突发性环境事件风险物质见下表。</w:t>
      </w:r>
    </w:p>
    <w:p>
      <w:pPr>
        <w:keepNext w:val="0"/>
        <w:keepLines w:val="0"/>
        <w:pageBreakBefore w:val="0"/>
        <w:widowControl/>
        <w:kinsoku/>
        <w:wordWrap/>
        <w:overflowPunct/>
        <w:topLinePunct w:val="0"/>
        <w:autoSpaceDE/>
        <w:autoSpaceDN/>
        <w:bidi w:val="0"/>
        <w:adjustRightInd/>
        <w:snapToGrid/>
        <w:spacing w:before="167" w:beforeLines="50" w:after="167" w:afterLines="50" w:line="360" w:lineRule="auto"/>
        <w:ind w:firstLine="0" w:firstLineChars="0"/>
        <w:jc w:val="center"/>
        <w:textAlignment w:val="auto"/>
        <w:rPr>
          <w:rFonts w:hint="eastAsia" w:ascii="宋体" w:hAnsi="宋体" w:eastAsia="宋体" w:cs="宋体"/>
          <w:b/>
          <w:bCs/>
          <w:color w:val="000000" w:themeColor="text1"/>
          <w:highlight w:val="none"/>
          <w:lang w:val="en-US" w:eastAsia="zh-CN"/>
          <w14:textFill>
            <w14:solidFill>
              <w14:schemeClr w14:val="tx1"/>
            </w14:solidFill>
          </w14:textFill>
        </w:rPr>
      </w:pPr>
      <w:r>
        <w:rPr>
          <w:rFonts w:hint="eastAsia" w:ascii="宋体" w:hAnsi="宋体" w:eastAsia="宋体" w:cs="宋体"/>
          <w:b/>
          <w:bCs/>
          <w:color w:val="000000" w:themeColor="text1"/>
          <w:highlight w:val="none"/>
          <w:lang w:val="en-US" w:eastAsia="zh-CN"/>
          <w14:textFill>
            <w14:solidFill>
              <w14:schemeClr w14:val="tx1"/>
            </w14:solidFill>
          </w14:textFill>
        </w:rPr>
        <w:t>表6.2.1-1  项目Q值确定表</w:t>
      </w:r>
    </w:p>
    <w:tbl>
      <w:tblPr>
        <w:tblStyle w:val="30"/>
        <w:tblW w:w="4993"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108" w:type="dxa"/>
          <w:bottom w:w="0" w:type="dxa"/>
          <w:right w:w="108" w:type="dxa"/>
        </w:tblCellMar>
      </w:tblPr>
      <w:tblGrid>
        <w:gridCol w:w="995"/>
        <w:gridCol w:w="3899"/>
        <w:gridCol w:w="1638"/>
        <w:gridCol w:w="1667"/>
        <w:gridCol w:w="164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blHeader/>
          <w:jc w:val="center"/>
        </w:trPr>
        <w:tc>
          <w:tcPr>
            <w:tcW w:w="50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序号</w:t>
            </w:r>
          </w:p>
        </w:tc>
        <w:tc>
          <w:tcPr>
            <w:tcW w:w="198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危险物质名称</w:t>
            </w:r>
          </w:p>
        </w:tc>
        <w:tc>
          <w:tcPr>
            <w:tcW w:w="83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最大存在总量（存储量+在线量）qn/t</w:t>
            </w:r>
          </w:p>
        </w:tc>
        <w:tc>
          <w:tcPr>
            <w:tcW w:w="84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临界量Qn/t</w:t>
            </w:r>
          </w:p>
        </w:tc>
        <w:tc>
          <w:tcPr>
            <w:tcW w:w="83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该种危险物质Q值</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50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w:t>
            </w:r>
          </w:p>
        </w:tc>
        <w:tc>
          <w:tcPr>
            <w:tcW w:w="198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二甲基乙酰胺（DMAC）</w:t>
            </w:r>
          </w:p>
        </w:tc>
        <w:tc>
          <w:tcPr>
            <w:tcW w:w="83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30</w:t>
            </w:r>
          </w:p>
        </w:tc>
        <w:tc>
          <w:tcPr>
            <w:tcW w:w="84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50</w:t>
            </w:r>
          </w:p>
        </w:tc>
        <w:tc>
          <w:tcPr>
            <w:tcW w:w="83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50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w:t>
            </w:r>
          </w:p>
        </w:tc>
        <w:tc>
          <w:tcPr>
            <w:tcW w:w="198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废润滑油</w:t>
            </w:r>
          </w:p>
        </w:tc>
        <w:tc>
          <w:tcPr>
            <w:tcW w:w="83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0.03</w:t>
            </w:r>
          </w:p>
        </w:tc>
        <w:tc>
          <w:tcPr>
            <w:tcW w:w="84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2500</w:t>
            </w:r>
          </w:p>
        </w:tc>
        <w:tc>
          <w:tcPr>
            <w:tcW w:w="83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0.000012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jc w:val="center"/>
        </w:trPr>
        <w:tc>
          <w:tcPr>
            <w:tcW w:w="50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3</w:t>
            </w:r>
          </w:p>
        </w:tc>
        <w:tc>
          <w:tcPr>
            <w:tcW w:w="198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二氨基二苯醚（ODA）</w:t>
            </w:r>
          </w:p>
        </w:tc>
        <w:tc>
          <w:tcPr>
            <w:tcW w:w="83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10</w:t>
            </w:r>
          </w:p>
        </w:tc>
        <w:tc>
          <w:tcPr>
            <w:tcW w:w="84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100</w:t>
            </w:r>
          </w:p>
        </w:tc>
        <w:tc>
          <w:tcPr>
            <w:tcW w:w="83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jc w:val="center"/>
        </w:trPr>
        <w:tc>
          <w:tcPr>
            <w:tcW w:w="50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4</w:t>
            </w:r>
          </w:p>
        </w:tc>
        <w:tc>
          <w:tcPr>
            <w:tcW w:w="1981" w:type="pct"/>
            <w:tcBorders>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均苯四甲酸二酐</w:t>
            </w:r>
          </w:p>
        </w:tc>
        <w:tc>
          <w:tcPr>
            <w:tcW w:w="832" w:type="pct"/>
            <w:tcBorders>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10</w:t>
            </w:r>
          </w:p>
        </w:tc>
        <w:tc>
          <w:tcPr>
            <w:tcW w:w="84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100</w:t>
            </w:r>
          </w:p>
        </w:tc>
        <w:tc>
          <w:tcPr>
            <w:tcW w:w="83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4166" w:type="pct"/>
            <w:gridSpan w:val="4"/>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项目Q 值Σ</w:t>
            </w:r>
          </w:p>
        </w:tc>
        <w:tc>
          <w:tcPr>
            <w:tcW w:w="83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0.850012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4166" w:type="pct"/>
            <w:gridSpan w:val="4"/>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Q值对应等级</w:t>
            </w:r>
          </w:p>
        </w:tc>
        <w:tc>
          <w:tcPr>
            <w:tcW w:w="83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Q＜1</w:t>
            </w:r>
          </w:p>
        </w:tc>
      </w:tr>
    </w:tbl>
    <w:p>
      <w:pPr>
        <w:keepNext w:val="0"/>
        <w:keepLines w:val="0"/>
        <w:pageBreakBefore w:val="0"/>
        <w:widowControl/>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color w:val="000000" w:themeColor="text1"/>
          <w:highlight w:val="none"/>
          <w:lang w:val="en-US" w:eastAsia="zh-CN"/>
          <w14:textFill>
            <w14:solidFill>
              <w14:schemeClr w14:val="tx1"/>
            </w14:solidFill>
          </w14:textFill>
        </w:rPr>
      </w:pPr>
      <w:bookmarkStart w:id="454" w:name="_Toc26744_WPSOffice_Level2"/>
      <w:bookmarkStart w:id="455" w:name="_Toc6501_WPSOffice_Level2"/>
      <w:r>
        <w:rPr>
          <w:rFonts w:hint="eastAsia" w:ascii="宋体" w:hAnsi="宋体" w:eastAsia="宋体" w:cs="宋体"/>
          <w:color w:val="000000" w:themeColor="text1"/>
          <w:highlight w:val="none"/>
          <w:lang w:val="en-US" w:eastAsia="zh-CN"/>
          <w14:textFill>
            <w14:solidFill>
              <w14:schemeClr w14:val="tx1"/>
            </w14:solidFill>
          </w14:textFill>
        </w:rPr>
        <w:t>根据《建设项目环境风险评价技术导则》（HJ169-2018）中评价工作的等级划分可知，本项目所涉及的环境风险物质最大储存量很少，环境风险很小，故只需要进行简单分析。</w:t>
      </w:r>
    </w:p>
    <w:p>
      <w:pPr>
        <w:keepNext w:val="0"/>
        <w:keepLines w:val="0"/>
        <w:pageBreakBefore w:val="0"/>
        <w:widowControl/>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项目环境风险主要为：物料泄漏、燃烧和爆炸等。对外环境影响较大的主要是物料的泄漏和燃烧。同时，还应考虑向环境转移及次生/伴生污染的风险。</w:t>
      </w:r>
    </w:p>
    <w:p>
      <w:pPr>
        <w:keepNext w:val="0"/>
        <w:keepLines w:val="0"/>
        <w:pageBreakBefore w:val="0"/>
        <w:widowControl/>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根据涉及到的危险化学物质和工艺条件等因素，确定项目生产装置的风险事故主要为搅拌罐和配套、管道、阀门等。涉及到的容易发生火灾爆炸的物质如二甲基乙酰胺，如果发生泄漏，就可能引发火灾或爆炸。</w:t>
      </w:r>
    </w:p>
    <w:p>
      <w:pPr>
        <w:keepNext w:val="0"/>
        <w:keepLines w:val="0"/>
        <w:pageBreakBefore w:val="0"/>
        <w:widowControl/>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储运设施的风险事故主要为原料储存以及管线等，因各种因素引起物料泄漏，甚至发生火灾或爆炸。</w:t>
      </w:r>
    </w:p>
    <w:p>
      <w:pPr>
        <w:keepNext w:val="0"/>
        <w:keepLines w:val="0"/>
        <w:pageBreakBefore w:val="0"/>
        <w:widowControl/>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项目如发生泄漏、火灾或爆炸，事故后果主要为：物料跑损、人员伤亡、停产、人员中毒、造成严重经济损失等。项目发生物料泄漏事故后的危害及转移途径具体分析如下：</w:t>
      </w:r>
    </w:p>
    <w:p>
      <w:pPr>
        <w:keepNext w:val="0"/>
        <w:keepLines w:val="0"/>
        <w:pageBreakBefore w:val="0"/>
        <w:widowControl/>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物料具有易燃易爆性质，遇明火、高热、氧化剂都容易引起燃烧爆炸。若原料包装桶遇高温高热，出现大量放热现象，可引起原料包装桶破裂和爆炸事故。发生泄漏事故后，事故后果主要为：①泄漏会引发火灾或爆炸对厂内的构筑物、设备等造成破坏，同时对附近的人员造成伤亡等事故；②燃烧产物主要为一氧化碳、二氧化碳等；③在燃烧时释放的大量烟尘对周围局部大气环境造成污染；④次生CO等有毒有害气体对周围人体等会造成中毒等影响，对局部大气环境造成超标污染。</w:t>
      </w:r>
    </w:p>
    <w:p>
      <w:pPr>
        <w:keepNext w:val="0"/>
        <w:keepLines w:val="0"/>
        <w:pageBreakBefore w:val="0"/>
        <w:widowControl/>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项目环境风险识别表如下表6.2-2。</w:t>
      </w:r>
    </w:p>
    <w:p>
      <w:pPr>
        <w:keepNext w:val="0"/>
        <w:keepLines w:val="0"/>
        <w:pageBreakBefore w:val="0"/>
        <w:widowControl/>
        <w:kinsoku/>
        <w:wordWrap/>
        <w:overflowPunct/>
        <w:topLinePunct w:val="0"/>
        <w:autoSpaceDE/>
        <w:autoSpaceDN/>
        <w:bidi w:val="0"/>
        <w:adjustRightInd/>
        <w:snapToGrid/>
        <w:spacing w:before="167" w:beforeLines="50" w:after="167" w:afterLines="50" w:line="360" w:lineRule="auto"/>
        <w:ind w:firstLine="0" w:firstLineChars="0"/>
        <w:jc w:val="center"/>
        <w:textAlignment w:val="auto"/>
        <w:rPr>
          <w:rFonts w:hint="eastAsia" w:ascii="宋体" w:hAnsi="宋体" w:eastAsia="宋体" w:cs="宋体"/>
          <w:b/>
          <w:bCs/>
          <w:color w:val="000000" w:themeColor="text1"/>
          <w:highlight w:val="none"/>
          <w:lang w:val="en-US" w:eastAsia="zh-CN"/>
          <w14:textFill>
            <w14:solidFill>
              <w14:schemeClr w14:val="tx1"/>
            </w14:solidFill>
          </w14:textFill>
        </w:rPr>
      </w:pPr>
      <w:r>
        <w:rPr>
          <w:rFonts w:hint="eastAsia" w:ascii="宋体" w:hAnsi="宋体" w:eastAsia="宋体" w:cs="宋体"/>
          <w:b/>
          <w:bCs/>
          <w:color w:val="000000" w:themeColor="text1"/>
          <w:highlight w:val="none"/>
          <w:lang w:val="en-US" w:eastAsia="zh-CN"/>
          <w14:textFill>
            <w14:solidFill>
              <w14:schemeClr w14:val="tx1"/>
            </w14:solidFill>
          </w14:textFill>
        </w:rPr>
        <w:t>表6.2-2项目环境风险识别表</w:t>
      </w:r>
    </w:p>
    <w:tbl>
      <w:tblPr>
        <w:tblStyle w:val="3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910"/>
        <w:gridCol w:w="1552"/>
        <w:gridCol w:w="1800"/>
        <w:gridCol w:w="1800"/>
        <w:gridCol w:w="33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序号</w:t>
            </w:r>
          </w:p>
        </w:tc>
        <w:tc>
          <w:tcPr>
            <w:tcW w:w="462"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功能单元</w:t>
            </w:r>
          </w:p>
        </w:tc>
        <w:tc>
          <w:tcPr>
            <w:tcW w:w="788"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区域</w:t>
            </w:r>
          </w:p>
        </w:tc>
        <w:tc>
          <w:tcPr>
            <w:tcW w:w="913"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主要风险事故</w:t>
            </w:r>
          </w:p>
        </w:tc>
        <w:tc>
          <w:tcPr>
            <w:tcW w:w="913"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次生/伴生事故</w:t>
            </w:r>
          </w:p>
        </w:tc>
        <w:tc>
          <w:tcPr>
            <w:tcW w:w="1705"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环境影响途径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w:t>
            </w:r>
          </w:p>
        </w:tc>
        <w:tc>
          <w:tcPr>
            <w:tcW w:w="462"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生产单元</w:t>
            </w:r>
          </w:p>
        </w:tc>
        <w:tc>
          <w:tcPr>
            <w:tcW w:w="788"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配料罐、流延机、烘干拉伸机</w:t>
            </w:r>
          </w:p>
        </w:tc>
        <w:tc>
          <w:tcPr>
            <w:tcW w:w="913"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装置泄漏、火灾、爆炸事故、废气处理装置失效事故</w:t>
            </w:r>
          </w:p>
        </w:tc>
        <w:tc>
          <w:tcPr>
            <w:tcW w:w="913"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火灾产生的污染事故、中毒事故，燃烧产污造成的污染事故</w:t>
            </w:r>
          </w:p>
        </w:tc>
        <w:tc>
          <w:tcPr>
            <w:tcW w:w="1705" w:type="pct"/>
            <w:vMerge w:val="restar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①危险物质泄漏形成液池，通过蒸发污染大气环境；危险物质泄漏后通过地面裂隙污染地下水；</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②火灾、爆炸事故在高温下挥发释放至大气的未完全燃烧危险物质，以及在燃烧过程中产生的伴生/次生污染物排放污染大气环境；火灾时消防废水收集不当通过雨水管网染周边地表水环境，同时可能通过地面裂隙污染地下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w:t>
            </w:r>
          </w:p>
        </w:tc>
        <w:tc>
          <w:tcPr>
            <w:tcW w:w="462"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贮存单元</w:t>
            </w:r>
          </w:p>
        </w:tc>
        <w:tc>
          <w:tcPr>
            <w:tcW w:w="788"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二甲基乙酰胺、</w:t>
            </w:r>
            <w:r>
              <w:rPr>
                <w:rFonts w:hint="eastAsia" w:ascii="宋体" w:hAnsi="宋体" w:eastAsia="宋体" w:cs="宋体"/>
                <w:color w:val="000000" w:themeColor="text1"/>
                <w:sz w:val="21"/>
                <w:szCs w:val="21"/>
                <w:highlight w:val="none"/>
                <w:vertAlign w:val="baseline"/>
                <w:lang w:val="zh-CN" w:eastAsia="zh-CN"/>
                <w14:textFill>
                  <w14:solidFill>
                    <w14:schemeClr w14:val="tx1"/>
                  </w14:solidFill>
                </w14:textFill>
              </w:rPr>
              <w:t>4，4'-二氨基二苯醚</w:t>
            </w: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储存区</w:t>
            </w:r>
          </w:p>
        </w:tc>
        <w:tc>
          <w:tcPr>
            <w:tcW w:w="913"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原料泄漏、火灾、爆炸事故</w:t>
            </w:r>
          </w:p>
        </w:tc>
        <w:tc>
          <w:tcPr>
            <w:tcW w:w="913"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火灾产生的污染事故、燃烧产污造成的污染事故</w:t>
            </w:r>
          </w:p>
        </w:tc>
        <w:tc>
          <w:tcPr>
            <w:tcW w:w="1705"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3</w:t>
            </w:r>
          </w:p>
        </w:tc>
        <w:tc>
          <w:tcPr>
            <w:tcW w:w="462"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危废暂存间</w:t>
            </w:r>
          </w:p>
        </w:tc>
        <w:tc>
          <w:tcPr>
            <w:tcW w:w="788"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二甲基乙酰胺</w:t>
            </w:r>
          </w:p>
        </w:tc>
        <w:tc>
          <w:tcPr>
            <w:tcW w:w="913"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容积泄漏、火灾、爆炸事故</w:t>
            </w:r>
          </w:p>
        </w:tc>
        <w:tc>
          <w:tcPr>
            <w:tcW w:w="913"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火灾产生的污染事故、燃烧产污造成的污染事故</w:t>
            </w:r>
          </w:p>
        </w:tc>
        <w:tc>
          <w:tcPr>
            <w:tcW w:w="1705"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4</w:t>
            </w:r>
          </w:p>
        </w:tc>
        <w:tc>
          <w:tcPr>
            <w:tcW w:w="462"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废气处理</w:t>
            </w:r>
          </w:p>
        </w:tc>
        <w:tc>
          <w:tcPr>
            <w:tcW w:w="788"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废气处理区</w:t>
            </w:r>
          </w:p>
        </w:tc>
        <w:tc>
          <w:tcPr>
            <w:tcW w:w="913"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废气处理装置故障</w:t>
            </w:r>
          </w:p>
        </w:tc>
        <w:tc>
          <w:tcPr>
            <w:tcW w:w="913"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废气超标排放</w:t>
            </w:r>
          </w:p>
        </w:tc>
        <w:tc>
          <w:tcPr>
            <w:tcW w:w="1705"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废气处理设施出现故障，不能有效较低废气中的污染物浓度，含有高浓度污染物的废气排放到空气中后会对周边人群健康产生危害。</w:t>
            </w:r>
          </w:p>
        </w:tc>
      </w:tr>
    </w:tbl>
    <w:p>
      <w:pPr>
        <w:pStyle w:val="7"/>
        <w:pageBreakBefore w:val="0"/>
        <w:widowControl/>
        <w:kinsoku/>
        <w:wordWrap/>
        <w:overflowPunct/>
        <w:topLinePunct w:val="0"/>
        <w:bidi w:val="0"/>
        <w:adjustRightInd/>
        <w:snapToGrid/>
        <w:ind w:firstLine="482"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bookmarkStart w:id="456" w:name="_Toc20615"/>
      <w:r>
        <w:rPr>
          <w:rFonts w:hint="eastAsia" w:ascii="宋体" w:hAnsi="宋体" w:eastAsia="宋体" w:cs="宋体"/>
          <w:color w:val="000000" w:themeColor="text1"/>
          <w:sz w:val="24"/>
          <w:szCs w:val="24"/>
          <w:highlight w:val="none"/>
          <w:lang w:val="en-US" w:eastAsia="zh-CN"/>
          <w14:textFill>
            <w14:solidFill>
              <w14:schemeClr w14:val="tx1"/>
            </w14:solidFill>
          </w14:textFill>
        </w:rPr>
        <w:t>6.3、环境风险分析</w:t>
      </w:r>
      <w:bookmarkEnd w:id="456"/>
    </w:p>
    <w:p>
      <w:pPr>
        <w:pStyle w:val="8"/>
        <w:keepNext/>
        <w:keepLines/>
        <w:pageBreakBefore w:val="0"/>
        <w:widowControl/>
        <w:kinsoku/>
        <w:wordWrap/>
        <w:overflowPunct/>
        <w:topLinePunct w:val="0"/>
        <w:autoSpaceDE/>
        <w:autoSpaceDN/>
        <w:bidi w:val="0"/>
        <w:adjustRightInd/>
        <w:snapToGrid/>
        <w:ind w:firstLine="482" w:firstLineChars="200"/>
        <w:textAlignment w:val="auto"/>
        <w:rPr>
          <w:rFonts w:hint="eastAsia" w:ascii="宋体" w:hAnsi="宋体" w:eastAsia="宋体" w:cs="宋体"/>
          <w:bCs/>
          <w:color w:val="000000" w:themeColor="text1"/>
          <w:highlight w:val="none"/>
          <w:lang w:val="en-US" w:eastAsia="zh-CN"/>
          <w14:textFill>
            <w14:solidFill>
              <w14:schemeClr w14:val="tx1"/>
            </w14:solidFill>
          </w14:textFill>
        </w:rPr>
      </w:pPr>
      <w:bookmarkStart w:id="457" w:name="_Toc6257"/>
      <w:r>
        <w:rPr>
          <w:rFonts w:hint="eastAsia" w:ascii="宋体" w:hAnsi="宋体" w:eastAsia="宋体" w:cs="宋体"/>
          <w:bCs/>
          <w:color w:val="000000" w:themeColor="text1"/>
          <w:highlight w:val="none"/>
          <w:lang w:val="en-US" w:eastAsia="zh-CN"/>
          <w14:textFill>
            <w14:solidFill>
              <w14:schemeClr w14:val="tx1"/>
            </w14:solidFill>
          </w14:textFill>
        </w:rPr>
        <w:t>6.3.1物料泄漏影响分析</w:t>
      </w:r>
      <w:bookmarkEnd w:id="457"/>
    </w:p>
    <w:p>
      <w:pPr>
        <w:spacing w:line="360" w:lineRule="auto"/>
        <w:ind w:firstLine="480" w:firstLineChars="200"/>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项目生产单元、贮存单元和危废暂存间中的物料均可能会因自然或人为因素，出现事故造成泄漏而排入周围环境，将可能引起火灾、中毒等事件。为避免发生泄漏事故，建设单位要做好各种防范措施，杜绝大事故的发生。泄漏事故发生后，应及时疏散附近人群，立即启动应急应案，可大大减轻事故对周围环境及人群的危害程度，一般不会出现人员中毒和伤亡情况。</w:t>
      </w:r>
    </w:p>
    <w:p>
      <w:pPr>
        <w:pStyle w:val="8"/>
        <w:keepNext/>
        <w:keepLines/>
        <w:pageBreakBefore w:val="0"/>
        <w:widowControl/>
        <w:kinsoku/>
        <w:wordWrap/>
        <w:overflowPunct/>
        <w:topLinePunct w:val="0"/>
        <w:autoSpaceDE/>
        <w:autoSpaceDN/>
        <w:bidi w:val="0"/>
        <w:adjustRightInd/>
        <w:snapToGrid/>
        <w:ind w:firstLine="482" w:firstLineChars="200"/>
        <w:textAlignment w:val="auto"/>
        <w:rPr>
          <w:rFonts w:hint="eastAsia" w:ascii="宋体" w:hAnsi="宋体" w:eastAsia="宋体" w:cs="宋体"/>
          <w:bCs/>
          <w:color w:val="000000" w:themeColor="text1"/>
          <w:highlight w:val="none"/>
          <w:lang w:val="en-US" w:eastAsia="zh-CN"/>
          <w14:textFill>
            <w14:solidFill>
              <w14:schemeClr w14:val="tx1"/>
            </w14:solidFill>
          </w14:textFill>
        </w:rPr>
      </w:pPr>
      <w:bookmarkStart w:id="458" w:name="_Toc10273"/>
      <w:r>
        <w:rPr>
          <w:rFonts w:hint="eastAsia" w:ascii="宋体" w:hAnsi="宋体" w:eastAsia="宋体" w:cs="宋体"/>
          <w:bCs/>
          <w:color w:val="000000" w:themeColor="text1"/>
          <w:highlight w:val="none"/>
          <w:lang w:val="en-US" w:eastAsia="zh-CN"/>
          <w14:textFill>
            <w14:solidFill>
              <w14:schemeClr w14:val="tx1"/>
            </w14:solidFill>
          </w14:textFill>
        </w:rPr>
        <w:t>6.3.2废气事故性排放对大气环境影响分析</w:t>
      </w:r>
      <w:bookmarkEnd w:id="458"/>
    </w:p>
    <w:p>
      <w:pPr>
        <w:spacing w:line="360" w:lineRule="auto"/>
        <w:ind w:firstLine="480" w:firstLineChars="200"/>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事故排放情况下项目生产废气等会对周围环境产生一定的不良影响。在非正常排放情况下，项目外排各污染物在敏感点处的浓度贡献值比值比正常情况下高。</w:t>
      </w:r>
    </w:p>
    <w:p>
      <w:pPr>
        <w:pStyle w:val="8"/>
        <w:keepNext/>
        <w:keepLines/>
        <w:pageBreakBefore w:val="0"/>
        <w:widowControl/>
        <w:kinsoku/>
        <w:wordWrap/>
        <w:overflowPunct/>
        <w:topLinePunct w:val="0"/>
        <w:autoSpaceDE/>
        <w:autoSpaceDN/>
        <w:bidi w:val="0"/>
        <w:adjustRightInd/>
        <w:snapToGrid/>
        <w:ind w:firstLine="482" w:firstLineChars="200"/>
        <w:textAlignment w:val="auto"/>
        <w:rPr>
          <w:rFonts w:hint="eastAsia" w:ascii="宋体" w:hAnsi="宋体" w:eastAsia="宋体" w:cs="宋体"/>
          <w:bCs/>
          <w:color w:val="000000" w:themeColor="text1"/>
          <w:highlight w:val="none"/>
          <w:u w:val="single"/>
          <w:lang w:val="en-US" w:eastAsia="zh-CN"/>
          <w14:textFill>
            <w14:solidFill>
              <w14:schemeClr w14:val="tx1"/>
            </w14:solidFill>
          </w14:textFill>
        </w:rPr>
      </w:pPr>
      <w:bookmarkStart w:id="459" w:name="_Toc27388"/>
      <w:r>
        <w:rPr>
          <w:rFonts w:hint="eastAsia" w:ascii="宋体" w:hAnsi="宋体" w:eastAsia="宋体" w:cs="宋体"/>
          <w:bCs/>
          <w:color w:val="000000" w:themeColor="text1"/>
          <w:highlight w:val="none"/>
          <w:u w:val="single"/>
          <w:lang w:val="en-US" w:eastAsia="zh-CN"/>
          <w14:textFill>
            <w14:solidFill>
              <w14:schemeClr w14:val="tx1"/>
            </w14:solidFill>
          </w14:textFill>
        </w:rPr>
        <w:t>6.3.3火灾、爆炸环境影响分析</w:t>
      </w:r>
      <w:bookmarkEnd w:id="459"/>
    </w:p>
    <w:p>
      <w:pPr>
        <w:spacing w:line="360" w:lineRule="auto"/>
        <w:ind w:firstLine="480" w:firstLineChars="200"/>
        <w:rPr>
          <w:rFonts w:hint="eastAsia" w:ascii="宋体" w:hAnsi="宋体" w:eastAsia="宋体" w:cs="宋体"/>
          <w:color w:val="000000" w:themeColor="text1"/>
          <w:highlight w:val="none"/>
          <w:u w:val="single"/>
          <w:lang w:val="en-US" w:eastAsia="zh-CN"/>
          <w14:textFill>
            <w14:solidFill>
              <w14:schemeClr w14:val="tx1"/>
            </w14:solidFill>
          </w14:textFill>
        </w:rPr>
      </w:pPr>
      <w:r>
        <w:rPr>
          <w:rFonts w:hint="eastAsia" w:ascii="宋体" w:hAnsi="宋体" w:eastAsia="宋体" w:cs="宋体"/>
          <w:color w:val="000000" w:themeColor="text1"/>
          <w:highlight w:val="none"/>
          <w:u w:val="single"/>
          <w:lang w:val="en-US" w:eastAsia="zh-CN"/>
          <w14:textFill>
            <w14:solidFill>
              <w14:schemeClr w14:val="tx1"/>
            </w14:solidFill>
          </w14:textFill>
        </w:rPr>
        <w:t>二甲基乙酰胺的泄漏，遇到明火发生火灾，二甲基乙酰胺燃烧所需的供氧量不足，则导致不完全燃烧，伴生的不完全燃烧释放的CO 气体，形成污染物扩散，会对大气环境造成不利影响。</w:t>
      </w:r>
    </w:p>
    <w:p>
      <w:pPr>
        <w:pStyle w:val="7"/>
        <w:pageBreakBefore w:val="0"/>
        <w:widowControl/>
        <w:kinsoku/>
        <w:wordWrap/>
        <w:overflowPunct/>
        <w:topLinePunct w:val="0"/>
        <w:bidi w:val="0"/>
        <w:adjustRightInd/>
        <w:snapToGrid/>
        <w:ind w:firstLine="482"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bookmarkStart w:id="460" w:name="_Toc5145"/>
      <w:r>
        <w:rPr>
          <w:rFonts w:hint="eastAsia" w:ascii="宋体" w:hAnsi="宋体" w:eastAsia="宋体" w:cs="宋体"/>
          <w:color w:val="000000" w:themeColor="text1"/>
          <w:sz w:val="24"/>
          <w:szCs w:val="24"/>
          <w:highlight w:val="none"/>
          <w:lang w:val="en-US" w:eastAsia="zh-CN"/>
          <w14:textFill>
            <w14:solidFill>
              <w14:schemeClr w14:val="tx1"/>
            </w14:solidFill>
          </w14:textFill>
        </w:rPr>
        <w:t>6.4环境风险防范措施及应急要求</w:t>
      </w:r>
      <w:bookmarkEnd w:id="460"/>
    </w:p>
    <w:p>
      <w:pPr>
        <w:pStyle w:val="8"/>
        <w:keepNext/>
        <w:keepLines/>
        <w:pageBreakBefore w:val="0"/>
        <w:widowControl/>
        <w:kinsoku/>
        <w:wordWrap/>
        <w:overflowPunct/>
        <w:topLinePunct w:val="0"/>
        <w:autoSpaceDE/>
        <w:autoSpaceDN/>
        <w:bidi w:val="0"/>
        <w:adjustRightInd/>
        <w:snapToGrid/>
        <w:ind w:firstLine="482" w:firstLineChars="200"/>
        <w:textAlignment w:val="auto"/>
        <w:rPr>
          <w:rFonts w:hint="eastAsia" w:ascii="宋体" w:hAnsi="宋体" w:eastAsia="宋体" w:cs="宋体"/>
          <w:bCs/>
          <w:color w:val="000000" w:themeColor="text1"/>
          <w:highlight w:val="none"/>
          <w:lang w:val="en-US" w:eastAsia="zh-CN"/>
          <w14:textFill>
            <w14:solidFill>
              <w14:schemeClr w14:val="tx1"/>
            </w14:solidFill>
          </w14:textFill>
        </w:rPr>
      </w:pPr>
      <w:bookmarkStart w:id="461" w:name="_Toc11623"/>
      <w:r>
        <w:rPr>
          <w:rFonts w:hint="eastAsia" w:ascii="宋体" w:hAnsi="宋体" w:eastAsia="宋体" w:cs="宋体"/>
          <w:bCs/>
          <w:color w:val="000000" w:themeColor="text1"/>
          <w:highlight w:val="none"/>
          <w:lang w:val="en-US" w:eastAsia="zh-CN"/>
          <w14:textFill>
            <w14:solidFill>
              <w14:schemeClr w14:val="tx1"/>
            </w14:solidFill>
          </w14:textFill>
        </w:rPr>
        <w:t>6.4.1物料泄漏防范措施</w:t>
      </w:r>
      <w:bookmarkEnd w:id="461"/>
    </w:p>
    <w:p>
      <w:pPr>
        <w:spacing w:line="360" w:lineRule="auto"/>
        <w:ind w:firstLine="480" w:firstLineChars="200"/>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企业在总图布局中，通过合理设置二甲基乙酰胺等原料储存位置、其他辅助功能区之间的距离，保证总图布局符合防火规范要求。</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在物料储存方面，根据原料产品特点和危险品性能分类进行储存。项目危废间和原料仓库周围设有围堰。</w:t>
      </w:r>
      <w:r>
        <w:rPr>
          <w:rFonts w:hint="eastAsia" w:ascii="宋体" w:hAnsi="宋体" w:eastAsia="宋体" w:cs="宋体"/>
          <w:color w:val="000000" w:themeColor="text1"/>
          <w:sz w:val="24"/>
          <w:szCs w:val="24"/>
          <w14:textFill>
            <w14:solidFill>
              <w14:schemeClr w14:val="tx1"/>
            </w14:solidFill>
          </w14:textFill>
        </w:rPr>
        <w:t>储罐区应设置围堰</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cs="宋体"/>
          <w:color w:val="000000" w:themeColor="text1"/>
          <w:sz w:val="24"/>
          <w:szCs w:val="24"/>
          <w:lang w:val="en-US" w:eastAsia="zh-CN"/>
          <w14:textFill>
            <w14:solidFill>
              <w14:schemeClr w14:val="tx1"/>
            </w14:solidFill>
          </w14:textFill>
        </w:rPr>
        <w:t>并依托</w:t>
      </w:r>
      <w:r>
        <w:rPr>
          <w:rFonts w:hint="eastAsia" w:ascii="宋体" w:hAnsi="宋体" w:eastAsia="宋体" w:cs="宋体"/>
          <w:color w:val="000000" w:themeColor="text1"/>
          <w:sz w:val="24"/>
          <w:szCs w:val="24"/>
          <w:lang w:eastAsia="zh-CN"/>
          <w14:textFill>
            <w14:solidFill>
              <w14:schemeClr w14:val="tx1"/>
            </w14:solidFill>
          </w14:textFill>
        </w:rPr>
        <w:t>6#办公楼地下已设置有一座有效容积为216m³的消防水池</w:t>
      </w:r>
      <w:r>
        <w:rPr>
          <w:rFonts w:hint="eastAsia" w:ascii="宋体" w:hAnsi="宋体" w:eastAsia="宋体" w:cs="宋体"/>
          <w:color w:val="000000" w:themeColor="text1"/>
          <w:sz w:val="24"/>
          <w:szCs w:val="24"/>
          <w14:textFill>
            <w14:solidFill>
              <w14:schemeClr w14:val="tx1"/>
            </w14:solidFill>
          </w14:textFill>
        </w:rPr>
        <w:t>。储罐之间的间距和围堰的设计应严格按照《建筑设计防火规范》GBJ16-87等标准规范执行。各罐区应按规定设置防火堤或围堰</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储罐还应设置液位计和液位自动报警、连锁系统，并确保系统的有效性，防止物料溢顶泄漏。</w:t>
      </w:r>
    </w:p>
    <w:p>
      <w:pPr>
        <w:spacing w:line="360" w:lineRule="auto"/>
        <w:ind w:firstLine="480" w:firstLineChars="200"/>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在满足正常生产前提下，尽可能减少危险品储存量和储存周期。在爆炸危险区域和有可能泄漏可燃、有毒气体的地方，按《石油化工企业可燃气体和有毒气体检测报警设计标准》（GB/T50493-2019）设置检测报警仪，同时设置火灾自动报警系统和早期火灾探测监测系统。一旦发生火灾，紧急启动救援系统。采用自动监测、报警；防火、防爆、防中毒等事故处理系统；应急救援设施及救援通道；应急疏散通道及避难所。</w:t>
      </w:r>
    </w:p>
    <w:p>
      <w:pPr>
        <w:spacing w:line="360" w:lineRule="auto"/>
        <w:ind w:firstLine="480" w:firstLineChars="200"/>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物料输送：防止管道堵塞，应尽量避免紧急停料、管线拐弯不畅，管内不畅等现象，并做好防静电措施。坚固液泵基础，经常检查法兰填料函；保持良好润滑，避免泵的超负荷运行。</w:t>
      </w:r>
    </w:p>
    <w:p>
      <w:pPr>
        <w:spacing w:line="360" w:lineRule="auto"/>
        <w:ind w:firstLine="480" w:firstLineChars="200"/>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反应操作严格执行国家相关规定，设置有效的监控、报警、检测和连锁装置，避免反应超压引发事故。</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w:t>
      </w:r>
      <w:r>
        <w:rPr>
          <w:rFonts w:hint="eastAsia" w:ascii="宋体" w:hAnsi="宋体" w:eastAsia="宋体" w:cs="宋体"/>
          <w:color w:val="000000" w:themeColor="text1"/>
          <w:lang w:val="en-US" w:eastAsia="zh-CN"/>
          <w14:textFill>
            <w14:solidFill>
              <w14:schemeClr w14:val="tx1"/>
            </w14:solidFill>
          </w14:textFill>
        </w:rPr>
        <w:t>1</w:t>
      </w:r>
      <w:r>
        <w:rPr>
          <w:rFonts w:hint="eastAsia" w:ascii="宋体" w:hAnsi="宋体" w:eastAsia="宋体" w:cs="宋体"/>
          <w:color w:val="000000" w:themeColor="text1"/>
          <w14:textFill>
            <w14:solidFill>
              <w14:schemeClr w14:val="tx1"/>
            </w14:solidFill>
          </w14:textFill>
        </w:rPr>
        <w:t>）泄漏事故具体处理措施</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①个体防护</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进入现场的救援人员必须配备必要的个人防护器具；泄漏事故发生后，应严禁火种，同时采取切断电源、禁止车辆进入、立即在边界设置警戒线。根据事故情况和事态发展，确定事故波及区域的范围、人员疏散和撤离地点、路线等；应使用专用防护服、隔绝式空气呼吸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②泄漏源控制</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采用合适的材料和技术手段堵住泄漏处。</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③泄漏物处理</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围堤堵截：筑堤堵截泄漏液体或者引流到</w:t>
      </w:r>
      <w:r>
        <w:rPr>
          <w:rFonts w:hint="eastAsia" w:cs="宋体"/>
          <w:color w:val="000000" w:themeColor="text1"/>
          <w:lang w:val="en-US" w:eastAsia="zh-CN"/>
          <w14:textFill>
            <w14:solidFill>
              <w14:schemeClr w14:val="tx1"/>
            </w14:solidFill>
          </w14:textFill>
        </w:rPr>
        <w:t>消防水</w:t>
      </w:r>
      <w:r>
        <w:rPr>
          <w:rFonts w:hint="eastAsia" w:ascii="宋体" w:hAnsi="宋体" w:eastAsia="宋体" w:cs="宋体"/>
          <w:color w:val="000000" w:themeColor="text1"/>
          <w14:textFill>
            <w14:solidFill>
              <w14:schemeClr w14:val="tx1"/>
            </w14:solidFill>
          </w14:textFill>
        </w:rPr>
        <w:t>池内。贮存区发生液体泄漏时，要及时关闭雨水阀，防止物料沿明沟外流。</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稀释与覆盖：向有害物蒸气云喷射雾状水，加速气体向高空扩散。对本项目有机溶液泄漏，为降低物料向大气中的蒸发速度，可用泡沫或其他覆盖物品覆盖外泄的物料，在其表面形成覆盖层，抑制其蒸发。并用喷雾水枪喷射，防止堵漏时产生火花，一方面可以驱散现场浓烈的气体，掩护人员去堵漏，同时还可以防止堵漏时产生火花。</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收容（集）：对于大型泄漏，可选择用隔膜泵将泄漏出的物料抽入容器内或槽车内；当泄漏量小时，可用沙子、吸附材料、中和材料等吸收中和。</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废弃：将收集的泄漏物运至废物处理场所处置。用消防水冲洗剩下的少量物料，冲洗水排入</w:t>
      </w:r>
      <w:r>
        <w:rPr>
          <w:rFonts w:hint="eastAsia" w:cs="宋体"/>
          <w:color w:val="000000" w:themeColor="text1"/>
          <w:lang w:val="en-US" w:eastAsia="zh-CN"/>
          <w14:textFill>
            <w14:solidFill>
              <w14:schemeClr w14:val="tx1"/>
            </w14:solidFill>
          </w14:textFill>
        </w:rPr>
        <w:t>消防水</w:t>
      </w:r>
      <w:r>
        <w:rPr>
          <w:rFonts w:hint="eastAsia" w:ascii="宋体" w:hAnsi="宋体" w:eastAsia="宋体" w:cs="宋体"/>
          <w:color w:val="000000" w:themeColor="text1"/>
          <w14:textFill>
            <w14:solidFill>
              <w14:schemeClr w14:val="tx1"/>
            </w14:solidFill>
          </w14:textFill>
        </w:rPr>
        <w:t>池。</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w:t>
      </w:r>
      <w:r>
        <w:rPr>
          <w:rFonts w:hint="eastAsia" w:ascii="宋体" w:hAnsi="宋体" w:eastAsia="宋体" w:cs="宋体"/>
          <w:color w:val="000000" w:themeColor="text1"/>
          <w:lang w:val="en-US" w:eastAsia="zh-CN"/>
          <w14:textFill>
            <w14:solidFill>
              <w14:schemeClr w14:val="tx1"/>
            </w14:solidFill>
          </w14:textFill>
        </w:rPr>
        <w:t>2</w:t>
      </w:r>
      <w:r>
        <w:rPr>
          <w:rFonts w:hint="eastAsia" w:ascii="宋体" w:hAnsi="宋体" w:eastAsia="宋体" w:cs="宋体"/>
          <w:color w:val="000000" w:themeColor="text1"/>
          <w14:textFill>
            <w14:solidFill>
              <w14:schemeClr w14:val="tx1"/>
            </w14:solidFill>
          </w14:textFill>
        </w:rPr>
        <w:t>）火灾爆炸事故具体处理措施</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u w:val="single"/>
          <w14:textFill>
            <w14:solidFill>
              <w14:schemeClr w14:val="tx1"/>
            </w14:solidFill>
          </w14:textFill>
        </w:rPr>
      </w:pPr>
      <w:r>
        <w:rPr>
          <w:rFonts w:hint="eastAsia" w:ascii="宋体" w:hAnsi="宋体" w:eastAsia="宋体" w:cs="宋体"/>
          <w:color w:val="000000" w:themeColor="text1"/>
          <w:u w:val="single"/>
          <w14:textFill>
            <w14:solidFill>
              <w14:schemeClr w14:val="tx1"/>
            </w14:solidFill>
          </w14:textFill>
        </w:rPr>
        <w:t>①先控制、后消灭。针对危险化学品火灾的火势发展蔓延快和燃烧面积大等特点，积极采取统一指挥、以快制快；堵截火势、防止蔓延；重点突破、排除险情；分割包围、速战速决的灭火战术。</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u w:val="single"/>
          <w14:textFill>
            <w14:solidFill>
              <w14:schemeClr w14:val="tx1"/>
            </w14:solidFill>
          </w14:textFill>
        </w:rPr>
      </w:pPr>
      <w:r>
        <w:rPr>
          <w:rFonts w:hint="eastAsia" w:ascii="宋体" w:hAnsi="宋体" w:eastAsia="宋体" w:cs="宋体"/>
          <w:color w:val="000000" w:themeColor="text1"/>
          <w:u w:val="single"/>
          <w14:textFill>
            <w14:solidFill>
              <w14:schemeClr w14:val="tx1"/>
            </w14:solidFill>
          </w14:textFill>
        </w:rPr>
        <w:t>②进行火情侦察、火灾扑救、火场疏散人员应有针对性地采取个体防护措施，如佩戴防护面具和空气呼吸器，穿戴专用防护服等。</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u w:val="single"/>
          <w:lang w:eastAsia="zh-CN"/>
          <w14:textFill>
            <w14:solidFill>
              <w14:schemeClr w14:val="tx1"/>
            </w14:solidFill>
          </w14:textFill>
        </w:rPr>
      </w:pPr>
      <w:r>
        <w:rPr>
          <w:rFonts w:hint="eastAsia" w:ascii="宋体" w:hAnsi="宋体" w:eastAsia="宋体" w:cs="宋体"/>
          <w:color w:val="000000" w:themeColor="text1"/>
          <w:u w:val="single"/>
          <w14:textFill>
            <w14:solidFill>
              <w14:schemeClr w14:val="tx1"/>
            </w14:solidFill>
          </w14:textFill>
        </w:rPr>
        <w:t>③应迅速查明燃烧范围、燃烧物品及其周围物品的品名和主要危险特性、火势蔓延的主要途径。</w:t>
      </w:r>
    </w:p>
    <w:p>
      <w:pPr>
        <w:spacing w:line="360" w:lineRule="auto"/>
        <w:ind w:firstLine="480" w:firstLineChars="200"/>
        <w:rPr>
          <w:rFonts w:hint="eastAsia" w:ascii="宋体" w:hAnsi="宋体" w:eastAsia="宋体" w:cs="宋体"/>
          <w:color w:val="000000" w:themeColor="text1"/>
          <w:u w:val="single"/>
          <w14:textFill>
            <w14:solidFill>
              <w14:schemeClr w14:val="tx1"/>
            </w14:solidFill>
          </w14:textFill>
        </w:rPr>
      </w:pPr>
      <w:r>
        <w:rPr>
          <w:rFonts w:hint="eastAsia" w:ascii="宋体" w:hAnsi="宋体" w:eastAsia="宋体" w:cs="宋体"/>
          <w:color w:val="000000" w:themeColor="text1"/>
          <w:u w:val="single"/>
          <w14:textFill>
            <w14:solidFill>
              <w14:schemeClr w14:val="tx1"/>
            </w14:solidFill>
          </w14:textFill>
        </w:rPr>
        <w:t>④对有可能发生爆炸、爆裂、喷溅等特别危险需紧急撤退的情况，应按照统一的撤退信号和撤退方法及时撤退。（撤退信号应格外醒目，能使现场所有人员都看到或听到，并应经常演练）</w:t>
      </w:r>
    </w:p>
    <w:p>
      <w:pPr>
        <w:pStyle w:val="8"/>
        <w:keepNext/>
        <w:keepLines/>
        <w:pageBreakBefore w:val="0"/>
        <w:widowControl/>
        <w:kinsoku/>
        <w:wordWrap/>
        <w:overflowPunct/>
        <w:topLinePunct w:val="0"/>
        <w:autoSpaceDE/>
        <w:autoSpaceDN/>
        <w:bidi w:val="0"/>
        <w:adjustRightInd/>
        <w:snapToGrid/>
        <w:ind w:firstLine="482" w:firstLineChars="200"/>
        <w:textAlignment w:val="auto"/>
        <w:rPr>
          <w:rFonts w:hint="eastAsia" w:ascii="宋体" w:hAnsi="宋体" w:eastAsia="宋体" w:cs="宋体"/>
          <w:bCs/>
          <w:color w:val="000000" w:themeColor="text1"/>
          <w:highlight w:val="none"/>
          <w:lang w:val="en-US" w:eastAsia="zh-CN"/>
          <w14:textFill>
            <w14:solidFill>
              <w14:schemeClr w14:val="tx1"/>
            </w14:solidFill>
          </w14:textFill>
        </w:rPr>
      </w:pPr>
      <w:bookmarkStart w:id="462" w:name="_Toc9856"/>
      <w:r>
        <w:rPr>
          <w:rFonts w:hint="eastAsia" w:ascii="宋体" w:hAnsi="宋体" w:eastAsia="宋体" w:cs="宋体"/>
          <w:bCs/>
          <w:color w:val="000000" w:themeColor="text1"/>
          <w:highlight w:val="none"/>
          <w:lang w:val="en-US" w:eastAsia="zh-CN"/>
          <w14:textFill>
            <w14:solidFill>
              <w14:schemeClr w14:val="tx1"/>
            </w14:solidFill>
          </w14:textFill>
        </w:rPr>
        <w:t>6.4.2废气事故防范措施</w:t>
      </w:r>
      <w:bookmarkEnd w:id="462"/>
    </w:p>
    <w:p>
      <w:pPr>
        <w:spacing w:line="360" w:lineRule="auto"/>
        <w:ind w:firstLine="480" w:firstLineChars="200"/>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1、各生产环节严格执行生产管理的有关规定，加强设备的检修及保养，提高管理人员素质，并设置机器事故应急措施及管理制度，确保设备长期处于良好状态，使设备达到预期的处理效果。</w:t>
      </w:r>
    </w:p>
    <w:p>
      <w:pPr>
        <w:spacing w:line="360" w:lineRule="auto"/>
        <w:ind w:firstLine="480" w:firstLineChars="200"/>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2、现场作业人员定时记录废气处理状况，如对废气处理设施、循环水系统等设备进行点检工作，并派专人巡视，遇不良工作状况立即停止车间相关作业，维修正常后再开始作业，杜绝事故性废气直排，并及时呈报单位主管。待检修完毕再通知生产车间相关工序。</w:t>
      </w:r>
    </w:p>
    <w:p>
      <w:pPr>
        <w:spacing w:line="360" w:lineRule="auto"/>
        <w:ind w:firstLine="480" w:firstLineChars="200"/>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3、治理设施等发生故障，应及时维修，如情况严重，应停止生产直至系统运作正常。</w:t>
      </w:r>
    </w:p>
    <w:bookmarkEnd w:id="454"/>
    <w:bookmarkEnd w:id="455"/>
    <w:p>
      <w:pPr>
        <w:pStyle w:val="8"/>
        <w:keepNext/>
        <w:keepLines/>
        <w:pageBreakBefore w:val="0"/>
        <w:widowControl/>
        <w:kinsoku/>
        <w:wordWrap/>
        <w:overflowPunct/>
        <w:topLinePunct w:val="0"/>
        <w:autoSpaceDE/>
        <w:autoSpaceDN/>
        <w:bidi w:val="0"/>
        <w:adjustRightInd/>
        <w:snapToGrid/>
        <w:ind w:firstLine="482" w:firstLineChars="200"/>
        <w:textAlignment w:val="auto"/>
        <w:rPr>
          <w:rFonts w:hint="eastAsia" w:ascii="宋体" w:hAnsi="宋体" w:eastAsia="宋体" w:cs="宋体"/>
          <w:bCs/>
          <w:color w:val="000000" w:themeColor="text1"/>
          <w:highlight w:val="none"/>
          <w:u w:val="single"/>
          <w:lang w:val="en-US" w:eastAsia="zh-CN"/>
          <w14:textFill>
            <w14:solidFill>
              <w14:schemeClr w14:val="tx1"/>
            </w14:solidFill>
          </w14:textFill>
        </w:rPr>
      </w:pPr>
      <w:bookmarkStart w:id="463" w:name="_Toc9050"/>
      <w:bookmarkStart w:id="464" w:name="_Toc15525"/>
      <w:bookmarkStart w:id="465" w:name="_Toc25248"/>
      <w:bookmarkStart w:id="466" w:name="_Toc14560"/>
      <w:bookmarkStart w:id="467" w:name="_Toc509218911"/>
      <w:bookmarkStart w:id="468" w:name="_Toc9801"/>
      <w:bookmarkStart w:id="469" w:name="_Toc3399"/>
      <w:bookmarkStart w:id="470" w:name="_Toc519419976"/>
      <w:r>
        <w:rPr>
          <w:rFonts w:hint="eastAsia" w:ascii="宋体" w:hAnsi="宋体" w:eastAsia="宋体" w:cs="宋体"/>
          <w:bCs/>
          <w:color w:val="000000" w:themeColor="text1"/>
          <w:highlight w:val="none"/>
          <w:u w:val="single"/>
          <w:lang w:val="en-US" w:eastAsia="zh-CN"/>
          <w14:textFill>
            <w14:solidFill>
              <w14:schemeClr w14:val="tx1"/>
            </w14:solidFill>
          </w14:textFill>
        </w:rPr>
        <w:t>6.4.3火灾爆炸防范措施</w:t>
      </w:r>
      <w:bookmarkEnd w:id="463"/>
    </w:p>
    <w:p>
      <w:pPr>
        <w:spacing w:line="360" w:lineRule="auto"/>
        <w:ind w:firstLine="480" w:firstLineChars="200"/>
        <w:rPr>
          <w:rFonts w:hint="eastAsia" w:ascii="宋体" w:hAnsi="宋体" w:eastAsia="宋体" w:cs="宋体"/>
          <w:color w:val="000000" w:themeColor="text1"/>
          <w:highlight w:val="none"/>
          <w:u w:val="single"/>
          <w:lang w:val="en-US" w:eastAsia="zh-CN"/>
          <w14:textFill>
            <w14:solidFill>
              <w14:schemeClr w14:val="tx1"/>
            </w14:solidFill>
          </w14:textFill>
        </w:rPr>
      </w:pPr>
      <w:r>
        <w:rPr>
          <w:rFonts w:hint="eastAsia" w:ascii="宋体" w:hAnsi="宋体" w:eastAsia="宋体" w:cs="宋体"/>
          <w:color w:val="000000" w:themeColor="text1"/>
          <w:highlight w:val="none"/>
          <w:u w:val="single"/>
          <w:lang w:val="en-US" w:eastAsia="zh-CN"/>
          <w14:textFill>
            <w14:solidFill>
              <w14:schemeClr w14:val="tx1"/>
            </w14:solidFill>
          </w14:textFill>
        </w:rPr>
        <w:t>厂区：落实了环境安全主体责任，定期排查环境安全隐患，开展环境风险评估，健全风险防控措施。当出现可能导致突发环境事件的情况时，要立即报告株洲市生态环境局天元分局。为加强危险源的日常监控，工作人员要采取以下监控措施：</w:t>
      </w:r>
    </w:p>
    <w:p>
      <w:pPr>
        <w:spacing w:line="360" w:lineRule="auto"/>
        <w:ind w:firstLine="480" w:firstLineChars="200"/>
        <w:rPr>
          <w:rFonts w:hint="eastAsia" w:ascii="宋体" w:hAnsi="宋体" w:eastAsia="宋体" w:cs="宋体"/>
          <w:color w:val="000000" w:themeColor="text1"/>
          <w:highlight w:val="none"/>
          <w:u w:val="single"/>
          <w:lang w:val="en-US" w:eastAsia="zh-CN"/>
          <w14:textFill>
            <w14:solidFill>
              <w14:schemeClr w14:val="tx1"/>
            </w14:solidFill>
          </w14:textFill>
        </w:rPr>
      </w:pPr>
      <w:r>
        <w:rPr>
          <w:rFonts w:hint="eastAsia" w:ascii="宋体" w:hAnsi="宋体" w:eastAsia="宋体" w:cs="宋体"/>
          <w:color w:val="000000" w:themeColor="text1"/>
          <w:highlight w:val="none"/>
          <w:u w:val="single"/>
          <w:lang w:val="en-US" w:eastAsia="zh-CN"/>
          <w14:textFill>
            <w14:solidFill>
              <w14:schemeClr w14:val="tx1"/>
            </w14:solidFill>
          </w14:textFill>
        </w:rPr>
        <w:t>①设立专门的机构负责人员安全、环境工作，建立日常巡回检查制度，每次检查都做情况记录，发现隐患及时汇报。</w:t>
      </w:r>
    </w:p>
    <w:p>
      <w:pPr>
        <w:spacing w:line="360" w:lineRule="auto"/>
        <w:ind w:firstLine="480" w:firstLineChars="200"/>
        <w:rPr>
          <w:rFonts w:hint="eastAsia" w:ascii="宋体" w:hAnsi="宋体" w:eastAsia="宋体" w:cs="宋体"/>
          <w:color w:val="000000" w:themeColor="text1"/>
          <w:highlight w:val="none"/>
          <w:u w:val="single"/>
          <w:lang w:val="en-US" w:eastAsia="zh-CN"/>
          <w14:textFill>
            <w14:solidFill>
              <w14:schemeClr w14:val="tx1"/>
            </w14:solidFill>
          </w14:textFill>
        </w:rPr>
      </w:pPr>
      <w:r>
        <w:rPr>
          <w:rFonts w:hint="eastAsia" w:ascii="宋体" w:hAnsi="宋体" w:eastAsia="宋体" w:cs="宋体"/>
          <w:color w:val="000000" w:themeColor="text1"/>
          <w:highlight w:val="none"/>
          <w:u w:val="single"/>
          <w:lang w:val="en-US" w:eastAsia="zh-CN"/>
          <w14:textFill>
            <w14:solidFill>
              <w14:schemeClr w14:val="tx1"/>
            </w14:solidFill>
          </w14:textFill>
        </w:rPr>
        <w:t>②员工必须熟练掌握各种应急物资的使用方法。</w:t>
      </w:r>
    </w:p>
    <w:p>
      <w:pPr>
        <w:spacing w:line="360" w:lineRule="auto"/>
        <w:ind w:firstLine="480" w:firstLineChars="200"/>
        <w:rPr>
          <w:rFonts w:hint="eastAsia" w:ascii="宋体" w:hAnsi="宋体" w:eastAsia="宋体" w:cs="宋体"/>
          <w:color w:val="000000" w:themeColor="text1"/>
          <w:highlight w:val="none"/>
          <w:u w:val="single"/>
          <w:lang w:val="en-US" w:eastAsia="zh-CN"/>
          <w14:textFill>
            <w14:solidFill>
              <w14:schemeClr w14:val="tx1"/>
            </w14:solidFill>
          </w14:textFill>
        </w:rPr>
      </w:pPr>
      <w:r>
        <w:rPr>
          <w:rFonts w:hint="eastAsia" w:ascii="宋体" w:hAnsi="宋体" w:eastAsia="宋体" w:cs="宋体"/>
          <w:color w:val="000000" w:themeColor="text1"/>
          <w:highlight w:val="none"/>
          <w:u w:val="single"/>
          <w:lang w:val="en-US" w:eastAsia="zh-CN"/>
          <w14:textFill>
            <w14:solidFill>
              <w14:schemeClr w14:val="tx1"/>
            </w14:solidFill>
          </w14:textFill>
        </w:rPr>
        <w:t>③了解厂区内风险物质的危险特性及应急处理方法。</w:t>
      </w:r>
    </w:p>
    <w:p>
      <w:pPr>
        <w:spacing w:line="360" w:lineRule="auto"/>
        <w:ind w:firstLine="480" w:firstLineChars="200"/>
        <w:rPr>
          <w:rFonts w:hint="eastAsia" w:ascii="宋体" w:hAnsi="宋体" w:eastAsia="宋体" w:cs="宋体"/>
          <w:color w:val="000000" w:themeColor="text1"/>
          <w:highlight w:val="none"/>
          <w:u w:val="single"/>
          <w:lang w:val="en-US" w:eastAsia="zh-CN"/>
          <w14:textFill>
            <w14:solidFill>
              <w14:schemeClr w14:val="tx1"/>
            </w14:solidFill>
          </w14:textFill>
        </w:rPr>
      </w:pPr>
      <w:r>
        <w:rPr>
          <w:rFonts w:hint="eastAsia" w:ascii="宋体" w:hAnsi="宋体" w:eastAsia="宋体" w:cs="宋体"/>
          <w:color w:val="000000" w:themeColor="text1"/>
          <w:highlight w:val="none"/>
          <w:u w:val="single"/>
          <w:lang w:val="en-US" w:eastAsia="zh-CN"/>
          <w14:textFill>
            <w14:solidFill>
              <w14:schemeClr w14:val="tx1"/>
            </w14:solidFill>
          </w14:textFill>
        </w:rPr>
        <w:t>④加强管理，在生产、储存、废物处置等各个环节明确责任主体，建立相应的管理制度，使企业的各项工作有章可循，各项运行状况可控。</w:t>
      </w:r>
    </w:p>
    <w:p>
      <w:pPr>
        <w:spacing w:line="360" w:lineRule="auto"/>
        <w:ind w:firstLine="480" w:firstLineChars="200"/>
        <w:rPr>
          <w:rFonts w:hint="eastAsia" w:ascii="宋体" w:hAnsi="宋体" w:eastAsia="宋体" w:cs="宋体"/>
          <w:color w:val="000000" w:themeColor="text1"/>
          <w:highlight w:val="none"/>
          <w:u w:val="single"/>
          <w:lang w:val="en-US" w:eastAsia="zh-CN"/>
          <w14:textFill>
            <w14:solidFill>
              <w14:schemeClr w14:val="tx1"/>
            </w14:solidFill>
          </w14:textFill>
        </w:rPr>
      </w:pPr>
      <w:r>
        <w:rPr>
          <w:rFonts w:hint="eastAsia" w:ascii="宋体" w:hAnsi="宋体" w:eastAsia="宋体" w:cs="宋体"/>
          <w:color w:val="000000" w:themeColor="text1"/>
          <w:highlight w:val="none"/>
          <w:u w:val="single"/>
          <w:lang w:val="en-US" w:eastAsia="zh-CN"/>
          <w14:textFill>
            <w14:solidFill>
              <w14:schemeClr w14:val="tx1"/>
            </w14:solidFill>
          </w14:textFill>
        </w:rPr>
        <w:t>车间：①在生产装置区设有火灾报警系统进行重点监控。</w:t>
      </w:r>
    </w:p>
    <w:p>
      <w:pPr>
        <w:spacing w:line="360" w:lineRule="auto"/>
        <w:ind w:firstLine="480" w:firstLineChars="200"/>
        <w:rPr>
          <w:rFonts w:hint="eastAsia" w:ascii="宋体" w:hAnsi="宋体" w:eastAsia="宋体" w:cs="宋体"/>
          <w:color w:val="000000" w:themeColor="text1"/>
          <w:highlight w:val="none"/>
          <w:u w:val="single"/>
          <w:lang w:val="en-US" w:eastAsia="zh-CN"/>
          <w14:textFill>
            <w14:solidFill>
              <w14:schemeClr w14:val="tx1"/>
            </w14:solidFill>
          </w14:textFill>
        </w:rPr>
      </w:pPr>
      <w:r>
        <w:rPr>
          <w:rFonts w:hint="eastAsia" w:ascii="宋体" w:hAnsi="宋体" w:eastAsia="宋体" w:cs="宋体"/>
          <w:color w:val="000000" w:themeColor="text1"/>
          <w:highlight w:val="none"/>
          <w:u w:val="single"/>
          <w:lang w:val="en-US" w:eastAsia="zh-CN"/>
          <w14:textFill>
            <w14:solidFill>
              <w14:schemeClr w14:val="tx1"/>
            </w14:solidFill>
          </w14:textFill>
        </w:rPr>
        <w:t>②加强对生产区、化学品仓库、危废暂存库管理。明确公司、车间主任，要求公司级主任每月巡检一次，车间主任每天巡检。</w:t>
      </w:r>
    </w:p>
    <w:p>
      <w:pPr>
        <w:spacing w:line="360" w:lineRule="auto"/>
        <w:ind w:firstLine="480" w:firstLineChars="200"/>
        <w:rPr>
          <w:rFonts w:hint="eastAsia" w:ascii="宋体" w:hAnsi="宋体" w:eastAsia="宋体" w:cs="宋体"/>
          <w:color w:val="000000" w:themeColor="text1"/>
          <w:highlight w:val="none"/>
          <w:u w:val="single"/>
          <w:lang w:val="en-US" w:eastAsia="zh-CN"/>
          <w14:textFill>
            <w14:solidFill>
              <w14:schemeClr w14:val="tx1"/>
            </w14:solidFill>
          </w14:textFill>
        </w:rPr>
      </w:pPr>
      <w:r>
        <w:rPr>
          <w:rFonts w:hint="eastAsia" w:ascii="宋体" w:hAnsi="宋体" w:eastAsia="宋体" w:cs="宋体"/>
          <w:color w:val="000000" w:themeColor="text1"/>
          <w:highlight w:val="none"/>
          <w:u w:val="single"/>
          <w:lang w:val="en-US" w:eastAsia="zh-CN"/>
          <w14:textFill>
            <w14:solidFill>
              <w14:schemeClr w14:val="tx1"/>
            </w14:solidFill>
          </w14:textFill>
        </w:rPr>
        <w:t>③完善事故应急防护设施。保证应急</w:t>
      </w:r>
      <w:r>
        <w:rPr>
          <w:rFonts w:hint="eastAsia" w:cs="宋体"/>
          <w:color w:val="000000" w:themeColor="text1"/>
          <w:highlight w:val="none"/>
          <w:u w:val="single"/>
          <w:lang w:val="en-US" w:eastAsia="zh-CN"/>
          <w14:textFill>
            <w14:solidFill>
              <w14:schemeClr w14:val="tx1"/>
            </w14:solidFill>
          </w14:textFill>
        </w:rPr>
        <w:t>消防水</w:t>
      </w:r>
      <w:r>
        <w:rPr>
          <w:rFonts w:hint="eastAsia" w:ascii="宋体" w:hAnsi="宋体" w:eastAsia="宋体" w:cs="宋体"/>
          <w:color w:val="000000" w:themeColor="text1"/>
          <w:highlight w:val="none"/>
          <w:u w:val="single"/>
          <w:lang w:val="en-US" w:eastAsia="zh-CN"/>
          <w14:textFill>
            <w14:solidFill>
              <w14:schemeClr w14:val="tx1"/>
            </w14:solidFill>
          </w14:textFill>
        </w:rPr>
        <w:t>池、雨水切断阀、应急</w:t>
      </w:r>
      <w:r>
        <w:rPr>
          <w:rFonts w:hint="eastAsia" w:cs="宋体"/>
          <w:color w:val="000000" w:themeColor="text1"/>
          <w:highlight w:val="none"/>
          <w:u w:val="single"/>
          <w:lang w:val="en-US" w:eastAsia="zh-CN"/>
          <w14:textFill>
            <w14:solidFill>
              <w14:schemeClr w14:val="tx1"/>
            </w14:solidFill>
          </w14:textFill>
        </w:rPr>
        <w:t>水</w:t>
      </w:r>
      <w:r>
        <w:rPr>
          <w:rFonts w:hint="eastAsia" w:ascii="宋体" w:hAnsi="宋体" w:eastAsia="宋体" w:cs="宋体"/>
          <w:color w:val="000000" w:themeColor="text1"/>
          <w:highlight w:val="none"/>
          <w:u w:val="single"/>
          <w:lang w:val="en-US" w:eastAsia="zh-CN"/>
          <w14:textFill>
            <w14:solidFill>
              <w14:schemeClr w14:val="tx1"/>
            </w14:solidFill>
          </w14:textFill>
        </w:rPr>
        <w:t>池切断阀等设施措施齐全完备。</w:t>
      </w:r>
    </w:p>
    <w:p>
      <w:pPr>
        <w:spacing w:line="360" w:lineRule="auto"/>
        <w:ind w:firstLine="480" w:firstLineChars="200"/>
        <w:rPr>
          <w:rFonts w:hint="eastAsia" w:ascii="宋体" w:hAnsi="宋体" w:eastAsia="宋体" w:cs="宋体"/>
          <w:color w:val="000000" w:themeColor="text1"/>
          <w:highlight w:val="none"/>
          <w:u w:val="single"/>
          <w:lang w:val="en-US" w:eastAsia="zh-CN"/>
          <w14:textFill>
            <w14:solidFill>
              <w14:schemeClr w14:val="tx1"/>
            </w14:solidFill>
          </w14:textFill>
        </w:rPr>
      </w:pPr>
      <w:r>
        <w:rPr>
          <w:rFonts w:hint="eastAsia" w:ascii="宋体" w:hAnsi="宋体" w:eastAsia="宋体" w:cs="宋体"/>
          <w:color w:val="000000" w:themeColor="text1"/>
          <w:highlight w:val="none"/>
          <w:u w:val="single"/>
          <w:lang w:val="en-US" w:eastAsia="zh-CN"/>
          <w14:textFill>
            <w14:solidFill>
              <w14:schemeClr w14:val="tx1"/>
            </w14:solidFill>
          </w14:textFill>
        </w:rPr>
        <w:t>④按规定对公司生产装置进行安全标准化评价，分析潜在的重大风险，落实风险防范措施，并对可能发生的事故后果进行预测，制定应急措施。</w:t>
      </w:r>
    </w:p>
    <w:p>
      <w:pPr>
        <w:spacing w:line="360" w:lineRule="auto"/>
        <w:ind w:firstLine="480" w:firstLineChars="200"/>
        <w:rPr>
          <w:rFonts w:hint="eastAsia" w:ascii="宋体" w:hAnsi="宋体" w:eastAsia="宋体" w:cs="宋体"/>
          <w:color w:val="000000" w:themeColor="text1"/>
          <w:highlight w:val="none"/>
          <w:u w:val="single"/>
          <w:lang w:val="en-US" w:eastAsia="zh-CN"/>
          <w14:textFill>
            <w14:solidFill>
              <w14:schemeClr w14:val="tx1"/>
            </w14:solidFill>
          </w14:textFill>
        </w:rPr>
      </w:pPr>
      <w:r>
        <w:rPr>
          <w:rFonts w:hint="eastAsia" w:ascii="宋体" w:hAnsi="宋体" w:eastAsia="宋体" w:cs="宋体"/>
          <w:color w:val="000000" w:themeColor="text1"/>
          <w:highlight w:val="none"/>
          <w:u w:val="single"/>
          <w:lang w:val="en-US" w:eastAsia="zh-CN"/>
          <w14:textFill>
            <w14:solidFill>
              <w14:schemeClr w14:val="tx1"/>
            </w14:solidFill>
          </w14:textFill>
        </w:rPr>
        <w:t>⑤公司建立危险源监控管理系统，对公司重点要害部位、关键生产装置实行动态监控。</w:t>
      </w:r>
    </w:p>
    <w:p>
      <w:pPr>
        <w:spacing w:line="360" w:lineRule="auto"/>
        <w:ind w:firstLine="480" w:firstLineChars="200"/>
        <w:rPr>
          <w:rFonts w:hint="eastAsia" w:ascii="宋体" w:hAnsi="宋体" w:eastAsia="宋体" w:cs="宋体"/>
          <w:color w:val="000000" w:themeColor="text1"/>
          <w:highlight w:val="none"/>
          <w:u w:val="single"/>
          <w:lang w:val="en-US" w:eastAsia="zh-CN"/>
          <w14:textFill>
            <w14:solidFill>
              <w14:schemeClr w14:val="tx1"/>
            </w14:solidFill>
          </w14:textFill>
        </w:rPr>
      </w:pPr>
      <w:r>
        <w:rPr>
          <w:rFonts w:hint="eastAsia" w:ascii="宋体" w:hAnsi="宋体" w:eastAsia="宋体" w:cs="宋体"/>
          <w:color w:val="000000" w:themeColor="text1"/>
          <w:highlight w:val="none"/>
          <w:u w:val="single"/>
          <w:lang w:val="en-US" w:eastAsia="zh-CN"/>
          <w14:textFill>
            <w14:solidFill>
              <w14:schemeClr w14:val="tx1"/>
            </w14:solidFill>
          </w14:textFill>
        </w:rPr>
        <w:t>⑥公司采取宣传栏等形式进行公众教育，告知存在的危险及应急措施，提高公众的防范意识。</w:t>
      </w:r>
    </w:p>
    <w:p>
      <w:pPr>
        <w:spacing w:line="360" w:lineRule="auto"/>
        <w:ind w:firstLine="480" w:firstLineChars="200"/>
        <w:rPr>
          <w:rFonts w:hint="eastAsia" w:ascii="宋体" w:hAnsi="宋体" w:eastAsia="宋体" w:cs="宋体"/>
          <w:color w:val="000000" w:themeColor="text1"/>
          <w:highlight w:val="none"/>
          <w:u w:val="single"/>
          <w:lang w:val="en-US" w:eastAsia="zh-CN"/>
          <w14:textFill>
            <w14:solidFill>
              <w14:schemeClr w14:val="tx1"/>
            </w14:solidFill>
          </w14:textFill>
        </w:rPr>
      </w:pPr>
      <w:r>
        <w:rPr>
          <w:rFonts w:hint="eastAsia" w:ascii="宋体" w:hAnsi="宋体" w:eastAsia="宋体" w:cs="宋体"/>
          <w:color w:val="000000" w:themeColor="text1"/>
          <w:highlight w:val="none"/>
          <w:u w:val="single"/>
          <w:lang w:val="en-US" w:eastAsia="zh-CN"/>
          <w14:textFill>
            <w14:solidFill>
              <w14:schemeClr w14:val="tx1"/>
            </w14:solidFill>
          </w14:textFill>
        </w:rPr>
        <w:t>⑦公司针对不可容许的风险，落实专项资金，编制隐患治理计划、HSE技术措施计划进行整改。</w:t>
      </w:r>
    </w:p>
    <w:p>
      <w:pPr>
        <w:spacing w:line="360" w:lineRule="auto"/>
        <w:ind w:firstLine="480" w:firstLineChars="200"/>
        <w:rPr>
          <w:rFonts w:hint="eastAsia" w:ascii="宋体" w:hAnsi="宋体" w:eastAsia="宋体" w:cs="宋体"/>
          <w:color w:val="000000" w:themeColor="text1"/>
          <w:highlight w:val="none"/>
          <w:u w:val="single"/>
          <w:lang w:val="en-US" w:eastAsia="zh-CN"/>
          <w14:textFill>
            <w14:solidFill>
              <w14:schemeClr w14:val="tx1"/>
            </w14:solidFill>
          </w14:textFill>
        </w:rPr>
      </w:pPr>
      <w:r>
        <w:rPr>
          <w:rFonts w:hint="eastAsia" w:ascii="宋体" w:hAnsi="宋体" w:eastAsia="宋体" w:cs="宋体"/>
          <w:color w:val="000000" w:themeColor="text1"/>
          <w:highlight w:val="none"/>
          <w:u w:val="single"/>
          <w:lang w:val="en-US" w:eastAsia="zh-CN"/>
          <w14:textFill>
            <w14:solidFill>
              <w14:schemeClr w14:val="tx1"/>
            </w14:solidFill>
          </w14:textFill>
        </w:rPr>
        <w:t>重点防控：公司内风险源主要为生产区、化学品仓库、危险废物暂存库，重点采取以下监控措施：</w:t>
      </w:r>
    </w:p>
    <w:p>
      <w:pPr>
        <w:spacing w:line="360" w:lineRule="auto"/>
        <w:ind w:firstLine="480" w:firstLineChars="200"/>
        <w:rPr>
          <w:rFonts w:hint="eastAsia" w:ascii="宋体" w:hAnsi="宋体" w:eastAsia="宋体" w:cs="宋体"/>
          <w:color w:val="000000" w:themeColor="text1"/>
          <w:highlight w:val="none"/>
          <w:u w:val="single"/>
          <w:lang w:val="en-US" w:eastAsia="zh-CN"/>
          <w14:textFill>
            <w14:solidFill>
              <w14:schemeClr w14:val="tx1"/>
            </w14:solidFill>
          </w14:textFill>
        </w:rPr>
      </w:pPr>
      <w:r>
        <w:rPr>
          <w:rFonts w:hint="eastAsia" w:ascii="宋体" w:hAnsi="宋体" w:eastAsia="宋体" w:cs="宋体"/>
          <w:color w:val="000000" w:themeColor="text1"/>
          <w:highlight w:val="none"/>
          <w:u w:val="single"/>
          <w:lang w:val="en-US" w:eastAsia="zh-CN"/>
          <w14:textFill>
            <w14:solidFill>
              <w14:schemeClr w14:val="tx1"/>
            </w14:solidFill>
          </w14:textFill>
        </w:rPr>
        <w:t>①生产车间、化学品仓库应加强排风，化学品仓库应采用防爆风机，使工作场所空气中有毒物料浓度符合有关规定。</w:t>
      </w:r>
    </w:p>
    <w:p>
      <w:pPr>
        <w:spacing w:line="360" w:lineRule="auto"/>
        <w:ind w:firstLine="480" w:firstLineChars="200"/>
        <w:rPr>
          <w:rFonts w:hint="eastAsia" w:ascii="宋体" w:hAnsi="宋体" w:eastAsia="宋体" w:cs="宋体"/>
          <w:color w:val="000000" w:themeColor="text1"/>
          <w:highlight w:val="none"/>
          <w:u w:val="single"/>
          <w:lang w:val="en-US" w:eastAsia="zh-CN"/>
          <w14:textFill>
            <w14:solidFill>
              <w14:schemeClr w14:val="tx1"/>
            </w14:solidFill>
          </w14:textFill>
        </w:rPr>
      </w:pPr>
      <w:r>
        <w:rPr>
          <w:rFonts w:hint="eastAsia" w:ascii="宋体" w:hAnsi="宋体" w:eastAsia="宋体" w:cs="宋体"/>
          <w:color w:val="000000" w:themeColor="text1"/>
          <w:highlight w:val="none"/>
          <w:u w:val="single"/>
          <w:lang w:val="en-US" w:eastAsia="zh-CN"/>
          <w14:textFill>
            <w14:solidFill>
              <w14:schemeClr w14:val="tx1"/>
            </w14:solidFill>
          </w14:textFill>
        </w:rPr>
        <w:t>②对于火灾、爆炸过程中产生的气体，绝大部分应是燃烧后生成的二氧化碳和水，不完全燃烧生成CO，部分物料受热分解，产生有毒气体。厂区应设置消防喷淋和水幕，减少对环境造成危害。部分物料泄漏后形成液体或吸潮、遇酸碱等产生气体。针对易挥发物料泄漏形成液池，用泡沫覆盖，降低蒸气灾害。</w:t>
      </w:r>
    </w:p>
    <w:p>
      <w:pPr>
        <w:spacing w:line="360" w:lineRule="auto"/>
        <w:ind w:firstLine="480" w:firstLineChars="200"/>
        <w:rPr>
          <w:rFonts w:hint="eastAsia" w:ascii="宋体" w:hAnsi="宋体" w:eastAsia="宋体" w:cs="宋体"/>
          <w:color w:val="000000" w:themeColor="text1"/>
          <w:highlight w:val="none"/>
          <w:u w:val="single"/>
          <w:lang w:val="en-US" w:eastAsia="zh-CN"/>
          <w14:textFill>
            <w14:solidFill>
              <w14:schemeClr w14:val="tx1"/>
            </w14:solidFill>
          </w14:textFill>
        </w:rPr>
      </w:pPr>
      <w:r>
        <w:rPr>
          <w:rFonts w:hint="eastAsia" w:ascii="宋体" w:hAnsi="宋体" w:eastAsia="宋体" w:cs="宋体"/>
          <w:color w:val="000000" w:themeColor="text1"/>
          <w:highlight w:val="none"/>
          <w:u w:val="single"/>
          <w:lang w:val="en-US" w:eastAsia="zh-CN"/>
          <w14:textFill>
            <w14:solidFill>
              <w14:schemeClr w14:val="tx1"/>
            </w14:solidFill>
          </w14:textFill>
        </w:rPr>
        <w:t>③定期对废气处理设施进行检修。</w:t>
      </w:r>
    </w:p>
    <w:p>
      <w:pPr>
        <w:pStyle w:val="7"/>
        <w:pageBreakBefore w:val="0"/>
        <w:widowControl/>
        <w:kinsoku/>
        <w:wordWrap/>
        <w:overflowPunct/>
        <w:topLinePunct w:val="0"/>
        <w:bidi w:val="0"/>
        <w:adjustRightInd/>
        <w:snapToGrid/>
        <w:ind w:firstLine="482"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bookmarkStart w:id="471" w:name="_Toc3792"/>
      <w:r>
        <w:rPr>
          <w:rFonts w:hint="eastAsia" w:ascii="宋体" w:hAnsi="宋体" w:eastAsia="宋体" w:cs="宋体"/>
          <w:color w:val="000000" w:themeColor="text1"/>
          <w:sz w:val="24"/>
          <w:szCs w:val="24"/>
          <w:highlight w:val="none"/>
          <w:lang w:val="en-US" w:eastAsia="zh-CN"/>
          <w14:textFill>
            <w14:solidFill>
              <w14:schemeClr w14:val="tx1"/>
            </w14:solidFill>
          </w14:textFill>
        </w:rPr>
        <w:t>6.5风险评价结论与建议</w:t>
      </w:r>
      <w:bookmarkEnd w:id="464"/>
      <w:bookmarkEnd w:id="465"/>
      <w:bookmarkEnd w:id="466"/>
      <w:bookmarkEnd w:id="467"/>
      <w:bookmarkEnd w:id="468"/>
      <w:bookmarkEnd w:id="469"/>
      <w:bookmarkEnd w:id="470"/>
      <w:bookmarkEnd w:id="471"/>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eastAsia="宋体" w:cs="宋体"/>
          <w:color w:val="000000" w:themeColor="text1"/>
          <w:lang w:val="en-US" w:eastAsia="zh-CN"/>
          <w14:textFill>
            <w14:solidFill>
              <w14:schemeClr w14:val="tx1"/>
            </w14:solidFill>
          </w14:textFill>
        </w:rPr>
        <w:t>1</w:t>
      </w: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根据物质风险识别，确定本次环境风险评价因子为</w:t>
      </w:r>
      <w:r>
        <w:rPr>
          <w:rFonts w:hint="eastAsia" w:ascii="宋体" w:hAnsi="宋体" w:eastAsia="宋体" w:cs="宋体"/>
          <w:color w:val="000000" w:themeColor="text1"/>
          <w:lang w:val="en-US" w:eastAsia="zh-CN"/>
          <w14:textFill>
            <w14:solidFill>
              <w14:schemeClr w14:val="tx1"/>
            </w14:solidFill>
          </w14:textFill>
        </w:rPr>
        <w:t>二甲基乙酰胺、</w:t>
      </w:r>
      <w:r>
        <w:rPr>
          <w:rFonts w:hint="eastAsia" w:ascii="宋体" w:hAnsi="宋体" w:eastAsia="宋体" w:cs="宋体"/>
          <w:color w:val="000000" w:themeColor="text1"/>
          <w:lang w:val="zh-CN"/>
          <w14:textFill>
            <w14:solidFill>
              <w14:schemeClr w14:val="tx1"/>
            </w14:solidFill>
          </w14:textFill>
        </w:rPr>
        <w:t>4、4、—二氨基二苯醚、</w:t>
      </w:r>
      <w:r>
        <w:rPr>
          <w:rFonts w:hint="eastAsia" w:ascii="宋体" w:hAnsi="宋体" w:eastAsia="宋体" w:cs="宋体"/>
          <w:color w:val="000000" w:themeColor="text1"/>
          <w:lang w:val="en-US" w:eastAsia="zh-CN"/>
          <w14:textFill>
            <w14:solidFill>
              <w14:schemeClr w14:val="tx1"/>
            </w14:solidFill>
          </w14:textFill>
        </w:rPr>
        <w:t>废润滑油</w:t>
      </w:r>
      <w:r>
        <w:rPr>
          <w:rFonts w:hint="eastAsia" w:ascii="宋体" w:hAnsi="宋体" w:eastAsia="宋体" w:cs="宋体"/>
          <w:color w:val="000000" w:themeColor="text1"/>
          <w14:textFill>
            <w14:solidFill>
              <w14:schemeClr w14:val="tx1"/>
            </w14:solidFill>
          </w14:textFill>
        </w:rPr>
        <w:t>共</w:t>
      </w:r>
      <w:r>
        <w:rPr>
          <w:rFonts w:hint="eastAsia" w:ascii="宋体" w:hAnsi="宋体" w:eastAsia="宋体" w:cs="宋体"/>
          <w:color w:val="000000" w:themeColor="text1"/>
          <w:lang w:val="en-US" w:eastAsia="zh-CN"/>
          <w14:textFill>
            <w14:solidFill>
              <w14:schemeClr w14:val="tx1"/>
            </w14:solidFill>
          </w14:textFill>
        </w:rPr>
        <w:t>3</w:t>
      </w:r>
      <w:r>
        <w:rPr>
          <w:rFonts w:hint="eastAsia" w:ascii="宋体" w:hAnsi="宋体" w:eastAsia="宋体" w:cs="宋体"/>
          <w:color w:val="000000" w:themeColor="text1"/>
          <w14:textFill>
            <w14:solidFill>
              <w14:schemeClr w14:val="tx1"/>
            </w14:solidFill>
          </w14:textFill>
        </w:rPr>
        <w:t>种。</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eastAsia="宋体" w:cs="宋体"/>
          <w:color w:val="000000" w:themeColor="text1"/>
          <w:lang w:val="en-US" w:eastAsia="zh-CN"/>
          <w14:textFill>
            <w14:solidFill>
              <w14:schemeClr w14:val="tx1"/>
            </w14:solidFill>
          </w14:textFill>
        </w:rPr>
        <w:t>2</w:t>
      </w: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按照《危险化学品重大危险源辨识》(</w:t>
      </w:r>
      <w:r>
        <w:rPr>
          <w:rFonts w:hint="eastAsia" w:ascii="宋体" w:hAnsi="宋体" w:eastAsia="宋体" w:cs="宋体"/>
          <w:color w:val="000000" w:themeColor="text1"/>
          <w:lang w:eastAsia="zh-CN"/>
          <w14:textFill>
            <w14:solidFill>
              <w14:schemeClr w14:val="tx1"/>
            </w14:solidFill>
          </w14:textFill>
        </w:rPr>
        <w:t>GB18218-2018)</w:t>
      </w:r>
      <w:r>
        <w:rPr>
          <w:rFonts w:hint="eastAsia" w:ascii="宋体" w:hAnsi="宋体" w:eastAsia="宋体" w:cs="宋体"/>
          <w:color w:val="000000" w:themeColor="text1"/>
          <w14:textFill>
            <w14:solidFill>
              <w14:schemeClr w14:val="tx1"/>
            </w14:solidFill>
          </w14:textFill>
        </w:rPr>
        <w:t>中的相关要求，拟建项目不存在重大危险源。</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eastAsia="宋体" w:cs="宋体"/>
          <w:color w:val="000000" w:themeColor="text1"/>
          <w:lang w:val="en-US" w:eastAsia="zh-CN"/>
          <w14:textFill>
            <w14:solidFill>
              <w14:schemeClr w14:val="tx1"/>
            </w14:solidFill>
          </w14:textFill>
        </w:rPr>
        <w:t>3</w:t>
      </w: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本项目的建设不可避免会存在一定的环境风险。对此，建设单位必须高度重视。做到风险防范警钟常鸣，环境安全管理常抓不懈；严格落实各项风险防范措施，不断完善风险管理体系。只有这样，才能有效降低风险事故发生概率、杜绝特大事故的发生隐患。</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eastAsia="宋体" w:cs="宋体"/>
          <w:color w:val="000000" w:themeColor="text1"/>
          <w:lang w:val="en-US" w:eastAsia="zh-CN"/>
          <w14:textFill>
            <w14:solidFill>
              <w14:schemeClr w14:val="tx1"/>
            </w14:solidFill>
          </w14:textFill>
        </w:rPr>
        <w:t>4</w:t>
      </w: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本项目各类环境风险事故的风险值，均在行业可接受范围内；厂址选址可行；项目需从风险防范、事故处置三个层面，建立、制定、完善的风险管理体系。</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综上所述，本评价认为，在有效落实风险防范措施和事故应急预案的前提下，从环境风险角度评价，项目建设是可行的。</w:t>
      </w:r>
    </w:p>
    <w:p>
      <w:pPr>
        <w:keepNext w:val="0"/>
        <w:keepLines w:val="0"/>
        <w:pageBreakBefore w:val="0"/>
        <w:widowControl/>
        <w:kinsoku/>
        <w:wordWrap/>
        <w:overflowPunct/>
        <w:topLinePunct w:val="0"/>
        <w:autoSpaceDE/>
        <w:autoSpaceDN/>
        <w:bidi w:val="0"/>
        <w:adjustRightInd/>
        <w:snapToGrid/>
        <w:spacing w:before="167" w:beforeLines="50" w:after="167" w:afterLines="50" w:line="360" w:lineRule="auto"/>
        <w:ind w:firstLine="0" w:firstLineChars="0"/>
        <w:jc w:val="center"/>
        <w:textAlignment w:val="auto"/>
        <w:rPr>
          <w:rFonts w:hint="eastAsia" w:ascii="宋体" w:hAnsi="宋体" w:eastAsia="宋体" w:cs="宋体"/>
          <w:b/>
          <w:bCs/>
          <w:color w:val="000000" w:themeColor="text1"/>
          <w:highlight w:val="none"/>
          <w:lang w:val="en-US" w:eastAsia="zh-CN"/>
          <w14:textFill>
            <w14:solidFill>
              <w14:schemeClr w14:val="tx1"/>
            </w14:solidFill>
          </w14:textFill>
        </w:rPr>
      </w:pPr>
      <w:r>
        <w:rPr>
          <w:rFonts w:hint="eastAsia" w:ascii="宋体" w:hAnsi="宋体" w:eastAsia="宋体" w:cs="宋体"/>
          <w:b/>
          <w:bCs/>
          <w:color w:val="000000" w:themeColor="text1"/>
          <w:highlight w:val="none"/>
          <w:lang w:val="en-US" w:eastAsia="zh-CN"/>
          <w14:textFill>
            <w14:solidFill>
              <w14:schemeClr w14:val="tx1"/>
            </w14:solidFill>
          </w14:textFill>
        </w:rPr>
        <w:t>表6.5-1建设项目环境风险简单分析内容表</w:t>
      </w:r>
    </w:p>
    <w:tbl>
      <w:tblPr>
        <w:tblStyle w:val="30"/>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07"/>
        <w:gridCol w:w="1592"/>
        <w:gridCol w:w="1359"/>
        <w:gridCol w:w="1511"/>
        <w:gridCol w:w="27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3" w:type="pct"/>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建设项目名称</w:t>
            </w:r>
          </w:p>
        </w:tc>
        <w:tc>
          <w:tcPr>
            <w:tcW w:w="3676" w:type="pct"/>
            <w:gridSpan w:val="4"/>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高性能电子级聚酰亚胺薄膜项目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3" w:type="pct"/>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建设地点</w:t>
            </w:r>
          </w:p>
        </w:tc>
        <w:tc>
          <w:tcPr>
            <w:tcW w:w="3676" w:type="pct"/>
            <w:gridSpan w:val="4"/>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湖南省株洲市天元区新马工业园仙月环路1668号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3" w:type="pct"/>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地理坐标</w:t>
            </w:r>
          </w:p>
        </w:tc>
        <w:tc>
          <w:tcPr>
            <w:tcW w:w="808" w:type="pct"/>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经度</w:t>
            </w:r>
          </w:p>
        </w:tc>
        <w:tc>
          <w:tcPr>
            <w:tcW w:w="690" w:type="pct"/>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113.045463</w:t>
            </w:r>
          </w:p>
        </w:tc>
        <w:tc>
          <w:tcPr>
            <w:tcW w:w="767" w:type="pct"/>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纬度</w:t>
            </w:r>
          </w:p>
        </w:tc>
        <w:tc>
          <w:tcPr>
            <w:tcW w:w="1410" w:type="pct"/>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27.822979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3" w:type="pct"/>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主要危险物质及分布</w:t>
            </w:r>
          </w:p>
        </w:tc>
        <w:tc>
          <w:tcPr>
            <w:tcW w:w="3676" w:type="pct"/>
            <w:gridSpan w:val="4"/>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主要风险物质为二甲基乙酰胺、废润滑油</w:t>
            </w:r>
            <w:r>
              <w:rPr>
                <w:rFonts w:hint="eastAsia" w:ascii="宋体" w:hAnsi="宋体" w:eastAsia="宋体" w:cs="宋体"/>
                <w:color w:val="000000" w:themeColor="text1"/>
                <w:sz w:val="21"/>
                <w:szCs w:val="21"/>
                <w:highlight w:val="none"/>
                <w:vertAlign w:val="baseline"/>
                <w:lang w:val="zh-CN" w:eastAsia="zh-CN"/>
                <w14:textFill>
                  <w14:solidFill>
                    <w14:schemeClr w14:val="tx1"/>
                  </w14:solidFill>
                </w14:textFill>
              </w:rPr>
              <w:t>、4、4、—二氨基二苯醚，主要位于原料储存区、危废暂存间、流涎和烘干拉伸区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3" w:type="pct"/>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环境影响途径及危害后果（大气、地表水、地下水等）</w:t>
            </w:r>
          </w:p>
        </w:tc>
        <w:tc>
          <w:tcPr>
            <w:tcW w:w="3676" w:type="pct"/>
            <w:gridSpan w:val="4"/>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N,N-二甲基乙酰胺属于易燃易爆物质，泄露可能会导致火灾、爆炸等事故，当发生火灾时，产生的消防废水可能直接穿透包气带污染地下水。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3" w:type="pct"/>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风险防范措施</w:t>
            </w:r>
          </w:p>
        </w:tc>
        <w:tc>
          <w:tcPr>
            <w:tcW w:w="3676" w:type="pct"/>
            <w:gridSpan w:val="4"/>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1、物料泄漏防范措施</w:t>
            </w:r>
          </w:p>
          <w:p>
            <w:pPr>
              <w:keepNext w:val="0"/>
              <w:keepLines w:val="0"/>
              <w:pageBreakBefore w:val="0"/>
              <w:widowControl/>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企业在总图布局中，通过合理设置二甲基乙酰胺等原料储存位置、其他辅助功能区之间的距离，保证总图布局符合防火规范要求。</w:t>
            </w:r>
          </w:p>
          <w:p>
            <w:pPr>
              <w:keepNext w:val="0"/>
              <w:keepLines w:val="0"/>
              <w:pageBreakBefore w:val="0"/>
              <w:widowControl/>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在物料储存方面，根据原料产品特点和危险品性能分类进行储存。项目危废间和原料仓库周围设有围堰。储罐区应设置围堰，</w:t>
            </w:r>
            <w:r>
              <w:rPr>
                <w:rFonts w:hint="eastAsia" w:cs="宋体"/>
                <w:color w:val="000000" w:themeColor="text1"/>
                <w:sz w:val="21"/>
                <w:szCs w:val="21"/>
                <w:highlight w:val="none"/>
                <w:vertAlign w:val="baseline"/>
                <w:lang w:val="en-US" w:eastAsia="zh-CN"/>
                <w14:textFill>
                  <w14:solidFill>
                    <w14:schemeClr w14:val="tx1"/>
                  </w14:solidFill>
                </w14:textFill>
              </w:rPr>
              <w:t>依托</w:t>
            </w: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6#办公楼地下已设置有一座有效容积为216m³的消防水池。储罐之间的间距和围堰的设计应严格按照《建筑设计防火规范》GBJ16-87等标准规范执行。各罐区应按规定设置防火堤或围堰。储罐还应设置液位计和液位自动报警、连锁系统，并确保系统的有效性，防止物料溢顶泄漏。</w:t>
            </w:r>
          </w:p>
          <w:p>
            <w:pPr>
              <w:keepNext w:val="0"/>
              <w:keepLines w:val="0"/>
              <w:pageBreakBefore w:val="0"/>
              <w:widowControl/>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在满足正常生产前提下，尽可能减少危险品储存量和储存周期。在爆炸危险区域和有可能泄漏可燃、有毒气体的地方，按《石油化工企业可燃气体和有毒气体检测报警设计标准》（GB/T50493-2019）设置检测报警仪，同时设置火灾自动报警系统和早期火灾探测监测系统。一旦发生火灾，紧急启动救援系统。采用自动监测、报警；防火、防爆、防中毒等事故处理系统；应急救援设施及救援通道；应急疏散通道及避难所。</w:t>
            </w:r>
          </w:p>
          <w:p>
            <w:pPr>
              <w:keepNext w:val="0"/>
              <w:keepLines w:val="0"/>
              <w:pageBreakBefore w:val="0"/>
              <w:widowControl/>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物料输送：防止管道堵塞，应尽量避免紧急停料、管线拐弯不畅，管内不畅等现象，并做好防静电措施。坚固液泵基础，经常检查法兰填料函；保持良好润滑，避免泵的超负荷运行。</w:t>
            </w:r>
          </w:p>
          <w:p>
            <w:pPr>
              <w:keepNext w:val="0"/>
              <w:keepLines w:val="0"/>
              <w:pageBreakBefore w:val="0"/>
              <w:widowControl/>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反应操作严格执行国家相关规定，设置有效的监控、报警、检测和连锁装置，避免反应超压引发事故。</w:t>
            </w:r>
          </w:p>
          <w:p>
            <w:pPr>
              <w:keepNext w:val="0"/>
              <w:keepLines w:val="0"/>
              <w:pageBreakBefore w:val="0"/>
              <w:widowControl/>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2、废气事故防范措施</w:t>
            </w:r>
          </w:p>
          <w:p>
            <w:pPr>
              <w:keepNext w:val="0"/>
              <w:keepLines w:val="0"/>
              <w:pageBreakBefore w:val="0"/>
              <w:widowControl/>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①各生产环节严格执行生产管理的有关规定，加强设备的检修及保养，提高管理人员素质，并设置机器事故应急措施及管理制度，确保设备长期处于良好状态，使设备达到预期的处理效果。</w:t>
            </w:r>
          </w:p>
          <w:p>
            <w:pPr>
              <w:keepNext w:val="0"/>
              <w:keepLines w:val="0"/>
              <w:pageBreakBefore w:val="0"/>
              <w:widowControl/>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②现场作业人员定时记录废气处理状况，如对废气处理设施、循环水系统等设备进行点检工作，并派专人巡视，遇不良工作状况立即停止车间相关作业，维修正常后再开始作业，杜绝事故性废气直排，并及时呈报单位主管。待检修完毕再通知生产车间相关工序。</w:t>
            </w:r>
          </w:p>
          <w:p>
            <w:pPr>
              <w:keepNext w:val="0"/>
              <w:keepLines w:val="0"/>
              <w:pageBreakBefore w:val="0"/>
              <w:widowControl/>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③治理设施等发生故障，应及时维修，如情况严重，应停止生产直至系统运作正常。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5"/>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填表说明（列出项目相关信息及评价说明）</w:t>
            </w:r>
          </w:p>
        </w:tc>
      </w:tr>
    </w:tbl>
    <w:p>
      <w:pPr>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br w:type="page"/>
      </w:r>
    </w:p>
    <w:p>
      <w:pPr>
        <w:pStyle w:val="6"/>
        <w:numPr>
          <w:ilvl w:val="0"/>
          <w:numId w:val="3"/>
        </w:numPr>
        <w:bidi w:val="0"/>
        <w:ind w:left="240" w:leftChars="0" w:firstLineChars="0"/>
        <w:jc w:val="center"/>
        <w:rPr>
          <w:rFonts w:hint="eastAsia" w:ascii="宋体" w:hAnsi="宋体" w:eastAsia="宋体" w:cs="宋体"/>
          <w:color w:val="000000" w:themeColor="text1"/>
          <w:lang w:eastAsia="zh-CN"/>
          <w14:textFill>
            <w14:solidFill>
              <w14:schemeClr w14:val="tx1"/>
            </w14:solidFill>
          </w14:textFill>
        </w:rPr>
      </w:pPr>
      <w:bookmarkStart w:id="472" w:name="_Toc5904"/>
      <w:r>
        <w:rPr>
          <w:rFonts w:hint="eastAsia" w:ascii="宋体" w:hAnsi="宋体" w:eastAsia="宋体" w:cs="宋体"/>
          <w:color w:val="000000" w:themeColor="text1"/>
          <w:lang w:eastAsia="zh-CN"/>
          <w14:textFill>
            <w14:solidFill>
              <w14:schemeClr w14:val="tx1"/>
            </w14:solidFill>
          </w14:textFill>
        </w:rPr>
        <w:t>环境环保措施及其可行性分析</w:t>
      </w:r>
      <w:bookmarkEnd w:id="472"/>
    </w:p>
    <w:p>
      <w:pPr>
        <w:pStyle w:val="7"/>
        <w:pageBreakBefore w:val="0"/>
        <w:numPr>
          <w:ilvl w:val="0"/>
          <w:numId w:val="0"/>
        </w:numPr>
        <w:kinsoku/>
        <w:wordWrap/>
        <w:overflowPunct/>
        <w:topLinePunct w:val="0"/>
        <w:bidi w:val="0"/>
        <w:adjustRightInd/>
        <w:snapToGrid/>
        <w:ind w:left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bookmarkStart w:id="473" w:name="_Toc3161"/>
      <w:r>
        <w:rPr>
          <w:rFonts w:hint="eastAsia" w:ascii="宋体" w:hAnsi="宋体" w:eastAsia="宋体" w:cs="宋体"/>
          <w:color w:val="000000" w:themeColor="text1"/>
          <w:sz w:val="24"/>
          <w:szCs w:val="24"/>
          <w:highlight w:val="none"/>
          <w:lang w:val="en-US" w:eastAsia="zh-CN"/>
          <w14:textFill>
            <w14:solidFill>
              <w14:schemeClr w14:val="tx1"/>
            </w14:solidFill>
          </w14:textFill>
        </w:rPr>
        <w:t>7.1废气污染防治措施分析</w:t>
      </w:r>
      <w:bookmarkEnd w:id="473"/>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本项目聚酰亚胺薄膜生产过程中有机废气主要</w:t>
      </w:r>
      <w:r>
        <w:rPr>
          <w:rFonts w:hint="eastAsia" w:ascii="宋体" w:hAnsi="宋体" w:eastAsia="宋体" w:cs="宋体"/>
          <w:color w:val="000000" w:themeColor="text1"/>
          <w:highlight w:val="none"/>
          <w:lang w:val="en-US" w:eastAsia="zh-CN"/>
          <w14:textFill>
            <w14:solidFill>
              <w14:schemeClr w14:val="tx1"/>
            </w14:solidFill>
          </w14:textFill>
        </w:rPr>
        <w:t>污染物</w:t>
      </w:r>
      <w:r>
        <w:rPr>
          <w:rFonts w:hint="eastAsia" w:ascii="宋体" w:hAnsi="宋体" w:eastAsia="宋体" w:cs="宋体"/>
          <w:color w:val="000000" w:themeColor="text1"/>
          <w:highlight w:val="none"/>
          <w14:textFill>
            <w14:solidFill>
              <w14:schemeClr w14:val="tx1"/>
            </w14:solidFill>
          </w14:textFill>
        </w:rPr>
        <w:t>是</w:t>
      </w:r>
      <w:r>
        <w:rPr>
          <w:rFonts w:hint="eastAsia" w:ascii="宋体" w:hAnsi="宋体" w:eastAsia="宋体" w:cs="宋体"/>
          <w:color w:val="000000" w:themeColor="text1"/>
          <w:highlight w:val="none"/>
          <w:lang w:val="en-US" w:eastAsia="zh-CN"/>
          <w14:textFill>
            <w14:solidFill>
              <w14:schemeClr w14:val="tx1"/>
            </w14:solidFill>
          </w14:textFill>
        </w:rPr>
        <w:t>非甲烷总烃和氨，来源于投料、消泡、流延和烘干拉伸工序</w:t>
      </w:r>
    </w:p>
    <w:p>
      <w:pPr>
        <w:pStyle w:val="8"/>
        <w:keepNext/>
        <w:keepLines/>
        <w:pageBreakBefore w:val="0"/>
        <w:kinsoku/>
        <w:wordWrap/>
        <w:overflowPunct/>
        <w:topLinePunct w:val="0"/>
        <w:autoSpaceDE/>
        <w:autoSpaceDN/>
        <w:bidi w:val="0"/>
        <w:adjustRightInd/>
        <w:snapToGrid/>
        <w:ind w:firstLine="482" w:firstLineChars="200"/>
        <w:textAlignment w:val="auto"/>
        <w:rPr>
          <w:rFonts w:hint="eastAsia" w:ascii="宋体" w:hAnsi="宋体" w:eastAsia="宋体" w:cs="宋体"/>
          <w:bCs/>
          <w:color w:val="000000" w:themeColor="text1"/>
          <w:highlight w:val="none"/>
          <w:lang w:val="en-US" w:eastAsia="zh-CN"/>
          <w14:textFill>
            <w14:solidFill>
              <w14:schemeClr w14:val="tx1"/>
            </w14:solidFill>
          </w14:textFill>
        </w:rPr>
      </w:pPr>
      <w:bookmarkStart w:id="474" w:name="_Toc30869"/>
      <w:r>
        <w:rPr>
          <w:rFonts w:hint="eastAsia" w:ascii="宋体" w:hAnsi="宋体" w:eastAsia="宋体" w:cs="宋体"/>
          <w:bCs/>
          <w:color w:val="000000" w:themeColor="text1"/>
          <w:highlight w:val="none"/>
          <w:lang w:val="en-US" w:eastAsia="zh-CN"/>
          <w14:textFill>
            <w14:solidFill>
              <w14:schemeClr w14:val="tx1"/>
            </w14:solidFill>
          </w14:textFill>
        </w:rPr>
        <w:t>7.1.1废气治理措施选型</w:t>
      </w:r>
      <w:bookmarkEnd w:id="474"/>
    </w:p>
    <w:p>
      <w:pPr>
        <w:spacing w:line="360" w:lineRule="auto"/>
        <w:ind w:firstLine="480" w:firstLineChars="200"/>
        <w:rPr>
          <w:rFonts w:hint="eastAsia" w:ascii="宋体" w:hAnsi="宋体" w:eastAsia="宋体" w:cs="宋体"/>
          <w:bCs/>
          <w:caps w:val="0"/>
          <w:smallCaps w:val="0"/>
          <w:color w:val="000000" w:themeColor="text1"/>
          <w:u w:val="single"/>
          <w14:textFill>
            <w14:solidFill>
              <w14:schemeClr w14:val="tx1"/>
            </w14:solidFill>
          </w14:textFill>
        </w:rPr>
      </w:pPr>
      <w:r>
        <w:rPr>
          <w:rFonts w:hint="eastAsia" w:ascii="宋体" w:hAnsi="宋体" w:eastAsia="宋体" w:cs="宋体"/>
          <w:bCs/>
          <w:caps w:val="0"/>
          <w:smallCaps w:val="0"/>
          <w:color w:val="000000" w:themeColor="text1"/>
          <w:u w:val="single"/>
          <w14:textFill>
            <w14:solidFill>
              <w14:schemeClr w14:val="tx1"/>
            </w14:solidFill>
          </w14:textFill>
        </w:rPr>
        <w:t>有机废气净化的方法有</w:t>
      </w:r>
      <w:r>
        <w:rPr>
          <w:rFonts w:hint="eastAsia" w:ascii="宋体" w:hAnsi="宋体" w:eastAsia="宋体" w:cs="宋体"/>
          <w:bCs/>
          <w:caps w:val="0"/>
          <w:smallCaps w:val="0"/>
          <w:color w:val="000000" w:themeColor="text1"/>
          <w:u w:val="single"/>
          <w:lang w:eastAsia="zh-CN"/>
          <w14:textFill>
            <w14:solidFill>
              <w14:schemeClr w14:val="tx1"/>
            </w14:solidFill>
          </w14:textFill>
        </w:rPr>
        <w:t>吸附法、</w:t>
      </w:r>
      <w:r>
        <w:rPr>
          <w:rFonts w:hint="eastAsia" w:ascii="宋体" w:hAnsi="宋体" w:eastAsia="宋体" w:cs="宋体"/>
          <w:bCs/>
          <w:caps w:val="0"/>
          <w:smallCaps w:val="0"/>
          <w:color w:val="000000" w:themeColor="text1"/>
          <w:u w:val="single"/>
          <w14:textFill>
            <w14:solidFill>
              <w14:schemeClr w14:val="tx1"/>
            </w14:solidFill>
          </w14:textFill>
        </w:rPr>
        <w:t>直接燃烧法、催化燃烧法、</w:t>
      </w:r>
      <w:r>
        <w:rPr>
          <w:rFonts w:hint="eastAsia" w:ascii="宋体" w:hAnsi="宋体" w:eastAsia="宋体" w:cs="宋体"/>
          <w:bCs/>
          <w:caps w:val="0"/>
          <w:smallCaps w:val="0"/>
          <w:color w:val="000000" w:themeColor="text1"/>
          <w:u w:val="single"/>
          <w:lang w:eastAsia="zh-CN"/>
          <w14:textFill>
            <w14:solidFill>
              <w14:schemeClr w14:val="tx1"/>
            </w14:solidFill>
          </w14:textFill>
        </w:rPr>
        <w:t>吸收法、</w:t>
      </w:r>
      <w:r>
        <w:rPr>
          <w:rFonts w:hint="eastAsia" w:ascii="宋体" w:hAnsi="宋体" w:eastAsia="宋体" w:cs="宋体"/>
          <w:bCs/>
          <w:caps w:val="0"/>
          <w:smallCaps w:val="0"/>
          <w:color w:val="000000" w:themeColor="text1"/>
          <w:u w:val="single"/>
          <w14:textFill>
            <w14:solidFill>
              <w14:schemeClr w14:val="tx1"/>
            </w14:solidFill>
          </w14:textFill>
        </w:rPr>
        <w:t>冷凝法</w:t>
      </w:r>
      <w:r>
        <w:rPr>
          <w:rFonts w:hint="eastAsia" w:ascii="宋体" w:hAnsi="宋体" w:eastAsia="宋体" w:cs="宋体"/>
          <w:bCs/>
          <w:caps w:val="0"/>
          <w:smallCaps w:val="0"/>
          <w:color w:val="000000" w:themeColor="text1"/>
          <w:u w:val="single"/>
          <w:lang w:eastAsia="zh-CN"/>
          <w14:textFill>
            <w14:solidFill>
              <w14:schemeClr w14:val="tx1"/>
            </w14:solidFill>
          </w14:textFill>
        </w:rPr>
        <w:t>和光催化技术</w:t>
      </w:r>
      <w:r>
        <w:rPr>
          <w:rFonts w:hint="eastAsia" w:ascii="宋体" w:hAnsi="宋体" w:eastAsia="宋体" w:cs="宋体"/>
          <w:bCs/>
          <w:caps w:val="0"/>
          <w:smallCaps w:val="0"/>
          <w:color w:val="000000" w:themeColor="text1"/>
          <w:u w:val="single"/>
          <w14:textFill>
            <w14:solidFill>
              <w14:schemeClr w14:val="tx1"/>
            </w14:solidFill>
          </w14:textFill>
        </w:rPr>
        <w:t>等。各种方法的主要优缺点见表</w:t>
      </w:r>
      <w:r>
        <w:rPr>
          <w:rFonts w:hint="eastAsia" w:ascii="宋体" w:hAnsi="宋体" w:eastAsia="宋体" w:cs="宋体"/>
          <w:bCs/>
          <w:caps w:val="0"/>
          <w:smallCaps w:val="0"/>
          <w:color w:val="000000" w:themeColor="text1"/>
          <w:u w:val="single"/>
          <w:lang w:val="en-US" w:eastAsia="zh-CN"/>
          <w14:textFill>
            <w14:solidFill>
              <w14:schemeClr w14:val="tx1"/>
            </w14:solidFill>
          </w14:textFill>
        </w:rPr>
        <w:t>7.1.1-.1</w:t>
      </w:r>
      <w:r>
        <w:rPr>
          <w:rFonts w:hint="eastAsia" w:ascii="宋体" w:hAnsi="宋体" w:eastAsia="宋体" w:cs="宋体"/>
          <w:bCs/>
          <w:caps w:val="0"/>
          <w:smallCaps w:val="0"/>
          <w:color w:val="000000" w:themeColor="text1"/>
          <w:u w:val="single"/>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before="167" w:beforeLines="50" w:after="167" w:afterLines="50" w:line="360" w:lineRule="auto"/>
        <w:ind w:firstLine="0" w:firstLineChars="0"/>
        <w:jc w:val="center"/>
        <w:textAlignment w:val="auto"/>
        <w:rPr>
          <w:rFonts w:hint="eastAsia" w:ascii="宋体" w:hAnsi="宋体" w:eastAsia="宋体" w:cs="宋体"/>
          <w:b/>
          <w:bCs/>
          <w:color w:val="000000" w:themeColor="text1"/>
          <w:highlight w:val="none"/>
          <w:lang w:val="en-US" w:eastAsia="zh-CN"/>
          <w14:textFill>
            <w14:solidFill>
              <w14:schemeClr w14:val="tx1"/>
            </w14:solidFill>
          </w14:textFill>
        </w:rPr>
      </w:pPr>
      <w:r>
        <w:rPr>
          <w:rFonts w:hint="eastAsia" w:ascii="宋体" w:hAnsi="宋体" w:eastAsia="宋体" w:cs="宋体"/>
          <w:b/>
          <w:bCs/>
          <w:color w:val="000000" w:themeColor="text1"/>
          <w:highlight w:val="none"/>
          <w:lang w:val="en-US" w:eastAsia="zh-CN"/>
          <w14:textFill>
            <w14:solidFill>
              <w14:schemeClr w14:val="tx1"/>
            </w14:solidFill>
          </w14:textFill>
        </w:rPr>
        <w:t>表7.1.1-1  有机废气主要净化方法比较</w:t>
      </w:r>
    </w:p>
    <w:tbl>
      <w:tblPr>
        <w:tblStyle w:val="30"/>
        <w:tblW w:w="4998"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273"/>
        <w:gridCol w:w="2083"/>
        <w:gridCol w:w="2318"/>
        <w:gridCol w:w="2344"/>
        <w:gridCol w:w="183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blHeader/>
          <w:jc w:val="center"/>
        </w:trPr>
        <w:tc>
          <w:tcPr>
            <w:tcW w:w="64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方法</w:t>
            </w:r>
          </w:p>
        </w:tc>
        <w:tc>
          <w:tcPr>
            <w:tcW w:w="105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原理</w:t>
            </w:r>
          </w:p>
        </w:tc>
        <w:tc>
          <w:tcPr>
            <w:tcW w:w="117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优点</w:t>
            </w:r>
          </w:p>
        </w:tc>
        <w:tc>
          <w:tcPr>
            <w:tcW w:w="118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缺点</w:t>
            </w:r>
          </w:p>
        </w:tc>
        <w:tc>
          <w:tcPr>
            <w:tcW w:w="92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适用范围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675" w:hRule="atLeast"/>
          <w:jc w:val="center"/>
        </w:trPr>
        <w:tc>
          <w:tcPr>
            <w:tcW w:w="64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吸附法</w:t>
            </w:r>
          </w:p>
        </w:tc>
        <w:tc>
          <w:tcPr>
            <w:tcW w:w="105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废气的分子扩散到固体吸附剂表面，有害成分被吸附而达到净化</w:t>
            </w:r>
          </w:p>
        </w:tc>
        <w:tc>
          <w:tcPr>
            <w:tcW w:w="117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可处理含有低浓度的碳氢化合物和低温废气；溶剂可回收，进行有效利用；处理程度可以控制</w:t>
            </w:r>
          </w:p>
        </w:tc>
        <w:tc>
          <w:tcPr>
            <w:tcW w:w="118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活性炭的再生和补充需要花费的费用多；在处理喷漆室废气时要预先除漆雾</w:t>
            </w:r>
          </w:p>
        </w:tc>
        <w:tc>
          <w:tcPr>
            <w:tcW w:w="92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适用常温、低浓度、废气量较小时的废气治理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19" w:hRule="atLeast"/>
          <w:jc w:val="center"/>
        </w:trPr>
        <w:tc>
          <w:tcPr>
            <w:tcW w:w="64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直接</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燃烧法</w:t>
            </w:r>
          </w:p>
        </w:tc>
        <w:tc>
          <w:tcPr>
            <w:tcW w:w="105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废气引入燃烧室与火焰直接接触，使有害物燃烧生成CO2和H2O，使废气净化</w:t>
            </w:r>
          </w:p>
        </w:tc>
        <w:tc>
          <w:tcPr>
            <w:tcW w:w="117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燃烧效率高，管理容易；仅烧嘴需经常维护，维护简单；装置占地面积小；不稳定因素少，可靠性高</w:t>
            </w:r>
          </w:p>
        </w:tc>
        <w:tc>
          <w:tcPr>
            <w:tcW w:w="118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处理温度高，需燃料费高；燃烧装置、燃烧室、热回收装置等设备造价高；处理像喷漆室浓度低、风量大的废气不经济</w:t>
            </w:r>
          </w:p>
        </w:tc>
        <w:tc>
          <w:tcPr>
            <w:tcW w:w="92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适用于有机溶剂含量高、湿度高的废气治理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4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催化</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燃烧法</w:t>
            </w:r>
          </w:p>
        </w:tc>
        <w:tc>
          <w:tcPr>
            <w:tcW w:w="105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在催化剂作用下，使有机物废气在引燃点温度以下燃烧生成CO2和H2O而被净化</w:t>
            </w:r>
          </w:p>
        </w:tc>
        <w:tc>
          <w:tcPr>
            <w:tcW w:w="117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与直接燃烧法相比，能在低温下氧化分解，燃料费可省1/2；装置占地面积小；NOx生成少</w:t>
            </w:r>
          </w:p>
        </w:tc>
        <w:tc>
          <w:tcPr>
            <w:tcW w:w="118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催化剂价格高，需考虑催化剂中毒和催化剂寿命；必须进行前处理除去尘埃、漆雾等；催化剂和设备价格高</w:t>
            </w:r>
          </w:p>
        </w:tc>
        <w:tc>
          <w:tcPr>
            <w:tcW w:w="92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适用于废气温度高、流量小、有机溶剂浓度高、含杂质少的场合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4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吸收法</w:t>
            </w:r>
          </w:p>
        </w:tc>
        <w:tc>
          <w:tcPr>
            <w:tcW w:w="105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液体作为吸收剂，使废气中有害气体被吸收剂所吸收从而达到净化</w:t>
            </w:r>
          </w:p>
        </w:tc>
        <w:tc>
          <w:tcPr>
            <w:tcW w:w="117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设备费用低，运转费用少；无爆炸、火灾等危险，安全性高；适宜处理喷漆室和挥发室排出废气</w:t>
            </w:r>
          </w:p>
        </w:tc>
        <w:tc>
          <w:tcPr>
            <w:tcW w:w="118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需要对产生废水进行二次处理，对涂料品种有限制</w:t>
            </w:r>
          </w:p>
        </w:tc>
        <w:tc>
          <w:tcPr>
            <w:tcW w:w="92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适用于高、低浓度有机废气</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4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冷凝法</w:t>
            </w:r>
          </w:p>
        </w:tc>
        <w:tc>
          <w:tcPr>
            <w:tcW w:w="105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降低有害气体的温度，能使其某些成分冷凝成液体的原理</w:t>
            </w:r>
          </w:p>
        </w:tc>
        <w:tc>
          <w:tcPr>
            <w:tcW w:w="117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设备、操作条件简单，回收物质纯度高。</w:t>
            </w:r>
          </w:p>
        </w:tc>
        <w:tc>
          <w:tcPr>
            <w:tcW w:w="118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净化效率低，不能达到标准要求</w:t>
            </w:r>
          </w:p>
        </w:tc>
        <w:tc>
          <w:tcPr>
            <w:tcW w:w="92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适用于组分单一的高浓度有机废气</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4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光催化技术</w:t>
            </w:r>
          </w:p>
        </w:tc>
        <w:tc>
          <w:tcPr>
            <w:tcW w:w="105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利用光催化剂与挥发性有机物接触，催化剂在受到光照后产生电子空穴对，经过氧化等反应在表面生成二氧化碳、水等</w:t>
            </w:r>
          </w:p>
        </w:tc>
        <w:tc>
          <w:tcPr>
            <w:tcW w:w="117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使用范围广，处理气味效果好，适用于较低浓度的有机气体净化</w:t>
            </w:r>
          </w:p>
        </w:tc>
        <w:tc>
          <w:tcPr>
            <w:tcW w:w="118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如果整套系统只采用光催化技术，成本较高</w:t>
            </w:r>
          </w:p>
        </w:tc>
        <w:tc>
          <w:tcPr>
            <w:tcW w:w="92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单独使用成本较高</w:t>
            </w:r>
          </w:p>
        </w:tc>
      </w:tr>
    </w:tbl>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highlight w:val="none"/>
          <w:u w:val="single"/>
          <w:lang w:val="en-US" w:eastAsia="zh-CN"/>
          <w14:textFill>
            <w14:solidFill>
              <w14:schemeClr w14:val="tx1"/>
            </w14:solidFill>
          </w14:textFill>
        </w:rPr>
      </w:pPr>
      <w:r>
        <w:rPr>
          <w:rFonts w:hint="eastAsia" w:ascii="宋体" w:hAnsi="宋体" w:eastAsia="宋体" w:cs="宋体"/>
          <w:color w:val="000000" w:themeColor="text1"/>
          <w:highlight w:val="none"/>
          <w:u w:val="single"/>
          <w:lang w:val="en-US" w:eastAsia="zh-CN"/>
          <w14:textFill>
            <w14:solidFill>
              <w14:schemeClr w14:val="tx1"/>
            </w14:solidFill>
          </w14:textFill>
        </w:rPr>
        <w:t>根据《关于印发</w:t>
      </w:r>
      <w:r>
        <w:rPr>
          <w:rFonts w:hint="eastAsia" w:cs="宋体"/>
          <w:color w:val="000000" w:themeColor="text1"/>
          <w:highlight w:val="none"/>
          <w:u w:val="single"/>
          <w:lang w:val="en-US" w:eastAsia="zh-CN"/>
          <w14:textFill>
            <w14:solidFill>
              <w14:schemeClr w14:val="tx1"/>
            </w14:solidFill>
          </w14:textFill>
        </w:rPr>
        <w:t>＜</w:t>
      </w:r>
      <w:r>
        <w:rPr>
          <w:rFonts w:hint="eastAsia" w:ascii="宋体" w:hAnsi="宋体" w:eastAsia="宋体" w:cs="宋体"/>
          <w:color w:val="000000" w:themeColor="text1"/>
          <w:highlight w:val="none"/>
          <w:u w:val="single"/>
          <w:lang w:val="en-US" w:eastAsia="zh-CN"/>
          <w14:textFill>
            <w14:solidFill>
              <w14:schemeClr w14:val="tx1"/>
            </w14:solidFill>
          </w14:textFill>
        </w:rPr>
        <w:t>重点行业挥发性有机物综合治理方案&gt;的通知》（环大气【2019】53号）：（三）推进建设适宜高效的治污设施。企业新建治污设施或对现有治污设施实施改造，应依据排放废气的浓度、组分、风量，温度、湿度、压力，以及生产工况等，合理选择治理技术。鼓励企业采用多种技术的组合工艺，提高VOCs治理效率。低浓度、大风量废气，宜采用沸石转轮吸附、活性炭吸附、减风增浓等浓缩技术，提高VOCs浓度后净化处理；高浓度废气，优先进行溶剂回收，难以回收的，宜采用高温焚烧、催化燃烧等技术。油气（溶剂）回收宜采用冷凝+吸附、吸附+吸收、膜分离+吸附等技术。低温等离子、光催化、光氧化技术主要适用于恶臭异味等治理；生物法主要适用于低浓度VOCs废气治理和恶臭异味治理。非水溶性的VOCs废气禁止采用水或水溶液喷淋吸收处理。采用一次性活性炭吸附技术的，应定期更换活性炭，废旧活性炭应再生或处理处置。</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本项目流涎、亚胺化工序有机废气浓度较高、且具有一定的回收价值，亚胺化废气湿度较高，同时废气温度也较高，因此，选用冷凝法回收二甲基乙酰胺溶剂，经冷凝法处理将大大降低废气中污染物含量、减少废气体积。经该法回收二甲基乙酰胺纯度较高。</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吸收法以液体作为吸收剂，使废气中有害气体被吸收剂所吸收从而达到净化，适用于高、低浓度有机废气。项目流涎、亚胺化工序不凝气主要为二甲基乙酰胺和氨，两种物质均溶于水，流延采用三级水喷淋，亚胺化采用二级水喷淋，废气进入后续处理装置。喷淋水循环使用，定期更换，喷淋废水由于含有较高浓度的二甲基乙酰胺原料，具有一定的回用价值，集中收集后作为副产品外售。</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此时，废气中大部分有机废气均得到净化，废气可以实现达标排放。为进一步确保非正常工况下废气达标排放，可采取活性炭吸附、低温等离子、UV光解等有机废气处理装置处理。活性碳在废气处理中应用广泛，它主要分为二种活性碳处理，一是吸脱附处理(也就是活性碳可再生使用)，二是一次性活性碳吸附处理。一次性活性碳吸附处理会产生废活性炭，属于危险废物，为保证排出达标更换频繁。同时吸附处理效果是逐渐下降的，特别是当吸附率达55%时排出的废气会逐步超标，更为关键的是活性碳对处理烟尘效果更差，达不到处理效果。PI 膜在生产过程中所产生的烟尘废气中含有少量粘性物质，粘性物吸附在活性碳表面影响活性碳继续吸附，同时也使活性碳无法脱附。鉴于上述不利原因，活性碳在PI 膜生产行业中是不适合作为处理方案应用的。因此，不采用活性碳处理。</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本工程采取湿电系统处理工艺，根据设计单位实际操作经验，保守估计治理设施处理效率达70%，湿电系统处理气味效果好，同时无废水、固废等二次污染。</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综上所述，项目流涎、亚胺化工序废气经处理措施的选用是根据排放废气的浓度、组分、风量，温度、湿度等综合考虑的。通过采取多种技术的组合工艺，废气实现达标排放，二甲基乙酰胺冷凝溶液、喷淋废水均得到回收利用。废气处理措施实现最佳优化。</w:t>
      </w:r>
    </w:p>
    <w:p>
      <w:pPr>
        <w:pStyle w:val="8"/>
        <w:keepNext/>
        <w:keepLines/>
        <w:pageBreakBefore w:val="0"/>
        <w:kinsoku/>
        <w:wordWrap/>
        <w:overflowPunct/>
        <w:topLinePunct w:val="0"/>
        <w:autoSpaceDE/>
        <w:autoSpaceDN/>
        <w:bidi w:val="0"/>
        <w:adjustRightInd/>
        <w:snapToGrid/>
        <w:ind w:firstLine="482" w:firstLineChars="200"/>
        <w:textAlignment w:val="auto"/>
        <w:rPr>
          <w:rFonts w:hint="eastAsia" w:ascii="宋体" w:hAnsi="宋体" w:eastAsia="宋体" w:cs="宋体"/>
          <w:bCs/>
          <w:color w:val="000000" w:themeColor="text1"/>
          <w:highlight w:val="none"/>
          <w:lang w:val="en-US" w:eastAsia="zh-CN"/>
          <w14:textFill>
            <w14:solidFill>
              <w14:schemeClr w14:val="tx1"/>
            </w14:solidFill>
          </w14:textFill>
        </w:rPr>
      </w:pPr>
      <w:bookmarkStart w:id="475" w:name="_Toc11528"/>
      <w:r>
        <w:rPr>
          <w:rFonts w:hint="eastAsia" w:ascii="宋体" w:hAnsi="宋体" w:eastAsia="宋体" w:cs="宋体"/>
          <w:bCs/>
          <w:color w:val="000000" w:themeColor="text1"/>
          <w:highlight w:val="none"/>
          <w:lang w:val="en-US" w:eastAsia="zh-CN"/>
          <w14:textFill>
            <w14:solidFill>
              <w14:schemeClr w14:val="tx1"/>
            </w14:solidFill>
          </w14:textFill>
        </w:rPr>
        <w:t>7.1.2有组织废气污染防治措施分析</w:t>
      </w:r>
      <w:bookmarkEnd w:id="475"/>
    </w:p>
    <w:p>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outlineLvl w:val="3"/>
        <w:rPr>
          <w:rFonts w:hint="eastAsia" w:ascii="宋体" w:hAnsi="宋体" w:eastAsia="宋体" w:cs="宋体"/>
          <w:b/>
          <w:bCs/>
          <w:color w:val="000000" w:themeColor="text1"/>
          <w:lang w:val="en-US" w:eastAsia="zh-CN"/>
          <w14:textFill>
            <w14:solidFill>
              <w14:schemeClr w14:val="tx1"/>
            </w14:solidFill>
          </w14:textFill>
        </w:rPr>
      </w:pPr>
      <w:r>
        <w:rPr>
          <w:rFonts w:hint="eastAsia" w:ascii="宋体" w:hAnsi="宋体" w:eastAsia="宋体" w:cs="宋体"/>
          <w:b/>
          <w:bCs/>
          <w:color w:val="000000" w:themeColor="text1"/>
          <w:lang w:val="en-US" w:eastAsia="zh-CN"/>
          <w14:textFill>
            <w14:solidFill>
              <w14:schemeClr w14:val="tx1"/>
            </w14:solidFill>
          </w14:textFill>
        </w:rPr>
        <w:t>7.1.2.1废气收集系统</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项目溶剂投料在密闭房间内进行，所产生的少量有机废气一部分通过风机收集后接入废气处理设施，还有一部分通过真空泵进行收集后接入废气处理设施，全过程处于密闭空间内，收集效率可近似于100%。项目搅拌和消泡在密闭的配料罐和储料罐内进行，所产生的的废气通过真空泵进行收集后接入废气处理设施，全过程处于密闭空间内，收集效率可近似与100%。溶剂冷凝回收过程中回收的废溶剂流入中间桶时会挥发少量的有机废气，溶剂回收中间桶存放于密闭房间内，所产生的少量有机废气通过风机收集后接入废气处理设施。项目流涎废气采取“生产线全封闭，负压抽气”的方式收集，进入四级冷凝装置回收副产，亚胺化废气采取“生产线全封闭，负压抽气”的方式收集，进入一级冷凝装置回收副产，</w:t>
      </w:r>
      <w:bookmarkStart w:id="476" w:name="OLE_LINK6"/>
      <w:r>
        <w:rPr>
          <w:rFonts w:hint="eastAsia" w:ascii="宋体" w:hAnsi="宋体" w:eastAsia="宋体" w:cs="宋体"/>
          <w:color w:val="000000" w:themeColor="text1"/>
          <w:highlight w:val="none"/>
          <w:lang w:val="en-US" w:eastAsia="zh-CN"/>
          <w14:textFill>
            <w14:solidFill>
              <w14:schemeClr w14:val="tx1"/>
            </w14:solidFill>
          </w14:textFill>
        </w:rPr>
        <w:t>不凝气采用流涎、亚胺化工序废气分别经四级冷凝装置、一级冷凝装置回收副产品后，不凝气经分别经“三级喷淋回收+湿电系统”和“二级喷淋+湿电系统”处理后通过20m高排气筒排放</w:t>
      </w:r>
      <w:bookmarkEnd w:id="476"/>
      <w:r>
        <w:rPr>
          <w:rFonts w:hint="eastAsia" w:ascii="宋体" w:hAnsi="宋体" w:eastAsia="宋体" w:cs="宋体"/>
          <w:color w:val="000000" w:themeColor="text1"/>
          <w:highlight w:val="none"/>
          <w:lang w:val="en-US"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outlineLvl w:val="3"/>
        <w:rPr>
          <w:rFonts w:hint="eastAsia" w:ascii="宋体" w:hAnsi="宋体" w:eastAsia="宋体" w:cs="宋体"/>
          <w:b/>
          <w:bCs/>
          <w:color w:val="000000" w:themeColor="text1"/>
          <w:lang w:val="en-US" w:eastAsia="zh-CN"/>
          <w14:textFill>
            <w14:solidFill>
              <w14:schemeClr w14:val="tx1"/>
            </w14:solidFill>
          </w14:textFill>
        </w:rPr>
      </w:pPr>
      <w:r>
        <w:rPr>
          <w:rFonts w:hint="eastAsia" w:ascii="宋体" w:hAnsi="宋体" w:eastAsia="宋体" w:cs="宋体"/>
          <w:b/>
          <w:bCs/>
          <w:color w:val="000000" w:themeColor="text1"/>
          <w:lang w:val="en-US" w:eastAsia="zh-CN"/>
          <w14:textFill>
            <w14:solidFill>
              <w14:schemeClr w14:val="tx1"/>
            </w14:solidFill>
          </w14:textFill>
        </w:rPr>
        <w:t>7.1.2.2废气处理系统</w:t>
      </w:r>
    </w:p>
    <w:p>
      <w:pPr>
        <w:pStyle w:val="3"/>
        <w:pageBreakBefore w:val="0"/>
        <w:widowControl w:val="0"/>
        <w:kinsoku/>
        <w:wordWrap/>
        <w:overflowPunct/>
        <w:topLinePunct w:val="0"/>
        <w:bidi w:val="0"/>
        <w:adjustRightInd/>
        <w:snapToGrid/>
        <w:spacing w:after="0" w:line="360" w:lineRule="auto"/>
        <w:ind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1、废气来源</w:t>
      </w:r>
    </w:p>
    <w:p>
      <w:pPr>
        <w:pStyle w:val="3"/>
        <w:pageBreakBefore w:val="0"/>
        <w:widowControl w:val="0"/>
        <w:kinsoku/>
        <w:wordWrap/>
        <w:overflowPunct/>
        <w:topLinePunct w:val="0"/>
        <w:bidi w:val="0"/>
        <w:adjustRightInd/>
        <w:snapToGrid/>
        <w:spacing w:after="0" w:line="360" w:lineRule="auto"/>
        <w:ind w:firstLine="480" w:firstLineChars="200"/>
        <w:jc w:val="both"/>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eastAsia="zh-CN"/>
          <w14:textFill>
            <w14:solidFill>
              <w14:schemeClr w14:val="tx1"/>
            </w14:solidFill>
          </w14:textFill>
        </w:rPr>
        <w:t>本项目使用热亚胺化法生产工艺，</w:t>
      </w:r>
      <w:r>
        <w:rPr>
          <w:rFonts w:hint="eastAsia" w:ascii="宋体" w:hAnsi="宋体" w:eastAsia="宋体" w:cs="宋体"/>
          <w:color w:val="000000" w:themeColor="text1"/>
          <w:highlight w:val="none"/>
          <w14:textFill>
            <w14:solidFill>
              <w14:schemeClr w14:val="tx1"/>
            </w14:solidFill>
          </w14:textFill>
        </w:rPr>
        <w:t>采用DMAC作为溶剂，这些溶剂在树脂合成、制膜过程中挥发出来，形成有机废气。废气为主要含有DMAC，通过对各废气的理化性质分析可知，以上废气均具有非常好的溶解性，因此本项目对</w:t>
      </w:r>
      <w:r>
        <w:rPr>
          <w:rFonts w:hint="eastAsia" w:ascii="宋体" w:hAnsi="宋体" w:eastAsia="宋体" w:cs="宋体"/>
          <w:color w:val="000000" w:themeColor="text1"/>
          <w:highlight w:val="none"/>
          <w:lang w:eastAsia="zh-CN"/>
          <w14:textFill>
            <w14:solidFill>
              <w14:schemeClr w14:val="tx1"/>
            </w14:solidFill>
          </w14:textFill>
        </w:rPr>
        <w:t>有机</w:t>
      </w:r>
      <w:r>
        <w:rPr>
          <w:rFonts w:hint="eastAsia" w:ascii="宋体" w:hAnsi="宋体" w:eastAsia="宋体" w:cs="宋体"/>
          <w:color w:val="000000" w:themeColor="text1"/>
          <w:highlight w:val="none"/>
          <w14:textFill>
            <w14:solidFill>
              <w14:schemeClr w14:val="tx1"/>
            </w14:solidFill>
          </w14:textFill>
        </w:rPr>
        <w:t>废气采用</w:t>
      </w:r>
      <w:r>
        <w:rPr>
          <w:rFonts w:hint="eastAsia" w:ascii="宋体" w:hAnsi="宋体" w:eastAsia="宋体" w:cs="宋体"/>
          <w:color w:val="000000" w:themeColor="text1"/>
          <w:highlight w:val="none"/>
          <w:lang w:val="en-US" w:eastAsia="zh-CN"/>
          <w14:textFill>
            <w14:solidFill>
              <w14:schemeClr w14:val="tx1"/>
            </w14:solidFill>
          </w14:textFill>
        </w:rPr>
        <w:t>水吸收</w:t>
      </w:r>
      <w:r>
        <w:rPr>
          <w:rFonts w:hint="eastAsia" w:ascii="宋体" w:hAnsi="宋体" w:eastAsia="宋体" w:cs="宋体"/>
          <w:color w:val="000000" w:themeColor="text1"/>
          <w:highlight w:val="none"/>
          <w14:textFill>
            <w14:solidFill>
              <w14:schemeClr w14:val="tx1"/>
            </w14:solidFill>
          </w14:textFill>
        </w:rPr>
        <w:t>工艺，DMAC溶剂通过吸收后，吸收液经</w:t>
      </w:r>
      <w:r>
        <w:rPr>
          <w:rFonts w:hint="eastAsia" w:ascii="宋体" w:hAnsi="宋体" w:eastAsia="宋体" w:cs="宋体"/>
          <w:color w:val="000000" w:themeColor="text1"/>
          <w:highlight w:val="none"/>
          <w:lang w:val="en-US" w:eastAsia="zh-CN"/>
          <w14:textFill>
            <w14:solidFill>
              <w14:schemeClr w14:val="tx1"/>
            </w14:solidFill>
          </w14:textFill>
        </w:rPr>
        <w:t>提纯</w:t>
      </w:r>
      <w:r>
        <w:rPr>
          <w:rFonts w:hint="eastAsia" w:ascii="宋体" w:hAnsi="宋体" w:eastAsia="宋体" w:cs="宋体"/>
          <w:color w:val="000000" w:themeColor="text1"/>
          <w:highlight w:val="none"/>
          <w14:textFill>
            <w14:solidFill>
              <w14:schemeClr w14:val="tx1"/>
            </w14:solidFill>
          </w14:textFill>
        </w:rPr>
        <w:t>回收DMAC，实现溶剂的循环使用。</w:t>
      </w:r>
    </w:p>
    <w:p>
      <w:pPr>
        <w:pStyle w:val="3"/>
        <w:pageBreakBefore w:val="0"/>
        <w:widowControl w:val="0"/>
        <w:kinsoku/>
        <w:wordWrap/>
        <w:overflowPunct/>
        <w:topLinePunct w:val="0"/>
        <w:bidi w:val="0"/>
        <w:adjustRightInd/>
        <w:snapToGrid/>
        <w:spacing w:after="0" w:line="360" w:lineRule="auto"/>
        <w:ind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2</w:t>
      </w:r>
      <w:r>
        <w:rPr>
          <w:rFonts w:hint="eastAsia" w:ascii="宋体" w:hAnsi="宋体" w:eastAsia="宋体" w:cs="宋体"/>
          <w:color w:val="000000" w:themeColor="text1"/>
          <w:highlight w:val="none"/>
          <w14:textFill>
            <w14:solidFill>
              <w14:schemeClr w14:val="tx1"/>
            </w14:solidFill>
          </w14:textFill>
        </w:rPr>
        <w:t>、处理工艺</w:t>
      </w:r>
    </w:p>
    <w:p>
      <w:pPr>
        <w:pStyle w:val="3"/>
        <w:pageBreakBefore w:val="0"/>
        <w:widowControl w:val="0"/>
        <w:kinsoku/>
        <w:wordWrap/>
        <w:overflowPunct/>
        <w:topLinePunct w:val="0"/>
        <w:bidi w:val="0"/>
        <w:adjustRightInd/>
        <w:snapToGrid/>
        <w:spacing w:after="0" w:line="360" w:lineRule="auto"/>
        <w:ind w:firstLine="480" w:firstLineChars="200"/>
        <w:jc w:val="both"/>
        <w:textAlignment w:val="auto"/>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（1）四级冷凝系统</w:t>
      </w:r>
    </w:p>
    <w:p>
      <w:pPr>
        <w:adjustRightInd w:val="0"/>
        <w:snapToGrid w:val="0"/>
        <w:spacing w:line="360" w:lineRule="auto"/>
        <w:ind w:firstLine="480" w:firstLineChars="200"/>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冷凝法适用于高浓度挥发性有机化合物废气的回收和处理，属高效处理工艺</w:t>
      </w:r>
      <w:r>
        <w:rPr>
          <w:rFonts w:hint="eastAsia" w:ascii="宋体" w:hAnsi="宋体" w:eastAsia="宋体" w:cs="宋体"/>
          <w:color w:val="000000" w:themeColor="text1"/>
          <w:lang w:eastAsia="zh-CN"/>
          <w14:textFill>
            <w14:solidFill>
              <w14:schemeClr w14:val="tx1"/>
            </w14:solidFill>
          </w14:textFill>
        </w:rPr>
        <w:t>。可降低污染物含量、减少废气体积，</w:t>
      </w:r>
      <w:r>
        <w:rPr>
          <w:rFonts w:hint="eastAsia" w:ascii="宋体" w:hAnsi="宋体" w:eastAsia="宋体" w:cs="宋体"/>
          <w:color w:val="000000" w:themeColor="text1"/>
          <w14:textFill>
            <w14:solidFill>
              <w14:schemeClr w14:val="tx1"/>
            </w14:solidFill>
          </w14:textFill>
        </w:rPr>
        <w:t>作为降低废气有机负荷的前处理方法</w:t>
      </w: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与吸附法、燃烧法等其他方法联合使用。</w:t>
      </w:r>
      <w:r>
        <w:rPr>
          <w:rFonts w:hint="eastAsia" w:ascii="宋体" w:hAnsi="宋体" w:eastAsia="宋体" w:cs="宋体"/>
          <w:color w:val="000000" w:themeColor="text1"/>
          <w:lang w:eastAsia="zh-CN"/>
          <w14:textFill>
            <w14:solidFill>
              <w14:schemeClr w14:val="tx1"/>
            </w14:solidFill>
          </w14:textFill>
        </w:rPr>
        <w:t>同时，可</w:t>
      </w:r>
      <w:r>
        <w:rPr>
          <w:rFonts w:hint="eastAsia" w:ascii="宋体" w:hAnsi="宋体" w:eastAsia="宋体" w:cs="宋体"/>
          <w:color w:val="000000" w:themeColor="text1"/>
          <w14:textFill>
            <w14:solidFill>
              <w14:schemeClr w14:val="tx1"/>
            </w14:solidFill>
          </w14:textFill>
        </w:rPr>
        <w:t>回收有价值的产品。挥发性有机化合物废气体积分数在0.5%以上时优先采用冷凝法处理。</w:t>
      </w:r>
    </w:p>
    <w:p>
      <w:pPr>
        <w:adjustRightInd w:val="0"/>
        <w:snapToGrid w:val="0"/>
        <w:spacing w:line="360" w:lineRule="auto"/>
        <w:ind w:firstLine="480" w:firstLineChars="200"/>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鉴于项目聚酰亚胺薄膜系列产品中产生的有机废气浓度较高并具有回收利用价值，因此项目工艺采用冷凝方式进行回收，溶剂回收冷凝废液暂存回收罐，作为副产品定期外售；流涎、亚胺化工序</w:t>
      </w:r>
      <w:r>
        <w:rPr>
          <w:rFonts w:hint="eastAsia" w:ascii="宋体" w:hAnsi="宋体" w:eastAsia="宋体" w:cs="宋体"/>
          <w:color w:val="000000" w:themeColor="text1"/>
          <w:lang w:eastAsia="zh-CN"/>
          <w14:textFill>
            <w14:solidFill>
              <w14:schemeClr w14:val="tx1"/>
            </w14:solidFill>
          </w14:textFill>
        </w:rPr>
        <w:t>有机</w:t>
      </w:r>
      <w:r>
        <w:rPr>
          <w:rFonts w:hint="eastAsia" w:ascii="宋体" w:hAnsi="宋体" w:eastAsia="宋体" w:cs="宋体"/>
          <w:color w:val="000000" w:themeColor="text1"/>
          <w14:textFill>
            <w14:solidFill>
              <w14:schemeClr w14:val="tx1"/>
            </w14:solidFill>
          </w14:textFill>
        </w:rPr>
        <w:t>废气分别经四级冷凝装置、</w:t>
      </w:r>
      <w:r>
        <w:rPr>
          <w:rFonts w:hint="eastAsia" w:ascii="宋体" w:hAnsi="宋体" w:eastAsia="宋体" w:cs="宋体"/>
          <w:color w:val="000000" w:themeColor="text1"/>
          <w:lang w:val="en-US" w:eastAsia="zh-CN"/>
          <w14:textFill>
            <w14:solidFill>
              <w14:schemeClr w14:val="tx1"/>
            </w14:solidFill>
          </w14:textFill>
        </w:rPr>
        <w:t>一</w:t>
      </w:r>
      <w:r>
        <w:rPr>
          <w:rFonts w:hint="eastAsia" w:ascii="宋体" w:hAnsi="宋体" w:eastAsia="宋体" w:cs="宋体"/>
          <w:color w:val="000000" w:themeColor="text1"/>
          <w14:textFill>
            <w14:solidFill>
              <w14:schemeClr w14:val="tx1"/>
            </w14:solidFill>
          </w14:textFill>
        </w:rPr>
        <w:t>级冷凝装置回收副产品后，不凝气经</w:t>
      </w:r>
      <w:r>
        <w:rPr>
          <w:rFonts w:hint="eastAsia" w:ascii="宋体" w:hAnsi="宋体" w:eastAsia="宋体" w:cs="宋体"/>
          <w:color w:val="000000" w:themeColor="text1"/>
          <w:lang w:val="en-US" w:eastAsia="zh-CN"/>
          <w14:textFill>
            <w14:solidFill>
              <w14:schemeClr w14:val="tx1"/>
            </w14:solidFill>
          </w14:textFill>
        </w:rPr>
        <w:t>喷淋回收+湿电系统</w:t>
      </w:r>
      <w:r>
        <w:rPr>
          <w:rFonts w:hint="eastAsia" w:ascii="宋体" w:hAnsi="宋体" w:eastAsia="宋体" w:cs="宋体"/>
          <w:color w:val="000000" w:themeColor="text1"/>
          <w14:textFill>
            <w14:solidFill>
              <w14:schemeClr w14:val="tx1"/>
            </w14:solidFill>
          </w14:textFill>
        </w:rPr>
        <w:t>处理，进一步降低有机废气的排放量。</w:t>
      </w:r>
    </w:p>
    <w:p>
      <w:pPr>
        <w:adjustRightInd w:val="0"/>
        <w:snapToGrid w:val="0"/>
        <w:spacing w:line="360" w:lineRule="auto"/>
        <w:ind w:firstLine="480" w:firstLineChars="200"/>
        <w:jc w:val="left"/>
        <w:rPr>
          <w:rFonts w:hint="eastAsia"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聚酰亚胺薄膜生产线中</w:t>
      </w:r>
      <w:r>
        <w:rPr>
          <w:rFonts w:hint="eastAsia" w:ascii="宋体" w:hAnsi="宋体" w:eastAsia="宋体" w:cs="宋体"/>
          <w:color w:val="000000" w:themeColor="text1"/>
          <w14:textFill>
            <w14:solidFill>
              <w14:schemeClr w14:val="tx1"/>
            </w14:solidFill>
          </w14:textFill>
        </w:rPr>
        <w:t>项目流涎</w:t>
      </w:r>
      <w:r>
        <w:rPr>
          <w:rFonts w:hint="eastAsia" w:ascii="宋体" w:hAnsi="宋体" w:eastAsia="宋体" w:cs="宋体"/>
          <w:color w:val="000000" w:themeColor="text1"/>
          <w:lang w:eastAsia="zh-CN"/>
          <w14:textFill>
            <w14:solidFill>
              <w14:schemeClr w14:val="tx1"/>
            </w14:solidFill>
          </w14:textFill>
        </w:rPr>
        <w:t>废气采取“生产线全封闭，负压抽气”的方式收集，进入四级冷凝装置回收副产，亚胺化废气</w:t>
      </w:r>
      <w:r>
        <w:rPr>
          <w:rFonts w:hint="eastAsia" w:ascii="宋体" w:hAnsi="宋体" w:eastAsia="宋体" w:cs="宋体"/>
          <w:color w:val="000000" w:themeColor="text1"/>
          <w14:textFill>
            <w14:solidFill>
              <w14:schemeClr w14:val="tx1"/>
            </w14:solidFill>
          </w14:textFill>
        </w:rPr>
        <w:t>采取“生产线全封闭，</w:t>
      </w:r>
      <w:r>
        <w:rPr>
          <w:rFonts w:hint="eastAsia" w:ascii="宋体" w:hAnsi="宋体" w:eastAsia="宋体" w:cs="宋体"/>
          <w:color w:val="000000" w:themeColor="text1"/>
          <w:lang w:eastAsia="zh-CN"/>
          <w14:textFill>
            <w14:solidFill>
              <w14:schemeClr w14:val="tx1"/>
            </w14:solidFill>
          </w14:textFill>
        </w:rPr>
        <w:t>负压抽气</w:t>
      </w:r>
      <w:r>
        <w:rPr>
          <w:rFonts w:hint="eastAsia" w:ascii="宋体" w:hAnsi="宋体" w:eastAsia="宋体" w:cs="宋体"/>
          <w:color w:val="000000" w:themeColor="text1"/>
          <w14:textFill>
            <w14:solidFill>
              <w14:schemeClr w14:val="tx1"/>
            </w14:solidFill>
          </w14:textFill>
        </w:rPr>
        <w:t>”的方式收集，进入</w:t>
      </w:r>
      <w:r>
        <w:rPr>
          <w:rFonts w:hint="eastAsia" w:ascii="宋体" w:hAnsi="宋体" w:eastAsia="宋体" w:cs="宋体"/>
          <w:color w:val="000000" w:themeColor="text1"/>
          <w:lang w:val="en-US" w:eastAsia="zh-CN"/>
          <w14:textFill>
            <w14:solidFill>
              <w14:schemeClr w14:val="tx1"/>
            </w14:solidFill>
          </w14:textFill>
        </w:rPr>
        <w:t>一</w:t>
      </w:r>
      <w:r>
        <w:rPr>
          <w:rFonts w:hint="eastAsia" w:ascii="宋体" w:hAnsi="宋体" w:eastAsia="宋体" w:cs="宋体"/>
          <w:color w:val="000000" w:themeColor="text1"/>
          <w14:textFill>
            <w14:solidFill>
              <w14:schemeClr w14:val="tx1"/>
            </w14:solidFill>
          </w14:textFill>
        </w:rPr>
        <w:t>级冷凝装置回收副产</w:t>
      </w:r>
      <w:r>
        <w:rPr>
          <w:rFonts w:hint="eastAsia" w:ascii="宋体" w:hAnsi="宋体" w:eastAsia="宋体" w:cs="宋体"/>
          <w:color w:val="000000" w:themeColor="text1"/>
          <w:szCs w:val="24"/>
          <w14:textFill>
            <w14:solidFill>
              <w14:schemeClr w14:val="tx1"/>
            </w14:solidFill>
          </w14:textFill>
        </w:rPr>
        <w:t>，冷凝器共4 节，每节换热面积1.2m*1.2m，高度1.5m，采用自来水进行间接冷却，进水温度为常温，回水温度50-60℃，非甲烷总烃温度由200℃降至50-60℃，由气态变为液态</w:t>
      </w:r>
      <w:bookmarkStart w:id="477" w:name="OLE_LINK19"/>
      <w:r>
        <w:rPr>
          <w:rFonts w:hint="eastAsia" w:ascii="宋体" w:hAnsi="宋体" w:eastAsia="宋体" w:cs="宋体"/>
          <w:color w:val="000000" w:themeColor="text1"/>
          <w:szCs w:val="24"/>
          <w:lang w:eastAsia="zh-CN"/>
          <w14:textFill>
            <w14:solidFill>
              <w14:schemeClr w14:val="tx1"/>
            </w14:solidFill>
          </w14:textFill>
        </w:rPr>
        <w:t>。流涎工序四级</w:t>
      </w:r>
      <w:r>
        <w:rPr>
          <w:rFonts w:hint="eastAsia" w:ascii="宋体" w:hAnsi="宋体" w:eastAsia="宋体" w:cs="宋体"/>
          <w:color w:val="000000" w:themeColor="text1"/>
          <w:szCs w:val="24"/>
          <w14:textFill>
            <w14:solidFill>
              <w14:schemeClr w14:val="tx1"/>
            </w14:solidFill>
          </w14:textFill>
        </w:rPr>
        <w:t>冷凝效率为98%</w:t>
      </w:r>
      <w:bookmarkEnd w:id="477"/>
      <w:r>
        <w:rPr>
          <w:rFonts w:hint="eastAsia" w:ascii="宋体" w:hAnsi="宋体" w:eastAsia="宋体" w:cs="宋体"/>
          <w:color w:val="000000" w:themeColor="text1"/>
          <w:szCs w:val="24"/>
          <w:lang w:eastAsia="zh-CN"/>
          <w14:textFill>
            <w14:solidFill>
              <w14:schemeClr w14:val="tx1"/>
            </w14:solidFill>
          </w14:textFill>
        </w:rPr>
        <w:t>；亚胺化工序</w:t>
      </w:r>
      <w:r>
        <w:rPr>
          <w:rFonts w:hint="eastAsia" w:ascii="宋体" w:hAnsi="宋体" w:eastAsia="宋体" w:cs="宋体"/>
          <w:color w:val="000000" w:themeColor="text1"/>
          <w:szCs w:val="24"/>
          <w:lang w:val="en-US" w:eastAsia="zh-CN"/>
          <w14:textFill>
            <w14:solidFill>
              <w14:schemeClr w14:val="tx1"/>
            </w14:solidFill>
          </w14:textFill>
        </w:rPr>
        <w:t>一</w:t>
      </w:r>
      <w:r>
        <w:rPr>
          <w:rFonts w:hint="eastAsia" w:ascii="宋体" w:hAnsi="宋体" w:eastAsia="宋体" w:cs="宋体"/>
          <w:color w:val="000000" w:themeColor="text1"/>
          <w:szCs w:val="24"/>
          <w:lang w:eastAsia="zh-CN"/>
          <w14:textFill>
            <w14:solidFill>
              <w14:schemeClr w14:val="tx1"/>
            </w14:solidFill>
          </w14:textFill>
        </w:rPr>
        <w:t>级</w:t>
      </w:r>
      <w:r>
        <w:rPr>
          <w:rFonts w:hint="eastAsia" w:ascii="宋体" w:hAnsi="宋体" w:eastAsia="宋体" w:cs="宋体"/>
          <w:color w:val="000000" w:themeColor="text1"/>
          <w:szCs w:val="24"/>
          <w14:textFill>
            <w14:solidFill>
              <w14:schemeClr w14:val="tx1"/>
            </w14:solidFill>
          </w14:textFill>
        </w:rPr>
        <w:t>冷凝效率为</w:t>
      </w:r>
      <w:r>
        <w:rPr>
          <w:rFonts w:hint="eastAsia" w:ascii="宋体" w:hAnsi="宋体" w:eastAsia="宋体" w:cs="宋体"/>
          <w:color w:val="000000" w:themeColor="text1"/>
          <w:szCs w:val="24"/>
          <w:lang w:val="en-US" w:eastAsia="zh-CN"/>
          <w14:textFill>
            <w14:solidFill>
              <w14:schemeClr w14:val="tx1"/>
            </w14:solidFill>
          </w14:textFill>
        </w:rPr>
        <w:t>60</w:t>
      </w:r>
      <w:r>
        <w:rPr>
          <w:rFonts w:hint="eastAsia" w:ascii="宋体" w:hAnsi="宋体" w:eastAsia="宋体" w:cs="宋体"/>
          <w:color w:val="000000" w:themeColor="text1"/>
          <w:szCs w:val="24"/>
          <w14:textFill>
            <w14:solidFill>
              <w14:schemeClr w14:val="tx1"/>
            </w14:solidFill>
          </w14:textFill>
        </w:rPr>
        <w:t>%</w:t>
      </w:r>
      <w:r>
        <w:rPr>
          <w:rFonts w:hint="eastAsia" w:ascii="宋体" w:hAnsi="宋体" w:eastAsia="宋体" w:cs="宋体"/>
          <w:color w:val="000000" w:themeColor="text1"/>
          <w:szCs w:val="24"/>
          <w:lang w:eastAsia="zh-CN"/>
          <w14:textFill>
            <w14:solidFill>
              <w14:schemeClr w14:val="tx1"/>
            </w14:solidFill>
          </w14:textFill>
        </w:rPr>
        <w:t>；</w:t>
      </w:r>
      <w:r>
        <w:rPr>
          <w:rFonts w:hint="eastAsia" w:ascii="宋体" w:hAnsi="宋体" w:eastAsia="宋体" w:cs="宋体"/>
          <w:color w:val="000000" w:themeColor="text1"/>
          <w:szCs w:val="24"/>
          <w14:textFill>
            <w14:solidFill>
              <w14:schemeClr w14:val="tx1"/>
            </w14:solidFill>
          </w14:textFill>
        </w:rPr>
        <w:t>冷凝液通过管道进入回收罐，作为DMAC 副产品定期外售；</w:t>
      </w:r>
      <w:r>
        <w:rPr>
          <w:rFonts w:hint="eastAsia" w:ascii="宋体" w:hAnsi="宋体" w:eastAsia="宋体" w:cs="宋体"/>
          <w:color w:val="000000" w:themeColor="text1"/>
          <w:szCs w:val="24"/>
          <w:lang w:eastAsia="zh-CN"/>
          <w14:textFill>
            <w14:solidFill>
              <w14:schemeClr w14:val="tx1"/>
            </w14:solidFill>
          </w14:textFill>
        </w:rPr>
        <w:t>不凝气</w:t>
      </w:r>
      <w:r>
        <w:rPr>
          <w:rFonts w:hint="eastAsia" w:ascii="宋体" w:hAnsi="宋体" w:eastAsia="宋体" w:cs="宋体"/>
          <w:color w:val="000000" w:themeColor="text1"/>
          <w:szCs w:val="24"/>
          <w14:textFill>
            <w14:solidFill>
              <w14:schemeClr w14:val="tx1"/>
            </w14:solidFill>
          </w14:textFill>
        </w:rPr>
        <w:t>非甲烷总烃（温度50-60℃）、氨</w:t>
      </w:r>
      <w:r>
        <w:rPr>
          <w:rFonts w:hint="eastAsia" w:ascii="宋体" w:hAnsi="宋体" w:eastAsia="宋体" w:cs="宋体"/>
          <w:color w:val="000000" w:themeColor="text1"/>
          <w14:textFill>
            <w14:solidFill>
              <w14:schemeClr w14:val="tx1"/>
            </w14:solidFill>
          </w14:textFill>
        </w:rPr>
        <w:t>采用</w:t>
      </w:r>
      <w:r>
        <w:rPr>
          <w:rFonts w:hint="eastAsia" w:ascii="宋体" w:hAnsi="宋体" w:eastAsia="宋体" w:cs="宋体"/>
          <w:color w:val="000000" w:themeColor="text1"/>
          <w:lang w:eastAsia="zh-CN"/>
          <w14:textFill>
            <w14:solidFill>
              <w14:schemeClr w14:val="tx1"/>
            </w14:solidFill>
          </w14:textFill>
        </w:rPr>
        <w:t>喷淋回收</w:t>
      </w:r>
      <w:r>
        <w:rPr>
          <w:rFonts w:hint="eastAsia" w:ascii="宋体" w:hAnsi="宋体" w:eastAsia="宋体" w:cs="宋体"/>
          <w:color w:val="000000" w:themeColor="text1"/>
          <w:lang w:val="en-US" w:eastAsia="zh-CN"/>
          <w14:textFill>
            <w14:solidFill>
              <w14:schemeClr w14:val="tx1"/>
            </w14:solidFill>
          </w14:textFill>
        </w:rPr>
        <w:t>+湿电系统</w:t>
      </w:r>
      <w:r>
        <w:rPr>
          <w:rFonts w:hint="eastAsia" w:ascii="宋体" w:hAnsi="宋体" w:eastAsia="宋体" w:cs="宋体"/>
          <w:color w:val="000000" w:themeColor="text1"/>
          <w14:textFill>
            <w14:solidFill>
              <w14:schemeClr w14:val="tx1"/>
            </w14:solidFill>
          </w14:textFill>
        </w:rPr>
        <w:t>处理后通过</w:t>
      </w:r>
      <w:r>
        <w:rPr>
          <w:rFonts w:hint="eastAsia" w:ascii="宋体" w:hAnsi="宋体" w:eastAsia="宋体" w:cs="宋体"/>
          <w:color w:val="000000" w:themeColor="text1"/>
          <w:lang w:val="en-US" w:eastAsia="zh-CN"/>
          <w14:textFill>
            <w14:solidFill>
              <w14:schemeClr w14:val="tx1"/>
            </w14:solidFill>
          </w14:textFill>
        </w:rPr>
        <w:t>20</w:t>
      </w:r>
      <w:r>
        <w:rPr>
          <w:rFonts w:hint="eastAsia" w:ascii="宋体" w:hAnsi="宋体" w:eastAsia="宋体" w:cs="宋体"/>
          <w:color w:val="000000" w:themeColor="text1"/>
          <w14:textFill>
            <w14:solidFill>
              <w14:schemeClr w14:val="tx1"/>
            </w14:solidFill>
          </w14:textFill>
        </w:rPr>
        <w:t>m高排气筒排放</w:t>
      </w:r>
      <w:r>
        <w:rPr>
          <w:rFonts w:hint="eastAsia" w:ascii="宋体" w:hAnsi="宋体" w:eastAsia="宋体" w:cs="宋体"/>
          <w:color w:val="000000" w:themeColor="text1"/>
          <w:szCs w:val="24"/>
          <w14:textFill>
            <w14:solidFill>
              <w14:schemeClr w14:val="tx1"/>
            </w14:solidFill>
          </w14:textFill>
        </w:rPr>
        <w:t>，喷淋液作为DMAC 副产品定期外售。</w:t>
      </w:r>
    </w:p>
    <w:p>
      <w:pPr>
        <w:pStyle w:val="3"/>
        <w:pageBreakBefore w:val="0"/>
        <w:widowControl w:val="0"/>
        <w:kinsoku/>
        <w:wordWrap/>
        <w:overflowPunct/>
        <w:topLinePunct w:val="0"/>
        <w:bidi w:val="0"/>
        <w:adjustRightInd/>
        <w:snapToGrid/>
        <w:spacing w:after="0" w:line="360" w:lineRule="auto"/>
        <w:ind w:firstLine="480" w:firstLineChars="200"/>
        <w:jc w:val="both"/>
        <w:textAlignment w:val="auto"/>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（2）喷淋回收+湿电系统</w:t>
      </w:r>
    </w:p>
    <w:p>
      <w:pPr>
        <w:pStyle w:val="3"/>
        <w:pageBreakBefore w:val="0"/>
        <w:widowControl w:val="0"/>
        <w:kinsoku/>
        <w:wordWrap/>
        <w:overflowPunct/>
        <w:topLinePunct w:val="0"/>
        <w:bidi w:val="0"/>
        <w:adjustRightInd/>
        <w:snapToGrid/>
        <w:spacing w:after="0" w:line="360" w:lineRule="auto"/>
        <w:ind w:firstLine="480" w:firstLineChars="200"/>
        <w:jc w:val="both"/>
        <w:textAlignment w:val="auto"/>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①水喷淋</w:t>
      </w:r>
    </w:p>
    <w:p>
      <w:pPr>
        <w:pStyle w:val="3"/>
        <w:pageBreakBefore w:val="0"/>
        <w:widowControl w:val="0"/>
        <w:kinsoku/>
        <w:wordWrap/>
        <w:overflowPunct/>
        <w:topLinePunct w:val="0"/>
        <w:bidi w:val="0"/>
        <w:adjustRightInd/>
        <w:snapToGrid/>
        <w:spacing w:after="0" w:line="360" w:lineRule="auto"/>
        <w:ind w:firstLine="480" w:firstLineChars="200"/>
        <w:jc w:val="both"/>
        <w:textAlignment w:val="auto"/>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项目采用旋流式喷淋。</w:t>
      </w:r>
    </w:p>
    <w:p>
      <w:pPr>
        <w:pStyle w:val="3"/>
        <w:pageBreakBefore w:val="0"/>
        <w:widowControl w:val="0"/>
        <w:kinsoku/>
        <w:wordWrap/>
        <w:overflowPunct/>
        <w:topLinePunct w:val="0"/>
        <w:bidi w:val="0"/>
        <w:adjustRightInd/>
        <w:snapToGrid/>
        <w:spacing w:after="0" w:line="360" w:lineRule="auto"/>
        <w:ind w:firstLine="480" w:firstLineChars="200"/>
        <w:jc w:val="both"/>
        <w:textAlignment w:val="auto"/>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旋流板喷淋塔是在传统喷淋塔上做了技术上的改进，其具有设备阻力小，适应性强，净化效率高，运行稳定，使用广泛。特别适合处理水溶性或亲水性强的含尘废气。</w:t>
      </w:r>
    </w:p>
    <w:p>
      <w:pPr>
        <w:pStyle w:val="3"/>
        <w:pageBreakBefore w:val="0"/>
        <w:widowControl w:val="0"/>
        <w:kinsoku/>
        <w:wordWrap/>
        <w:overflowPunct/>
        <w:topLinePunct w:val="0"/>
        <w:bidi w:val="0"/>
        <w:adjustRightInd/>
        <w:snapToGrid/>
        <w:spacing w:after="0" w:line="360" w:lineRule="auto"/>
        <w:ind w:firstLine="480" w:firstLineChars="200"/>
        <w:jc w:val="both"/>
        <w:textAlignment w:val="auto"/>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旋流板喷淋塔消除了对因阻力大，人工清理不方便，经常阻塞等缺点，旋流板喷淋塔是内设旋流式除雾喷淋装置，内不需添加填料，具有人工清理方便，设备具有阻力小，不易阻塞等优点，在运行的时候不影响车间工作以及其他设备的运行，而且选用同时的处理风量，因设备阻力小，大大结省设备成本，而且处理效率大大高于传统喷淋塔。</w:t>
      </w:r>
    </w:p>
    <w:p>
      <w:pPr>
        <w:pStyle w:val="3"/>
        <w:pageBreakBefore w:val="0"/>
        <w:widowControl w:val="0"/>
        <w:kinsoku/>
        <w:wordWrap/>
        <w:overflowPunct/>
        <w:topLinePunct w:val="0"/>
        <w:bidi w:val="0"/>
        <w:adjustRightInd/>
        <w:snapToGrid/>
        <w:spacing w:after="0" w:line="360" w:lineRule="auto"/>
        <w:ind w:firstLine="480" w:firstLineChars="200"/>
        <w:jc w:val="both"/>
        <w:textAlignment w:val="auto"/>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喷淋装置内部设为二层，旋流层和洗涤除雾层，涡流叶扇后设导流环板，提升烟气的离心运动速度，增强除油烟效果。在管式涡流烟气除雾除尘装置烟气出口位置设挡水板，有效的阻止雾滴逃逸，增强除雾效果。工作时，烟气由下向上流动，由于管式涡流烟气除雾除尘装置涡流叶扇的导向作用而使烟气旋转上升，在离心力的作用下，雾滴与粉尘向管壁运动，在运动过程发生中相互碰撞并凝聚成较大的液滴，液滴被甩向筒体内壁表面，与壁面附着的液滴层接触后一同落入浆液，实现除较大颗粒油烟、除雾除尘。废气中的大分子随着水分一起流回水箱，吸收液在塔底经水泵增压后在塔顶喷淋而下，最后回流至塔底循环使用。当喷淋水达到一定浓度后，定期更换，喷淋废水作为二甲基乙酰胺副产品集中收集后外售。</w:t>
      </w:r>
    </w:p>
    <w:p>
      <w:pPr>
        <w:pStyle w:val="3"/>
        <w:pageBreakBefore w:val="0"/>
        <w:widowControl w:val="0"/>
        <w:kinsoku/>
        <w:wordWrap/>
        <w:overflowPunct/>
        <w:topLinePunct w:val="0"/>
        <w:bidi w:val="0"/>
        <w:adjustRightInd/>
        <w:snapToGrid/>
        <w:spacing w:after="0" w:line="360" w:lineRule="auto"/>
        <w:ind w:firstLine="480" w:firstLineChars="200"/>
        <w:jc w:val="both"/>
        <w:textAlignment w:val="auto"/>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②湿电系统</w:t>
      </w:r>
    </w:p>
    <w:p>
      <w:pPr>
        <w:pStyle w:val="3"/>
        <w:pageBreakBefore w:val="0"/>
        <w:widowControl w:val="0"/>
        <w:kinsoku/>
        <w:wordWrap/>
        <w:overflowPunct/>
        <w:topLinePunct w:val="0"/>
        <w:bidi w:val="0"/>
        <w:adjustRightInd/>
        <w:snapToGrid/>
        <w:spacing w:after="0" w:line="360" w:lineRule="auto"/>
        <w:ind w:firstLine="480" w:firstLineChars="200"/>
        <w:jc w:val="both"/>
        <w:textAlignment w:val="auto"/>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湿电系统主要用来除去含湿气体中的尘、酸雾、水滴、气溶胶、臭味、 PM2.5 等有害物质，是治理大气粉尘污染的理想设备。</w:t>
      </w:r>
    </w:p>
    <w:p>
      <w:pPr>
        <w:pStyle w:val="3"/>
        <w:pageBreakBefore w:val="0"/>
        <w:widowControl w:val="0"/>
        <w:kinsoku/>
        <w:wordWrap/>
        <w:overflowPunct/>
        <w:topLinePunct w:val="0"/>
        <w:bidi w:val="0"/>
        <w:adjustRightInd/>
        <w:snapToGrid/>
        <w:spacing w:after="0" w:line="360" w:lineRule="auto"/>
        <w:ind w:firstLine="480" w:firstLineChars="200"/>
        <w:jc w:val="both"/>
        <w:textAlignment w:val="auto"/>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湿电系统有几种结构形式，一种是使用耐腐蚀导电材料（可以为导电性能优良的的非金属材料或具有耐腐蚀特性的金属材料）做集尘极，一种是用通过喷水或溢流水形成导电水膜采用不导电的非金属材料做集尘极。湿式静电除尘/除味器还可分为横流式（卧式）和竖流式（立式），横流式多为板式结构，气体流向为水平方向进出。</w:t>
      </w:r>
    </w:p>
    <w:p>
      <w:pPr>
        <w:pStyle w:val="3"/>
        <w:pageBreakBefore w:val="0"/>
        <w:widowControl w:val="0"/>
        <w:kinsoku/>
        <w:wordWrap/>
        <w:overflowPunct/>
        <w:topLinePunct w:val="0"/>
        <w:bidi w:val="0"/>
        <w:adjustRightInd/>
        <w:snapToGrid/>
        <w:spacing w:after="0" w:line="360" w:lineRule="auto"/>
        <w:ind w:firstLine="480" w:firstLineChars="200"/>
        <w:jc w:val="both"/>
        <w:textAlignment w:val="auto"/>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本项目采用束流式湿电处理。竖流式多为管式机构，气体流向为垂直方向进出。一般来讲，同等通气截面积情况下竖流式湿式静电除尘/除味器效率为横流式的 2 倍。 沉集在极板上的粉尘可以通过水将其冲洗下来。湿式清灰可以避免已捕集粉尘的再飞扬，达到很高的除尘效率。因无振打装置，运行也较可靠。采用喷水或溢流水等方式使集尘极表面形成导电膜的装置存在着腐蚀、污泥和污水的处理问题，使用耐腐蚀导电材料做集尘极的湿电系统不需要长期喷水或溢流水，只根据系统运行状况定期进行冲洗，仅消耗极少量的水，该部分水可回收循环利用，收尘系统无二次污染。湿电系统的特点具有除尘/除味效率高、压力损失小、操做简单、能耗小、无运动部件、无二次扬尘、维护费用低、生产停工期短、可工作于烟气露点温度以下、由于结构紧凑而可与其它烟气治理设备相互结合、设计形式多样化等优点。湿式静电除尘/除味器采用液体冲刷集尘极表面来进行清灰，可有效收集微细颗粒物（ PM2.5 粉尘、 SO3 酸雾、气溶胶）、重金属（ Hg 、 As 、 Se 、 Pb 、 Cr ）、有机污染物（多环芳烃、二恶英）等。</w:t>
      </w:r>
    </w:p>
    <w:p>
      <w:pPr>
        <w:pStyle w:val="3"/>
        <w:pageBreakBefore w:val="0"/>
        <w:widowControl w:val="0"/>
        <w:kinsoku/>
        <w:wordWrap/>
        <w:overflowPunct/>
        <w:topLinePunct w:val="0"/>
        <w:bidi w:val="0"/>
        <w:adjustRightInd/>
        <w:snapToGrid/>
        <w:spacing w:after="0" w:line="360" w:lineRule="auto"/>
        <w:ind w:firstLine="480" w:firstLineChars="200"/>
        <w:jc w:val="both"/>
        <w:textAlignment w:val="auto"/>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除烟尘的方式是采用高压放电吸附处理，去除异味是采用高压放电氧化处理的方式，放电频率越高它所产生的电子朿越强、电子朿也越活跃，它所产生的穿透力就越强，击碎分子链的能力也就越强，同时在电路上采用了多回路，多点不同的电压、电流使处理设备达到最佳的效果。处理设备通过不同的正负高频高压，采用高压小电流高压正负相吸和高压击碎有机气体分子链的方式,使外加电压达到气体的放电电压时，气体被击穿，产生包括电子、各种离子、原子和自由基在内的混合体。这个体系中因总的正、负电荷数相等，放电过程中虽然电子能量很高，但重粒子能量很低，与废气的分子反应时可以将废气分子中化学键打开 ，使其处于极不稳定态，与伴生的强氧化剂羟基和活性氧原子等发生氧化反应，最终生成二氧化碳和水,异味的微小有机分子经处理后，将恶臭物质分子链分解氧化后转为低分子无害物质（CO2和H2O），最终净化后的气体通过引风机后进入排气筒排放。</w:t>
      </w:r>
    </w:p>
    <w:p>
      <w:pPr>
        <w:pStyle w:val="3"/>
        <w:pageBreakBefore w:val="0"/>
        <w:widowControl w:val="0"/>
        <w:kinsoku/>
        <w:wordWrap/>
        <w:overflowPunct/>
        <w:topLinePunct w:val="0"/>
        <w:bidi w:val="0"/>
        <w:adjustRightInd/>
        <w:snapToGrid/>
        <w:spacing w:after="0" w:line="360" w:lineRule="auto"/>
        <w:ind w:firstLine="480" w:firstLineChars="200"/>
        <w:jc w:val="both"/>
        <w:textAlignment w:val="auto"/>
        <w:rPr>
          <w:rFonts w:hint="eastAsia" w:ascii="宋体" w:hAnsi="宋体" w:eastAsia="宋体" w:cs="宋体"/>
          <w:color w:val="000000" w:themeColor="text1"/>
          <w:highlight w:val="none"/>
          <w:u w:val="single"/>
          <w:lang w:val="en-US" w:eastAsia="zh-CN"/>
          <w14:textFill>
            <w14:solidFill>
              <w14:schemeClr w14:val="tx1"/>
            </w14:solidFill>
          </w14:textFill>
        </w:rPr>
      </w:pPr>
      <w:r>
        <w:rPr>
          <w:rFonts w:hint="eastAsia" w:ascii="宋体" w:hAnsi="宋体" w:eastAsia="宋体" w:cs="宋体"/>
          <w:color w:val="000000" w:themeColor="text1"/>
          <w:highlight w:val="none"/>
          <w:u w:val="single"/>
          <w:lang w:val="en-US" w:eastAsia="zh-CN"/>
          <w14:textFill>
            <w14:solidFill>
              <w14:schemeClr w14:val="tx1"/>
            </w14:solidFill>
          </w14:textFill>
        </w:rPr>
        <w:t>目前该处理工艺在太湖方舟新材料科技有限公司已建成运行（太湖方舟新材料科技有限公司生产工艺和废气处理措施类似，具有可类比性），该装置采用雾化喷头，使得喷淋液的雾化效果和分布均匀性提高，并采用不锈钢金属丝网波纹填料，提高气液接触面积，提升了装置的吸收效率。</w:t>
      </w:r>
    </w:p>
    <w:p>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outlineLvl w:val="3"/>
        <w:rPr>
          <w:rFonts w:hint="eastAsia" w:ascii="宋体" w:hAnsi="宋体" w:eastAsia="宋体" w:cs="宋体"/>
          <w:b/>
          <w:bCs/>
          <w:color w:val="000000" w:themeColor="text1"/>
          <w:lang w:val="en-US" w:eastAsia="zh-CN"/>
          <w14:textFill>
            <w14:solidFill>
              <w14:schemeClr w14:val="tx1"/>
            </w14:solidFill>
          </w14:textFill>
        </w:rPr>
      </w:pPr>
      <w:r>
        <w:rPr>
          <w:rFonts w:hint="eastAsia" w:ascii="宋体" w:hAnsi="宋体" w:eastAsia="宋体" w:cs="宋体"/>
          <w:b/>
          <w:bCs/>
          <w:color w:val="000000" w:themeColor="text1"/>
          <w:lang w:val="en-US" w:eastAsia="zh-CN"/>
          <w14:textFill>
            <w14:solidFill>
              <w14:schemeClr w14:val="tx1"/>
            </w14:solidFill>
          </w14:textFill>
        </w:rPr>
        <w:t>7.1.2.3废气达标可行性分析</w:t>
      </w:r>
    </w:p>
    <w:p>
      <w:pPr>
        <w:adjustRightInd w:val="0"/>
        <w:snapToGrid w:val="0"/>
        <w:spacing w:line="360" w:lineRule="auto"/>
        <w:ind w:firstLine="480" w:firstLineChars="200"/>
        <w:jc w:val="left"/>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由于本项目扩建和改造工程均未建设，因此，本次评价采取类比方法，通过采用相同生产工艺和废气处理措施的废气监测结果，分析废气处理设施及达标排放可行性。</w:t>
      </w:r>
    </w:p>
    <w:p>
      <w:pPr>
        <w:adjustRightInd w:val="0"/>
        <w:snapToGrid w:val="0"/>
        <w:spacing w:line="360" w:lineRule="auto"/>
        <w:ind w:firstLine="480" w:firstLineChars="200"/>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根据安徽</w:t>
      </w:r>
      <w:r>
        <w:rPr>
          <w:rFonts w:hint="eastAsia" w:ascii="宋体" w:hAnsi="宋体" w:eastAsia="宋体" w:cs="宋体"/>
          <w:color w:val="000000" w:themeColor="text1"/>
          <w:lang w:eastAsia="zh-CN"/>
          <w14:textFill>
            <w14:solidFill>
              <w14:schemeClr w14:val="tx1"/>
            </w14:solidFill>
          </w14:textFill>
        </w:rPr>
        <w:t>威正测试技术有限</w:t>
      </w:r>
      <w:r>
        <w:rPr>
          <w:rFonts w:hint="eastAsia" w:ascii="宋体" w:hAnsi="宋体" w:eastAsia="宋体" w:cs="宋体"/>
          <w:color w:val="000000" w:themeColor="text1"/>
          <w14:textFill>
            <w14:solidFill>
              <w14:schemeClr w14:val="tx1"/>
            </w14:solidFill>
          </w14:textFill>
        </w:rPr>
        <w:t>公司于2020年</w:t>
      </w:r>
      <w:r>
        <w:rPr>
          <w:rFonts w:hint="eastAsia" w:ascii="宋体" w:hAnsi="宋体" w:eastAsia="宋体" w:cs="宋体"/>
          <w:color w:val="000000" w:themeColor="text1"/>
          <w:lang w:val="en-US" w:eastAsia="zh-CN"/>
          <w14:textFill>
            <w14:solidFill>
              <w14:schemeClr w14:val="tx1"/>
            </w14:solidFill>
          </w14:textFill>
        </w:rPr>
        <w:t>3</w:t>
      </w:r>
      <w:r>
        <w:rPr>
          <w:rFonts w:hint="eastAsia" w:ascii="宋体" w:hAnsi="宋体" w:eastAsia="宋体" w:cs="宋体"/>
          <w:color w:val="000000" w:themeColor="text1"/>
          <w14:textFill>
            <w14:solidFill>
              <w14:schemeClr w14:val="tx1"/>
            </w14:solidFill>
          </w14:textFill>
        </w:rPr>
        <w:t>月1</w:t>
      </w:r>
      <w:r>
        <w:rPr>
          <w:rFonts w:hint="eastAsia" w:ascii="宋体" w:hAnsi="宋体" w:eastAsia="宋体" w:cs="宋体"/>
          <w:color w:val="000000" w:themeColor="text1"/>
          <w:lang w:val="en-US" w:eastAsia="zh-CN"/>
          <w14:textFill>
            <w14:solidFill>
              <w14:schemeClr w14:val="tx1"/>
            </w14:solidFill>
          </w14:textFill>
        </w:rPr>
        <w:t>1</w:t>
      </w:r>
      <w:r>
        <w:rPr>
          <w:rFonts w:hint="eastAsia" w:ascii="宋体" w:hAnsi="宋体" w:eastAsia="宋体" w:cs="宋体"/>
          <w:color w:val="000000" w:themeColor="text1"/>
          <w14:textFill>
            <w14:solidFill>
              <w14:schemeClr w14:val="tx1"/>
            </w14:solidFill>
          </w14:textFill>
        </w:rPr>
        <w:t>日对《太湖</w:t>
      </w:r>
      <w:r>
        <w:rPr>
          <w:rFonts w:hint="eastAsia" w:ascii="宋体" w:hAnsi="宋体" w:eastAsia="宋体" w:cs="宋体"/>
          <w:color w:val="000000" w:themeColor="text1"/>
          <w:lang w:eastAsia="zh-CN"/>
          <w14:textFill>
            <w14:solidFill>
              <w14:schemeClr w14:val="tx1"/>
            </w14:solidFill>
          </w14:textFill>
        </w:rPr>
        <w:t>方舟新材料科技有限公司</w:t>
      </w:r>
      <w:r>
        <w:rPr>
          <w:rFonts w:hint="eastAsia" w:ascii="宋体" w:hAnsi="宋体" w:eastAsia="宋体" w:cs="宋体"/>
          <w:color w:val="000000" w:themeColor="text1"/>
          <w14:textFill>
            <w14:solidFill>
              <w14:schemeClr w14:val="tx1"/>
            </w14:solidFill>
          </w14:textFill>
        </w:rPr>
        <w:t>有组织废气、无组织废气检测》的结果分析如下。</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0" w:firstLineChars="0"/>
        <w:jc w:val="center"/>
        <w:textAlignment w:val="auto"/>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表</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7.1.3-1</w:t>
      </w:r>
      <w:r>
        <w:rPr>
          <w:rFonts w:hint="eastAsia" w:ascii="宋体" w:hAnsi="宋体" w:eastAsia="宋体" w:cs="宋体"/>
          <w:b/>
          <w:bCs/>
          <w:color w:val="000000" w:themeColor="text1"/>
          <w:sz w:val="24"/>
          <w:szCs w:val="24"/>
          <w:highlight w:val="none"/>
          <w14:textFill>
            <w14:solidFill>
              <w14:schemeClr w14:val="tx1"/>
            </w14:solidFill>
          </w14:textFill>
        </w:rPr>
        <w:t xml:space="preserve">   现有项目厂区有组织废气常规检测结果一览表</w:t>
      </w:r>
    </w:p>
    <w:tbl>
      <w:tblPr>
        <w:tblStyle w:val="30"/>
        <w:tblW w:w="4998"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693"/>
        <w:gridCol w:w="2535"/>
        <w:gridCol w:w="1673"/>
        <w:gridCol w:w="1973"/>
        <w:gridCol w:w="197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859"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采样位置</w:t>
            </w:r>
          </w:p>
        </w:tc>
        <w:tc>
          <w:tcPr>
            <w:tcW w:w="1286"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检测指标采样频次</w:t>
            </w:r>
          </w:p>
        </w:tc>
        <w:tc>
          <w:tcPr>
            <w:tcW w:w="849"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采样日期</w:t>
            </w:r>
          </w:p>
        </w:tc>
        <w:tc>
          <w:tcPr>
            <w:tcW w:w="1001"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监测项目</w:t>
            </w:r>
          </w:p>
        </w:tc>
        <w:tc>
          <w:tcPr>
            <w:tcW w:w="1002"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排放浓度(mg/m3)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859" w:type="pct"/>
            <w:vMerge w:val="restar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成型废气总出口</w:t>
            </w:r>
          </w:p>
        </w:tc>
        <w:tc>
          <w:tcPr>
            <w:tcW w:w="1286"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第一次</w:t>
            </w:r>
          </w:p>
        </w:tc>
        <w:tc>
          <w:tcPr>
            <w:tcW w:w="849" w:type="pct"/>
            <w:vMerge w:val="restar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2020.03.03</w:t>
            </w:r>
          </w:p>
        </w:tc>
        <w:tc>
          <w:tcPr>
            <w:tcW w:w="1001" w:type="pct"/>
            <w:vMerge w:val="restar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二甲基乙酰胺</w:t>
            </w:r>
          </w:p>
        </w:tc>
        <w:tc>
          <w:tcPr>
            <w:tcW w:w="1002"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＜6.6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859" w:type="pct"/>
            <w:vMerge w:val="continue"/>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1286"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第二次</w:t>
            </w:r>
          </w:p>
        </w:tc>
        <w:tc>
          <w:tcPr>
            <w:tcW w:w="849" w:type="pct"/>
            <w:vMerge w:val="continue"/>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1001" w:type="pct"/>
            <w:vMerge w:val="continue"/>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1002"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＜6.6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859" w:type="pct"/>
            <w:vMerge w:val="continue"/>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1286"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第三次</w:t>
            </w:r>
          </w:p>
        </w:tc>
        <w:tc>
          <w:tcPr>
            <w:tcW w:w="849" w:type="pct"/>
            <w:vMerge w:val="continue"/>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1001" w:type="pct"/>
            <w:vMerge w:val="continue"/>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1002"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＜6.6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859" w:type="pct"/>
            <w:vMerge w:val="continue"/>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1286"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第一次</w:t>
            </w:r>
          </w:p>
        </w:tc>
        <w:tc>
          <w:tcPr>
            <w:tcW w:w="849" w:type="pct"/>
            <w:vMerge w:val="restar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2020.03.04</w:t>
            </w:r>
          </w:p>
        </w:tc>
        <w:tc>
          <w:tcPr>
            <w:tcW w:w="1001" w:type="pct"/>
            <w:vMerge w:val="restar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二甲基乙酰胺</w:t>
            </w:r>
          </w:p>
        </w:tc>
        <w:tc>
          <w:tcPr>
            <w:tcW w:w="1002"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＜6.6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859" w:type="pct"/>
            <w:vMerge w:val="continue"/>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1286"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第二次</w:t>
            </w:r>
          </w:p>
        </w:tc>
        <w:tc>
          <w:tcPr>
            <w:tcW w:w="849" w:type="pct"/>
            <w:vMerge w:val="continue"/>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1001" w:type="pct"/>
            <w:vMerge w:val="continue"/>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1002"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＜6.6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859" w:type="pct"/>
            <w:vMerge w:val="continue"/>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1286"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第三次</w:t>
            </w:r>
          </w:p>
        </w:tc>
        <w:tc>
          <w:tcPr>
            <w:tcW w:w="849" w:type="pct"/>
            <w:vMerge w:val="continue"/>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1001" w:type="pct"/>
            <w:vMerge w:val="continue"/>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1002"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＜6.6</w:t>
            </w:r>
          </w:p>
        </w:tc>
      </w:tr>
    </w:tbl>
    <w:p>
      <w:pPr>
        <w:keepNext w:val="0"/>
        <w:keepLines w:val="0"/>
        <w:pageBreakBefore w:val="0"/>
        <w:kinsoku/>
        <w:wordWrap/>
        <w:overflowPunct/>
        <w:topLinePunct w:val="0"/>
        <w:autoSpaceDE/>
        <w:autoSpaceDN/>
        <w:bidi w:val="0"/>
        <w:adjustRightInd/>
        <w:snapToGrid/>
        <w:spacing w:line="360" w:lineRule="auto"/>
        <w:ind w:firstLine="422" w:firstLineChars="200"/>
        <w:jc w:val="left"/>
        <w:textAlignment w:val="auto"/>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eastAsia="zh-CN"/>
          <w14:textFill>
            <w14:solidFill>
              <w14:schemeClr w14:val="tx1"/>
            </w14:solidFill>
          </w14:textFill>
        </w:rPr>
        <w:t>注：二甲基乙酰胺检出限</w:t>
      </w:r>
      <w:r>
        <w:rPr>
          <w:rFonts w:hint="eastAsia" w:ascii="宋体" w:hAnsi="宋体" w:eastAsia="宋体" w:cs="宋体"/>
          <w:b/>
          <w:bCs/>
          <w:color w:val="000000" w:themeColor="text1"/>
          <w:sz w:val="21"/>
          <w:szCs w:val="21"/>
          <w:lang w:val="en-US" w:eastAsia="zh-CN"/>
          <w14:textFill>
            <w14:solidFill>
              <w14:schemeClr w14:val="tx1"/>
            </w14:solidFill>
          </w14:textFill>
        </w:rPr>
        <w:t>6.6mg/m</w:t>
      </w:r>
      <w:r>
        <w:rPr>
          <w:rFonts w:hint="eastAsia" w:ascii="宋体" w:hAnsi="宋体" w:eastAsia="宋体" w:cs="宋体"/>
          <w:b/>
          <w:bCs/>
          <w:color w:val="000000" w:themeColor="text1"/>
          <w:sz w:val="21"/>
          <w:szCs w:val="21"/>
          <w:vertAlign w:val="superscript"/>
          <w:lang w:val="en-US" w:eastAsia="zh-CN"/>
          <w14:textFill>
            <w14:solidFill>
              <w14:schemeClr w14:val="tx1"/>
            </w14:solidFill>
          </w14:textFill>
        </w:rPr>
        <w:t>3</w:t>
      </w:r>
      <w:r>
        <w:rPr>
          <w:rFonts w:hint="eastAsia" w:ascii="宋体" w:hAnsi="宋体" w:eastAsia="宋体" w:cs="宋体"/>
          <w:color w:val="000000" w:themeColor="text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0" w:firstLineChars="0"/>
        <w:jc w:val="center"/>
        <w:textAlignment w:val="auto"/>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表</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7.1.3-2</w:t>
      </w:r>
      <w:r>
        <w:rPr>
          <w:rFonts w:hint="eastAsia" w:ascii="宋体" w:hAnsi="宋体" w:eastAsia="宋体" w:cs="宋体"/>
          <w:b/>
          <w:bCs/>
          <w:color w:val="000000" w:themeColor="text1"/>
          <w:sz w:val="24"/>
          <w:szCs w:val="24"/>
          <w:highlight w:val="none"/>
          <w14:textFill>
            <w14:solidFill>
              <w14:schemeClr w14:val="tx1"/>
            </w14:solidFill>
          </w14:textFill>
        </w:rPr>
        <w:t xml:space="preserve">   现有项目厂区无组织废气常规检测结果一览表</w:t>
      </w:r>
    </w:p>
    <w:tbl>
      <w:tblPr>
        <w:tblStyle w:val="30"/>
        <w:tblW w:w="4998"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383"/>
        <w:gridCol w:w="1393"/>
        <w:gridCol w:w="1419"/>
        <w:gridCol w:w="347"/>
        <w:gridCol w:w="1062"/>
        <w:gridCol w:w="703"/>
        <w:gridCol w:w="705"/>
        <w:gridCol w:w="1062"/>
        <w:gridCol w:w="351"/>
        <w:gridCol w:w="142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1409" w:type="pct"/>
            <w:gridSpan w:val="2"/>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检测项目</w:t>
            </w:r>
          </w:p>
        </w:tc>
        <w:tc>
          <w:tcPr>
            <w:tcW w:w="720"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二甲基乙酰胺</w:t>
            </w:r>
          </w:p>
        </w:tc>
        <w:tc>
          <w:tcPr>
            <w:tcW w:w="715" w:type="pct"/>
            <w:gridSpan w:val="2"/>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完成日期</w:t>
            </w:r>
          </w:p>
        </w:tc>
        <w:tc>
          <w:tcPr>
            <w:tcW w:w="715" w:type="pct"/>
            <w:gridSpan w:val="2"/>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2020-06-12</w:t>
            </w:r>
          </w:p>
        </w:tc>
        <w:tc>
          <w:tcPr>
            <w:tcW w:w="717" w:type="pct"/>
            <w:gridSpan w:val="2"/>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检出限</w:t>
            </w:r>
          </w:p>
        </w:tc>
        <w:tc>
          <w:tcPr>
            <w:tcW w:w="723"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6.6mg/m3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702" w:type="pct"/>
            <w:vMerge w:val="restar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采样日期</w:t>
            </w:r>
          </w:p>
        </w:tc>
        <w:tc>
          <w:tcPr>
            <w:tcW w:w="706" w:type="pct"/>
            <w:vMerge w:val="restar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采样时间</w:t>
            </w:r>
          </w:p>
        </w:tc>
        <w:tc>
          <w:tcPr>
            <w:tcW w:w="3590" w:type="pct"/>
            <w:gridSpan w:val="8"/>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采样位置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702" w:type="pct"/>
            <w:vMerge w:val="continue"/>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706" w:type="pct"/>
            <w:vMerge w:val="continue"/>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896" w:type="pct"/>
            <w:gridSpan w:val="2"/>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G1</w:t>
            </w:r>
          </w:p>
        </w:tc>
        <w:tc>
          <w:tcPr>
            <w:tcW w:w="896" w:type="pct"/>
            <w:gridSpan w:val="2"/>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G2</w:t>
            </w:r>
          </w:p>
        </w:tc>
        <w:tc>
          <w:tcPr>
            <w:tcW w:w="897" w:type="pct"/>
            <w:gridSpan w:val="2"/>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G3</w:t>
            </w:r>
          </w:p>
        </w:tc>
        <w:tc>
          <w:tcPr>
            <w:tcW w:w="900" w:type="pct"/>
            <w:gridSpan w:val="2"/>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G4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702" w:type="pct"/>
            <w:vMerge w:val="restar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2020-03-03</w:t>
            </w:r>
          </w:p>
        </w:tc>
        <w:tc>
          <w:tcPr>
            <w:tcW w:w="706"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第一次</w:t>
            </w:r>
          </w:p>
        </w:tc>
        <w:tc>
          <w:tcPr>
            <w:tcW w:w="896" w:type="pct"/>
            <w:gridSpan w:val="2"/>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＜6.6</w:t>
            </w:r>
          </w:p>
        </w:tc>
        <w:tc>
          <w:tcPr>
            <w:tcW w:w="896" w:type="pct"/>
            <w:gridSpan w:val="2"/>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＜6.6</w:t>
            </w:r>
          </w:p>
        </w:tc>
        <w:tc>
          <w:tcPr>
            <w:tcW w:w="897" w:type="pct"/>
            <w:gridSpan w:val="2"/>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＜6.6</w:t>
            </w:r>
          </w:p>
        </w:tc>
        <w:tc>
          <w:tcPr>
            <w:tcW w:w="900" w:type="pct"/>
            <w:gridSpan w:val="2"/>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＜6.6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702" w:type="pct"/>
            <w:vMerge w:val="continue"/>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706"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第二次</w:t>
            </w:r>
          </w:p>
        </w:tc>
        <w:tc>
          <w:tcPr>
            <w:tcW w:w="896" w:type="pct"/>
            <w:gridSpan w:val="2"/>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＜6.6</w:t>
            </w:r>
          </w:p>
        </w:tc>
        <w:tc>
          <w:tcPr>
            <w:tcW w:w="896" w:type="pct"/>
            <w:gridSpan w:val="2"/>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＜6.6</w:t>
            </w:r>
          </w:p>
        </w:tc>
        <w:tc>
          <w:tcPr>
            <w:tcW w:w="897" w:type="pct"/>
            <w:gridSpan w:val="2"/>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＜6.6</w:t>
            </w:r>
          </w:p>
        </w:tc>
        <w:tc>
          <w:tcPr>
            <w:tcW w:w="900" w:type="pct"/>
            <w:gridSpan w:val="2"/>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＜6.6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702" w:type="pct"/>
            <w:vMerge w:val="continue"/>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706"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第三次</w:t>
            </w:r>
          </w:p>
        </w:tc>
        <w:tc>
          <w:tcPr>
            <w:tcW w:w="896" w:type="pct"/>
            <w:gridSpan w:val="2"/>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＜6.6</w:t>
            </w:r>
          </w:p>
        </w:tc>
        <w:tc>
          <w:tcPr>
            <w:tcW w:w="896" w:type="pct"/>
            <w:gridSpan w:val="2"/>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＜6.6</w:t>
            </w:r>
          </w:p>
        </w:tc>
        <w:tc>
          <w:tcPr>
            <w:tcW w:w="897" w:type="pct"/>
            <w:gridSpan w:val="2"/>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＜6.6</w:t>
            </w:r>
          </w:p>
        </w:tc>
        <w:tc>
          <w:tcPr>
            <w:tcW w:w="900" w:type="pct"/>
            <w:gridSpan w:val="2"/>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＜6.6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702" w:type="pct"/>
            <w:vMerge w:val="continue"/>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706"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第四次</w:t>
            </w:r>
          </w:p>
        </w:tc>
        <w:tc>
          <w:tcPr>
            <w:tcW w:w="896" w:type="pct"/>
            <w:gridSpan w:val="2"/>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＜6.6</w:t>
            </w:r>
          </w:p>
        </w:tc>
        <w:tc>
          <w:tcPr>
            <w:tcW w:w="896" w:type="pct"/>
            <w:gridSpan w:val="2"/>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＜6.6</w:t>
            </w:r>
          </w:p>
        </w:tc>
        <w:tc>
          <w:tcPr>
            <w:tcW w:w="897" w:type="pct"/>
            <w:gridSpan w:val="2"/>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＜6.6</w:t>
            </w:r>
          </w:p>
        </w:tc>
        <w:tc>
          <w:tcPr>
            <w:tcW w:w="900" w:type="pct"/>
            <w:gridSpan w:val="2"/>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＜6.6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702" w:type="pct"/>
            <w:vMerge w:val="restar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2020-03-04</w:t>
            </w:r>
          </w:p>
        </w:tc>
        <w:tc>
          <w:tcPr>
            <w:tcW w:w="706"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第一次</w:t>
            </w:r>
          </w:p>
        </w:tc>
        <w:tc>
          <w:tcPr>
            <w:tcW w:w="896" w:type="pct"/>
            <w:gridSpan w:val="2"/>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＜6.6</w:t>
            </w:r>
          </w:p>
        </w:tc>
        <w:tc>
          <w:tcPr>
            <w:tcW w:w="896" w:type="pct"/>
            <w:gridSpan w:val="2"/>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＜6.6</w:t>
            </w:r>
          </w:p>
        </w:tc>
        <w:tc>
          <w:tcPr>
            <w:tcW w:w="897" w:type="pct"/>
            <w:gridSpan w:val="2"/>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＜6.6</w:t>
            </w:r>
          </w:p>
        </w:tc>
        <w:tc>
          <w:tcPr>
            <w:tcW w:w="900" w:type="pct"/>
            <w:gridSpan w:val="2"/>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＜6.6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702" w:type="pct"/>
            <w:vMerge w:val="continue"/>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706"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第二次</w:t>
            </w:r>
          </w:p>
        </w:tc>
        <w:tc>
          <w:tcPr>
            <w:tcW w:w="896" w:type="pct"/>
            <w:gridSpan w:val="2"/>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＜6.6</w:t>
            </w:r>
          </w:p>
        </w:tc>
        <w:tc>
          <w:tcPr>
            <w:tcW w:w="896" w:type="pct"/>
            <w:gridSpan w:val="2"/>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＜6.6</w:t>
            </w:r>
          </w:p>
        </w:tc>
        <w:tc>
          <w:tcPr>
            <w:tcW w:w="897" w:type="pct"/>
            <w:gridSpan w:val="2"/>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＜6.6</w:t>
            </w:r>
          </w:p>
        </w:tc>
        <w:tc>
          <w:tcPr>
            <w:tcW w:w="900" w:type="pct"/>
            <w:gridSpan w:val="2"/>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＜6.6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702" w:type="pct"/>
            <w:vMerge w:val="continue"/>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706"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第三次</w:t>
            </w:r>
          </w:p>
        </w:tc>
        <w:tc>
          <w:tcPr>
            <w:tcW w:w="896" w:type="pct"/>
            <w:gridSpan w:val="2"/>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＜6.6</w:t>
            </w:r>
          </w:p>
        </w:tc>
        <w:tc>
          <w:tcPr>
            <w:tcW w:w="896" w:type="pct"/>
            <w:gridSpan w:val="2"/>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＜6.6</w:t>
            </w:r>
          </w:p>
        </w:tc>
        <w:tc>
          <w:tcPr>
            <w:tcW w:w="897" w:type="pct"/>
            <w:gridSpan w:val="2"/>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＜6.6</w:t>
            </w:r>
          </w:p>
        </w:tc>
        <w:tc>
          <w:tcPr>
            <w:tcW w:w="900" w:type="pct"/>
            <w:gridSpan w:val="2"/>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＜6.6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702" w:type="pct"/>
            <w:vMerge w:val="continue"/>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706" w:type="pct"/>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第四次</w:t>
            </w:r>
          </w:p>
        </w:tc>
        <w:tc>
          <w:tcPr>
            <w:tcW w:w="896" w:type="pct"/>
            <w:gridSpan w:val="2"/>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＜6.6</w:t>
            </w:r>
          </w:p>
        </w:tc>
        <w:tc>
          <w:tcPr>
            <w:tcW w:w="896" w:type="pct"/>
            <w:gridSpan w:val="2"/>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＜6.6</w:t>
            </w:r>
          </w:p>
        </w:tc>
        <w:tc>
          <w:tcPr>
            <w:tcW w:w="897" w:type="pct"/>
            <w:gridSpan w:val="2"/>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＜6.6</w:t>
            </w:r>
          </w:p>
        </w:tc>
        <w:tc>
          <w:tcPr>
            <w:tcW w:w="900" w:type="pct"/>
            <w:gridSpan w:val="2"/>
            <w:tcBorders>
              <w:tl2br w:val="nil"/>
              <w:tr2bl w:val="nil"/>
            </w:tcBorders>
            <w:noWrap w:val="0"/>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＜6.6</w:t>
            </w:r>
          </w:p>
        </w:tc>
      </w:tr>
    </w:tbl>
    <w:p>
      <w:pPr>
        <w:adjustRightInd w:val="0"/>
        <w:snapToGrid w:val="0"/>
        <w:spacing w:line="360" w:lineRule="auto"/>
        <w:ind w:firstLine="422" w:firstLineChars="200"/>
        <w:jc w:val="left"/>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eastAsia="zh-CN"/>
          <w14:textFill>
            <w14:solidFill>
              <w14:schemeClr w14:val="tx1"/>
            </w14:solidFill>
          </w14:textFill>
        </w:rPr>
        <w:t>注：二甲基乙酰胺检出限</w:t>
      </w:r>
      <w:r>
        <w:rPr>
          <w:rFonts w:hint="eastAsia" w:ascii="宋体" w:hAnsi="宋体" w:eastAsia="宋体" w:cs="宋体"/>
          <w:b/>
          <w:bCs/>
          <w:color w:val="000000" w:themeColor="text1"/>
          <w:sz w:val="21"/>
          <w:szCs w:val="21"/>
          <w:lang w:val="en-US" w:eastAsia="zh-CN"/>
          <w14:textFill>
            <w14:solidFill>
              <w14:schemeClr w14:val="tx1"/>
            </w14:solidFill>
          </w14:textFill>
        </w:rPr>
        <w:t>6.6mg/m</w:t>
      </w:r>
      <w:r>
        <w:rPr>
          <w:rFonts w:hint="eastAsia" w:ascii="宋体" w:hAnsi="宋体" w:eastAsia="宋体" w:cs="宋体"/>
          <w:b/>
          <w:bCs/>
          <w:color w:val="000000" w:themeColor="text1"/>
          <w:sz w:val="21"/>
          <w:szCs w:val="21"/>
          <w:vertAlign w:val="superscript"/>
          <w:lang w:val="en-US" w:eastAsia="zh-CN"/>
          <w14:textFill>
            <w14:solidFill>
              <w14:schemeClr w14:val="tx1"/>
            </w14:solidFill>
          </w14:textFill>
        </w:rPr>
        <w:t>3</w:t>
      </w:r>
      <w:r>
        <w:rPr>
          <w:rFonts w:hint="eastAsia" w:ascii="宋体" w:hAnsi="宋体" w:eastAsia="宋体" w:cs="宋体"/>
          <w:color w:val="000000" w:themeColor="text1"/>
          <w:lang w:eastAsia="zh-CN"/>
          <w14:textFill>
            <w14:solidFill>
              <w14:schemeClr w14:val="tx1"/>
            </w14:solidFill>
          </w14:textFill>
        </w:rPr>
        <w:t>。</w:t>
      </w:r>
    </w:p>
    <w:p>
      <w:pPr>
        <w:adjustRightInd w:val="0"/>
        <w:snapToGrid w:val="0"/>
        <w:spacing w:line="360" w:lineRule="auto"/>
        <w:ind w:firstLine="480" w:firstLineChars="200"/>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根据上表，厂区流涎、亚胺化工序废气经</w:t>
      </w:r>
      <w:r>
        <w:rPr>
          <w:rFonts w:hint="eastAsia" w:ascii="宋体" w:hAnsi="宋体" w:eastAsia="宋体" w:cs="宋体"/>
          <w:color w:val="000000" w:themeColor="text1"/>
          <w:lang w:val="en-US" w:eastAsia="zh-CN"/>
          <w14:textFill>
            <w14:solidFill>
              <w14:schemeClr w14:val="tx1"/>
            </w14:solidFill>
          </w14:textFill>
        </w:rPr>
        <w:t>分别</w:t>
      </w:r>
      <w:r>
        <w:rPr>
          <w:rFonts w:hint="eastAsia" w:ascii="宋体" w:hAnsi="宋体" w:eastAsia="宋体" w:cs="宋体"/>
          <w:color w:val="000000" w:themeColor="text1"/>
          <w14:textFill>
            <w14:solidFill>
              <w14:schemeClr w14:val="tx1"/>
            </w14:solidFill>
          </w14:textFill>
        </w:rPr>
        <w:t>采取</w:t>
      </w:r>
      <w:r>
        <w:rPr>
          <w:rFonts w:hint="eastAsia" w:ascii="宋体" w:hAnsi="宋体" w:eastAsia="宋体" w:cs="宋体"/>
          <w:color w:val="000000" w:themeColor="text1"/>
          <w:lang w:val="en-US" w:eastAsia="zh-CN"/>
          <w14:textFill>
            <w14:solidFill>
              <w14:schemeClr w14:val="tx1"/>
            </w14:solidFill>
          </w14:textFill>
        </w:rPr>
        <w:t>喷淋回收+湿电系统</w:t>
      </w:r>
      <w:r>
        <w:rPr>
          <w:rFonts w:hint="eastAsia" w:ascii="宋体" w:hAnsi="宋体" w:eastAsia="宋体" w:cs="宋体"/>
          <w:color w:val="000000" w:themeColor="text1"/>
          <w14:textFill>
            <w14:solidFill>
              <w14:schemeClr w14:val="tx1"/>
            </w14:solidFill>
          </w14:textFill>
        </w:rPr>
        <w:t>处理后，排放浓度满足《合成树脂工业污染物排放标准》（GB31572-2015）表</w:t>
      </w:r>
      <w:r>
        <w:rPr>
          <w:rFonts w:hint="eastAsia" w:cs="宋体"/>
          <w:color w:val="000000" w:themeColor="text1"/>
          <w:lang w:val="en-US" w:eastAsia="zh-CN"/>
          <w14:textFill>
            <w14:solidFill>
              <w14:schemeClr w14:val="tx1"/>
            </w14:solidFill>
          </w14:textFill>
        </w:rPr>
        <w:t>4</w:t>
      </w:r>
      <w:r>
        <w:rPr>
          <w:rFonts w:hint="eastAsia" w:ascii="宋体" w:hAnsi="宋体" w:eastAsia="宋体" w:cs="宋体"/>
          <w:color w:val="000000" w:themeColor="text1"/>
          <w14:textFill>
            <w14:solidFill>
              <w14:schemeClr w14:val="tx1"/>
            </w14:solidFill>
          </w14:textFill>
        </w:rPr>
        <w:t>中大气污染物排放限值。厂界浓度满足《合成树脂工业污染物排放标准》（GB31572-2015）表9中相应标准限值。</w:t>
      </w:r>
      <w:r>
        <w:rPr>
          <w:rFonts w:hint="eastAsia" w:ascii="宋体" w:hAnsi="宋体" w:eastAsia="宋体" w:cs="宋体"/>
          <w:color w:val="000000" w:themeColor="text1"/>
          <w:lang w:eastAsia="zh-CN"/>
          <w14:textFill>
            <w14:solidFill>
              <w14:schemeClr w14:val="tx1"/>
            </w14:solidFill>
          </w14:textFill>
        </w:rPr>
        <w:t>废气达标排放。</w:t>
      </w:r>
    </w:p>
    <w:p>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outlineLvl w:val="3"/>
        <w:rPr>
          <w:rFonts w:hint="eastAsia" w:ascii="宋体" w:hAnsi="宋体" w:eastAsia="宋体" w:cs="宋体"/>
          <w:b/>
          <w:bCs/>
          <w:color w:val="000000" w:themeColor="text1"/>
          <w:lang w:val="en-US" w:eastAsia="zh-CN"/>
          <w14:textFill>
            <w14:solidFill>
              <w14:schemeClr w14:val="tx1"/>
            </w14:solidFill>
          </w14:textFill>
        </w:rPr>
      </w:pPr>
      <w:r>
        <w:rPr>
          <w:rFonts w:hint="eastAsia" w:ascii="宋体" w:hAnsi="宋体" w:eastAsia="宋体" w:cs="宋体"/>
          <w:b/>
          <w:bCs/>
          <w:color w:val="000000" w:themeColor="text1"/>
          <w:lang w:val="en-US" w:eastAsia="zh-CN"/>
          <w14:textFill>
            <w14:solidFill>
              <w14:schemeClr w14:val="tx1"/>
            </w14:solidFill>
          </w14:textFill>
        </w:rPr>
        <w:t>7.1.2.4排气筒高度合理性分析</w:t>
      </w:r>
    </w:p>
    <w:p>
      <w:pPr>
        <w:pStyle w:val="3"/>
        <w:pageBreakBefore w:val="0"/>
        <w:widowControl w:val="0"/>
        <w:kinsoku/>
        <w:wordWrap/>
        <w:overflowPunct/>
        <w:topLinePunct w:val="0"/>
        <w:bidi w:val="0"/>
        <w:adjustRightInd/>
        <w:snapToGrid/>
        <w:spacing w:after="0" w:line="360" w:lineRule="auto"/>
        <w:ind w:firstLine="480" w:firstLineChars="200"/>
        <w:jc w:val="both"/>
        <w:textAlignment w:val="auto"/>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根据《合成树脂工业污染物排放标准》（GB31572-2015）、《恶臭污染物排放标准》 （GB14554-93）中规定“排气筒高度应不低于 15m”本项目厂房高度为 20m，本次设置 20m 高排气筒符合要求。</w:t>
      </w:r>
    </w:p>
    <w:p>
      <w:pPr>
        <w:pStyle w:val="3"/>
        <w:pageBreakBefore w:val="0"/>
        <w:widowControl w:val="0"/>
        <w:kinsoku/>
        <w:wordWrap/>
        <w:overflowPunct/>
        <w:topLinePunct w:val="0"/>
        <w:bidi w:val="0"/>
        <w:adjustRightInd/>
        <w:snapToGrid/>
        <w:spacing w:after="0" w:line="360" w:lineRule="auto"/>
        <w:ind w:firstLine="480" w:firstLineChars="200"/>
        <w:jc w:val="both"/>
        <w:textAlignment w:val="auto"/>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项目排气筒风速均符合《大气污染治理工程技术导则》（HJ2000-2010）中流速宜取 10m/s-15m/s 的要求，因此，本项目排气筒设置是合理的。</w:t>
      </w:r>
    </w:p>
    <w:p>
      <w:pPr>
        <w:pStyle w:val="8"/>
        <w:keepNext/>
        <w:keepLines/>
        <w:pageBreakBefore w:val="0"/>
        <w:kinsoku/>
        <w:wordWrap/>
        <w:overflowPunct/>
        <w:topLinePunct w:val="0"/>
        <w:autoSpaceDE/>
        <w:autoSpaceDN/>
        <w:bidi w:val="0"/>
        <w:adjustRightInd/>
        <w:snapToGrid/>
        <w:ind w:firstLine="482" w:firstLineChars="200"/>
        <w:textAlignment w:val="auto"/>
        <w:rPr>
          <w:rFonts w:hint="eastAsia" w:ascii="宋体" w:hAnsi="宋体" w:eastAsia="宋体" w:cs="宋体"/>
          <w:bCs/>
          <w:color w:val="000000" w:themeColor="text1"/>
          <w:highlight w:val="none"/>
          <w:lang w:val="en-US" w:eastAsia="zh-CN"/>
          <w14:textFill>
            <w14:solidFill>
              <w14:schemeClr w14:val="tx1"/>
            </w14:solidFill>
          </w14:textFill>
        </w:rPr>
      </w:pPr>
      <w:bookmarkStart w:id="478" w:name="_Toc21823"/>
      <w:bookmarkStart w:id="479" w:name="_Toc13059"/>
      <w:bookmarkStart w:id="480" w:name="_Toc32727"/>
      <w:bookmarkStart w:id="481" w:name="_Toc19437"/>
      <w:bookmarkStart w:id="482" w:name="_Toc27878"/>
      <w:bookmarkStart w:id="483" w:name="_Toc26264"/>
      <w:r>
        <w:rPr>
          <w:rFonts w:hint="eastAsia" w:ascii="宋体" w:hAnsi="宋体" w:eastAsia="宋体" w:cs="宋体"/>
          <w:bCs/>
          <w:color w:val="000000" w:themeColor="text1"/>
          <w:highlight w:val="none"/>
          <w:lang w:val="en-US" w:eastAsia="zh-CN"/>
          <w14:textFill>
            <w14:solidFill>
              <w14:schemeClr w14:val="tx1"/>
            </w14:solidFill>
          </w14:textFill>
        </w:rPr>
        <w:t>7.1.2无组织废气污染防治措施及可行性分析</w:t>
      </w:r>
      <w:bookmarkEnd w:id="478"/>
      <w:bookmarkEnd w:id="479"/>
      <w:bookmarkEnd w:id="480"/>
      <w:bookmarkEnd w:id="481"/>
      <w:bookmarkEnd w:id="482"/>
      <w:bookmarkEnd w:id="483"/>
    </w:p>
    <w:p>
      <w:pPr>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本项目无组织排放废气主要包括生产装置区及</w:t>
      </w:r>
      <w:r>
        <w:rPr>
          <w:rFonts w:hint="eastAsia" w:ascii="宋体" w:hAnsi="宋体" w:eastAsia="宋体" w:cs="宋体"/>
          <w:color w:val="000000" w:themeColor="text1"/>
          <w:highlight w:val="none"/>
          <w:lang w:val="en-US" w:eastAsia="zh-CN"/>
          <w14:textFill>
            <w14:solidFill>
              <w14:schemeClr w14:val="tx1"/>
            </w14:solidFill>
          </w14:textFill>
        </w:rPr>
        <w:t>提纯</w:t>
      </w:r>
      <w:r>
        <w:rPr>
          <w:rFonts w:hint="eastAsia" w:ascii="宋体" w:hAnsi="宋体" w:eastAsia="宋体" w:cs="宋体"/>
          <w:color w:val="000000" w:themeColor="text1"/>
          <w:highlight w:val="none"/>
          <w14:textFill>
            <w14:solidFill>
              <w14:schemeClr w14:val="tx1"/>
            </w14:solidFill>
          </w14:textFill>
        </w:rPr>
        <w:t>设施体系的无组织泄漏</w:t>
      </w:r>
      <w:r>
        <w:rPr>
          <w:rFonts w:hint="eastAsia" w:ascii="宋体" w:hAnsi="宋体" w:eastAsia="宋体" w:cs="宋体"/>
          <w:color w:val="000000" w:themeColor="text1"/>
          <w:highlight w:val="none"/>
          <w:lang w:val="en-US" w:eastAsia="zh-CN"/>
          <w14:textFill>
            <w14:solidFill>
              <w14:schemeClr w14:val="tx1"/>
            </w14:solidFill>
          </w14:textFill>
        </w:rPr>
        <w:t>和储罐区大小呼吸</w:t>
      </w:r>
      <w:r>
        <w:rPr>
          <w:rFonts w:hint="eastAsia" w:ascii="宋体" w:hAnsi="宋体" w:eastAsia="宋体" w:cs="宋体"/>
          <w:color w:val="000000" w:themeColor="text1"/>
          <w:highlight w:val="none"/>
          <w14:textFill>
            <w14:solidFill>
              <w14:schemeClr w14:val="tx1"/>
            </w14:solidFill>
          </w14:textFill>
        </w:rPr>
        <w:t>。</w:t>
      </w:r>
    </w:p>
    <w:p>
      <w:pPr>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挥发性有机物无组织排放另一部分是指各装置阀门、管线、泵等在运行中及采样过程中因跑、冒、滴、漏逸散到大气中的废气。其排放量与操作管理水平、设备状况等有很大关系。可通过选用先进的设备和加强管理来降低其排放量。以保证本工程烃类排放符合国家标准的要求。主要措施有：</w:t>
      </w:r>
    </w:p>
    <w:p>
      <w:pPr>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1、工艺管线</w:t>
      </w:r>
    </w:p>
    <w:p>
      <w:pPr>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在材料上选择耐腐蚀的材料以及可靠的密封技术；提高输送有机溶剂的工艺管线的等级；工艺管线，除与阀门、仪表、设备等连接可采用法兰外，螺纹连接管道均采用密封焊；所有输送有机溶剂类物质的工艺管线和设备的排净口都用管帽或盲盖或丝堵堵上。</w:t>
      </w:r>
    </w:p>
    <w:p>
      <w:pPr>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2、设备</w:t>
      </w:r>
    </w:p>
    <w:p>
      <w:pPr>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盛装有机溶剂的设备法兰及接管法兰的密封面和垫片提高密封等级，必要时宜采用焊接连接。工艺物流的泵选用屏蔽泵或具有双端面机械密封的泵。</w:t>
      </w:r>
    </w:p>
    <w:p>
      <w:pPr>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3、采样</w:t>
      </w:r>
    </w:p>
    <w:p>
      <w:pPr>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装置中含有机溶剂物料的采样，采用特殊密闭采样系统，可使物料密闭循环回系统。</w:t>
      </w:r>
    </w:p>
    <w:p>
      <w:pPr>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4、停工、检修阶段</w:t>
      </w:r>
    </w:p>
    <w:p>
      <w:pPr>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根据各停工检修装置特点，分别使用氮气、用蒸气吹扫或密闭蒸罐，热空气吹扫等措施，减少挥发性有机物排放。吹扫蒸气进冷凝器冷凝，不凝气或热吹扫空气作进一步处理。管道检修后进行气密性试验。</w:t>
      </w:r>
    </w:p>
    <w:p>
      <w:pPr>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5、全面推行“泄漏检测与修复（LDAR）”技术</w:t>
      </w:r>
    </w:p>
    <w:p>
      <w:pPr>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企业应建立“泄漏检测与修复”管理制度，细化工作程序、检测方法、检测频率、泄漏浓度限值、修复要求等关键要素，对密封点设置编号和标识，泄漏超标的密封点要及时修复。建立信息管理平台，全面分析泄漏点信息，对易泄漏环节制定针对性改进措施，通过源头控制减少VOCs泄漏排放。</w:t>
      </w:r>
    </w:p>
    <w:p>
      <w:pPr>
        <w:pStyle w:val="8"/>
        <w:keepNext/>
        <w:keepLines/>
        <w:pageBreakBefore w:val="0"/>
        <w:kinsoku/>
        <w:wordWrap/>
        <w:overflowPunct/>
        <w:topLinePunct w:val="0"/>
        <w:autoSpaceDE/>
        <w:autoSpaceDN/>
        <w:bidi w:val="0"/>
        <w:adjustRightInd/>
        <w:snapToGrid/>
        <w:ind w:firstLine="482" w:firstLineChars="200"/>
        <w:textAlignment w:val="auto"/>
        <w:rPr>
          <w:rFonts w:hint="eastAsia" w:ascii="宋体" w:hAnsi="宋体" w:eastAsia="宋体" w:cs="宋体"/>
          <w:bCs/>
          <w:color w:val="000000" w:themeColor="text1"/>
          <w:highlight w:val="none"/>
          <w:lang w:val="en-US" w:eastAsia="zh-CN"/>
          <w14:textFill>
            <w14:solidFill>
              <w14:schemeClr w14:val="tx1"/>
            </w14:solidFill>
          </w14:textFill>
        </w:rPr>
      </w:pPr>
      <w:bookmarkStart w:id="484" w:name="_Toc884"/>
      <w:r>
        <w:rPr>
          <w:rFonts w:hint="eastAsia" w:ascii="宋体" w:hAnsi="宋体" w:eastAsia="宋体" w:cs="宋体"/>
          <w:bCs/>
          <w:color w:val="000000" w:themeColor="text1"/>
          <w:highlight w:val="none"/>
          <w:lang w:val="en-US" w:eastAsia="zh-CN"/>
          <w14:textFill>
            <w14:solidFill>
              <w14:schemeClr w14:val="tx1"/>
            </w14:solidFill>
          </w14:textFill>
        </w:rPr>
        <w:t>7.1.3恶臭污染及控制对策</w:t>
      </w:r>
      <w:bookmarkEnd w:id="484"/>
    </w:p>
    <w:p>
      <w:pPr>
        <w:pStyle w:val="3"/>
        <w:widowControl w:val="0"/>
        <w:autoSpaceDE w:val="0"/>
        <w:autoSpaceDN w:val="0"/>
        <w:spacing w:after="0" w:line="360" w:lineRule="auto"/>
        <w:ind w:firstLine="480" w:firstLineChars="200"/>
        <w:rPr>
          <w:rFonts w:hint="eastAsia" w:ascii="宋体" w:hAnsi="宋体" w:eastAsia="宋体" w:cs="宋体"/>
          <w:color w:val="000000" w:themeColor="text1"/>
          <w:highlight w:val="none"/>
          <w:u w:val="single"/>
          <w14:textFill>
            <w14:solidFill>
              <w14:schemeClr w14:val="tx1"/>
            </w14:solidFill>
          </w14:textFill>
        </w:rPr>
      </w:pPr>
      <w:r>
        <w:rPr>
          <w:rFonts w:hint="eastAsia" w:ascii="宋体" w:hAnsi="宋体" w:eastAsia="宋体" w:cs="宋体"/>
          <w:color w:val="000000" w:themeColor="text1"/>
          <w:highlight w:val="none"/>
          <w:u w:val="single"/>
          <w14:textFill>
            <w14:solidFill>
              <w14:schemeClr w14:val="tx1"/>
            </w14:solidFill>
          </w14:textFill>
        </w:rPr>
        <w:t>本项目恶臭主要来源于</w:t>
      </w:r>
      <w:r>
        <w:rPr>
          <w:rFonts w:hint="eastAsia" w:ascii="宋体" w:hAnsi="宋体" w:eastAsia="宋体" w:cs="宋体"/>
          <w:color w:val="000000" w:themeColor="text1"/>
          <w:highlight w:val="none"/>
          <w:u w:val="single"/>
          <w:lang w:val="en-US" w:eastAsia="zh-CN"/>
          <w14:textFill>
            <w14:solidFill>
              <w14:schemeClr w14:val="tx1"/>
            </w14:solidFill>
          </w14:textFill>
        </w:rPr>
        <w:t>提纯</w:t>
      </w:r>
      <w:r>
        <w:rPr>
          <w:rFonts w:hint="eastAsia" w:ascii="宋体" w:hAnsi="宋体" w:eastAsia="宋体" w:cs="宋体"/>
          <w:color w:val="000000" w:themeColor="text1"/>
          <w:highlight w:val="none"/>
          <w:u w:val="single"/>
          <w14:textFill>
            <w14:solidFill>
              <w14:schemeClr w14:val="tx1"/>
            </w14:solidFill>
          </w14:textFill>
        </w:rPr>
        <w:t>装置DMAC回收分解产生的二甲胺废气。具体分析如下：</w:t>
      </w:r>
    </w:p>
    <w:p>
      <w:pPr>
        <w:pStyle w:val="3"/>
        <w:widowControl w:val="0"/>
        <w:autoSpaceDE w:val="0"/>
        <w:autoSpaceDN w:val="0"/>
        <w:spacing w:after="0" w:line="360" w:lineRule="auto"/>
        <w:ind w:firstLine="480" w:firstLineChars="200"/>
        <w:rPr>
          <w:rFonts w:hint="eastAsia" w:ascii="宋体" w:hAnsi="宋体" w:eastAsia="宋体" w:cs="宋体"/>
          <w:color w:val="000000" w:themeColor="text1"/>
          <w:highlight w:val="none"/>
          <w:u w:val="single"/>
          <w14:textFill>
            <w14:solidFill>
              <w14:schemeClr w14:val="tx1"/>
            </w14:solidFill>
          </w14:textFill>
        </w:rPr>
      </w:pPr>
      <w:r>
        <w:rPr>
          <w:rFonts w:hint="eastAsia" w:ascii="宋体" w:hAnsi="宋体" w:eastAsia="宋体" w:cs="宋体"/>
          <w:color w:val="000000" w:themeColor="text1"/>
          <w:highlight w:val="none"/>
          <w:u w:val="single"/>
          <w14:textFill>
            <w14:solidFill>
              <w14:schemeClr w14:val="tx1"/>
            </w14:solidFill>
          </w14:textFill>
        </w:rPr>
        <w:t>1、生产装置区恶臭污染控制</w:t>
      </w:r>
    </w:p>
    <w:p>
      <w:pPr>
        <w:pStyle w:val="3"/>
        <w:widowControl w:val="0"/>
        <w:autoSpaceDE w:val="0"/>
        <w:autoSpaceDN w:val="0"/>
        <w:spacing w:after="0" w:line="360" w:lineRule="auto"/>
        <w:ind w:firstLine="480" w:firstLineChars="200"/>
        <w:rPr>
          <w:rFonts w:hint="eastAsia" w:ascii="宋体" w:hAnsi="宋体" w:eastAsia="宋体" w:cs="宋体"/>
          <w:color w:val="000000" w:themeColor="text1"/>
          <w:highlight w:val="none"/>
          <w:u w:val="single"/>
          <w14:textFill>
            <w14:solidFill>
              <w14:schemeClr w14:val="tx1"/>
            </w14:solidFill>
          </w14:textFill>
        </w:rPr>
      </w:pPr>
      <w:r>
        <w:rPr>
          <w:rFonts w:hint="eastAsia" w:ascii="宋体" w:hAnsi="宋体" w:eastAsia="宋体" w:cs="宋体"/>
          <w:color w:val="000000" w:themeColor="text1"/>
          <w:highlight w:val="none"/>
          <w:u w:val="single"/>
          <w14:textFill>
            <w14:solidFill>
              <w14:schemeClr w14:val="tx1"/>
            </w14:solidFill>
          </w14:textFill>
        </w:rPr>
        <w:t>本项目大量使用DMAC有较大异味的生产原料，虽然采用连续化生产，但在由于设备阀门、法兰、泵轴密封、压缩机轴密封、换热器、加热器、气体排凝、管线穿孔等产生的跑、冒、滴、漏，都易释放出难以收集、易于消散的恶臭污染。</w:t>
      </w:r>
    </w:p>
    <w:p>
      <w:pPr>
        <w:pStyle w:val="3"/>
        <w:widowControl w:val="0"/>
        <w:autoSpaceDE w:val="0"/>
        <w:autoSpaceDN w:val="0"/>
        <w:spacing w:after="0" w:line="360" w:lineRule="auto"/>
        <w:ind w:firstLine="480" w:firstLineChars="200"/>
        <w:rPr>
          <w:rFonts w:hint="eastAsia" w:ascii="宋体" w:hAnsi="宋体" w:eastAsia="宋体" w:cs="宋体"/>
          <w:color w:val="000000" w:themeColor="text1"/>
          <w:highlight w:val="none"/>
          <w:u w:val="single"/>
          <w14:textFill>
            <w14:solidFill>
              <w14:schemeClr w14:val="tx1"/>
            </w14:solidFill>
          </w14:textFill>
        </w:rPr>
      </w:pPr>
      <w:r>
        <w:rPr>
          <w:rFonts w:hint="eastAsia" w:ascii="宋体" w:hAnsi="宋体" w:eastAsia="宋体" w:cs="宋体"/>
          <w:color w:val="000000" w:themeColor="text1"/>
          <w:highlight w:val="none"/>
          <w:u w:val="single"/>
          <w14:textFill>
            <w14:solidFill>
              <w14:schemeClr w14:val="tx1"/>
            </w14:solidFill>
          </w14:textFill>
        </w:rPr>
        <w:t>对于装置区无组织恶臭污染控制，主要还是保证设备密封性，如物料输送采用磁力泵，储罐采用氮封保护等，尽量减少敏感物质的逸散。</w:t>
      </w:r>
    </w:p>
    <w:p>
      <w:pPr>
        <w:pStyle w:val="3"/>
        <w:widowControl w:val="0"/>
        <w:autoSpaceDE w:val="0"/>
        <w:autoSpaceDN w:val="0"/>
        <w:spacing w:after="0" w:line="360" w:lineRule="auto"/>
        <w:ind w:firstLine="480" w:firstLineChars="200"/>
        <w:rPr>
          <w:rFonts w:hint="eastAsia" w:ascii="宋体" w:hAnsi="宋体" w:eastAsia="宋体" w:cs="宋体"/>
          <w:color w:val="000000" w:themeColor="text1"/>
          <w:highlight w:val="none"/>
          <w:u w:val="single"/>
          <w14:textFill>
            <w14:solidFill>
              <w14:schemeClr w14:val="tx1"/>
            </w14:solidFill>
          </w14:textFill>
        </w:rPr>
      </w:pPr>
      <w:r>
        <w:rPr>
          <w:rFonts w:hint="eastAsia" w:ascii="宋体" w:hAnsi="宋体" w:eastAsia="宋体" w:cs="宋体"/>
          <w:color w:val="000000" w:themeColor="text1"/>
          <w:highlight w:val="none"/>
          <w:u w:val="single"/>
          <w:lang w:val="en-US" w:eastAsia="zh-CN"/>
          <w14:textFill>
            <w14:solidFill>
              <w14:schemeClr w14:val="tx1"/>
            </w14:solidFill>
          </w14:textFill>
        </w:rPr>
        <w:t>2</w:t>
      </w:r>
      <w:r>
        <w:rPr>
          <w:rFonts w:hint="eastAsia" w:ascii="宋体" w:hAnsi="宋体" w:eastAsia="宋体" w:cs="宋体"/>
          <w:color w:val="000000" w:themeColor="text1"/>
          <w:highlight w:val="none"/>
          <w:u w:val="single"/>
          <w14:textFill>
            <w14:solidFill>
              <w14:schemeClr w14:val="tx1"/>
            </w14:solidFill>
          </w14:textFill>
        </w:rPr>
        <w:t>、精馏区恶臭控制措施</w:t>
      </w:r>
    </w:p>
    <w:p>
      <w:pPr>
        <w:pStyle w:val="3"/>
        <w:widowControl w:val="0"/>
        <w:autoSpaceDE w:val="0"/>
        <w:autoSpaceDN w:val="0"/>
        <w:spacing w:after="0" w:line="360" w:lineRule="auto"/>
        <w:ind w:firstLine="480" w:firstLineChars="200"/>
        <w:rPr>
          <w:rFonts w:hint="eastAsia" w:ascii="宋体" w:hAnsi="宋体" w:eastAsia="宋体" w:cs="宋体"/>
          <w:color w:val="000000" w:themeColor="text1"/>
          <w:highlight w:val="none"/>
          <w:u w:val="single"/>
          <w14:textFill>
            <w14:solidFill>
              <w14:schemeClr w14:val="tx1"/>
            </w14:solidFill>
          </w14:textFill>
        </w:rPr>
      </w:pPr>
      <w:r>
        <w:rPr>
          <w:rFonts w:hint="eastAsia" w:ascii="宋体" w:hAnsi="宋体" w:eastAsia="宋体" w:cs="宋体"/>
          <w:color w:val="000000" w:themeColor="text1"/>
          <w:highlight w:val="none"/>
          <w:u w:val="single"/>
          <w14:textFill>
            <w14:solidFill>
              <w14:schemeClr w14:val="tx1"/>
            </w14:solidFill>
          </w14:textFill>
        </w:rPr>
        <w:t>本项目DMAC精馏过程会有少量DMAC分解为二甲胺，二甲胺属于恶臭物质，嗅阈值较低。DMAC总体热稳定性较好，蒸馏时不易分解，但在酸碱存在下，可加速水解，另外回收温度越高，分解速率越快，在150℃以上，DMAC有明显的热分解过程。因此环评要求控制好回收过程中的Ph和回收温度，尽量减少DMAC水解。另外将优化精馏工艺设计，专门设置脱</w:t>
      </w:r>
      <w:r>
        <w:rPr>
          <w:rFonts w:hint="eastAsia" w:ascii="宋体" w:hAnsi="宋体" w:eastAsia="宋体" w:cs="宋体"/>
          <w:color w:val="000000" w:themeColor="text1"/>
          <w:highlight w:val="none"/>
          <w:u w:val="single"/>
          <w:lang w:val="en-US" w:eastAsia="zh-CN"/>
          <w14:textFill>
            <w14:solidFill>
              <w14:schemeClr w14:val="tx1"/>
            </w14:solidFill>
          </w14:textFill>
        </w:rPr>
        <w:t>酸流程</w:t>
      </w:r>
      <w:r>
        <w:rPr>
          <w:rFonts w:hint="eastAsia" w:ascii="宋体" w:hAnsi="宋体" w:eastAsia="宋体" w:cs="宋体"/>
          <w:color w:val="000000" w:themeColor="text1"/>
          <w:highlight w:val="none"/>
          <w:u w:val="single"/>
          <w14:textFill>
            <w14:solidFill>
              <w14:schemeClr w14:val="tx1"/>
            </w14:solidFill>
          </w14:textFill>
        </w:rPr>
        <w:t>去除反应生成的二甲胺，通过加入盐酸生成二甲胺盐酸盐，以残液方式排出精馏体系，减少二甲胺废气的排放量。同时加强真空泵等设备的保养，保证设备密封性，减少废气的无组织逸散。</w:t>
      </w:r>
    </w:p>
    <w:p>
      <w:pPr>
        <w:pStyle w:val="3"/>
        <w:widowControl w:val="0"/>
        <w:autoSpaceDE w:val="0"/>
        <w:autoSpaceDN w:val="0"/>
        <w:spacing w:after="0" w:line="360" w:lineRule="auto"/>
        <w:ind w:firstLine="480" w:firstLineChars="200"/>
        <w:rPr>
          <w:rFonts w:hint="eastAsia" w:ascii="宋体" w:hAnsi="宋体" w:eastAsia="宋体" w:cs="宋体"/>
          <w:color w:val="000000" w:themeColor="text1"/>
          <w:highlight w:val="none"/>
          <w:u w:val="single"/>
          <w14:textFill>
            <w14:solidFill>
              <w14:schemeClr w14:val="tx1"/>
            </w14:solidFill>
          </w14:textFill>
        </w:rPr>
      </w:pPr>
      <w:r>
        <w:rPr>
          <w:rFonts w:hint="eastAsia" w:ascii="宋体" w:hAnsi="宋体" w:eastAsia="宋体" w:cs="宋体"/>
          <w:color w:val="000000" w:themeColor="text1"/>
          <w:highlight w:val="none"/>
          <w:u w:val="single"/>
          <w:lang w:val="en-US" w:eastAsia="zh-CN"/>
          <w14:textFill>
            <w14:solidFill>
              <w14:schemeClr w14:val="tx1"/>
            </w14:solidFill>
          </w14:textFill>
        </w:rPr>
        <w:t>3</w:t>
      </w:r>
      <w:r>
        <w:rPr>
          <w:rFonts w:hint="eastAsia" w:ascii="宋体" w:hAnsi="宋体" w:eastAsia="宋体" w:cs="宋体"/>
          <w:color w:val="000000" w:themeColor="text1"/>
          <w:highlight w:val="none"/>
          <w:u w:val="single"/>
          <w14:textFill>
            <w14:solidFill>
              <w14:schemeClr w14:val="tx1"/>
            </w14:solidFill>
          </w14:textFill>
        </w:rPr>
        <w:t>、停工检修</w:t>
      </w:r>
    </w:p>
    <w:p>
      <w:pPr>
        <w:pStyle w:val="3"/>
        <w:widowControl w:val="0"/>
        <w:autoSpaceDE w:val="0"/>
        <w:autoSpaceDN w:val="0"/>
        <w:spacing w:after="0" w:line="360" w:lineRule="auto"/>
        <w:ind w:firstLine="480" w:firstLineChars="200"/>
        <w:rPr>
          <w:rFonts w:hint="eastAsia" w:ascii="宋体" w:hAnsi="宋体" w:eastAsia="宋体" w:cs="宋体"/>
          <w:color w:val="000000" w:themeColor="text1"/>
          <w:highlight w:val="none"/>
          <w:u w:val="single"/>
          <w14:textFill>
            <w14:solidFill>
              <w14:schemeClr w14:val="tx1"/>
            </w14:solidFill>
          </w14:textFill>
        </w:rPr>
      </w:pPr>
      <w:r>
        <w:rPr>
          <w:rFonts w:hint="eastAsia" w:ascii="宋体" w:hAnsi="宋体" w:eastAsia="宋体" w:cs="宋体"/>
          <w:color w:val="000000" w:themeColor="text1"/>
          <w:highlight w:val="none"/>
          <w:u w:val="single"/>
          <w14:textFill>
            <w14:solidFill>
              <w14:schemeClr w14:val="tx1"/>
            </w14:solidFill>
          </w14:textFill>
        </w:rPr>
        <w:t>装置停工检修时，设备、管线内残留少量工艺物料，设备、管线吹扫，尤其是高温蒸汽吹扫，易造成恶臭污染。</w:t>
      </w:r>
    </w:p>
    <w:p>
      <w:pPr>
        <w:pStyle w:val="3"/>
        <w:widowControl w:val="0"/>
        <w:autoSpaceDE w:val="0"/>
        <w:autoSpaceDN w:val="0"/>
        <w:spacing w:after="0" w:line="360" w:lineRule="auto"/>
        <w:ind w:firstLine="480" w:firstLineChars="200"/>
        <w:rPr>
          <w:rFonts w:hint="eastAsia" w:ascii="宋体" w:hAnsi="宋体" w:eastAsia="宋体" w:cs="宋体"/>
          <w:color w:val="000000" w:themeColor="text1"/>
          <w:highlight w:val="none"/>
          <w:u w:val="single"/>
          <w14:textFill>
            <w14:solidFill>
              <w14:schemeClr w14:val="tx1"/>
            </w14:solidFill>
          </w14:textFill>
        </w:rPr>
      </w:pPr>
      <w:r>
        <w:rPr>
          <w:rFonts w:hint="eastAsia" w:ascii="宋体" w:hAnsi="宋体" w:eastAsia="宋体" w:cs="宋体"/>
          <w:color w:val="000000" w:themeColor="text1"/>
          <w:highlight w:val="none"/>
          <w:u w:val="single"/>
          <w14:textFill>
            <w14:solidFill>
              <w14:schemeClr w14:val="tx1"/>
            </w14:solidFill>
          </w14:textFill>
        </w:rPr>
        <w:t>环评要求企业建立停工吹扫恶臭防止申报制度，加强环保管理。检修期间注意天气风向，尽量避免恶臭气体扩散到敏感方向。另根据各停工检修装置特点，使用氮气和蒸汽吹扫后，不凝气或热吹扫空气应送相应废气处理装置处理，不得直接排放。</w:t>
      </w:r>
    </w:p>
    <w:p>
      <w:pPr>
        <w:pStyle w:val="3"/>
        <w:widowControl w:val="0"/>
        <w:autoSpaceDE w:val="0"/>
        <w:autoSpaceDN w:val="0"/>
        <w:spacing w:after="0" w:line="360" w:lineRule="auto"/>
        <w:ind w:firstLine="480" w:firstLineChars="200"/>
        <w:rPr>
          <w:rFonts w:hint="eastAsia" w:ascii="宋体" w:hAnsi="宋体" w:eastAsia="宋体" w:cs="宋体"/>
          <w:color w:val="000000" w:themeColor="text1"/>
          <w:highlight w:val="none"/>
          <w:u w:val="single"/>
          <w14:textFill>
            <w14:solidFill>
              <w14:schemeClr w14:val="tx1"/>
            </w14:solidFill>
          </w14:textFill>
        </w:rPr>
      </w:pPr>
      <w:r>
        <w:rPr>
          <w:rFonts w:hint="eastAsia" w:ascii="宋体" w:hAnsi="宋体" w:eastAsia="宋体" w:cs="宋体"/>
          <w:color w:val="000000" w:themeColor="text1"/>
          <w:highlight w:val="none"/>
          <w:u w:val="single"/>
          <w14:textFill>
            <w14:solidFill>
              <w14:schemeClr w14:val="tx1"/>
            </w14:solidFill>
          </w14:textFill>
        </w:rPr>
        <w:t>5、突发性事件</w:t>
      </w:r>
    </w:p>
    <w:p>
      <w:pPr>
        <w:pStyle w:val="3"/>
        <w:widowControl w:val="0"/>
        <w:autoSpaceDE w:val="0"/>
        <w:autoSpaceDN w:val="0"/>
        <w:spacing w:after="0" w:line="360" w:lineRule="auto"/>
        <w:ind w:firstLine="480" w:firstLineChars="200"/>
        <w:rPr>
          <w:rFonts w:hint="eastAsia" w:ascii="宋体" w:hAnsi="宋体" w:eastAsia="宋体" w:cs="宋体"/>
          <w:color w:val="000000" w:themeColor="text1"/>
          <w:highlight w:val="none"/>
          <w:u w:val="single"/>
          <w:lang w:val="en-US" w:eastAsia="zh-CN"/>
          <w14:textFill>
            <w14:solidFill>
              <w14:schemeClr w14:val="tx1"/>
            </w14:solidFill>
          </w14:textFill>
        </w:rPr>
      </w:pPr>
      <w:r>
        <w:rPr>
          <w:rFonts w:hint="eastAsia" w:ascii="宋体" w:hAnsi="宋体" w:eastAsia="宋体" w:cs="宋体"/>
          <w:color w:val="000000" w:themeColor="text1"/>
          <w:highlight w:val="none"/>
          <w:u w:val="single"/>
          <w14:textFill>
            <w14:solidFill>
              <w14:schemeClr w14:val="tx1"/>
            </w14:solidFill>
          </w14:textFill>
        </w:rPr>
        <w:t>针对生产事故、误操作导致工艺气体应急性放空，以及安全阀泄压等废气排放造成的恶臭污染。企业应根据各生产工艺和装置特点，对可能发生的恶臭污染事故做出预测，制定恶臭污染事故处置预案。在事故发生后应启动应急预案，按工艺系统的压力高低，分别把放空口、泄压口引入火炬管线、燃料气管网等回收和处理系统，以减轻恶臭污染影响。</w:t>
      </w:r>
    </w:p>
    <w:p>
      <w:pPr>
        <w:pStyle w:val="7"/>
        <w:pageBreakBefore w:val="0"/>
        <w:numPr>
          <w:ilvl w:val="0"/>
          <w:numId w:val="0"/>
        </w:numPr>
        <w:kinsoku/>
        <w:wordWrap/>
        <w:overflowPunct/>
        <w:topLinePunct w:val="0"/>
        <w:bidi w:val="0"/>
        <w:adjustRightInd/>
        <w:snapToGrid/>
        <w:ind w:left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bookmarkStart w:id="485" w:name="_bookmark148"/>
      <w:bookmarkEnd w:id="485"/>
      <w:bookmarkStart w:id="486" w:name="_Toc15742"/>
      <w:bookmarkStart w:id="487" w:name="_Toc1386"/>
      <w:r>
        <w:rPr>
          <w:rFonts w:hint="eastAsia" w:ascii="宋体" w:hAnsi="宋体" w:eastAsia="宋体" w:cs="宋体"/>
          <w:color w:val="000000" w:themeColor="text1"/>
          <w:sz w:val="24"/>
          <w:szCs w:val="24"/>
          <w:highlight w:val="none"/>
          <w:lang w:val="en-US" w:eastAsia="zh-CN"/>
          <w14:textFill>
            <w14:solidFill>
              <w14:schemeClr w14:val="tx1"/>
            </w14:solidFill>
          </w14:textFill>
        </w:rPr>
        <w:t>7.2废水处理技术可行性分析</w:t>
      </w:r>
      <w:bookmarkEnd w:id="486"/>
      <w:bookmarkEnd w:id="487"/>
    </w:p>
    <w:p>
      <w:pPr>
        <w:pStyle w:val="8"/>
        <w:keepNext/>
        <w:keepLines/>
        <w:pageBreakBefore w:val="0"/>
        <w:kinsoku/>
        <w:wordWrap/>
        <w:overflowPunct/>
        <w:topLinePunct w:val="0"/>
        <w:autoSpaceDE/>
        <w:autoSpaceDN/>
        <w:bidi w:val="0"/>
        <w:adjustRightInd/>
        <w:snapToGrid/>
        <w:ind w:firstLine="482" w:firstLineChars="200"/>
        <w:textAlignment w:val="auto"/>
        <w:rPr>
          <w:rFonts w:hint="eastAsia" w:ascii="宋体" w:hAnsi="宋体" w:eastAsia="宋体" w:cs="宋体"/>
          <w:bCs/>
          <w:color w:val="000000" w:themeColor="text1"/>
          <w:highlight w:val="none"/>
          <w:lang w:val="en-US" w:eastAsia="zh-CN"/>
          <w14:textFill>
            <w14:solidFill>
              <w14:schemeClr w14:val="tx1"/>
            </w14:solidFill>
          </w14:textFill>
        </w:rPr>
      </w:pPr>
      <w:bookmarkStart w:id="488" w:name="_Toc5724"/>
      <w:bookmarkStart w:id="489" w:name="_Toc26837"/>
      <w:bookmarkStart w:id="490" w:name="_Toc29060_WPSOffice_Level2"/>
      <w:bookmarkStart w:id="491" w:name="_Toc692_WPSOffice_Level2"/>
      <w:bookmarkStart w:id="492" w:name="_Toc21656_WPSOffice_Level2"/>
      <w:bookmarkStart w:id="493" w:name="_Toc17504"/>
      <w:r>
        <w:rPr>
          <w:rFonts w:hint="eastAsia" w:ascii="宋体" w:hAnsi="宋体" w:eastAsia="宋体" w:cs="宋体"/>
          <w:bCs/>
          <w:color w:val="000000" w:themeColor="text1"/>
          <w:highlight w:val="none"/>
          <w:lang w:val="en-US" w:eastAsia="zh-CN"/>
          <w14:textFill>
            <w14:solidFill>
              <w14:schemeClr w14:val="tx1"/>
            </w14:solidFill>
          </w14:textFill>
        </w:rPr>
        <w:t>7.2.1雨污分流</w:t>
      </w:r>
      <w:bookmarkEnd w:id="488"/>
      <w:bookmarkEnd w:id="489"/>
    </w:p>
    <w:p>
      <w:pPr>
        <w:pStyle w:val="3"/>
        <w:widowControl w:val="0"/>
        <w:autoSpaceDE w:val="0"/>
        <w:autoSpaceDN w:val="0"/>
        <w:spacing w:after="0" w:line="360" w:lineRule="auto"/>
        <w:ind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本项目采用“雨污分流”、“污污分流”的排水体制。非污染区雨水和污染区降雨后期未受污染的清净雨水，通过洁净雨水排水系统管网收集后排入雨水管网；污水经处理达到纳管标准后排入污水管网，由</w:t>
      </w:r>
      <w:r>
        <w:rPr>
          <w:rFonts w:hint="eastAsia" w:ascii="宋体" w:hAnsi="宋体" w:eastAsia="宋体" w:cs="宋体"/>
          <w:color w:val="000000" w:themeColor="text1"/>
          <w:highlight w:val="none"/>
          <w:lang w:val="en-US" w:eastAsia="zh-CN"/>
          <w14:textFill>
            <w14:solidFill>
              <w14:schemeClr w14:val="tx1"/>
            </w14:solidFill>
          </w14:textFill>
        </w:rPr>
        <w:t>河西</w:t>
      </w:r>
      <w:r>
        <w:rPr>
          <w:rFonts w:hint="eastAsia" w:ascii="宋体" w:hAnsi="宋体" w:eastAsia="宋体" w:cs="宋体"/>
          <w:color w:val="000000" w:themeColor="text1"/>
          <w:highlight w:val="none"/>
          <w14:textFill>
            <w14:solidFill>
              <w14:schemeClr w14:val="tx1"/>
            </w14:solidFill>
          </w14:textFill>
        </w:rPr>
        <w:t>污水处理厂集中处理后排放。</w:t>
      </w:r>
    </w:p>
    <w:p>
      <w:pPr>
        <w:pStyle w:val="3"/>
        <w:widowControl w:val="0"/>
        <w:autoSpaceDE w:val="0"/>
        <w:autoSpaceDN w:val="0"/>
        <w:spacing w:after="0" w:line="360" w:lineRule="auto"/>
        <w:ind w:firstLine="464" w:firstLineChars="200"/>
        <w:jc w:val="both"/>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pacing w:val="-4"/>
          <w:highlight w:val="none"/>
          <w14:textFill>
            <w14:solidFill>
              <w14:schemeClr w14:val="tx1"/>
            </w14:solidFill>
          </w14:textFill>
        </w:rPr>
        <w:t>厂区污水排水系统又可分为生活污水排水系统、生产污水排水系统、初期雨水排水系统、循环水排水系统等。规范建设雨水排放口。</w:t>
      </w:r>
    </w:p>
    <w:p>
      <w:pPr>
        <w:pStyle w:val="3"/>
        <w:widowControl w:val="0"/>
        <w:autoSpaceDE w:val="0"/>
        <w:autoSpaceDN w:val="0"/>
        <w:spacing w:after="0" w:line="360" w:lineRule="auto"/>
        <w:ind w:firstLine="476" w:firstLineChars="200"/>
        <w:jc w:val="both"/>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pacing w:val="-1"/>
          <w:highlight w:val="none"/>
          <w14:textFill>
            <w14:solidFill>
              <w14:schemeClr w14:val="tx1"/>
            </w14:solidFill>
          </w14:textFill>
        </w:rPr>
        <w:t>污水输送实行管道化，管道满足防腐、防渗漏要求。废水产生车间或装置区设置废水</w:t>
      </w:r>
      <w:r>
        <w:rPr>
          <w:rFonts w:hint="eastAsia" w:ascii="宋体" w:hAnsi="宋体" w:eastAsia="宋体" w:cs="宋体"/>
          <w:color w:val="000000" w:themeColor="text1"/>
          <w:spacing w:val="-1"/>
          <w:highlight w:val="none"/>
          <w:lang w:val="en-US" w:eastAsia="zh-CN"/>
          <w14:textFill>
            <w14:solidFill>
              <w14:schemeClr w14:val="tx1"/>
            </w14:solidFill>
          </w14:textFill>
        </w:rPr>
        <w:t>排放管道</w:t>
      </w:r>
      <w:r>
        <w:rPr>
          <w:rFonts w:hint="eastAsia" w:ascii="宋体" w:hAnsi="宋体" w:eastAsia="宋体" w:cs="宋体"/>
          <w:color w:val="000000" w:themeColor="text1"/>
          <w:spacing w:val="-1"/>
          <w:highlight w:val="none"/>
          <w14:textFill>
            <w14:solidFill>
              <w14:schemeClr w14:val="tx1"/>
            </w14:solidFill>
          </w14:textFill>
        </w:rPr>
        <w:t>，</w:t>
      </w:r>
      <w:r>
        <w:rPr>
          <w:rFonts w:hint="eastAsia" w:ascii="宋体" w:hAnsi="宋体" w:eastAsia="宋体" w:cs="宋体"/>
          <w:color w:val="000000" w:themeColor="text1"/>
          <w:spacing w:val="-2"/>
          <w:highlight w:val="none"/>
          <w14:textFill>
            <w14:solidFill>
              <w14:schemeClr w14:val="tx1"/>
            </w14:solidFill>
          </w14:textFill>
        </w:rPr>
        <w:t>废水输送采用明渠明管或明管高架方式，输送管道标准统一颜</w:t>
      </w:r>
      <w:r>
        <w:rPr>
          <w:rFonts w:hint="eastAsia" w:ascii="宋体" w:hAnsi="宋体" w:eastAsia="宋体" w:cs="宋体"/>
          <w:color w:val="000000" w:themeColor="text1"/>
          <w:spacing w:val="-5"/>
          <w:highlight w:val="none"/>
          <w14:textFill>
            <w14:solidFill>
              <w14:schemeClr w14:val="tx1"/>
            </w14:solidFill>
          </w14:textFill>
        </w:rPr>
        <w:t>色及流向。</w:t>
      </w:r>
    </w:p>
    <w:p>
      <w:pPr>
        <w:pStyle w:val="8"/>
        <w:keepNext/>
        <w:keepLines/>
        <w:pageBreakBefore w:val="0"/>
        <w:kinsoku/>
        <w:wordWrap/>
        <w:overflowPunct/>
        <w:topLinePunct w:val="0"/>
        <w:autoSpaceDE/>
        <w:autoSpaceDN/>
        <w:bidi w:val="0"/>
        <w:adjustRightInd/>
        <w:snapToGrid/>
        <w:ind w:firstLine="482" w:firstLineChars="200"/>
        <w:textAlignment w:val="auto"/>
        <w:rPr>
          <w:rFonts w:hint="eastAsia" w:ascii="宋体" w:hAnsi="宋体" w:eastAsia="宋体" w:cs="宋体"/>
          <w:bCs/>
          <w:color w:val="000000" w:themeColor="text1"/>
          <w:highlight w:val="none"/>
          <w:lang w:val="en-US" w:eastAsia="zh-CN"/>
          <w14:textFill>
            <w14:solidFill>
              <w14:schemeClr w14:val="tx1"/>
            </w14:solidFill>
          </w14:textFill>
        </w:rPr>
      </w:pPr>
      <w:bookmarkStart w:id="494" w:name="_bookmark152"/>
      <w:bookmarkEnd w:id="494"/>
      <w:bookmarkStart w:id="495" w:name="_Toc32476"/>
      <w:bookmarkStart w:id="496" w:name="_Toc11706"/>
      <w:r>
        <w:rPr>
          <w:rFonts w:hint="eastAsia" w:ascii="宋体" w:hAnsi="宋体" w:eastAsia="宋体" w:cs="宋体"/>
          <w:bCs/>
          <w:color w:val="000000" w:themeColor="text1"/>
          <w:highlight w:val="none"/>
          <w:lang w:val="en-US" w:eastAsia="zh-CN"/>
          <w14:textFill>
            <w14:solidFill>
              <w14:schemeClr w14:val="tx1"/>
            </w14:solidFill>
          </w14:textFill>
        </w:rPr>
        <w:t>7.2.2废水污染源情况</w:t>
      </w:r>
      <w:bookmarkEnd w:id="495"/>
      <w:bookmarkEnd w:id="496"/>
    </w:p>
    <w:p>
      <w:pPr>
        <w:pStyle w:val="3"/>
        <w:widowControl w:val="0"/>
        <w:autoSpaceDE w:val="0"/>
        <w:autoSpaceDN w:val="0"/>
        <w:spacing w:after="0" w:line="360" w:lineRule="auto"/>
        <w:ind w:firstLine="480" w:firstLineChars="200"/>
        <w:jc w:val="both"/>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根据建设单位提供资料，项目废水仅有地面保洁废水定期排水，主要污染物为COD、NH3-N等。</w:t>
      </w:r>
    </w:p>
    <w:p>
      <w:pPr>
        <w:spacing w:line="360" w:lineRule="auto"/>
        <w:ind w:firstLine="480" w:firstLineChars="200"/>
        <w:jc w:val="both"/>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产生的地面保洁废水经园区化粪池预处理后市政污水管网输送至河西污水处理厂进行深度处理，所产生的地面保洁废水经化粪池预处理后能达到河西污水处理厂的接收标准。。</w:t>
      </w:r>
    </w:p>
    <w:p>
      <w:pPr>
        <w:pStyle w:val="8"/>
        <w:keepNext/>
        <w:keepLines/>
        <w:pageBreakBefore w:val="0"/>
        <w:kinsoku/>
        <w:wordWrap/>
        <w:overflowPunct/>
        <w:topLinePunct w:val="0"/>
        <w:autoSpaceDE/>
        <w:autoSpaceDN/>
        <w:bidi w:val="0"/>
        <w:adjustRightInd/>
        <w:snapToGrid/>
        <w:ind w:firstLine="482" w:firstLineChars="200"/>
        <w:textAlignment w:val="auto"/>
        <w:rPr>
          <w:rFonts w:hint="eastAsia" w:ascii="宋体" w:hAnsi="宋体" w:eastAsia="宋体" w:cs="宋体"/>
          <w:bCs/>
          <w:color w:val="000000" w:themeColor="text1"/>
          <w:highlight w:val="none"/>
          <w:lang w:val="en-US" w:eastAsia="zh-CN"/>
          <w14:textFill>
            <w14:solidFill>
              <w14:schemeClr w14:val="tx1"/>
            </w14:solidFill>
          </w14:textFill>
        </w:rPr>
      </w:pPr>
      <w:bookmarkStart w:id="497" w:name="_Toc7412"/>
      <w:bookmarkStart w:id="498" w:name="_Toc26071"/>
      <w:r>
        <w:rPr>
          <w:rFonts w:hint="eastAsia" w:ascii="宋体" w:hAnsi="宋体" w:eastAsia="宋体" w:cs="宋体"/>
          <w:bCs/>
          <w:color w:val="000000" w:themeColor="text1"/>
          <w:highlight w:val="none"/>
          <w:lang w:val="en-US" w:eastAsia="zh-CN"/>
          <w14:textFill>
            <w14:solidFill>
              <w14:schemeClr w14:val="tx1"/>
            </w14:solidFill>
          </w14:textFill>
        </w:rPr>
        <w:t>7.2.3接管可行性分析</w:t>
      </w:r>
      <w:bookmarkEnd w:id="497"/>
      <w:bookmarkEnd w:id="498"/>
    </w:p>
    <w:p>
      <w:pPr>
        <w:spacing w:line="360" w:lineRule="auto"/>
        <w:ind w:firstLine="480" w:firstLineChars="200"/>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1、河西污水处理厂概况</w:t>
      </w:r>
    </w:p>
    <w:p>
      <w:pPr>
        <w:spacing w:line="360" w:lineRule="auto"/>
        <w:ind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株洲市河西污水处理厂位于株洲市天元区栗雨办事处栗雨村新屋组，主要服务于株洲市天元区新马工业园片区、栗雨工业园片区、河西中心城区、月塘生态城片区以及武广新城部分区域，总服务范围约74.2742km²，设计处理规模15万吨/天，建设用地总面积149亩，配套管网全长49公里，分两期建设。该污水处理厂已于2005年通过省环保局审批，一期工程已于2009年12月投入运行，设计处理规模为8万m³/d，采用二级生物处理（改良沟）工艺处理各类污水，服务面积约20平方公里。河西污水处理厂二期及配套管网工程已于2018年10月取得株洲市环保局天元分局的环评批复，并于2020年1月投入运营，新增处理规模7万m³/d，主要接纳废水为服务范围内生活污水、达标排放工业废水。河西污水处理厂运营后，每年可减少向湘江排放COD约9000t/a，氨氮930.8t/a，可有效减轻湘江株洲段水质污染，保护湘江的水环境质量。河西污水处理厂排污口位于湘江霞湾断面下游约1.1km处，采用岸边排放方式排入湘江。</w:t>
      </w:r>
    </w:p>
    <w:p>
      <w:pPr>
        <w:spacing w:line="360" w:lineRule="auto"/>
        <w:ind w:firstLine="480" w:firstLineChars="200"/>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2、达标可行性分析</w:t>
      </w:r>
    </w:p>
    <w:p>
      <w:pPr>
        <w:spacing w:line="360" w:lineRule="auto"/>
        <w:ind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建设项目所在的新马工业片区属河西污水处理厂规划服务范围，其城市污水管网已建成投入使用，项目废水经新马路市政污水管网送至河西污水处理厂。</w:t>
      </w:r>
    </w:p>
    <w:p>
      <w:pPr>
        <w:spacing w:line="360" w:lineRule="auto"/>
        <w:ind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本项目废水排放浓度COD</w:t>
      </w:r>
      <w:r>
        <w:rPr>
          <w:rFonts w:hint="eastAsia" w:cs="宋体"/>
          <w:color w:val="000000" w:themeColor="text1"/>
          <w:highlight w:val="none"/>
          <w:lang w:val="en-US" w:eastAsia="zh-CN"/>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200mg/L、BOD5</w:t>
      </w:r>
      <w:r>
        <w:rPr>
          <w:rFonts w:hint="eastAsia" w:cs="宋体"/>
          <w:color w:val="000000" w:themeColor="text1"/>
          <w:highlight w:val="none"/>
          <w:lang w:val="en-US" w:eastAsia="zh-CN"/>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100mg/L、氨氮</w:t>
      </w:r>
      <w:r>
        <w:rPr>
          <w:rFonts w:hint="eastAsia" w:cs="宋体"/>
          <w:color w:val="000000" w:themeColor="text1"/>
          <w:highlight w:val="none"/>
          <w:lang w:val="en-US" w:eastAsia="zh-CN"/>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20mg/L、SS</w:t>
      </w:r>
      <w:r>
        <w:rPr>
          <w:rFonts w:hint="eastAsia" w:cs="宋体"/>
          <w:color w:val="000000" w:themeColor="text1"/>
          <w:highlight w:val="none"/>
          <w:lang w:val="en-US" w:eastAsia="zh-CN"/>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100mg/L、石油类</w:t>
      </w:r>
      <w:r>
        <w:rPr>
          <w:rFonts w:hint="eastAsia" w:cs="宋体"/>
          <w:color w:val="000000" w:themeColor="text1"/>
          <w:highlight w:val="none"/>
          <w:lang w:val="en-US" w:eastAsia="zh-CN"/>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2mg/L，各指标均低河西污水处理厂设计进水水质要求（COD≤230mg/L、BOD5≤130mg/L、氨氮≤25mg/L、SS≤180mg/L，石油类未做要求），能够满足接管水质要求。</w:t>
      </w:r>
    </w:p>
    <w:p>
      <w:pPr>
        <w:spacing w:line="360" w:lineRule="auto"/>
        <w:ind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本项目外排废水对河西污水处理厂的水质不会产生冲击影响。</w:t>
      </w:r>
    </w:p>
    <w:p>
      <w:pPr>
        <w:spacing w:line="360" w:lineRule="auto"/>
        <w:ind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本项目最大日污水排放量不到河西污水处理厂日处理能力的万分之一，河西污水处理厂日常处理量在13-14万/吨每天，仍有富余，可处理本项目的废水；河西污水处理厂完全具备接纳本建设项目污水能力。</w:t>
      </w:r>
    </w:p>
    <w:p>
      <w:pPr>
        <w:spacing w:line="360" w:lineRule="auto"/>
        <w:ind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河西污水处理厂处理工艺采用A2/O工艺（改进型氧化沟工艺），本项目外排废水水质成分简单，主要为COD、BOD5、氨氮，废水中不含有毒有害物质，不含重金属物质，不会对河西污水处理厂处理设施造成明显影响。</w:t>
      </w:r>
    </w:p>
    <w:p>
      <w:pPr>
        <w:spacing w:line="360" w:lineRule="auto"/>
        <w:ind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为确保企业废水能够达标排放，企业需要保证雨污分流，项目厂区雨水沟不能进入化粪池及沉淀池，应加强对污水处理设施管理，确保化粪池及沉淀池的出水能够接入市政管网，若出现管网堵塞的情况，需要及时清通，保证污水及时排入市政管网。</w:t>
      </w:r>
    </w:p>
    <w:p>
      <w:pPr>
        <w:spacing w:line="360" w:lineRule="auto"/>
        <w:ind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综上所述，在落实本评价提出的水污染防治措施的前提下，本项目废水排放对河西污水处理厂影响较小，对区域水环境不会造成明显影响，本项目废水能够满足达标排放的要求，废水处理措施可行。</w:t>
      </w:r>
    </w:p>
    <w:p>
      <w:pPr>
        <w:pStyle w:val="7"/>
        <w:pageBreakBefore w:val="0"/>
        <w:numPr>
          <w:ilvl w:val="0"/>
          <w:numId w:val="0"/>
        </w:numPr>
        <w:kinsoku/>
        <w:wordWrap/>
        <w:overflowPunct/>
        <w:topLinePunct w:val="0"/>
        <w:bidi w:val="0"/>
        <w:adjustRightInd/>
        <w:snapToGrid/>
        <w:ind w:left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bookmarkStart w:id="499" w:name="_Toc20965"/>
      <w:bookmarkStart w:id="500" w:name="_Toc5170"/>
      <w:bookmarkStart w:id="501" w:name="_Toc5054"/>
      <w:bookmarkStart w:id="502" w:name="_Toc30042"/>
      <w:bookmarkStart w:id="503" w:name="_Toc13180"/>
      <w:bookmarkStart w:id="504" w:name="_Toc6823"/>
      <w:r>
        <w:rPr>
          <w:rFonts w:hint="eastAsia" w:ascii="宋体" w:hAnsi="宋体" w:eastAsia="宋体" w:cs="宋体"/>
          <w:color w:val="000000" w:themeColor="text1"/>
          <w:sz w:val="24"/>
          <w:szCs w:val="24"/>
          <w:highlight w:val="none"/>
          <w:lang w:val="en-US" w:eastAsia="zh-CN"/>
          <w14:textFill>
            <w14:solidFill>
              <w14:schemeClr w14:val="tx1"/>
            </w14:solidFill>
          </w14:textFill>
        </w:rPr>
        <w:t>7.3固体废物处置措施</w:t>
      </w:r>
      <w:bookmarkEnd w:id="490"/>
      <w:bookmarkEnd w:id="491"/>
      <w:bookmarkEnd w:id="492"/>
      <w:bookmarkEnd w:id="493"/>
      <w:bookmarkEnd w:id="499"/>
      <w:bookmarkEnd w:id="500"/>
      <w:bookmarkEnd w:id="501"/>
      <w:bookmarkEnd w:id="502"/>
      <w:bookmarkEnd w:id="503"/>
      <w:bookmarkEnd w:id="504"/>
    </w:p>
    <w:p>
      <w:pPr>
        <w:pStyle w:val="8"/>
        <w:keepNext/>
        <w:keepLines/>
        <w:pageBreakBefore w:val="0"/>
        <w:kinsoku/>
        <w:wordWrap/>
        <w:overflowPunct/>
        <w:topLinePunct w:val="0"/>
        <w:autoSpaceDE/>
        <w:autoSpaceDN/>
        <w:bidi w:val="0"/>
        <w:adjustRightInd/>
        <w:snapToGrid/>
        <w:ind w:firstLine="482" w:firstLineChars="200"/>
        <w:textAlignment w:val="auto"/>
        <w:rPr>
          <w:rFonts w:hint="eastAsia" w:ascii="宋体" w:hAnsi="宋体" w:eastAsia="宋体" w:cs="宋体"/>
          <w:bCs/>
          <w:color w:val="000000" w:themeColor="text1"/>
          <w:highlight w:val="none"/>
          <w:lang w:val="en-US" w:eastAsia="zh-CN"/>
          <w14:textFill>
            <w14:solidFill>
              <w14:schemeClr w14:val="tx1"/>
            </w14:solidFill>
          </w14:textFill>
        </w:rPr>
      </w:pPr>
      <w:bookmarkStart w:id="505" w:name="_Toc30385"/>
      <w:bookmarkStart w:id="506" w:name="_Toc6429"/>
      <w:bookmarkStart w:id="507" w:name="_Toc7846"/>
      <w:bookmarkStart w:id="508" w:name="_Toc3426"/>
      <w:bookmarkStart w:id="509" w:name="_Toc10914"/>
      <w:bookmarkStart w:id="510" w:name="_Toc28380"/>
      <w:bookmarkStart w:id="511" w:name="_Toc17487_WPSOffice_Level2"/>
      <w:bookmarkStart w:id="512" w:name="_Toc8987"/>
      <w:bookmarkStart w:id="513" w:name="_Toc27283_WPSOffice_Level2"/>
      <w:bookmarkStart w:id="514" w:name="_Toc11636_WPSOffice_Level2"/>
      <w:r>
        <w:rPr>
          <w:rFonts w:hint="eastAsia" w:ascii="宋体" w:hAnsi="宋体" w:eastAsia="宋体" w:cs="宋体"/>
          <w:bCs/>
          <w:color w:val="000000" w:themeColor="text1"/>
          <w:highlight w:val="none"/>
          <w:lang w:val="en-US" w:eastAsia="zh-CN"/>
          <w14:textFill>
            <w14:solidFill>
              <w14:schemeClr w14:val="tx1"/>
            </w14:solidFill>
          </w14:textFill>
        </w:rPr>
        <w:t>7.3.1固体废物处置方案</w:t>
      </w:r>
      <w:bookmarkEnd w:id="505"/>
      <w:bookmarkEnd w:id="506"/>
      <w:bookmarkEnd w:id="507"/>
      <w:bookmarkEnd w:id="508"/>
      <w:bookmarkEnd w:id="509"/>
      <w:bookmarkEnd w:id="510"/>
    </w:p>
    <w:p>
      <w:pPr>
        <w:pStyle w:val="3"/>
        <w:spacing w:after="0" w:line="360" w:lineRule="auto"/>
        <w:ind w:firstLine="480"/>
        <w:jc w:val="both"/>
        <w:rPr>
          <w:rFonts w:hint="eastAsia" w:ascii="宋体" w:hAnsi="宋体" w:eastAsia="宋体" w:cs="宋体"/>
          <w:bCs/>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本项目固体废物主要为不合格品、</w:t>
      </w:r>
      <w:r>
        <w:rPr>
          <w:rFonts w:hint="eastAsia" w:ascii="宋体" w:hAnsi="宋体" w:eastAsia="宋体" w:cs="宋体"/>
          <w:color w:val="000000" w:themeColor="text1"/>
          <w:highlight w:val="none"/>
          <w14:textFill>
            <w14:solidFill>
              <w14:schemeClr w14:val="tx1"/>
            </w14:solidFill>
          </w14:textFill>
        </w:rPr>
        <w:t>边</w:t>
      </w:r>
      <w:r>
        <w:rPr>
          <w:rFonts w:hint="eastAsia" w:ascii="宋体" w:hAnsi="宋体" w:eastAsia="宋体" w:cs="宋体"/>
          <w:color w:val="000000" w:themeColor="text1"/>
          <w:highlight w:val="none"/>
          <w:lang w:val="en-US" w:eastAsia="zh-CN"/>
          <w14:textFill>
            <w14:solidFill>
              <w14:schemeClr w14:val="tx1"/>
            </w14:solidFill>
          </w14:textFill>
        </w:rPr>
        <w:t>废</w:t>
      </w:r>
      <w:r>
        <w:rPr>
          <w:rFonts w:hint="eastAsia" w:ascii="宋体" w:hAnsi="宋体" w:eastAsia="宋体" w:cs="宋体"/>
          <w:color w:val="000000" w:themeColor="text1"/>
          <w:highlight w:val="none"/>
          <w14:textFill>
            <w14:solidFill>
              <w14:schemeClr w14:val="tx1"/>
            </w14:solidFill>
          </w14:textFill>
        </w:rPr>
        <w:t>角料</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废</w:t>
      </w:r>
      <w:r>
        <w:rPr>
          <w:rFonts w:hint="eastAsia" w:ascii="宋体" w:hAnsi="宋体" w:eastAsia="宋体" w:cs="宋体"/>
          <w:color w:val="000000" w:themeColor="text1"/>
          <w:highlight w:val="none"/>
          <w14:textFill>
            <w14:solidFill>
              <w14:schemeClr w14:val="tx1"/>
            </w14:solidFill>
          </w14:textFill>
        </w:rPr>
        <w:t>外包装</w:t>
      </w:r>
      <w:r>
        <w:rPr>
          <w:rFonts w:hint="eastAsia" w:ascii="宋体" w:hAnsi="宋体" w:eastAsia="宋体" w:cs="宋体"/>
          <w:color w:val="000000" w:themeColor="text1"/>
          <w:highlight w:val="none"/>
          <w:lang w:val="en-US" w:eastAsia="zh-CN"/>
          <w14:textFill>
            <w14:solidFill>
              <w14:schemeClr w14:val="tx1"/>
            </w14:solidFill>
          </w14:textFill>
        </w:rPr>
        <w:t>材料、</w:t>
      </w:r>
      <w:r>
        <w:rPr>
          <w:rFonts w:hint="eastAsia" w:ascii="宋体" w:hAnsi="宋体" w:eastAsia="宋体" w:cs="宋体"/>
          <w:color w:val="000000" w:themeColor="text1"/>
          <w:highlight w:val="none"/>
          <w14:textFill>
            <w14:solidFill>
              <w14:schemeClr w14:val="tx1"/>
            </w14:solidFill>
          </w14:textFill>
        </w:rPr>
        <w:t>废内包装材料</w:t>
      </w:r>
      <w:r>
        <w:rPr>
          <w:rFonts w:hint="eastAsia" w:ascii="宋体" w:hAnsi="宋体" w:eastAsia="宋体" w:cs="宋体"/>
          <w:color w:val="000000" w:themeColor="text1"/>
          <w:highlight w:val="none"/>
          <w:lang w:val="en-US"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废润滑油、含油废抹布手套（分类收集的）</w:t>
      </w:r>
      <w:r>
        <w:rPr>
          <w:rFonts w:hint="eastAsia" w:ascii="宋体" w:hAnsi="宋体" w:cs="宋体"/>
          <w:color w:val="000000" w:themeColor="text1"/>
          <w:highlight w:val="none"/>
          <w:lang w:eastAsia="zh-CN"/>
          <w14:textFill>
            <w14:solidFill>
              <w14:schemeClr w14:val="tx1"/>
            </w14:solidFill>
          </w14:textFill>
        </w:rPr>
        <w:t>、</w:t>
      </w:r>
      <w:r>
        <w:rPr>
          <w:rFonts w:hint="eastAsia" w:ascii="宋体" w:hAnsi="宋体" w:cs="宋体"/>
          <w:color w:val="000000" w:themeColor="text1"/>
          <w:highlight w:val="none"/>
          <w:lang w:val="en-US" w:eastAsia="zh-CN"/>
          <w14:textFill>
            <w14:solidFill>
              <w14:schemeClr w14:val="tx1"/>
            </w14:solidFill>
          </w14:textFill>
        </w:rPr>
        <w:t>残渣</w:t>
      </w:r>
      <w:r>
        <w:rPr>
          <w:rFonts w:hint="eastAsia" w:ascii="宋体" w:hAnsi="宋体" w:eastAsia="宋体" w:cs="宋体"/>
          <w:color w:val="000000" w:themeColor="text1"/>
          <w:highlight w:val="none"/>
          <w:lang w:val="en-US" w:eastAsia="zh-CN"/>
          <w14:textFill>
            <w14:solidFill>
              <w14:schemeClr w14:val="tx1"/>
            </w14:solidFill>
          </w14:textFill>
        </w:rPr>
        <w:t>等。</w:t>
      </w:r>
      <w:r>
        <w:rPr>
          <w:rFonts w:hint="eastAsia" w:ascii="宋体" w:hAnsi="宋体" w:eastAsia="宋体" w:cs="宋体"/>
          <w:color w:val="000000" w:themeColor="text1"/>
          <w:highlight w:val="none"/>
          <w14:textFill>
            <w14:solidFill>
              <w14:schemeClr w14:val="tx1"/>
            </w14:solidFill>
          </w14:textFill>
        </w:rPr>
        <w:t>废内包装材料、废润滑油、含油废抹布手套（分类收集的）</w:t>
      </w:r>
      <w:r>
        <w:rPr>
          <w:rFonts w:hint="eastAsia" w:ascii="宋体" w:hAnsi="宋体" w:eastAsia="宋体" w:cs="宋体"/>
          <w:color w:val="000000" w:themeColor="text1"/>
          <w:highlight w:val="none"/>
          <w:lang w:val="en-US" w:eastAsia="zh-CN"/>
          <w14:textFill>
            <w14:solidFill>
              <w14:schemeClr w14:val="tx1"/>
            </w14:solidFill>
          </w14:textFill>
        </w:rPr>
        <w:t>和各类残渣暂存于厂区设置的80m²的危废暂存间暂存，定期委托有资质单位进行处置；不合格品、</w:t>
      </w:r>
      <w:r>
        <w:rPr>
          <w:rFonts w:hint="eastAsia" w:ascii="宋体" w:hAnsi="宋体" w:eastAsia="宋体" w:cs="宋体"/>
          <w:color w:val="000000" w:themeColor="text1"/>
          <w:highlight w:val="none"/>
          <w14:textFill>
            <w14:solidFill>
              <w14:schemeClr w14:val="tx1"/>
            </w14:solidFill>
          </w14:textFill>
        </w:rPr>
        <w:t>边</w:t>
      </w:r>
      <w:r>
        <w:rPr>
          <w:rFonts w:hint="eastAsia" w:ascii="宋体" w:hAnsi="宋体" w:eastAsia="宋体" w:cs="宋体"/>
          <w:color w:val="000000" w:themeColor="text1"/>
          <w:highlight w:val="none"/>
          <w:lang w:val="en-US" w:eastAsia="zh-CN"/>
          <w14:textFill>
            <w14:solidFill>
              <w14:schemeClr w14:val="tx1"/>
            </w14:solidFill>
          </w14:textFill>
        </w:rPr>
        <w:t>废</w:t>
      </w:r>
      <w:r>
        <w:rPr>
          <w:rFonts w:hint="eastAsia" w:ascii="宋体" w:hAnsi="宋体" w:eastAsia="宋体" w:cs="宋体"/>
          <w:color w:val="000000" w:themeColor="text1"/>
          <w:highlight w:val="none"/>
          <w14:textFill>
            <w14:solidFill>
              <w14:schemeClr w14:val="tx1"/>
            </w14:solidFill>
          </w14:textFill>
        </w:rPr>
        <w:t>角料</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废</w:t>
      </w:r>
      <w:r>
        <w:rPr>
          <w:rFonts w:hint="eastAsia" w:ascii="宋体" w:hAnsi="宋体" w:eastAsia="宋体" w:cs="宋体"/>
          <w:color w:val="000000" w:themeColor="text1"/>
          <w:highlight w:val="none"/>
          <w14:textFill>
            <w14:solidFill>
              <w14:schemeClr w14:val="tx1"/>
            </w14:solidFill>
          </w14:textFill>
        </w:rPr>
        <w:t>外包装</w:t>
      </w:r>
      <w:r>
        <w:rPr>
          <w:rFonts w:hint="eastAsia" w:ascii="宋体" w:hAnsi="宋体" w:eastAsia="宋体" w:cs="宋体"/>
          <w:color w:val="000000" w:themeColor="text1"/>
          <w:highlight w:val="none"/>
          <w:lang w:val="en-US" w:eastAsia="zh-CN"/>
          <w14:textFill>
            <w14:solidFill>
              <w14:schemeClr w14:val="tx1"/>
            </w14:solidFill>
          </w14:textFill>
        </w:rPr>
        <w:t>材料收集后由物资公司回收。</w:t>
      </w:r>
    </w:p>
    <w:p>
      <w:pPr>
        <w:pStyle w:val="8"/>
        <w:keepNext/>
        <w:keepLines/>
        <w:pageBreakBefore w:val="0"/>
        <w:kinsoku/>
        <w:wordWrap/>
        <w:overflowPunct/>
        <w:topLinePunct w:val="0"/>
        <w:autoSpaceDE/>
        <w:autoSpaceDN/>
        <w:bidi w:val="0"/>
        <w:adjustRightInd/>
        <w:snapToGrid/>
        <w:ind w:firstLine="482" w:firstLineChars="200"/>
        <w:textAlignment w:val="auto"/>
        <w:rPr>
          <w:rFonts w:hint="eastAsia" w:ascii="宋体" w:hAnsi="宋体" w:eastAsia="宋体" w:cs="宋体"/>
          <w:bCs/>
          <w:color w:val="000000" w:themeColor="text1"/>
          <w:highlight w:val="none"/>
          <w:lang w:val="en-US" w:eastAsia="zh-CN"/>
          <w14:textFill>
            <w14:solidFill>
              <w14:schemeClr w14:val="tx1"/>
            </w14:solidFill>
          </w14:textFill>
        </w:rPr>
      </w:pPr>
      <w:bookmarkStart w:id="515" w:name="_Toc461199004"/>
      <w:bookmarkStart w:id="516" w:name="_Toc477296705"/>
      <w:bookmarkStart w:id="517" w:name="_Toc8045761"/>
      <w:bookmarkStart w:id="518" w:name="_Toc2247963"/>
      <w:bookmarkStart w:id="519" w:name="_Toc9861175"/>
      <w:bookmarkStart w:id="520" w:name="_Toc481064749"/>
      <w:bookmarkStart w:id="521" w:name="_Toc18760"/>
      <w:bookmarkStart w:id="522" w:name="_Toc491546763"/>
      <w:bookmarkStart w:id="523" w:name="_Toc6655157"/>
      <w:bookmarkStart w:id="524" w:name="_Toc536433528"/>
      <w:bookmarkStart w:id="525" w:name="_Toc9489"/>
      <w:bookmarkStart w:id="526" w:name="_Toc479238592"/>
      <w:bookmarkStart w:id="527" w:name="_Toc12495"/>
      <w:bookmarkStart w:id="528" w:name="_Toc515367258"/>
      <w:bookmarkStart w:id="529" w:name="_Toc499306675"/>
      <w:bookmarkStart w:id="530" w:name="_Toc15960"/>
      <w:bookmarkStart w:id="531" w:name="_Toc501103989"/>
      <w:bookmarkStart w:id="532" w:name="_Toc21947"/>
      <w:bookmarkStart w:id="533" w:name="_Toc477266813"/>
      <w:bookmarkStart w:id="534" w:name="_Toc9941747"/>
      <w:bookmarkStart w:id="535" w:name="_Toc8894975"/>
      <w:bookmarkStart w:id="536" w:name="_Toc5924"/>
      <w:bookmarkStart w:id="537" w:name="_Toc518752284"/>
      <w:bookmarkStart w:id="538" w:name="_Toc477434387"/>
      <w:bookmarkStart w:id="539" w:name="_Toc7000036"/>
      <w:bookmarkStart w:id="540" w:name="_Toc15559686"/>
      <w:bookmarkStart w:id="541" w:name="_Toc510599203"/>
      <w:bookmarkStart w:id="542" w:name="_Toc6498164"/>
      <w:bookmarkStart w:id="543" w:name="_Toc12622127"/>
      <w:r>
        <w:rPr>
          <w:rFonts w:hint="eastAsia" w:ascii="宋体" w:hAnsi="宋体" w:eastAsia="宋体" w:cs="宋体"/>
          <w:bCs/>
          <w:color w:val="000000" w:themeColor="text1"/>
          <w:highlight w:val="none"/>
          <w:lang w:val="en-US" w:eastAsia="zh-CN"/>
          <w14:textFill>
            <w14:solidFill>
              <w14:schemeClr w14:val="tx1"/>
            </w14:solidFill>
          </w14:textFill>
        </w:rPr>
        <w:t>7.3.2危废暂存、储运及污染控制措施</w:t>
      </w:r>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p>
    <w:p>
      <w:pPr>
        <w:spacing w:line="360" w:lineRule="auto"/>
        <w:ind w:firstLine="504" w:firstLineChars="200"/>
        <w:rPr>
          <w:rFonts w:hint="eastAsia" w:ascii="宋体" w:hAnsi="宋体" w:eastAsia="宋体" w:cs="宋体"/>
          <w:bCs/>
          <w:color w:val="000000" w:themeColor="text1"/>
          <w:spacing w:val="6"/>
          <w:highlight w:val="none"/>
          <w14:textFill>
            <w14:solidFill>
              <w14:schemeClr w14:val="tx1"/>
            </w14:solidFill>
          </w14:textFill>
        </w:rPr>
      </w:pPr>
      <w:r>
        <w:rPr>
          <w:rFonts w:hint="eastAsia" w:ascii="宋体" w:hAnsi="宋体" w:eastAsia="宋体" w:cs="宋体"/>
          <w:bCs/>
          <w:color w:val="000000" w:themeColor="text1"/>
          <w:spacing w:val="6"/>
          <w:szCs w:val="21"/>
          <w:highlight w:val="none"/>
          <w14:textFill>
            <w14:solidFill>
              <w14:schemeClr w14:val="tx1"/>
            </w14:solidFill>
          </w14:textFill>
        </w:rPr>
        <w:t>（1）</w:t>
      </w:r>
      <w:r>
        <w:rPr>
          <w:rFonts w:hint="eastAsia" w:ascii="宋体" w:hAnsi="宋体" w:eastAsia="宋体" w:cs="宋体"/>
          <w:bCs/>
          <w:color w:val="000000" w:themeColor="text1"/>
          <w:spacing w:val="6"/>
          <w:highlight w:val="none"/>
          <w14:textFill>
            <w14:solidFill>
              <w14:schemeClr w14:val="tx1"/>
            </w14:solidFill>
          </w14:textFill>
        </w:rPr>
        <w:t>危废厂区暂存过程污染控制措施</w:t>
      </w:r>
    </w:p>
    <w:p>
      <w:pPr>
        <w:spacing w:line="360" w:lineRule="auto"/>
        <w:ind w:firstLine="504"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Cs/>
          <w:color w:val="000000" w:themeColor="text1"/>
          <w:spacing w:val="6"/>
          <w:szCs w:val="21"/>
          <w:highlight w:val="none"/>
          <w14:textFill>
            <w14:solidFill>
              <w14:schemeClr w14:val="tx1"/>
            </w14:solidFill>
          </w14:textFill>
        </w:rPr>
        <w:t>根据《危险废物贮存污染控制标准》，贮存场所要需设置导流沟和集液井收集液体泄漏物料，地面和墙裙需按要求进行防腐防渗处理</w:t>
      </w:r>
      <w:r>
        <w:rPr>
          <w:rFonts w:hint="eastAsia" w:ascii="宋体" w:hAnsi="宋体" w:eastAsia="宋体" w:cs="宋体"/>
          <w:color w:val="000000" w:themeColor="text1"/>
          <w:szCs w:val="21"/>
          <w:highlight w:val="none"/>
          <w14:textFill>
            <w14:solidFill>
              <w14:schemeClr w14:val="tx1"/>
            </w14:solidFill>
          </w14:textFill>
        </w:rPr>
        <w:t>。地面防渗层采用</w:t>
      </w:r>
      <w:r>
        <w:rPr>
          <w:rFonts w:hint="eastAsia" w:ascii="宋体" w:hAnsi="宋体" w:eastAsia="宋体" w:cs="宋体"/>
          <w:bCs/>
          <w:color w:val="000000" w:themeColor="text1"/>
          <w:szCs w:val="21"/>
          <w:highlight w:val="none"/>
          <w14:textFill>
            <w14:solidFill>
              <w14:schemeClr w14:val="tx1"/>
            </w14:solidFill>
          </w14:textFill>
        </w:rPr>
        <w:t>水泥基渗透结晶型抗渗混凝土（厚度≥250mm）+水泥基渗透结晶型防渗涂层结构形式（厚度≥1.0mm），防渗结构层渗透系数≤1.0×10</w:t>
      </w:r>
      <w:r>
        <w:rPr>
          <w:rFonts w:hint="eastAsia" w:ascii="宋体" w:hAnsi="宋体" w:eastAsia="宋体" w:cs="宋体"/>
          <w:bCs/>
          <w:color w:val="000000" w:themeColor="text1"/>
          <w:szCs w:val="21"/>
          <w:highlight w:val="none"/>
          <w:vertAlign w:val="superscript"/>
          <w14:textFill>
            <w14:solidFill>
              <w14:schemeClr w14:val="tx1"/>
            </w14:solidFill>
          </w14:textFill>
        </w:rPr>
        <w:t>-12</w:t>
      </w:r>
      <w:r>
        <w:rPr>
          <w:rFonts w:hint="eastAsia" w:ascii="宋体" w:hAnsi="宋体" w:eastAsia="宋体" w:cs="宋体"/>
          <w:bCs/>
          <w:color w:val="000000" w:themeColor="text1"/>
          <w:szCs w:val="21"/>
          <w:highlight w:val="none"/>
          <w14:textFill>
            <w14:solidFill>
              <w14:schemeClr w14:val="tx1"/>
            </w14:solidFill>
          </w14:textFill>
        </w:rPr>
        <w:t>cm/s</w:t>
      </w:r>
      <w:r>
        <w:rPr>
          <w:rFonts w:hint="eastAsia" w:ascii="宋体" w:hAnsi="宋体" w:eastAsia="宋体" w:cs="宋体"/>
          <w:color w:val="000000" w:themeColor="text1"/>
          <w:szCs w:val="21"/>
          <w:highlight w:val="none"/>
          <w14:textFill>
            <w14:solidFill>
              <w14:schemeClr w14:val="tx1"/>
            </w14:solidFill>
          </w14:textFill>
        </w:rPr>
        <w:t>；地面与裙角要用坚固、防渗的材料建造，建筑材料必须与危险废物相容，硬化地面要耐腐蚀，且表面无裂隙；地面与裙角所围建的容积不低于堵截最大容器的最大储量或总储量的1/5，建议裙角高度为30cm。</w:t>
      </w:r>
    </w:p>
    <w:p>
      <w:pPr>
        <w:spacing w:line="360" w:lineRule="auto"/>
        <w:ind w:firstLine="504"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Cs/>
          <w:color w:val="000000" w:themeColor="text1"/>
          <w:spacing w:val="6"/>
          <w:szCs w:val="21"/>
          <w:highlight w:val="none"/>
          <w14:textFill>
            <w14:solidFill>
              <w14:schemeClr w14:val="tx1"/>
            </w14:solidFill>
          </w14:textFill>
        </w:rPr>
        <w:t>贮存场所内禁止混放不相容危险废物；贮存场所设置危险警示标识。</w:t>
      </w:r>
    </w:p>
    <w:p>
      <w:pPr>
        <w:spacing w:line="360" w:lineRule="auto"/>
        <w:ind w:firstLine="504" w:firstLineChars="200"/>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bCs/>
          <w:color w:val="000000" w:themeColor="text1"/>
          <w:spacing w:val="6"/>
          <w:szCs w:val="21"/>
          <w:highlight w:val="none"/>
          <w14:textFill>
            <w14:solidFill>
              <w14:schemeClr w14:val="tx1"/>
            </w14:solidFill>
          </w14:textFill>
        </w:rPr>
        <w:t>废物的贮存容器必须有明显标志，具有耐腐蚀、耐压、密封和不与所贮存的废物发生反应等特性。</w:t>
      </w:r>
    </w:p>
    <w:p>
      <w:pPr>
        <w:tabs>
          <w:tab w:val="left" w:pos="0"/>
        </w:tabs>
        <w:spacing w:line="360" w:lineRule="auto"/>
        <w:ind w:firstLine="501" w:firstLineChars="209"/>
        <w:rPr>
          <w:rFonts w:hint="eastAsia" w:ascii="宋体" w:hAnsi="宋体" w:eastAsia="宋体" w:cs="宋体"/>
          <w:bCs/>
          <w:color w:val="000000" w:themeColor="text1"/>
          <w:spacing w:val="6"/>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厂区新建危废暂存仓</w:t>
      </w:r>
      <w:r>
        <w:rPr>
          <w:rFonts w:hint="eastAsia" w:ascii="宋体" w:hAnsi="宋体" w:eastAsia="宋体" w:cs="宋体"/>
          <w:color w:val="000000" w:themeColor="text1"/>
          <w:szCs w:val="21"/>
          <w:highlight w:val="none"/>
          <w:lang w:eastAsia="zh-CN"/>
          <w14:textFill>
            <w14:solidFill>
              <w14:schemeClr w14:val="tx1"/>
            </w14:solidFill>
          </w14:textFill>
        </w:rPr>
        <w:t>库8</w:t>
      </w:r>
      <w:r>
        <w:rPr>
          <w:rFonts w:hint="eastAsia" w:ascii="宋体" w:hAnsi="宋体" w:eastAsia="宋体" w:cs="宋体"/>
          <w:color w:val="000000" w:themeColor="text1"/>
          <w:szCs w:val="21"/>
          <w:highlight w:val="none"/>
          <w:lang w:val="en-US" w:eastAsia="zh-CN"/>
          <w14:textFill>
            <w14:solidFill>
              <w14:schemeClr w14:val="tx1"/>
            </w14:solidFill>
          </w14:textFill>
        </w:rPr>
        <w:t>0</w:t>
      </w:r>
      <w:r>
        <w:rPr>
          <w:rFonts w:hint="eastAsia" w:ascii="宋体" w:hAnsi="宋体" w:eastAsia="宋体" w:cs="宋体"/>
          <w:color w:val="000000" w:themeColor="text1"/>
          <w:szCs w:val="21"/>
          <w:highlight w:val="none"/>
          <w:lang w:eastAsia="zh-CN"/>
          <w14:textFill>
            <w14:solidFill>
              <w14:schemeClr w14:val="tx1"/>
            </w14:solidFill>
          </w14:textFill>
        </w:rPr>
        <w:t>m²</w:t>
      </w:r>
      <w:r>
        <w:rPr>
          <w:rFonts w:hint="eastAsia" w:ascii="宋体" w:hAnsi="宋体" w:eastAsia="宋体" w:cs="宋体"/>
          <w:color w:val="000000" w:themeColor="text1"/>
          <w:szCs w:val="21"/>
          <w:highlight w:val="none"/>
          <w14:textFill>
            <w14:solidFill>
              <w14:schemeClr w14:val="tx1"/>
            </w14:solidFill>
          </w14:textFill>
        </w:rPr>
        <w:t>，</w:t>
      </w:r>
      <w:r>
        <w:rPr>
          <w:rFonts w:hint="eastAsia" w:ascii="宋体" w:hAnsi="宋体" w:eastAsia="宋体" w:cs="宋体"/>
          <w:bCs/>
          <w:color w:val="000000" w:themeColor="text1"/>
          <w:spacing w:val="6"/>
          <w:szCs w:val="21"/>
          <w:highlight w:val="none"/>
          <w14:textFill>
            <w14:solidFill>
              <w14:schemeClr w14:val="tx1"/>
            </w14:solidFill>
          </w14:textFill>
        </w:rPr>
        <w:t>用于危险废物临时储存，</w:t>
      </w:r>
      <w:r>
        <w:rPr>
          <w:rFonts w:hint="eastAsia" w:ascii="宋体" w:hAnsi="宋体" w:eastAsia="宋体" w:cs="宋体"/>
          <w:color w:val="000000" w:themeColor="text1"/>
          <w:szCs w:val="21"/>
          <w:highlight w:val="none"/>
          <w14:textFill>
            <w14:solidFill>
              <w14:schemeClr w14:val="tx1"/>
            </w14:solidFill>
          </w14:textFill>
        </w:rPr>
        <w:t>仓库地面已进行防腐防渗处理，达到</w:t>
      </w:r>
      <w:r>
        <w:rPr>
          <w:rFonts w:hint="eastAsia" w:ascii="宋体" w:hAnsi="宋体" w:eastAsia="宋体" w:cs="宋体"/>
          <w:bCs/>
          <w:color w:val="000000" w:themeColor="text1"/>
          <w:spacing w:val="6"/>
          <w:szCs w:val="21"/>
          <w:highlight w:val="none"/>
          <w14:textFill>
            <w14:solidFill>
              <w14:schemeClr w14:val="tx1"/>
            </w14:solidFill>
          </w14:textFill>
        </w:rPr>
        <w:t>《危险废物贮存污染控制标准》要求。</w:t>
      </w:r>
      <w:r>
        <w:rPr>
          <w:rFonts w:hint="eastAsia" w:ascii="宋体" w:hAnsi="宋体" w:eastAsia="宋体" w:cs="宋体"/>
          <w:bCs/>
          <w:color w:val="000000" w:themeColor="text1"/>
          <w:spacing w:val="6"/>
          <w:szCs w:val="21"/>
          <w:highlight w:val="none"/>
          <w:lang w:val="en-US" w:eastAsia="zh-CN"/>
          <w14:textFill>
            <w14:solidFill>
              <w14:schemeClr w14:val="tx1"/>
            </w14:solidFill>
          </w14:textFill>
        </w:rPr>
        <w:t>公司计划1周清运一次回收的废溶剂，故回收溶剂在厂内危废暂存间最大的储存量不超过10t，故本项目危废暂存间内危险废物最大储存量不超过32t，本项目不同危废在危废暂存间内隔开贮存。参照《常用化学危险品贮存通则》（GB15603-1995），隔开贮存时，每平米平均能贮存0.7t的危废。故所建危废暂存间最大能贮存56t的危废，能满足本项目危废在厂区的储存要求。</w:t>
      </w:r>
    </w:p>
    <w:p>
      <w:pPr>
        <w:spacing w:line="360" w:lineRule="auto"/>
        <w:ind w:firstLine="504" w:firstLineChars="200"/>
        <w:rPr>
          <w:rFonts w:hint="eastAsia" w:ascii="宋体" w:hAnsi="宋体" w:eastAsia="宋体" w:cs="宋体"/>
          <w:bCs/>
          <w:color w:val="000000" w:themeColor="text1"/>
          <w:spacing w:val="6"/>
          <w:highlight w:val="none"/>
          <w14:textFill>
            <w14:solidFill>
              <w14:schemeClr w14:val="tx1"/>
            </w14:solidFill>
          </w14:textFill>
        </w:rPr>
      </w:pPr>
      <w:r>
        <w:rPr>
          <w:rFonts w:hint="eastAsia" w:ascii="宋体" w:hAnsi="宋体" w:eastAsia="宋体" w:cs="宋体"/>
          <w:bCs/>
          <w:color w:val="000000" w:themeColor="text1"/>
          <w:spacing w:val="6"/>
          <w:highlight w:val="none"/>
          <w14:textFill>
            <w14:solidFill>
              <w14:schemeClr w14:val="tx1"/>
            </w14:solidFill>
          </w14:textFill>
        </w:rPr>
        <w:t>（2）危废运输过程污染控制措施</w:t>
      </w:r>
    </w:p>
    <w:p>
      <w:pPr>
        <w:spacing w:line="360" w:lineRule="auto"/>
        <w:ind w:firstLine="504" w:firstLineChars="200"/>
        <w:rPr>
          <w:rFonts w:hint="eastAsia" w:ascii="宋体" w:hAnsi="宋体" w:eastAsia="宋体" w:cs="宋体"/>
          <w:bCs/>
          <w:color w:val="000000" w:themeColor="text1"/>
          <w:spacing w:val="6"/>
          <w:highlight w:val="none"/>
          <w14:textFill>
            <w14:solidFill>
              <w14:schemeClr w14:val="tx1"/>
            </w14:solidFill>
          </w14:textFill>
        </w:rPr>
      </w:pPr>
      <w:r>
        <w:rPr>
          <w:rFonts w:hint="eastAsia" w:ascii="宋体" w:hAnsi="宋体" w:eastAsia="宋体" w:cs="宋体"/>
          <w:bCs/>
          <w:color w:val="000000" w:themeColor="text1"/>
          <w:spacing w:val="6"/>
          <w:highlight w:val="none"/>
          <w14:textFill>
            <w14:solidFill>
              <w14:schemeClr w14:val="tx1"/>
            </w14:solidFill>
          </w14:textFill>
        </w:rPr>
        <w:t>本项目工业过程中产生的危险废物，委托外运处理时，在运输中应按危险废物做到以下几点：</w:t>
      </w:r>
    </w:p>
    <w:p>
      <w:pPr>
        <w:keepNext w:val="0"/>
        <w:keepLines w:val="0"/>
        <w:pageBreakBefore w:val="0"/>
        <w:widowControl/>
        <w:numPr>
          <w:ilvl w:val="0"/>
          <w:numId w:val="0"/>
        </w:numPr>
        <w:tabs>
          <w:tab w:val="left" w:pos="0"/>
        </w:tabs>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①</w:t>
      </w:r>
      <w:r>
        <w:rPr>
          <w:rFonts w:hint="eastAsia" w:ascii="宋体" w:hAnsi="宋体" w:eastAsia="宋体" w:cs="宋体"/>
          <w:color w:val="000000" w:themeColor="text1"/>
          <w:highlight w:val="none"/>
          <w14:textFill>
            <w14:solidFill>
              <w14:schemeClr w14:val="tx1"/>
            </w14:solidFill>
          </w14:textFill>
        </w:rPr>
        <w:t>危险废物处置全过程的管理制度；转移联单管理制度；职业健康、安全、环保管理体系；处置</w:t>
      </w:r>
      <w:r>
        <w:rPr>
          <w:rFonts w:hint="eastAsia" w:ascii="宋体" w:hAnsi="宋体" w:eastAsia="宋体" w:cs="宋体"/>
          <w:color w:val="000000" w:themeColor="text1"/>
          <w:highlight w:val="none"/>
          <w:lang w:val="en-US" w:eastAsia="zh-CN"/>
          <w14:textFill>
            <w14:solidFill>
              <w14:schemeClr w14:val="tx1"/>
            </w14:solidFill>
          </w14:textFill>
        </w:rPr>
        <w:t>运输单位</w:t>
      </w:r>
      <w:r>
        <w:rPr>
          <w:rFonts w:hint="eastAsia" w:ascii="宋体" w:hAnsi="宋体" w:eastAsia="宋体" w:cs="宋体"/>
          <w:color w:val="000000" w:themeColor="text1"/>
          <w:highlight w:val="none"/>
          <w14:textFill>
            <w14:solidFill>
              <w14:schemeClr w14:val="tx1"/>
            </w14:solidFill>
          </w14:textFill>
        </w:rPr>
        <w:t>的管理人员应参加环保管理部门的岗位培训，合格后上岗；档案管理制度。</w:t>
      </w:r>
    </w:p>
    <w:p>
      <w:pPr>
        <w:keepNext w:val="0"/>
        <w:keepLines w:val="0"/>
        <w:pageBreakBefore w:val="0"/>
        <w:widowControl/>
        <w:numPr>
          <w:ilvl w:val="0"/>
          <w:numId w:val="0"/>
        </w:numPr>
        <w:tabs>
          <w:tab w:val="left" w:pos="0"/>
        </w:tabs>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②</w:t>
      </w:r>
      <w:r>
        <w:rPr>
          <w:rFonts w:hint="eastAsia" w:ascii="宋体" w:hAnsi="宋体" w:eastAsia="宋体" w:cs="宋体"/>
          <w:color w:val="000000" w:themeColor="text1"/>
          <w:highlight w:val="none"/>
          <w14:textFill>
            <w14:solidFill>
              <w14:schemeClr w14:val="tx1"/>
            </w14:solidFill>
          </w14:textFill>
        </w:rPr>
        <w:t>危险废物的运输车辆须经主管单位检查，并持有有关单位签发的许可证，负责运输的司机应通过培训，持有证明文件。</w:t>
      </w:r>
    </w:p>
    <w:p>
      <w:pPr>
        <w:keepNext w:val="0"/>
        <w:keepLines w:val="0"/>
        <w:pageBreakBefore w:val="0"/>
        <w:widowControl/>
        <w:numPr>
          <w:ilvl w:val="0"/>
          <w:numId w:val="0"/>
        </w:numPr>
        <w:tabs>
          <w:tab w:val="left" w:pos="0"/>
        </w:tabs>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③</w:t>
      </w:r>
      <w:r>
        <w:rPr>
          <w:rFonts w:hint="eastAsia" w:ascii="宋体" w:hAnsi="宋体" w:eastAsia="宋体" w:cs="宋体"/>
          <w:color w:val="000000" w:themeColor="text1"/>
          <w:highlight w:val="none"/>
          <w14:textFill>
            <w14:solidFill>
              <w14:schemeClr w14:val="tx1"/>
            </w14:solidFill>
          </w14:textFill>
        </w:rPr>
        <w:t>承载危险废物的车辆须有明显的标志或适当的危险符号，以引起注意。</w:t>
      </w:r>
    </w:p>
    <w:p>
      <w:pPr>
        <w:keepNext w:val="0"/>
        <w:keepLines w:val="0"/>
        <w:pageBreakBefore w:val="0"/>
        <w:widowControl/>
        <w:numPr>
          <w:ilvl w:val="0"/>
          <w:numId w:val="0"/>
        </w:numPr>
        <w:tabs>
          <w:tab w:val="left" w:pos="0"/>
        </w:tabs>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④</w:t>
      </w:r>
      <w:r>
        <w:rPr>
          <w:rFonts w:hint="eastAsia" w:ascii="宋体" w:hAnsi="宋体" w:eastAsia="宋体" w:cs="宋体"/>
          <w:color w:val="000000" w:themeColor="text1"/>
          <w:highlight w:val="none"/>
          <w14:textFill>
            <w14:solidFill>
              <w14:schemeClr w14:val="tx1"/>
            </w14:solidFill>
          </w14:textFill>
        </w:rPr>
        <w:t>载有危险废物的车辆在公路上行驶时，需持有运输许可证，其上应注明废物来源、性质和运往地点，必要时须有专门单位人员负责押运。</w:t>
      </w:r>
    </w:p>
    <w:p>
      <w:pPr>
        <w:pStyle w:val="72"/>
        <w:keepNext w:val="0"/>
        <w:keepLines w:val="0"/>
        <w:pageBreakBefore w:val="0"/>
        <w:widowControl/>
        <w:numPr>
          <w:ilvl w:val="0"/>
          <w:numId w:val="0"/>
        </w:numPr>
        <w:tabs>
          <w:tab w:val="left" w:pos="0"/>
        </w:tabs>
        <w:kinsoku/>
        <w:wordWrap/>
        <w:overflowPunct/>
        <w:topLinePunct w:val="0"/>
        <w:autoSpaceDE/>
        <w:autoSpaceDN/>
        <w:bidi w:val="0"/>
        <w:adjustRightInd/>
        <w:snapToGrid/>
        <w:spacing w:line="360" w:lineRule="auto"/>
        <w:ind w:left="0" w:leftChars="0" w:firstLine="504" w:firstLineChars="200"/>
        <w:textAlignment w:val="auto"/>
        <w:rPr>
          <w:rFonts w:hint="eastAsia" w:ascii="宋体" w:hAnsi="宋体" w:eastAsia="宋体" w:cs="宋体"/>
          <w:bCs/>
          <w:color w:val="000000" w:themeColor="text1"/>
          <w:spacing w:val="6"/>
          <w:highlight w:val="none"/>
          <w14:textFill>
            <w14:solidFill>
              <w14:schemeClr w14:val="tx1"/>
            </w14:solidFill>
          </w14:textFill>
        </w:rPr>
      </w:pPr>
      <w:r>
        <w:rPr>
          <w:rFonts w:hint="eastAsia" w:ascii="宋体" w:hAnsi="宋体" w:eastAsia="宋体" w:cs="宋体"/>
          <w:bCs/>
          <w:color w:val="000000" w:themeColor="text1"/>
          <w:spacing w:val="6"/>
          <w:highlight w:val="none"/>
          <w:lang w:val="en-US" w:eastAsia="zh-CN"/>
          <w14:textFill>
            <w14:solidFill>
              <w14:schemeClr w14:val="tx1"/>
            </w14:solidFill>
          </w14:textFill>
        </w:rPr>
        <w:t>⑤</w:t>
      </w:r>
      <w:r>
        <w:rPr>
          <w:rFonts w:hint="eastAsia" w:ascii="宋体" w:hAnsi="宋体" w:eastAsia="宋体" w:cs="宋体"/>
          <w:bCs/>
          <w:color w:val="000000" w:themeColor="text1"/>
          <w:spacing w:val="6"/>
          <w:highlight w:val="none"/>
          <w14:textFill>
            <w14:solidFill>
              <w14:schemeClr w14:val="tx1"/>
            </w14:solidFill>
          </w14:textFill>
        </w:rPr>
        <w:t>组织危险废物的运输单位，在事先需作出周密的运输计划和行驶路线，其中包括废物泄漏情况下的有效应急措施。</w:t>
      </w:r>
    </w:p>
    <w:p>
      <w:pPr>
        <w:pStyle w:val="8"/>
        <w:keepNext/>
        <w:keepLines/>
        <w:pageBreakBefore w:val="0"/>
        <w:kinsoku/>
        <w:wordWrap/>
        <w:overflowPunct/>
        <w:topLinePunct w:val="0"/>
        <w:autoSpaceDE/>
        <w:autoSpaceDN/>
        <w:bidi w:val="0"/>
        <w:adjustRightInd/>
        <w:snapToGrid/>
        <w:ind w:firstLine="482" w:firstLineChars="200"/>
        <w:textAlignment w:val="auto"/>
        <w:rPr>
          <w:rFonts w:hint="eastAsia" w:ascii="宋体" w:hAnsi="宋体" w:eastAsia="宋体" w:cs="宋体"/>
          <w:bCs/>
          <w:color w:val="000000" w:themeColor="text1"/>
          <w:highlight w:val="none"/>
          <w:lang w:val="en-US" w:eastAsia="zh-CN"/>
          <w14:textFill>
            <w14:solidFill>
              <w14:schemeClr w14:val="tx1"/>
            </w14:solidFill>
          </w14:textFill>
        </w:rPr>
      </w:pPr>
      <w:bookmarkStart w:id="544" w:name="_Toc12622128"/>
      <w:bookmarkStart w:id="545" w:name="_Toc8045762"/>
      <w:bookmarkStart w:id="546" w:name="_Toc20193"/>
      <w:bookmarkStart w:id="547" w:name="_Toc30552"/>
      <w:bookmarkStart w:id="548" w:name="_Toc8894976"/>
      <w:bookmarkStart w:id="549" w:name="_Toc7000037"/>
      <w:bookmarkStart w:id="550" w:name="_Toc495673735"/>
      <w:bookmarkStart w:id="551" w:name="_Toc15559687"/>
      <w:bookmarkStart w:id="552" w:name="_Toc6655158"/>
      <w:bookmarkStart w:id="553" w:name="_Toc2247964"/>
      <w:bookmarkStart w:id="554" w:name="_Toc23654"/>
      <w:bookmarkStart w:id="555" w:name="_Toc8283"/>
      <w:bookmarkStart w:id="556" w:name="_Toc9941748"/>
      <w:bookmarkStart w:id="557" w:name="_Toc499306676"/>
      <w:bookmarkStart w:id="558" w:name="_Toc510599204"/>
      <w:bookmarkStart w:id="559" w:name="_Toc9861176"/>
      <w:bookmarkStart w:id="560" w:name="_Toc19311"/>
      <w:bookmarkStart w:id="561" w:name="_Toc515367259"/>
      <w:bookmarkStart w:id="562" w:name="_Toc518752285"/>
      <w:bookmarkStart w:id="563" w:name="_Toc536433529"/>
      <w:bookmarkStart w:id="564" w:name="_Toc638"/>
      <w:bookmarkStart w:id="565" w:name="_Toc501103990"/>
      <w:bookmarkStart w:id="566" w:name="_Toc6498165"/>
      <w:r>
        <w:rPr>
          <w:rFonts w:hint="eastAsia" w:ascii="宋体" w:hAnsi="宋体" w:eastAsia="宋体" w:cs="宋体"/>
          <w:bCs/>
          <w:color w:val="000000" w:themeColor="text1"/>
          <w:highlight w:val="none"/>
          <w:lang w:val="en-US" w:eastAsia="zh-CN"/>
          <w14:textFill>
            <w14:solidFill>
              <w14:schemeClr w14:val="tx1"/>
            </w14:solidFill>
          </w14:textFill>
        </w:rPr>
        <w:t>7.3.3固体废弃物防治建议</w:t>
      </w:r>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p>
    <w:p>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outlineLvl w:val="3"/>
        <w:rPr>
          <w:rFonts w:hint="eastAsia" w:ascii="宋体" w:hAnsi="宋体" w:eastAsia="宋体" w:cs="宋体"/>
          <w:b/>
          <w:bCs/>
          <w:color w:val="000000" w:themeColor="text1"/>
          <w:lang w:val="en-US" w:eastAsia="zh-CN"/>
          <w14:textFill>
            <w14:solidFill>
              <w14:schemeClr w14:val="tx1"/>
            </w14:solidFill>
          </w14:textFill>
        </w:rPr>
      </w:pPr>
      <w:r>
        <w:rPr>
          <w:rFonts w:hint="eastAsia" w:ascii="宋体" w:hAnsi="宋体" w:eastAsia="宋体" w:cs="宋体"/>
          <w:b/>
          <w:bCs/>
          <w:color w:val="000000" w:themeColor="text1"/>
          <w:lang w:val="en-US" w:eastAsia="zh-CN"/>
          <w14:textFill>
            <w14:solidFill>
              <w14:schemeClr w14:val="tx1"/>
            </w14:solidFill>
          </w14:textFill>
        </w:rPr>
        <w:t>7.3.3.1危险废物暂存场所规模及暂存时间要求</w:t>
      </w:r>
    </w:p>
    <w:p>
      <w:pPr>
        <w:pStyle w:val="72"/>
        <w:keepNext w:val="0"/>
        <w:keepLines w:val="0"/>
        <w:pageBreakBefore w:val="0"/>
        <w:widowControl/>
        <w:tabs>
          <w:tab w:val="left" w:pos="0"/>
        </w:tabs>
        <w:kinsoku/>
        <w:wordWrap/>
        <w:overflowPunct/>
        <w:topLinePunct w:val="0"/>
        <w:autoSpaceDE/>
        <w:autoSpaceDN/>
        <w:bidi w:val="0"/>
        <w:adjustRightInd/>
        <w:snapToGrid/>
        <w:spacing w:line="360" w:lineRule="auto"/>
        <w:ind w:firstLine="501" w:firstLineChars="209"/>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按照国家相关危险废物处理处置技术规范，本项目产生的危险废物必须得到妥善处理处置，对不能综合利用的危险废物，应就近委托有资质的危险废物处置单位集中处理处置。</w:t>
      </w:r>
    </w:p>
    <w:p>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outlineLvl w:val="3"/>
        <w:rPr>
          <w:rFonts w:hint="eastAsia" w:ascii="宋体" w:hAnsi="宋体" w:eastAsia="宋体" w:cs="宋体"/>
          <w:b/>
          <w:bCs/>
          <w:color w:val="000000" w:themeColor="text1"/>
          <w:lang w:val="en-US" w:eastAsia="zh-CN"/>
          <w14:textFill>
            <w14:solidFill>
              <w14:schemeClr w14:val="tx1"/>
            </w14:solidFill>
          </w14:textFill>
        </w:rPr>
      </w:pPr>
      <w:r>
        <w:rPr>
          <w:rFonts w:hint="eastAsia" w:ascii="宋体" w:hAnsi="宋体" w:eastAsia="宋体" w:cs="宋体"/>
          <w:b/>
          <w:bCs/>
          <w:color w:val="000000" w:themeColor="text1"/>
          <w:lang w:val="en-US" w:eastAsia="zh-CN"/>
          <w14:textFill>
            <w14:solidFill>
              <w14:schemeClr w14:val="tx1"/>
            </w14:solidFill>
          </w14:textFill>
        </w:rPr>
        <w:t>7.3.3.2危险废物在厂内暂存及防止二次污染的措施</w:t>
      </w:r>
    </w:p>
    <w:p>
      <w:pPr>
        <w:pStyle w:val="72"/>
        <w:keepNext w:val="0"/>
        <w:keepLines w:val="0"/>
        <w:pageBreakBefore w:val="0"/>
        <w:widowControl/>
        <w:tabs>
          <w:tab w:val="left" w:pos="0"/>
        </w:tabs>
        <w:kinsoku/>
        <w:wordWrap/>
        <w:overflowPunct/>
        <w:topLinePunct w:val="0"/>
        <w:autoSpaceDE/>
        <w:autoSpaceDN/>
        <w:bidi w:val="0"/>
        <w:adjustRightInd/>
        <w:snapToGrid/>
        <w:spacing w:line="360" w:lineRule="auto"/>
        <w:ind w:firstLine="501" w:firstLineChars="209"/>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1、危险废物暂存场所的建设要求</w:t>
      </w:r>
    </w:p>
    <w:p>
      <w:pPr>
        <w:pStyle w:val="72"/>
        <w:keepNext w:val="0"/>
        <w:keepLines w:val="0"/>
        <w:pageBreakBefore w:val="0"/>
        <w:widowControl/>
        <w:tabs>
          <w:tab w:val="left" w:pos="0"/>
        </w:tabs>
        <w:kinsoku/>
        <w:wordWrap/>
        <w:overflowPunct/>
        <w:topLinePunct w:val="0"/>
        <w:autoSpaceDE/>
        <w:autoSpaceDN/>
        <w:bidi w:val="0"/>
        <w:adjustRightInd/>
        <w:snapToGrid/>
        <w:spacing w:line="360" w:lineRule="auto"/>
        <w:ind w:firstLine="501" w:firstLineChars="209"/>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危险废物临时贮存场所应按照《危险废物贮存污染控制标准》GB</w:t>
      </w:r>
      <w:r>
        <w:rPr>
          <w:rFonts w:hint="eastAsia" w:ascii="宋体" w:hAnsi="宋体" w:eastAsia="宋体" w:cs="宋体"/>
          <w:color w:val="000000" w:themeColor="text1"/>
          <w:highlight w:val="none"/>
          <w:lang w:eastAsia="zh-CN"/>
          <w14:textFill>
            <w14:solidFill>
              <w14:schemeClr w14:val="tx1"/>
            </w14:solidFill>
          </w14:textFill>
        </w:rPr>
        <w:t>18597-2023</w:t>
      </w:r>
      <w:r>
        <w:rPr>
          <w:rFonts w:hint="eastAsia" w:ascii="宋体" w:hAnsi="宋体" w:eastAsia="宋体" w:cs="宋体"/>
          <w:color w:val="000000" w:themeColor="text1"/>
          <w:highlight w:val="none"/>
          <w14:textFill>
            <w14:solidFill>
              <w14:schemeClr w14:val="tx1"/>
            </w14:solidFill>
          </w14:textFill>
        </w:rPr>
        <w:t>）要求进行设计，具体满足下列要求：</w:t>
      </w:r>
    </w:p>
    <w:p>
      <w:pPr>
        <w:pStyle w:val="72"/>
        <w:keepNext w:val="0"/>
        <w:keepLines w:val="0"/>
        <w:pageBreakBefore w:val="0"/>
        <w:widowControl/>
        <w:tabs>
          <w:tab w:val="left" w:pos="0"/>
        </w:tabs>
        <w:kinsoku/>
        <w:wordWrap/>
        <w:overflowPunct/>
        <w:topLinePunct w:val="0"/>
        <w:autoSpaceDE/>
        <w:autoSpaceDN/>
        <w:bidi w:val="0"/>
        <w:adjustRightInd/>
        <w:snapToGrid/>
        <w:spacing w:line="360" w:lineRule="auto"/>
        <w:ind w:firstLine="501" w:firstLineChars="209"/>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（1）应建有堵截泄漏的裙脚，地面与裙脚要用坚固防渗的材料建造。应有隔离设施、报警装置和防风、防晒、防雨设施；</w:t>
      </w:r>
    </w:p>
    <w:p>
      <w:pPr>
        <w:pStyle w:val="72"/>
        <w:keepNext w:val="0"/>
        <w:keepLines w:val="0"/>
        <w:pageBreakBefore w:val="0"/>
        <w:widowControl/>
        <w:tabs>
          <w:tab w:val="left" w:pos="0"/>
        </w:tabs>
        <w:kinsoku/>
        <w:wordWrap/>
        <w:overflowPunct/>
        <w:topLinePunct w:val="0"/>
        <w:autoSpaceDE/>
        <w:autoSpaceDN/>
        <w:bidi w:val="0"/>
        <w:adjustRightInd/>
        <w:snapToGrid/>
        <w:spacing w:line="360" w:lineRule="auto"/>
        <w:ind w:firstLine="501" w:firstLineChars="209"/>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（2）用于盛放液态危险废物场所须有泄漏液体的收集装置；</w:t>
      </w:r>
    </w:p>
    <w:p>
      <w:pPr>
        <w:pStyle w:val="72"/>
        <w:keepNext w:val="0"/>
        <w:keepLines w:val="0"/>
        <w:pageBreakBefore w:val="0"/>
        <w:widowControl/>
        <w:tabs>
          <w:tab w:val="left" w:pos="0"/>
        </w:tabs>
        <w:kinsoku/>
        <w:wordWrap/>
        <w:overflowPunct/>
        <w:topLinePunct w:val="0"/>
        <w:autoSpaceDE/>
        <w:autoSpaceDN/>
        <w:bidi w:val="0"/>
        <w:adjustRightInd/>
        <w:snapToGrid/>
        <w:spacing w:line="360" w:lineRule="auto"/>
        <w:ind w:firstLine="501" w:firstLineChars="209"/>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（3）用于存放液体、半固体危险废物的地方，还须有耐腐蚀的硬化地面，地面无裂隙；</w:t>
      </w:r>
    </w:p>
    <w:p>
      <w:pPr>
        <w:pStyle w:val="72"/>
        <w:keepNext w:val="0"/>
        <w:keepLines w:val="0"/>
        <w:pageBreakBefore w:val="0"/>
        <w:widowControl/>
        <w:tabs>
          <w:tab w:val="left" w:pos="0"/>
        </w:tabs>
        <w:kinsoku/>
        <w:wordWrap/>
        <w:overflowPunct/>
        <w:topLinePunct w:val="0"/>
        <w:autoSpaceDE/>
        <w:autoSpaceDN/>
        <w:bidi w:val="0"/>
        <w:adjustRightInd/>
        <w:snapToGrid/>
        <w:spacing w:line="360" w:lineRule="auto"/>
        <w:ind w:firstLine="501" w:firstLineChars="209"/>
        <w:textAlignment w:val="auto"/>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（4）不相容的危险废物堆放区必须有隔离间隔断；</w:t>
      </w:r>
    </w:p>
    <w:p>
      <w:pPr>
        <w:pStyle w:val="72"/>
        <w:keepNext w:val="0"/>
        <w:keepLines w:val="0"/>
        <w:pageBreakBefore w:val="0"/>
        <w:widowControl/>
        <w:tabs>
          <w:tab w:val="left" w:pos="0"/>
        </w:tabs>
        <w:kinsoku/>
        <w:wordWrap/>
        <w:overflowPunct/>
        <w:topLinePunct w:val="0"/>
        <w:autoSpaceDE/>
        <w:autoSpaceDN/>
        <w:bidi w:val="0"/>
        <w:adjustRightInd/>
        <w:snapToGrid/>
        <w:spacing w:line="360" w:lineRule="auto"/>
        <w:ind w:firstLine="501" w:firstLineChars="209"/>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（5）贮存易燃易爆的危险废物的场所应配备消防设备；</w:t>
      </w:r>
    </w:p>
    <w:p>
      <w:pPr>
        <w:pStyle w:val="72"/>
        <w:keepNext w:val="0"/>
        <w:keepLines w:val="0"/>
        <w:pageBreakBefore w:val="0"/>
        <w:widowControl/>
        <w:tabs>
          <w:tab w:val="left" w:pos="0"/>
        </w:tabs>
        <w:kinsoku/>
        <w:wordWrap/>
        <w:overflowPunct/>
        <w:topLinePunct w:val="0"/>
        <w:autoSpaceDE/>
        <w:autoSpaceDN/>
        <w:bidi w:val="0"/>
        <w:adjustRightInd/>
        <w:snapToGrid/>
        <w:spacing w:line="360" w:lineRule="auto"/>
        <w:ind w:firstLine="501" w:firstLineChars="209"/>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（6）危险废物贮存设施必须按GB15562.2的规定设置警示标志；危险废物贮存设施周围应设置围墙或其它防护栅栏，危险废物贮存设施内清理出来的泄漏物，一律按危险废物处理；</w:t>
      </w:r>
    </w:p>
    <w:p>
      <w:pPr>
        <w:pStyle w:val="72"/>
        <w:keepNext w:val="0"/>
        <w:keepLines w:val="0"/>
        <w:pageBreakBefore w:val="0"/>
        <w:widowControl/>
        <w:tabs>
          <w:tab w:val="left" w:pos="0"/>
        </w:tabs>
        <w:kinsoku/>
        <w:wordWrap/>
        <w:overflowPunct/>
        <w:topLinePunct w:val="0"/>
        <w:autoSpaceDE/>
        <w:autoSpaceDN/>
        <w:bidi w:val="0"/>
        <w:adjustRightInd/>
        <w:snapToGrid/>
        <w:spacing w:line="360" w:lineRule="auto"/>
        <w:ind w:firstLine="501" w:firstLineChars="209"/>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（7）危险废物暂存场所的设计、运行与管理、安全防护、环境监测及应急措施等须遵循(危险废物贮存污染控制标准)有关规定。</w:t>
      </w:r>
    </w:p>
    <w:p>
      <w:pPr>
        <w:pStyle w:val="72"/>
        <w:keepNext w:val="0"/>
        <w:keepLines w:val="0"/>
        <w:pageBreakBefore w:val="0"/>
        <w:widowControl/>
        <w:tabs>
          <w:tab w:val="left" w:pos="0"/>
        </w:tabs>
        <w:kinsoku/>
        <w:wordWrap/>
        <w:overflowPunct/>
        <w:topLinePunct w:val="0"/>
        <w:autoSpaceDE/>
        <w:autoSpaceDN/>
        <w:bidi w:val="0"/>
        <w:adjustRightInd/>
        <w:snapToGrid/>
        <w:spacing w:line="360" w:lineRule="auto"/>
        <w:ind w:firstLine="501" w:firstLineChars="209"/>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2、危险废物的收集、贮存、转移过程环境管理要求</w:t>
      </w:r>
    </w:p>
    <w:p>
      <w:pPr>
        <w:pStyle w:val="72"/>
        <w:keepNext w:val="0"/>
        <w:keepLines w:val="0"/>
        <w:pageBreakBefore w:val="0"/>
        <w:widowControl/>
        <w:tabs>
          <w:tab w:val="left" w:pos="0"/>
        </w:tabs>
        <w:kinsoku/>
        <w:wordWrap/>
        <w:overflowPunct/>
        <w:topLinePunct w:val="0"/>
        <w:autoSpaceDE/>
        <w:autoSpaceDN/>
        <w:bidi w:val="0"/>
        <w:adjustRightInd/>
        <w:snapToGrid/>
        <w:spacing w:line="360" w:lineRule="auto"/>
        <w:ind w:firstLine="501" w:firstLineChars="209"/>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（1）危险废物收集规范要求</w:t>
      </w:r>
    </w:p>
    <w:p>
      <w:pPr>
        <w:pStyle w:val="72"/>
        <w:keepNext w:val="0"/>
        <w:keepLines w:val="0"/>
        <w:pageBreakBefore w:val="0"/>
        <w:widowControl/>
        <w:tabs>
          <w:tab w:val="left" w:pos="0"/>
        </w:tabs>
        <w:kinsoku/>
        <w:wordWrap/>
        <w:overflowPunct/>
        <w:topLinePunct w:val="0"/>
        <w:autoSpaceDE/>
        <w:autoSpaceDN/>
        <w:bidi w:val="0"/>
        <w:adjustRightInd/>
        <w:snapToGrid/>
        <w:spacing w:line="360" w:lineRule="auto"/>
        <w:ind w:firstLine="501" w:firstLineChars="209"/>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①危险废物收集应根据危险废物产生的工艺特性、排放周期、危险废物特性、废物管理计划等因素制定收集计划；收集计划应包括收集任务的概述、收集目标及原则、危险废物特性评估、危险废物收集量估算、收集作业范围和方法、收集设备与包装容器、安全生产与个人防护、工程防护与事故应急、进度安排与组织管理等。</w:t>
      </w:r>
    </w:p>
    <w:p>
      <w:pPr>
        <w:pStyle w:val="72"/>
        <w:keepNext w:val="0"/>
        <w:keepLines w:val="0"/>
        <w:pageBreakBefore w:val="0"/>
        <w:widowControl/>
        <w:tabs>
          <w:tab w:val="left" w:pos="0"/>
        </w:tabs>
        <w:kinsoku/>
        <w:wordWrap/>
        <w:overflowPunct/>
        <w:topLinePunct w:val="0"/>
        <w:autoSpaceDE/>
        <w:autoSpaceDN/>
        <w:bidi w:val="0"/>
        <w:adjustRightInd/>
        <w:snapToGrid/>
        <w:spacing w:line="360" w:lineRule="auto"/>
        <w:ind w:firstLine="501" w:firstLineChars="209"/>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②在危险废物收集、转运过程中，应采取相应的安全防护和污染防治措施，包括防爆、防火、防中毒、防感染、防泄漏、防飞扬、防雨或其他防止污染环境的措施；</w:t>
      </w:r>
    </w:p>
    <w:p>
      <w:pPr>
        <w:pStyle w:val="72"/>
        <w:keepNext w:val="0"/>
        <w:keepLines w:val="0"/>
        <w:pageBreakBefore w:val="0"/>
        <w:widowControl/>
        <w:tabs>
          <w:tab w:val="left" w:pos="0"/>
        </w:tabs>
        <w:kinsoku/>
        <w:wordWrap/>
        <w:overflowPunct/>
        <w:topLinePunct w:val="0"/>
        <w:autoSpaceDE/>
        <w:autoSpaceDN/>
        <w:bidi w:val="0"/>
        <w:adjustRightInd/>
        <w:snapToGrid/>
        <w:spacing w:line="360" w:lineRule="auto"/>
        <w:ind w:firstLine="501" w:firstLineChars="209"/>
        <w:textAlignment w:val="auto"/>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③危险废物收集时应根据危险废物种类、数量、危险特性、物理形态、运输要求等因素确定包装形式</w:t>
      </w:r>
      <w:r>
        <w:rPr>
          <w:rFonts w:hint="eastAsia" w:ascii="宋体" w:hAnsi="宋体" w:eastAsia="宋体" w:cs="宋体"/>
          <w:color w:val="000000" w:themeColor="text1"/>
          <w:highlight w:val="none"/>
          <w:lang w:eastAsia="zh-CN"/>
          <w14:textFill>
            <w14:solidFill>
              <w14:schemeClr w14:val="tx1"/>
            </w14:solidFill>
          </w14:textFill>
        </w:rPr>
        <w:t>。</w:t>
      </w:r>
    </w:p>
    <w:p>
      <w:pPr>
        <w:pStyle w:val="72"/>
        <w:keepNext w:val="0"/>
        <w:keepLines w:val="0"/>
        <w:pageBreakBefore w:val="0"/>
        <w:widowControl/>
        <w:tabs>
          <w:tab w:val="left" w:pos="0"/>
        </w:tabs>
        <w:kinsoku/>
        <w:wordWrap/>
        <w:overflowPunct/>
        <w:topLinePunct w:val="0"/>
        <w:autoSpaceDE/>
        <w:autoSpaceDN/>
        <w:bidi w:val="0"/>
        <w:adjustRightInd/>
        <w:snapToGrid/>
        <w:spacing w:line="360" w:lineRule="auto"/>
        <w:ind w:firstLine="501" w:firstLineChars="209"/>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（2）危险废物贮存规范要求</w:t>
      </w:r>
    </w:p>
    <w:p>
      <w:pPr>
        <w:pStyle w:val="72"/>
        <w:keepNext w:val="0"/>
        <w:keepLines w:val="0"/>
        <w:pageBreakBefore w:val="0"/>
        <w:widowControl/>
        <w:tabs>
          <w:tab w:val="left" w:pos="0"/>
        </w:tabs>
        <w:kinsoku/>
        <w:wordWrap/>
        <w:overflowPunct/>
        <w:topLinePunct w:val="0"/>
        <w:autoSpaceDE/>
        <w:autoSpaceDN/>
        <w:bidi w:val="0"/>
        <w:adjustRightInd/>
        <w:snapToGrid/>
        <w:spacing w:line="360" w:lineRule="auto"/>
        <w:ind w:firstLine="501" w:firstLineChars="209"/>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①危险废物贮存设施应配备通讯设备、照明设施和消防设施；</w:t>
      </w:r>
    </w:p>
    <w:p>
      <w:pPr>
        <w:pStyle w:val="72"/>
        <w:keepNext w:val="0"/>
        <w:keepLines w:val="0"/>
        <w:pageBreakBefore w:val="0"/>
        <w:widowControl/>
        <w:tabs>
          <w:tab w:val="left" w:pos="0"/>
        </w:tabs>
        <w:kinsoku/>
        <w:wordWrap/>
        <w:overflowPunct/>
        <w:topLinePunct w:val="0"/>
        <w:autoSpaceDE/>
        <w:autoSpaceDN/>
        <w:bidi w:val="0"/>
        <w:adjustRightInd/>
        <w:snapToGrid/>
        <w:spacing w:line="360" w:lineRule="auto"/>
        <w:ind w:firstLine="501" w:firstLineChars="209"/>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②贮存易燃易爆危险废物应配置火灾报警装置和导出静电的接地装置；</w:t>
      </w:r>
    </w:p>
    <w:p>
      <w:pPr>
        <w:pStyle w:val="72"/>
        <w:keepNext w:val="0"/>
        <w:keepLines w:val="0"/>
        <w:pageBreakBefore w:val="0"/>
        <w:widowControl/>
        <w:tabs>
          <w:tab w:val="left" w:pos="0"/>
        </w:tabs>
        <w:kinsoku/>
        <w:wordWrap/>
        <w:overflowPunct/>
        <w:topLinePunct w:val="0"/>
        <w:autoSpaceDE/>
        <w:autoSpaceDN/>
        <w:bidi w:val="0"/>
        <w:adjustRightInd/>
        <w:snapToGrid/>
        <w:spacing w:line="360" w:lineRule="auto"/>
        <w:ind w:firstLine="501" w:firstLineChars="209"/>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③危险废物贮存期限应符合《中华人民共和国固体废物污染环境防治法》的有关规定；</w:t>
      </w:r>
    </w:p>
    <w:p>
      <w:pPr>
        <w:pStyle w:val="72"/>
        <w:keepNext w:val="0"/>
        <w:keepLines w:val="0"/>
        <w:pageBreakBefore w:val="0"/>
        <w:widowControl/>
        <w:tabs>
          <w:tab w:val="left" w:pos="0"/>
        </w:tabs>
        <w:kinsoku/>
        <w:wordWrap/>
        <w:overflowPunct/>
        <w:topLinePunct w:val="0"/>
        <w:autoSpaceDE/>
        <w:autoSpaceDN/>
        <w:bidi w:val="0"/>
        <w:adjustRightInd/>
        <w:snapToGrid/>
        <w:spacing w:line="360" w:lineRule="auto"/>
        <w:ind w:firstLine="501" w:firstLineChars="209"/>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④危险废物贮存单位应建立危险废物贮存的台账制度，认真记录危险废物出入库的交接内容</w:t>
      </w:r>
      <w:r>
        <w:rPr>
          <w:rFonts w:hint="eastAsia" w:ascii="宋体" w:hAnsi="宋体" w:eastAsia="宋体" w:cs="宋体"/>
          <w:color w:val="000000" w:themeColor="text1"/>
          <w:highlight w:val="none"/>
          <w:lang w:eastAsia="zh-CN"/>
          <w14:textFill>
            <w14:solidFill>
              <w14:schemeClr w14:val="tx1"/>
            </w14:solidFill>
          </w14:textFill>
        </w:rPr>
        <w:t>；</w:t>
      </w:r>
    </w:p>
    <w:p>
      <w:pPr>
        <w:pStyle w:val="72"/>
        <w:keepNext w:val="0"/>
        <w:keepLines w:val="0"/>
        <w:pageBreakBefore w:val="0"/>
        <w:widowControl/>
        <w:tabs>
          <w:tab w:val="left" w:pos="0"/>
        </w:tabs>
        <w:kinsoku/>
        <w:wordWrap/>
        <w:overflowPunct/>
        <w:topLinePunct w:val="0"/>
        <w:autoSpaceDE/>
        <w:autoSpaceDN/>
        <w:bidi w:val="0"/>
        <w:adjustRightInd/>
        <w:snapToGrid/>
        <w:spacing w:line="360" w:lineRule="auto"/>
        <w:ind w:firstLine="501" w:firstLineChars="209"/>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⑤危险废物贮存设施应根据贮存废物的种类和特性按照GB18597附录A设置标志。</w:t>
      </w:r>
    </w:p>
    <w:p>
      <w:pPr>
        <w:pStyle w:val="72"/>
        <w:keepNext w:val="0"/>
        <w:keepLines w:val="0"/>
        <w:pageBreakBefore w:val="0"/>
        <w:widowControl/>
        <w:tabs>
          <w:tab w:val="left" w:pos="0"/>
        </w:tabs>
        <w:kinsoku/>
        <w:wordWrap/>
        <w:overflowPunct/>
        <w:topLinePunct w:val="0"/>
        <w:autoSpaceDE/>
        <w:autoSpaceDN/>
        <w:bidi w:val="0"/>
        <w:adjustRightInd/>
        <w:snapToGrid/>
        <w:spacing w:line="360" w:lineRule="auto"/>
        <w:ind w:firstLine="501" w:firstLineChars="209"/>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（3）危险废物运输技术规范要求</w:t>
      </w:r>
    </w:p>
    <w:p>
      <w:pPr>
        <w:pStyle w:val="72"/>
        <w:keepNext w:val="0"/>
        <w:keepLines w:val="0"/>
        <w:pageBreakBefore w:val="0"/>
        <w:widowControl/>
        <w:tabs>
          <w:tab w:val="left" w:pos="0"/>
        </w:tabs>
        <w:kinsoku/>
        <w:wordWrap/>
        <w:overflowPunct/>
        <w:topLinePunct w:val="0"/>
        <w:autoSpaceDE/>
        <w:autoSpaceDN/>
        <w:bidi w:val="0"/>
        <w:adjustRightInd/>
        <w:snapToGrid/>
        <w:spacing w:line="360" w:lineRule="auto"/>
        <w:ind w:firstLine="501" w:firstLineChars="209"/>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①危险废物运输应由持有危险废物经营许可证的单位按照其许可证的经营范围组织实施；</w:t>
      </w:r>
    </w:p>
    <w:p>
      <w:pPr>
        <w:pStyle w:val="72"/>
        <w:keepNext w:val="0"/>
        <w:keepLines w:val="0"/>
        <w:pageBreakBefore w:val="0"/>
        <w:widowControl/>
        <w:tabs>
          <w:tab w:val="left" w:pos="0"/>
        </w:tabs>
        <w:kinsoku/>
        <w:wordWrap/>
        <w:overflowPunct/>
        <w:topLinePunct w:val="0"/>
        <w:autoSpaceDE/>
        <w:autoSpaceDN/>
        <w:bidi w:val="0"/>
        <w:adjustRightInd/>
        <w:snapToGrid/>
        <w:spacing w:line="360" w:lineRule="auto"/>
        <w:ind w:firstLine="501" w:firstLineChars="209"/>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②废弃的危险化学品的运输应执行《危险化学品安全管理条例》的有关规定执行</w:t>
      </w:r>
      <w:r>
        <w:rPr>
          <w:rFonts w:hint="eastAsia" w:ascii="宋体" w:hAnsi="宋体" w:eastAsia="宋体" w:cs="宋体"/>
          <w:color w:val="000000" w:themeColor="text1"/>
          <w:highlight w:val="none"/>
          <w:lang w:eastAsia="zh-CN"/>
          <w14:textFill>
            <w14:solidFill>
              <w14:schemeClr w14:val="tx1"/>
            </w14:solidFill>
          </w14:textFill>
        </w:rPr>
        <w:t>。</w:t>
      </w:r>
    </w:p>
    <w:p>
      <w:pPr>
        <w:pStyle w:val="72"/>
        <w:keepNext w:val="0"/>
        <w:keepLines w:val="0"/>
        <w:pageBreakBefore w:val="0"/>
        <w:widowControl/>
        <w:tabs>
          <w:tab w:val="left" w:pos="0"/>
        </w:tabs>
        <w:kinsoku/>
        <w:wordWrap/>
        <w:overflowPunct/>
        <w:topLinePunct w:val="0"/>
        <w:autoSpaceDE/>
        <w:autoSpaceDN/>
        <w:bidi w:val="0"/>
        <w:adjustRightInd/>
        <w:snapToGrid/>
        <w:spacing w:line="360" w:lineRule="auto"/>
        <w:ind w:firstLine="501" w:firstLineChars="209"/>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（4）危险废物转运过程二次污染防治措施</w:t>
      </w:r>
    </w:p>
    <w:p>
      <w:pPr>
        <w:pStyle w:val="72"/>
        <w:keepNext w:val="0"/>
        <w:keepLines w:val="0"/>
        <w:pageBreakBefore w:val="0"/>
        <w:widowControl/>
        <w:tabs>
          <w:tab w:val="left" w:pos="0"/>
        </w:tabs>
        <w:kinsoku/>
        <w:wordWrap/>
        <w:overflowPunct/>
        <w:topLinePunct w:val="0"/>
        <w:autoSpaceDE/>
        <w:autoSpaceDN/>
        <w:bidi w:val="0"/>
        <w:adjustRightInd/>
        <w:snapToGrid/>
        <w:spacing w:line="360" w:lineRule="auto"/>
        <w:ind w:firstLine="501" w:firstLineChars="209"/>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①危险废物要根据其成分，用专门容器分类收集，装运危险废物的容器应不易破损、变形、老化，能有效地防止渗漏、扩散</w:t>
      </w:r>
      <w:r>
        <w:rPr>
          <w:rFonts w:hint="eastAsia" w:ascii="宋体" w:hAnsi="宋体" w:eastAsia="宋体" w:cs="宋体"/>
          <w:color w:val="000000" w:themeColor="text1"/>
          <w:highlight w:val="none"/>
          <w:lang w:eastAsia="zh-CN"/>
          <w14:textFill>
            <w14:solidFill>
              <w14:schemeClr w14:val="tx1"/>
            </w14:solidFill>
          </w14:textFill>
        </w:rPr>
        <w:t>；</w:t>
      </w:r>
    </w:p>
    <w:p>
      <w:pPr>
        <w:pStyle w:val="72"/>
        <w:keepNext w:val="0"/>
        <w:keepLines w:val="0"/>
        <w:pageBreakBefore w:val="0"/>
        <w:widowControl/>
        <w:tabs>
          <w:tab w:val="left" w:pos="0"/>
        </w:tabs>
        <w:kinsoku/>
        <w:wordWrap/>
        <w:overflowPunct/>
        <w:topLinePunct w:val="0"/>
        <w:autoSpaceDE/>
        <w:autoSpaceDN/>
        <w:bidi w:val="0"/>
        <w:adjustRightInd/>
        <w:snapToGrid/>
        <w:spacing w:line="360" w:lineRule="auto"/>
        <w:ind w:firstLine="501" w:firstLineChars="209"/>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②在危险废物贮存和运输过程中应避免泄漏，造成二次污染。装有危险废物的容器必须贴有标签，在标签上详细标明危险废物的名称、重量、成分、特征以及发生泄漏、扩散污染事故时的应急措施和补救方法。运输及接受要填写交接单（5联单），企业环保机构进行监控。</w:t>
      </w:r>
    </w:p>
    <w:p>
      <w:pPr>
        <w:pStyle w:val="7"/>
        <w:pageBreakBefore w:val="0"/>
        <w:numPr>
          <w:ilvl w:val="0"/>
          <w:numId w:val="0"/>
        </w:numPr>
        <w:kinsoku/>
        <w:wordWrap/>
        <w:overflowPunct/>
        <w:topLinePunct w:val="0"/>
        <w:bidi w:val="0"/>
        <w:adjustRightInd/>
        <w:snapToGrid/>
        <w:ind w:left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bookmarkStart w:id="567" w:name="_Toc27327"/>
      <w:bookmarkStart w:id="568" w:name="_Toc3657"/>
      <w:bookmarkStart w:id="569" w:name="_Toc24241"/>
      <w:bookmarkStart w:id="570" w:name="_Toc14315"/>
      <w:bookmarkStart w:id="571" w:name="_Toc7722"/>
      <w:bookmarkStart w:id="572" w:name="_Toc2020"/>
      <w:r>
        <w:rPr>
          <w:rFonts w:hint="eastAsia" w:ascii="宋体" w:hAnsi="宋体" w:eastAsia="宋体" w:cs="宋体"/>
          <w:color w:val="000000" w:themeColor="text1"/>
          <w:sz w:val="24"/>
          <w:szCs w:val="24"/>
          <w:highlight w:val="none"/>
          <w:lang w:val="en-US" w:eastAsia="zh-CN"/>
          <w14:textFill>
            <w14:solidFill>
              <w14:schemeClr w14:val="tx1"/>
            </w14:solidFill>
          </w14:textFill>
        </w:rPr>
        <w:t>7.4地下水污染防治措施</w:t>
      </w:r>
      <w:bookmarkEnd w:id="511"/>
      <w:bookmarkEnd w:id="512"/>
      <w:bookmarkEnd w:id="513"/>
      <w:bookmarkEnd w:id="514"/>
      <w:bookmarkEnd w:id="567"/>
      <w:bookmarkEnd w:id="568"/>
      <w:bookmarkEnd w:id="569"/>
      <w:bookmarkEnd w:id="570"/>
      <w:bookmarkEnd w:id="571"/>
      <w:bookmarkEnd w:id="572"/>
    </w:p>
    <w:p>
      <w:pPr>
        <w:pStyle w:val="3"/>
        <w:widowControl w:val="0"/>
        <w:autoSpaceDE w:val="0"/>
        <w:autoSpaceDN w:val="0"/>
        <w:spacing w:after="0" w:line="360" w:lineRule="auto"/>
        <w:ind w:firstLine="480" w:firstLineChars="200"/>
        <w:jc w:val="both"/>
        <w:rPr>
          <w:rFonts w:hint="eastAsia" w:ascii="宋体" w:hAnsi="宋体" w:eastAsia="宋体" w:cs="宋体"/>
          <w:color w:val="000000" w:themeColor="text1"/>
          <w:highlight w:val="none"/>
          <w14:textFill>
            <w14:solidFill>
              <w14:schemeClr w14:val="tx1"/>
            </w14:solidFill>
          </w14:textFill>
        </w:rPr>
      </w:pPr>
      <w:bookmarkStart w:id="573" w:name="_Toc28579"/>
      <w:bookmarkStart w:id="574" w:name="_Toc6199_WPSOffice_Level2"/>
      <w:bookmarkStart w:id="575" w:name="_Toc9290"/>
      <w:bookmarkStart w:id="576" w:name="_Toc29359"/>
      <w:bookmarkStart w:id="577" w:name="_Toc17600_WPSOffice_Level2"/>
      <w:bookmarkStart w:id="578" w:name="_Toc788"/>
      <w:bookmarkStart w:id="579" w:name="_Toc6586_WPSOffice_Level2"/>
      <w:bookmarkStart w:id="580" w:name="_Toc28353"/>
      <w:r>
        <w:rPr>
          <w:rFonts w:hint="eastAsia" w:ascii="宋体" w:hAnsi="宋体" w:eastAsia="宋体" w:cs="宋体"/>
          <w:color w:val="000000" w:themeColor="text1"/>
          <w:highlight w:val="none"/>
          <w14:textFill>
            <w14:solidFill>
              <w14:schemeClr w14:val="tx1"/>
            </w14:solidFill>
          </w14:textFill>
        </w:rPr>
        <w:t>本项目在原辅材料及产品的储存、输送、生产和污染处理过程中，各种有毒有害原辅材料、中间物料、产品及污染物有可能发生泄漏（含跑、冒、滴、漏），如不采取合理的管理和防治措施，则污染物有可能渗入地下水，从而影响地下水环境。针对项目可能发生的土壤、地下水污染，本项目土壤、地下水污染防治措施按照“源头控制、分区防治、污染监控、应急响应”相结合的原则，从污染物的产生、入渗、扩散、应急响应全方位进行控制。</w:t>
      </w:r>
    </w:p>
    <w:p>
      <w:pPr>
        <w:pStyle w:val="8"/>
        <w:keepNext/>
        <w:keepLines/>
        <w:pageBreakBefore w:val="0"/>
        <w:kinsoku/>
        <w:wordWrap/>
        <w:overflowPunct/>
        <w:topLinePunct w:val="0"/>
        <w:autoSpaceDE/>
        <w:autoSpaceDN/>
        <w:bidi w:val="0"/>
        <w:adjustRightInd/>
        <w:snapToGrid/>
        <w:ind w:firstLine="482" w:firstLineChars="200"/>
        <w:textAlignment w:val="auto"/>
        <w:rPr>
          <w:rFonts w:hint="eastAsia" w:ascii="宋体" w:hAnsi="宋体" w:eastAsia="宋体" w:cs="宋体"/>
          <w:bCs/>
          <w:color w:val="000000" w:themeColor="text1"/>
          <w:highlight w:val="none"/>
          <w:lang w:val="en-US" w:eastAsia="zh-CN"/>
          <w14:textFill>
            <w14:solidFill>
              <w14:schemeClr w14:val="tx1"/>
            </w14:solidFill>
          </w14:textFill>
        </w:rPr>
      </w:pPr>
      <w:bookmarkStart w:id="581" w:name="_bookmark163"/>
      <w:bookmarkEnd w:id="581"/>
      <w:bookmarkStart w:id="582" w:name="_Toc22647"/>
      <w:r>
        <w:rPr>
          <w:rFonts w:hint="eastAsia" w:ascii="宋体" w:hAnsi="宋体" w:eastAsia="宋体" w:cs="宋体"/>
          <w:bCs/>
          <w:color w:val="000000" w:themeColor="text1"/>
          <w:highlight w:val="none"/>
          <w:lang w:val="en-US" w:eastAsia="zh-CN"/>
          <w14:textFill>
            <w14:solidFill>
              <w14:schemeClr w14:val="tx1"/>
            </w14:solidFill>
          </w14:textFill>
        </w:rPr>
        <w:t>7.4.1源头控制措施</w:t>
      </w:r>
      <w:bookmarkEnd w:id="582"/>
    </w:p>
    <w:p>
      <w:pPr>
        <w:pStyle w:val="3"/>
        <w:widowControl w:val="0"/>
        <w:autoSpaceDE w:val="0"/>
        <w:autoSpaceDN w:val="0"/>
        <w:spacing w:after="0" w:line="360" w:lineRule="auto"/>
        <w:ind w:firstLine="480" w:firstLineChars="200"/>
        <w:jc w:val="both"/>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在工艺、管道、设备、污水储存及处理构筑物采取相应措施，防止和降低污染物跑、冒、滴、漏，将污染物泄漏的环境风险事故降到最低程度；管线敷设尽量采用“可视化”原则，即管道尽可能地上或架空敷设，做到污染物“早发现、早处理”，减少由于埋地管道泄漏而造成的地下水污染。</w:t>
      </w:r>
    </w:p>
    <w:p>
      <w:pPr>
        <w:pStyle w:val="3"/>
        <w:widowControl w:val="0"/>
        <w:autoSpaceDE w:val="0"/>
        <w:autoSpaceDN w:val="0"/>
        <w:spacing w:after="0" w:line="360" w:lineRule="auto"/>
        <w:ind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装有毒有害介质设备的设备法兰及接管法兰的密封面和垫片提高密封等级，必要时采用焊接连接。设备的排净及排空口不采用螺纹密封结构，且不直接排放。搅拌设备轴封选择适当的密封形式。</w:t>
      </w:r>
    </w:p>
    <w:p>
      <w:pPr>
        <w:pStyle w:val="8"/>
        <w:keepNext/>
        <w:keepLines/>
        <w:pageBreakBefore w:val="0"/>
        <w:kinsoku/>
        <w:wordWrap/>
        <w:overflowPunct/>
        <w:topLinePunct w:val="0"/>
        <w:autoSpaceDE/>
        <w:autoSpaceDN/>
        <w:bidi w:val="0"/>
        <w:adjustRightInd/>
        <w:snapToGrid/>
        <w:ind w:firstLine="482" w:firstLineChars="200"/>
        <w:textAlignment w:val="auto"/>
        <w:rPr>
          <w:rFonts w:hint="eastAsia" w:ascii="宋体" w:hAnsi="宋体" w:eastAsia="宋体" w:cs="宋体"/>
          <w:bCs/>
          <w:color w:val="000000" w:themeColor="text1"/>
          <w:highlight w:val="none"/>
          <w:lang w:val="en-US" w:eastAsia="zh-CN"/>
          <w14:textFill>
            <w14:solidFill>
              <w14:schemeClr w14:val="tx1"/>
            </w14:solidFill>
          </w14:textFill>
        </w:rPr>
      </w:pPr>
      <w:bookmarkStart w:id="583" w:name="_Toc8459"/>
      <w:r>
        <w:rPr>
          <w:rFonts w:hint="eastAsia" w:ascii="宋体" w:hAnsi="宋体" w:eastAsia="宋体" w:cs="宋体"/>
          <w:bCs/>
          <w:color w:val="000000" w:themeColor="text1"/>
          <w:highlight w:val="none"/>
          <w:lang w:val="en-US" w:eastAsia="zh-CN"/>
          <w14:textFill>
            <w14:solidFill>
              <w14:schemeClr w14:val="tx1"/>
            </w14:solidFill>
          </w14:textFill>
        </w:rPr>
        <w:t>7.4.2污染防治区划分</w:t>
      </w:r>
      <w:bookmarkEnd w:id="583"/>
    </w:p>
    <w:p>
      <w:pPr>
        <w:pStyle w:val="3"/>
        <w:widowControl w:val="0"/>
        <w:autoSpaceDE w:val="0"/>
        <w:autoSpaceDN w:val="0"/>
        <w:spacing w:after="0" w:line="360" w:lineRule="auto"/>
        <w:ind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主要包括污染区地面的防渗措施和泄漏、渗漏污染物收集措施，即在污染区地面进行防渗处理，防止洒落地面的污染物渗入地下，并把滞留在地面的污染物收集起来。末端控制采取分区防渗的原则。</w:t>
      </w:r>
    </w:p>
    <w:p>
      <w:pPr>
        <w:pStyle w:val="36"/>
        <w:widowControl w:val="0"/>
        <w:tabs>
          <w:tab w:val="left" w:pos="1281"/>
        </w:tabs>
        <w:autoSpaceDE w:val="0"/>
        <w:autoSpaceDN w:val="0"/>
        <w:ind w:left="480" w:leftChars="200" w:firstLine="0"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（1）地面防渗工程设计原则</w:t>
      </w:r>
    </w:p>
    <w:p>
      <w:pPr>
        <w:pStyle w:val="3"/>
        <w:widowControl w:val="0"/>
        <w:autoSpaceDE w:val="0"/>
        <w:autoSpaceDN w:val="0"/>
        <w:spacing w:after="0" w:line="360" w:lineRule="auto"/>
        <w:ind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①采用国际国内先进的防渗材料、技术和实施手段，确保工程建设对区域内地下水影响较小，地下水现有水体环境不发生明显改变。</w:t>
      </w:r>
    </w:p>
    <w:p>
      <w:pPr>
        <w:pStyle w:val="3"/>
        <w:widowControl w:val="0"/>
        <w:autoSpaceDE w:val="0"/>
        <w:autoSpaceDN w:val="0"/>
        <w:spacing w:after="0" w:line="360" w:lineRule="auto"/>
        <w:ind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②坚持分区管理和控制原则，根据场址所在地的工程地质、水文地质条件和全厂可能发生泄漏的物料性质、排放量，参照相应标准要求有针对性的分区，并分别设计地面防渗层结构。</w:t>
      </w:r>
    </w:p>
    <w:p>
      <w:pPr>
        <w:pStyle w:val="3"/>
        <w:widowControl w:val="0"/>
        <w:autoSpaceDE w:val="0"/>
        <w:autoSpaceDN w:val="0"/>
        <w:spacing w:after="0" w:line="360" w:lineRule="auto"/>
        <w:ind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③坚持“可视化”原则，在满足工程和防渗层结构标准要求的前提下，尽量在地表面实施防渗措施，便于泄漏物质的收集和及时发现破损的防渗层。</w:t>
      </w:r>
    </w:p>
    <w:p>
      <w:pPr>
        <w:pStyle w:val="3"/>
        <w:widowControl w:val="0"/>
        <w:autoSpaceDE w:val="0"/>
        <w:autoSpaceDN w:val="0"/>
        <w:spacing w:after="0" w:line="360" w:lineRule="auto"/>
        <w:ind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④防渗层上渗漏污染物和防渗层内渗漏污染物收集系统与全厂“三废”处理措施统筹考虑，统一处理。</w:t>
      </w:r>
    </w:p>
    <w:p>
      <w:pPr>
        <w:pStyle w:val="36"/>
        <w:widowControl w:val="0"/>
        <w:tabs>
          <w:tab w:val="left" w:pos="1281"/>
        </w:tabs>
        <w:autoSpaceDE w:val="0"/>
        <w:autoSpaceDN w:val="0"/>
        <w:ind w:left="480" w:leftChars="200" w:firstLine="0"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（2）防渗方案设计标准</w:t>
      </w:r>
    </w:p>
    <w:p>
      <w:pPr>
        <w:pStyle w:val="3"/>
        <w:widowControl w:val="0"/>
        <w:autoSpaceDE w:val="0"/>
        <w:autoSpaceDN w:val="0"/>
        <w:spacing w:after="0" w:line="360" w:lineRule="auto"/>
        <w:ind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根据厂区内各区域可能泄漏至地面区域污染物的性质和生产单元的构筑方式，将厂区主要划分为一般污染防治区和重点污染防治区。</w:t>
      </w:r>
    </w:p>
    <w:p>
      <w:pPr>
        <w:pStyle w:val="3"/>
        <w:widowControl w:val="0"/>
        <w:autoSpaceDE w:val="0"/>
        <w:autoSpaceDN w:val="0"/>
        <w:spacing w:after="0" w:line="360" w:lineRule="auto"/>
        <w:ind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重点污染防治区：项目的重点防渗区主要为</w:t>
      </w:r>
      <w:r>
        <w:rPr>
          <w:rFonts w:hint="eastAsia" w:ascii="宋体" w:hAnsi="宋体" w:eastAsia="宋体" w:cs="宋体"/>
          <w:color w:val="000000" w:themeColor="text1"/>
          <w:highlight w:val="none"/>
          <w:lang w:val="en-US" w:eastAsia="zh-CN"/>
          <w14:textFill>
            <w14:solidFill>
              <w14:schemeClr w14:val="tx1"/>
            </w14:solidFill>
          </w14:textFill>
        </w:rPr>
        <w:t>危废暂存间、装置区和原料储存区</w:t>
      </w:r>
      <w:r>
        <w:rPr>
          <w:rFonts w:hint="eastAsia" w:ascii="宋体" w:hAnsi="宋体" w:eastAsia="宋体" w:cs="宋体"/>
          <w:color w:val="000000" w:themeColor="text1"/>
          <w:highlight w:val="none"/>
          <w14:textFill>
            <w14:solidFill>
              <w14:schemeClr w14:val="tx1"/>
            </w14:solidFill>
          </w14:textFill>
        </w:rPr>
        <w:t>等。</w:t>
      </w:r>
    </w:p>
    <w:p>
      <w:pPr>
        <w:pStyle w:val="3"/>
        <w:widowControl w:val="0"/>
        <w:autoSpaceDE w:val="0"/>
        <w:autoSpaceDN w:val="0"/>
        <w:spacing w:after="0" w:line="360" w:lineRule="auto"/>
        <w:ind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一般污染防治区：项目的一般防渗区主要为其他生产区地面。污染区防治防渗方案设计可参照下列标准和规范：</w:t>
      </w:r>
    </w:p>
    <w:p>
      <w:pPr>
        <w:pStyle w:val="3"/>
        <w:widowControl w:val="0"/>
        <w:autoSpaceDE w:val="0"/>
        <w:autoSpaceDN w:val="0"/>
        <w:spacing w:after="0" w:line="360" w:lineRule="auto"/>
        <w:ind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①对于污染防治区，按照《石油化工工程防渗技术规范》（GB/T50934-2013）进行设计。</w:t>
      </w:r>
    </w:p>
    <w:p>
      <w:pPr>
        <w:pStyle w:val="3"/>
        <w:widowControl w:val="0"/>
        <w:autoSpaceDE w:val="0"/>
        <w:autoSpaceDN w:val="0"/>
        <w:spacing w:after="0" w:line="360" w:lineRule="auto"/>
        <w:ind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②对于基本上不产生污染物的厂前区、道路等，不采取专门针对地下水污染的防治措施。</w:t>
      </w:r>
    </w:p>
    <w:p>
      <w:pPr>
        <w:pStyle w:val="36"/>
        <w:widowControl w:val="0"/>
        <w:tabs>
          <w:tab w:val="left" w:pos="1281"/>
        </w:tabs>
        <w:autoSpaceDE w:val="0"/>
        <w:autoSpaceDN w:val="0"/>
        <w:ind w:left="480" w:leftChars="200" w:firstLine="0"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（3）防渗方案设计方案</w:t>
      </w:r>
    </w:p>
    <w:p>
      <w:pPr>
        <w:pStyle w:val="3"/>
        <w:widowControl w:val="0"/>
        <w:autoSpaceDE w:val="0"/>
        <w:autoSpaceDN w:val="0"/>
        <w:spacing w:after="0" w:line="360" w:lineRule="auto"/>
        <w:ind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防渗工程设计应依据污染防治分区，选择相应的防渗设计方案。防渗工程宜按50年进行设计。依据《石油化工防渗工程防渗规范》（GB/T50934-2013）、GB</w:t>
      </w:r>
      <w:r>
        <w:rPr>
          <w:rFonts w:hint="eastAsia" w:ascii="宋体" w:hAnsi="宋体" w:eastAsia="宋体" w:cs="宋体"/>
          <w:color w:val="000000" w:themeColor="text1"/>
          <w:highlight w:val="none"/>
          <w:lang w:eastAsia="zh-CN"/>
          <w14:textFill>
            <w14:solidFill>
              <w14:schemeClr w14:val="tx1"/>
            </w14:solidFill>
          </w14:textFill>
        </w:rPr>
        <w:t>18597-2023</w:t>
      </w:r>
      <w:r>
        <w:rPr>
          <w:rFonts w:hint="eastAsia" w:ascii="宋体" w:hAnsi="宋体" w:eastAsia="宋体" w:cs="宋体"/>
          <w:color w:val="000000" w:themeColor="text1"/>
          <w:highlight w:val="none"/>
          <w14:textFill>
            <w14:solidFill>
              <w14:schemeClr w14:val="tx1"/>
            </w14:solidFill>
          </w14:textFill>
        </w:rPr>
        <w:t>《危险废物贮存污染物排放标准》其修改单，并参照《中国石油化工企业防渗设计通则》要求，本项目防渗结构型式应根据污染防治区划分、结合项目场地包气带防污性能、环境水文地质条件、工程地质条件等因素，合理选择。防渗材料的选择应根据不同区域的防渗要求、结合泄漏物性质、环境条件等因素合理确定，在满足防渗要求的条件下，应考虑其易得性和经济性。根据以上原则。</w:t>
      </w:r>
    </w:p>
    <w:p>
      <w:pPr>
        <w:keepNext w:val="0"/>
        <w:keepLines w:val="0"/>
        <w:pageBreakBefore w:val="0"/>
        <w:widowControl/>
        <w:kinsoku/>
        <w:wordWrap/>
        <w:overflowPunct/>
        <w:topLinePunct w:val="0"/>
        <w:bidi w:val="0"/>
        <w:adjustRightInd/>
        <w:snapToGrid/>
        <w:spacing w:line="360" w:lineRule="auto"/>
        <w:ind w:firstLine="480" w:firstLineChars="200"/>
        <w:textAlignment w:val="auto"/>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eastAsia="宋体" w:cs="宋体"/>
          <w:color w:val="000000" w:themeColor="text1"/>
          <w:lang w:val="en-US" w:eastAsia="zh-CN"/>
          <w14:textFill>
            <w14:solidFill>
              <w14:schemeClr w14:val="tx1"/>
            </w14:solidFill>
          </w14:textFill>
        </w:rPr>
        <w:t>4</w:t>
      </w: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eastAsia="宋体" w:cs="宋体"/>
          <w:color w:val="000000" w:themeColor="text1"/>
          <w:lang w:val="en-US" w:eastAsia="zh-CN"/>
          <w14:textFill>
            <w14:solidFill>
              <w14:schemeClr w14:val="tx1"/>
            </w14:solidFill>
          </w14:textFill>
        </w:rPr>
        <w:t>具体地面防渗措施</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重点防渗区：位于地下或半地下的生产功能单元，污染地下水环境的物料或污染物泄漏后，不易及时发现和处理的区域或部位，如污水处理站、产品储罐环墙基础圈定区域等重点污染防治区，其防渗层的防渗性能不应低于6.0米厚渗透系数为1.0×10</w:t>
      </w:r>
      <w:r>
        <w:rPr>
          <w:rFonts w:hint="eastAsia" w:ascii="宋体" w:hAnsi="宋体" w:eastAsia="宋体" w:cs="宋体"/>
          <w:color w:val="000000" w:themeColor="text1"/>
          <w:vertAlign w:val="superscript"/>
          <w14:textFill>
            <w14:solidFill>
              <w14:schemeClr w14:val="tx1"/>
            </w14:solidFill>
          </w14:textFill>
        </w:rPr>
        <w:t>-7</w:t>
      </w:r>
      <w:r>
        <w:rPr>
          <w:rFonts w:hint="eastAsia" w:ascii="宋体" w:hAnsi="宋体" w:eastAsia="宋体" w:cs="宋体"/>
          <w:color w:val="000000" w:themeColor="text1"/>
          <w14:textFill>
            <w14:solidFill>
              <w14:schemeClr w14:val="tx1"/>
            </w14:solidFill>
          </w14:textFill>
        </w:rPr>
        <w:t>cm/s的黏土层的防渗性能。</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一般防渗区：裸露于地面的生产功能单元，污染地下水环境的物料或污染物泄漏后，可及时发现和处理的区域或部位，如生产区路面、仓库地面等一般污染防治区，其防渗层的防渗性能不应低于1.5米厚渗透系数为1.0×10</w:t>
      </w:r>
      <w:r>
        <w:rPr>
          <w:rFonts w:hint="eastAsia" w:ascii="宋体" w:hAnsi="宋体" w:eastAsia="宋体" w:cs="宋体"/>
          <w:color w:val="000000" w:themeColor="text1"/>
          <w:vertAlign w:val="superscript"/>
          <w14:textFill>
            <w14:solidFill>
              <w14:schemeClr w14:val="tx1"/>
            </w14:solidFill>
          </w14:textFill>
        </w:rPr>
        <w:t>-7</w:t>
      </w:r>
      <w:r>
        <w:rPr>
          <w:rFonts w:hint="eastAsia" w:ascii="宋体" w:hAnsi="宋体" w:eastAsia="宋体" w:cs="宋体"/>
          <w:color w:val="000000" w:themeColor="text1"/>
          <w14:textFill>
            <w14:solidFill>
              <w14:schemeClr w14:val="tx1"/>
            </w14:solidFill>
          </w14:textFill>
        </w:rPr>
        <w:t>cm/s的黏土层的防渗性能。</w:t>
      </w:r>
    </w:p>
    <w:p>
      <w:pPr>
        <w:bidi w:val="0"/>
        <w:spacing w:line="360" w:lineRule="auto"/>
        <w:ind w:firstLine="480" w:firstLineChars="200"/>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当污染物有腐蚀性时，防渗材料应具有耐腐蚀性能活采取防腐蚀措施。</w:t>
      </w:r>
    </w:p>
    <w:p>
      <w:pPr>
        <w:pStyle w:val="7"/>
        <w:pageBreakBefore w:val="0"/>
        <w:numPr>
          <w:ilvl w:val="0"/>
          <w:numId w:val="0"/>
        </w:numPr>
        <w:kinsoku/>
        <w:wordWrap/>
        <w:overflowPunct/>
        <w:topLinePunct w:val="0"/>
        <w:bidi w:val="0"/>
        <w:adjustRightInd/>
        <w:snapToGrid/>
        <w:ind w:left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bookmarkStart w:id="584" w:name="_Toc17053"/>
      <w:bookmarkStart w:id="585" w:name="_Toc8889"/>
      <w:r>
        <w:rPr>
          <w:rFonts w:hint="eastAsia" w:ascii="宋体" w:hAnsi="宋体" w:eastAsia="宋体" w:cs="宋体"/>
          <w:color w:val="000000" w:themeColor="text1"/>
          <w:sz w:val="24"/>
          <w:szCs w:val="24"/>
          <w:highlight w:val="none"/>
          <w:lang w:val="en-US" w:eastAsia="zh-CN"/>
          <w14:textFill>
            <w14:solidFill>
              <w14:schemeClr w14:val="tx1"/>
            </w14:solidFill>
          </w14:textFill>
        </w:rPr>
        <w:t>7.5噪声污染防治措施</w:t>
      </w:r>
      <w:bookmarkEnd w:id="573"/>
      <w:bookmarkEnd w:id="574"/>
      <w:bookmarkEnd w:id="575"/>
      <w:bookmarkEnd w:id="576"/>
      <w:bookmarkEnd w:id="577"/>
      <w:bookmarkEnd w:id="578"/>
      <w:bookmarkEnd w:id="579"/>
      <w:bookmarkEnd w:id="580"/>
      <w:bookmarkEnd w:id="584"/>
      <w:bookmarkEnd w:id="585"/>
    </w:p>
    <w:p>
      <w:pPr>
        <w:pStyle w:val="8"/>
        <w:keepNext/>
        <w:keepLines/>
        <w:pageBreakBefore w:val="0"/>
        <w:kinsoku/>
        <w:wordWrap/>
        <w:overflowPunct/>
        <w:topLinePunct w:val="0"/>
        <w:autoSpaceDE/>
        <w:autoSpaceDN/>
        <w:bidi w:val="0"/>
        <w:adjustRightInd/>
        <w:snapToGrid/>
        <w:ind w:firstLine="482" w:firstLineChars="200"/>
        <w:textAlignment w:val="auto"/>
        <w:rPr>
          <w:rFonts w:hint="eastAsia" w:ascii="宋体" w:hAnsi="宋体" w:eastAsia="宋体" w:cs="宋体"/>
          <w:bCs/>
          <w:color w:val="000000" w:themeColor="text1"/>
          <w:highlight w:val="none"/>
          <w:lang w:val="en-US" w:eastAsia="zh-CN"/>
          <w14:textFill>
            <w14:solidFill>
              <w14:schemeClr w14:val="tx1"/>
            </w14:solidFill>
          </w14:textFill>
        </w:rPr>
      </w:pPr>
      <w:bookmarkStart w:id="586" w:name="_Toc32029"/>
      <w:bookmarkStart w:id="587" w:name="_Toc13049"/>
      <w:bookmarkStart w:id="588" w:name="_Toc3385"/>
      <w:bookmarkStart w:id="589" w:name="_Toc15464"/>
      <w:bookmarkStart w:id="590" w:name="_Toc9805"/>
      <w:bookmarkStart w:id="591" w:name="_Toc15913"/>
      <w:r>
        <w:rPr>
          <w:rFonts w:hint="eastAsia" w:ascii="宋体" w:hAnsi="宋体" w:eastAsia="宋体" w:cs="宋体"/>
          <w:bCs/>
          <w:color w:val="000000" w:themeColor="text1"/>
          <w:highlight w:val="none"/>
          <w:lang w:val="en-US" w:eastAsia="zh-CN"/>
          <w14:textFill>
            <w14:solidFill>
              <w14:schemeClr w14:val="tx1"/>
            </w14:solidFill>
          </w14:textFill>
        </w:rPr>
        <w:t>7.5.1噪声控制原则</w:t>
      </w:r>
      <w:bookmarkEnd w:id="586"/>
      <w:bookmarkEnd w:id="587"/>
      <w:bookmarkEnd w:id="588"/>
      <w:bookmarkEnd w:id="589"/>
      <w:bookmarkEnd w:id="590"/>
      <w:bookmarkEnd w:id="591"/>
    </w:p>
    <w:p>
      <w:pPr>
        <w:widowControl w:val="0"/>
        <w:spacing w:line="360" w:lineRule="auto"/>
        <w:ind w:firstLine="480" w:firstLineChars="200"/>
        <w:jc w:val="both"/>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①选用符合国家噪声标准规定的设备；</w:t>
      </w:r>
    </w:p>
    <w:p>
      <w:pPr>
        <w:widowControl w:val="0"/>
        <w:spacing w:line="360" w:lineRule="auto"/>
        <w:ind w:firstLine="480" w:firstLineChars="200"/>
        <w:jc w:val="both"/>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②合理车间平面布置，尽量集中布置高噪设备，并利用绿化加强噪声的影响；</w:t>
      </w:r>
    </w:p>
    <w:p>
      <w:pPr>
        <w:widowControl w:val="0"/>
        <w:spacing w:line="360" w:lineRule="auto"/>
        <w:ind w:firstLine="480" w:firstLineChars="200"/>
        <w:jc w:val="both"/>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③合理布置通风、通气和通水管道，采用正确的结构，防止产生振动和噪声；</w:t>
      </w:r>
    </w:p>
    <w:p>
      <w:pPr>
        <w:widowControl w:val="0"/>
        <w:spacing w:line="360" w:lineRule="auto"/>
        <w:ind w:firstLine="480" w:firstLineChars="200"/>
        <w:jc w:val="both"/>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④对于声源上无法根治的生产噪声，分别按不同情况采用消声隔振、隔声、吸声等措施，并着重控制声强高的噪声源；</w:t>
      </w:r>
    </w:p>
    <w:p>
      <w:pPr>
        <w:widowControl w:val="0"/>
        <w:spacing w:line="360" w:lineRule="auto"/>
        <w:ind w:firstLine="480" w:firstLineChars="200"/>
        <w:jc w:val="both"/>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⑤合理安排物流运输计划，大型物流运输车辆进出厂区和途径集中居民点时，应减速、禁鸣。</w:t>
      </w:r>
    </w:p>
    <w:p>
      <w:pPr>
        <w:pStyle w:val="8"/>
        <w:keepNext/>
        <w:keepLines/>
        <w:pageBreakBefore w:val="0"/>
        <w:kinsoku/>
        <w:wordWrap/>
        <w:overflowPunct/>
        <w:topLinePunct w:val="0"/>
        <w:autoSpaceDE/>
        <w:autoSpaceDN/>
        <w:bidi w:val="0"/>
        <w:adjustRightInd/>
        <w:snapToGrid/>
        <w:ind w:firstLine="482" w:firstLineChars="200"/>
        <w:textAlignment w:val="auto"/>
        <w:rPr>
          <w:rFonts w:hint="eastAsia" w:ascii="宋体" w:hAnsi="宋体" w:eastAsia="宋体" w:cs="宋体"/>
          <w:bCs/>
          <w:color w:val="000000" w:themeColor="text1"/>
          <w:highlight w:val="none"/>
          <w:lang w:val="en-US" w:eastAsia="zh-CN"/>
          <w14:textFill>
            <w14:solidFill>
              <w14:schemeClr w14:val="tx1"/>
            </w14:solidFill>
          </w14:textFill>
        </w:rPr>
      </w:pPr>
      <w:bookmarkStart w:id="592" w:name="_Toc17670"/>
      <w:bookmarkStart w:id="593" w:name="_Toc22435"/>
      <w:bookmarkStart w:id="594" w:name="_Toc24697"/>
      <w:bookmarkStart w:id="595" w:name="_Toc20775"/>
      <w:bookmarkStart w:id="596" w:name="_Toc2058"/>
      <w:bookmarkStart w:id="597" w:name="_Toc29739"/>
      <w:bookmarkStart w:id="598" w:name="_Hlk495581292"/>
      <w:r>
        <w:rPr>
          <w:rFonts w:hint="eastAsia" w:ascii="宋体" w:hAnsi="宋体" w:eastAsia="宋体" w:cs="宋体"/>
          <w:bCs/>
          <w:color w:val="000000" w:themeColor="text1"/>
          <w:highlight w:val="none"/>
          <w:lang w:val="en-US" w:eastAsia="zh-CN"/>
          <w14:textFill>
            <w14:solidFill>
              <w14:schemeClr w14:val="tx1"/>
            </w14:solidFill>
          </w14:textFill>
        </w:rPr>
        <w:t>7.5.2噪声污染防治措施</w:t>
      </w:r>
      <w:bookmarkEnd w:id="592"/>
      <w:bookmarkEnd w:id="593"/>
      <w:bookmarkEnd w:id="594"/>
      <w:bookmarkEnd w:id="595"/>
      <w:bookmarkEnd w:id="596"/>
      <w:bookmarkEnd w:id="597"/>
    </w:p>
    <w:bookmarkEnd w:id="598"/>
    <w:p>
      <w:pPr>
        <w:keepNext w:val="0"/>
        <w:keepLines w:val="0"/>
        <w:pageBreakBefore w:val="0"/>
        <w:kinsoku/>
        <w:wordWrap/>
        <w:overflowPunct/>
        <w:topLinePunct w:val="0"/>
        <w:bidi w:val="0"/>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拟建项目在设备选择上优先考虑选择低噪声设备，对所用的高噪设备要进行防震基础和减振措施，车间墙体采用吸声材料，厂区加强绿化，重点在动力设备上进行了降噪隔声处理。主要噪声防治措施如下：</w:t>
      </w:r>
    </w:p>
    <w:p>
      <w:pPr>
        <w:keepNext w:val="0"/>
        <w:keepLines w:val="0"/>
        <w:pageBreakBefore w:val="0"/>
        <w:kinsoku/>
        <w:wordWrap/>
        <w:overflowPunct/>
        <w:topLinePunct w:val="0"/>
        <w:bidi w:val="0"/>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（1）选择低噪声设备。</w:t>
      </w:r>
      <w:r>
        <w:rPr>
          <w:rFonts w:hint="eastAsia" w:ascii="宋体" w:hAnsi="宋体" w:eastAsia="宋体" w:cs="宋体"/>
          <w:color w:val="000000" w:themeColor="text1"/>
          <w:kern w:val="1"/>
          <w:sz w:val="24"/>
          <w:szCs w:val="24"/>
          <w:highlight w:val="none"/>
          <w14:textFill>
            <w14:solidFill>
              <w14:schemeClr w14:val="tx1"/>
            </w14:solidFill>
          </w14:textFill>
        </w:rPr>
        <w:t>冷水塔及各种泵类</w:t>
      </w:r>
      <w:r>
        <w:rPr>
          <w:rFonts w:hint="eastAsia" w:ascii="宋体" w:hAnsi="宋体" w:eastAsia="宋体" w:cs="宋体"/>
          <w:color w:val="000000" w:themeColor="text1"/>
          <w:sz w:val="24"/>
          <w:szCs w:val="24"/>
          <w:highlight w:val="none"/>
          <w14:textFill>
            <w14:solidFill>
              <w14:schemeClr w14:val="tx1"/>
            </w14:solidFill>
          </w14:textFill>
        </w:rPr>
        <w:t>设备选用满足标准的低噪声、低振动设备。风机设备随系统风量要求提高，除选择比较好的设备外一般还需要采取消声器、基础减振等措施进行综合降噪。</w:t>
      </w:r>
    </w:p>
    <w:p>
      <w:pPr>
        <w:keepNext w:val="0"/>
        <w:keepLines w:val="0"/>
        <w:pageBreakBefore w:val="0"/>
        <w:kinsoku/>
        <w:wordWrap/>
        <w:overflowPunct/>
        <w:topLinePunct w:val="0"/>
        <w:bidi w:val="0"/>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排气系统的综合降噪措施。生产区通风风机设置在室内，作为车间空气净化、通风用。除选择低噪设备外，在安装上注意到风机本身应带减振底座，安装位置具有减振台基础，主排风管在风气出口要配置消声器，排风管道进出口加柔性软接头。对于设置在屋顶的风机或排气口考虑加设风机隔声罩，以降低风机噪声对周围环境的影响。</w:t>
      </w:r>
    </w:p>
    <w:p>
      <w:pPr>
        <w:keepNext w:val="0"/>
        <w:keepLines w:val="0"/>
        <w:pageBreakBefore w:val="0"/>
        <w:kinsoku/>
        <w:wordWrap/>
        <w:overflowPunct/>
        <w:topLinePunct w:val="0"/>
        <w:bidi w:val="0"/>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（3）建筑物隔声。建筑物隔声是采取密闭的房屋把重点噪声源封闭在室内，对于较大噪声设备且体积较小的设备，该方法被普遍采用。一般来讲，完全密闭的单砖墙的隔声效果可以达到30</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40分贝，即使安装窗户，按照国家环保局发布的《隔声窗》（HJ/T17-1996）标准，隔声窗的隔声量应大于25分贝，当然安装在房屋上后由于受到墙体本身存在孔隙等隔声薄弱环节的牵制，实际隔声效果要相应标准降低，但通过建筑物封闭隔声措施并在房屋内壁铺设吸声材料，应至少可以降低噪声20个分贝以上。</w:t>
      </w:r>
    </w:p>
    <w:p>
      <w:pPr>
        <w:keepNext w:val="0"/>
        <w:keepLines w:val="0"/>
        <w:pageBreakBefore w:val="0"/>
        <w:kinsoku/>
        <w:wordWrap/>
        <w:overflowPunct/>
        <w:topLinePunct w:val="0"/>
        <w:bidi w:val="0"/>
        <w:snapToGrid/>
        <w:spacing w:line="360" w:lineRule="auto"/>
        <w:ind w:firstLine="480" w:firstLineChars="20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声环境影响预测结果表明，拟建项目采取以上噪声防治措施后，运营期各厂界的噪声值可以达到《工业企业厂界环境噪声排放标准》（GB12348-2008）中相应标准的限值要求，因此拟建项目拟采取的噪声防治措施是可行的</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pPr>
        <w:pStyle w:val="7"/>
        <w:pageBreakBefore w:val="0"/>
        <w:numPr>
          <w:ilvl w:val="0"/>
          <w:numId w:val="0"/>
        </w:numPr>
        <w:kinsoku/>
        <w:wordWrap/>
        <w:overflowPunct/>
        <w:topLinePunct w:val="0"/>
        <w:bidi w:val="0"/>
        <w:adjustRightInd/>
        <w:snapToGrid/>
        <w:ind w:left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bookmarkStart w:id="599" w:name="_Toc15461"/>
      <w:r>
        <w:rPr>
          <w:rFonts w:hint="eastAsia" w:ascii="宋体" w:hAnsi="宋体" w:eastAsia="宋体" w:cs="宋体"/>
          <w:color w:val="000000" w:themeColor="text1"/>
          <w:sz w:val="24"/>
          <w:szCs w:val="24"/>
          <w:highlight w:val="none"/>
          <w:lang w:val="en-US" w:eastAsia="zh-CN"/>
          <w14:textFill>
            <w14:solidFill>
              <w14:schemeClr w14:val="tx1"/>
            </w14:solidFill>
          </w14:textFill>
        </w:rPr>
        <w:t>7.6土壤污染防治措施</w:t>
      </w:r>
      <w:bookmarkEnd w:id="599"/>
    </w:p>
    <w:p>
      <w:pPr>
        <w:pStyle w:val="8"/>
        <w:keepNext/>
        <w:keepLines/>
        <w:pageBreakBefore w:val="0"/>
        <w:kinsoku/>
        <w:wordWrap/>
        <w:overflowPunct/>
        <w:topLinePunct w:val="0"/>
        <w:autoSpaceDE/>
        <w:autoSpaceDN/>
        <w:bidi w:val="0"/>
        <w:adjustRightInd/>
        <w:snapToGrid/>
        <w:ind w:firstLine="482" w:firstLineChars="200"/>
        <w:textAlignment w:val="auto"/>
        <w:rPr>
          <w:rFonts w:hint="eastAsia" w:ascii="宋体" w:hAnsi="宋体" w:eastAsia="宋体" w:cs="宋体"/>
          <w:bCs/>
          <w:color w:val="000000" w:themeColor="text1"/>
          <w:highlight w:val="none"/>
          <w:lang w:val="en-US" w:eastAsia="zh-CN"/>
          <w14:textFill>
            <w14:solidFill>
              <w14:schemeClr w14:val="tx1"/>
            </w14:solidFill>
          </w14:textFill>
        </w:rPr>
      </w:pPr>
      <w:bookmarkStart w:id="600" w:name="_Toc13577"/>
      <w:r>
        <w:rPr>
          <w:rFonts w:hint="eastAsia" w:ascii="宋体" w:hAnsi="宋体" w:eastAsia="宋体" w:cs="宋体"/>
          <w:bCs/>
          <w:color w:val="000000" w:themeColor="text1"/>
          <w:highlight w:val="none"/>
          <w:lang w:val="en-US" w:eastAsia="zh-CN"/>
          <w14:textFill>
            <w14:solidFill>
              <w14:schemeClr w14:val="tx1"/>
            </w14:solidFill>
          </w14:textFill>
        </w:rPr>
        <w:t>7.6.1源头控制措施</w:t>
      </w:r>
      <w:bookmarkEnd w:id="600"/>
    </w:p>
    <w:p>
      <w:pPr>
        <w:keepNext w:val="0"/>
        <w:keepLines w:val="0"/>
        <w:pageBreakBefore w:val="0"/>
        <w:kinsoku/>
        <w:wordWrap/>
        <w:overflowPunct/>
        <w:topLinePunct w:val="0"/>
        <w:bidi w:val="0"/>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本项目土壤影响类型主要为大气沉降影响及垂直入渗影响，因此项目源头控制措施分别针对大气沉降及垂直入渗展开。</w:t>
      </w:r>
    </w:p>
    <w:p>
      <w:pPr>
        <w:keepNext w:val="0"/>
        <w:keepLines w:val="0"/>
        <w:pageBreakBefore w:val="0"/>
        <w:kinsoku/>
        <w:wordWrap/>
        <w:overflowPunct/>
        <w:topLinePunct w:val="0"/>
        <w:bidi w:val="0"/>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（1）大气沉降影响源头控制措施</w:t>
      </w:r>
    </w:p>
    <w:p>
      <w:pPr>
        <w:keepNext w:val="0"/>
        <w:keepLines w:val="0"/>
        <w:pageBreakBefore w:val="0"/>
        <w:kinsoku/>
        <w:wordWrap/>
        <w:overflowPunct/>
        <w:topLinePunct w:val="0"/>
        <w:bidi w:val="0"/>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为防止大气沉降影响，尽可能从源头控制废气产生，减少废气对周围环境的不利影响。有组织废气经废气处理系统处理后排放，并采取车间强制通风换气等措施，加强厂区绿化来降低无组织废气对周围环境的影响。</w:t>
      </w:r>
    </w:p>
    <w:p>
      <w:pPr>
        <w:keepNext w:val="0"/>
        <w:keepLines w:val="0"/>
        <w:pageBreakBefore w:val="0"/>
        <w:kinsoku/>
        <w:wordWrap/>
        <w:overflowPunct/>
        <w:topLinePunct w:val="0"/>
        <w:bidi w:val="0"/>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（2）垂直入渗影响源头控制措施</w:t>
      </w:r>
    </w:p>
    <w:p>
      <w:pPr>
        <w:keepNext w:val="0"/>
        <w:keepLines w:val="0"/>
        <w:pageBreakBefore w:val="0"/>
        <w:kinsoku/>
        <w:wordWrap/>
        <w:overflowPunct/>
        <w:topLinePunct w:val="0"/>
        <w:bidi w:val="0"/>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为确保本区域不致受到下渗污染，项目按厂区是否为隐蔽工程，池体发生泄漏是否容易发现和能否及时得到处理作为污染防治分区的划分原则，据此划分重点防渗区、一般防渗区和简单防渗区三大区域。</w:t>
      </w:r>
    </w:p>
    <w:p>
      <w:pPr>
        <w:keepNext w:val="0"/>
        <w:keepLines w:val="0"/>
        <w:pageBreakBefore w:val="0"/>
        <w:kinsoku/>
        <w:wordWrap/>
        <w:overflowPunct/>
        <w:topLinePunct w:val="0"/>
        <w:bidi w:val="0"/>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（3）其他源头控制措施</w:t>
      </w:r>
    </w:p>
    <w:p>
      <w:pPr>
        <w:keepNext w:val="0"/>
        <w:keepLines w:val="0"/>
        <w:pageBreakBefore w:val="0"/>
        <w:kinsoku/>
        <w:wordWrap/>
        <w:overflowPunct/>
        <w:topLinePunct w:val="0"/>
        <w:bidi w:val="0"/>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原料储存区设有导流沟，周围采用防渗固化地面，防止原料泄露渗入周围土壤；物料输送管道采用明管，防止物料泄露污染土壤；化学原料储存区内采取防渗防漏措施，防止设施故障造成废水外溢污染土壤；危废堆放场所的设置按照《危险废物贮存污染控制标准》（GB18597-2023）的要求，地面与裙角采用坚固、防渗、耐腐蚀的材料建造，防风、防雨、防晒，仓库内设有浸出液收集系统。</w:t>
      </w:r>
    </w:p>
    <w:p>
      <w:pPr>
        <w:pStyle w:val="8"/>
        <w:keepNext/>
        <w:keepLines/>
        <w:pageBreakBefore w:val="0"/>
        <w:kinsoku/>
        <w:wordWrap/>
        <w:overflowPunct/>
        <w:topLinePunct w:val="0"/>
        <w:autoSpaceDE/>
        <w:autoSpaceDN/>
        <w:bidi w:val="0"/>
        <w:adjustRightInd/>
        <w:snapToGrid/>
        <w:ind w:firstLine="482" w:firstLineChars="200"/>
        <w:textAlignment w:val="auto"/>
        <w:rPr>
          <w:rFonts w:hint="eastAsia" w:ascii="宋体" w:hAnsi="宋体" w:eastAsia="宋体" w:cs="宋体"/>
          <w:bCs/>
          <w:color w:val="000000" w:themeColor="text1"/>
          <w:highlight w:val="none"/>
          <w:lang w:val="en-US" w:eastAsia="zh-CN"/>
          <w14:textFill>
            <w14:solidFill>
              <w14:schemeClr w14:val="tx1"/>
            </w14:solidFill>
          </w14:textFill>
        </w:rPr>
      </w:pPr>
      <w:bookmarkStart w:id="601" w:name="_Toc6432"/>
      <w:r>
        <w:rPr>
          <w:rFonts w:hint="eastAsia" w:ascii="宋体" w:hAnsi="宋体" w:eastAsia="宋体" w:cs="宋体"/>
          <w:bCs/>
          <w:color w:val="000000" w:themeColor="text1"/>
          <w:highlight w:val="none"/>
          <w:lang w:val="en-US" w:eastAsia="zh-CN"/>
          <w14:textFill>
            <w14:solidFill>
              <w14:schemeClr w14:val="tx1"/>
            </w14:solidFill>
          </w14:textFill>
        </w:rPr>
        <w:t>7.6.2过程防控措施</w:t>
      </w:r>
      <w:bookmarkEnd w:id="601"/>
    </w:p>
    <w:p>
      <w:pPr>
        <w:keepNext w:val="0"/>
        <w:keepLines w:val="0"/>
        <w:pageBreakBefore w:val="0"/>
        <w:kinsoku/>
        <w:wordWrap/>
        <w:overflowPunct/>
        <w:topLinePunct w:val="0"/>
        <w:bidi w:val="0"/>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本项目为土壤污染型项目，根据《环境影响评价技术导则土壤环境（试行）》HJ964-2018）过程控制措施，结合本项目污染特征。本项目拟采取如下过程控制措施：</w:t>
      </w:r>
    </w:p>
    <w:p>
      <w:pPr>
        <w:keepNext w:val="0"/>
        <w:keepLines w:val="0"/>
        <w:pageBreakBefore w:val="0"/>
        <w:kinsoku/>
        <w:wordWrap/>
        <w:overflowPunct/>
        <w:topLinePunct w:val="0"/>
        <w:bidi w:val="0"/>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（1）占地范围内应采取绿化措施,以种植具有较强吸附能力的植物为主，根据本项目所处区域自然地理特征，该地区可种植伴樟树、杨树等易于在该地区生长且富集能力较强、生物量较大的植物种植。</w:t>
      </w:r>
    </w:p>
    <w:p>
      <w:pPr>
        <w:keepNext w:val="0"/>
        <w:keepLines w:val="0"/>
        <w:pageBreakBefore w:val="0"/>
        <w:kinsoku/>
        <w:wordWrap/>
        <w:overflowPunct/>
        <w:topLinePunct w:val="0"/>
        <w:bidi w:val="0"/>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（2）涉及渗入途径影响的，应根据相关标准规范要求，对设备设施采取相应的防措施，以防止土壤环境污染。</w:t>
      </w:r>
    </w:p>
    <w:p>
      <w:pPr>
        <w:rPr>
          <w:rFonts w:hint="eastAsia" w:ascii="宋体" w:hAnsi="宋体" w:eastAsia="宋体" w:cs="宋体"/>
          <w:color w:val="000000" w:themeColor="text1"/>
          <w:highlight w:val="none"/>
          <w:lang w:eastAsia="zh-CN"/>
          <w14:textFill>
            <w14:solidFill>
              <w14:schemeClr w14:val="tx1"/>
            </w14:solidFill>
          </w14:textFill>
        </w:rPr>
      </w:pPr>
      <w:bookmarkStart w:id="602" w:name="_Toc9952"/>
      <w:bookmarkStart w:id="603" w:name="_Toc21005_WPSOffice_Level1"/>
      <w:bookmarkStart w:id="604" w:name="_Toc25672"/>
      <w:bookmarkStart w:id="605" w:name="_Toc4895"/>
      <w:bookmarkStart w:id="606" w:name="_Toc19548"/>
      <w:bookmarkStart w:id="607" w:name="_Toc375823321"/>
      <w:bookmarkStart w:id="608" w:name="_Toc31130"/>
      <w:bookmarkStart w:id="609" w:name="_Toc5775"/>
      <w:bookmarkStart w:id="610" w:name="_Toc28862"/>
      <w:bookmarkStart w:id="611" w:name="_Toc11867_WPSOffice_Level1"/>
      <w:bookmarkStart w:id="612" w:name="_Toc8787"/>
      <w:bookmarkStart w:id="613" w:name="_Toc17372_WPSOffice_Level1"/>
      <w:bookmarkStart w:id="614" w:name="_Toc14224"/>
      <w:bookmarkStart w:id="615" w:name="_Toc164132745"/>
      <w:bookmarkStart w:id="616" w:name="_Toc139277634"/>
      <w:bookmarkStart w:id="617" w:name="_Toc135102209"/>
      <w:bookmarkStart w:id="618" w:name="_Toc175374421"/>
      <w:bookmarkStart w:id="619" w:name="_Toc14592"/>
      <w:bookmarkStart w:id="620" w:name="_Toc9185"/>
      <w:bookmarkStart w:id="621" w:name="_Toc17949"/>
      <w:bookmarkStart w:id="622" w:name="_Toc18823"/>
      <w:bookmarkStart w:id="623" w:name="_Toc1730"/>
      <w:r>
        <w:rPr>
          <w:rFonts w:hint="eastAsia" w:ascii="宋体" w:hAnsi="宋体" w:eastAsia="宋体" w:cs="宋体"/>
          <w:color w:val="000000" w:themeColor="text1"/>
          <w:highlight w:val="none"/>
          <w:lang w:eastAsia="zh-CN"/>
          <w14:textFill>
            <w14:solidFill>
              <w14:schemeClr w14:val="tx1"/>
            </w14:solidFill>
          </w14:textFill>
        </w:rPr>
        <w:br w:type="page"/>
      </w:r>
    </w:p>
    <w:p>
      <w:pPr>
        <w:pStyle w:val="6"/>
        <w:spacing w:after="120"/>
        <w:rPr>
          <w:rFonts w:hint="eastAsia" w:ascii="宋体" w:hAnsi="宋体" w:eastAsia="宋体" w:cs="宋体"/>
          <w:color w:val="000000" w:themeColor="text1"/>
          <w:highlight w:val="none"/>
          <w:lang w:eastAsia="zh-CN"/>
          <w14:textFill>
            <w14:solidFill>
              <w14:schemeClr w14:val="tx1"/>
            </w14:solidFill>
          </w14:textFill>
        </w:rPr>
      </w:pPr>
      <w:bookmarkStart w:id="624" w:name="_Toc3458"/>
      <w:r>
        <w:rPr>
          <w:rFonts w:hint="eastAsia" w:ascii="宋体" w:hAnsi="宋体" w:eastAsia="宋体" w:cs="宋体"/>
          <w:color w:val="000000" w:themeColor="text1"/>
          <w:highlight w:val="none"/>
          <w:lang w:val="en-US" w:eastAsia="zh-CN"/>
          <w14:textFill>
            <w14:solidFill>
              <w14:schemeClr w14:val="tx1"/>
            </w14:solidFill>
          </w14:textFill>
        </w:rPr>
        <w:t>八、</w:t>
      </w:r>
      <w:r>
        <w:rPr>
          <w:rFonts w:hint="eastAsia" w:ascii="宋体" w:hAnsi="宋体" w:eastAsia="宋体" w:cs="宋体"/>
          <w:color w:val="000000" w:themeColor="text1"/>
          <w:highlight w:val="none"/>
          <w:lang w:eastAsia="zh-CN"/>
          <w14:textFill>
            <w14:solidFill>
              <w14:schemeClr w14:val="tx1"/>
            </w14:solidFill>
          </w14:textFill>
        </w:rPr>
        <w:t>环境经济损益分析</w:t>
      </w:r>
      <w:bookmarkEnd w:id="602"/>
      <w:bookmarkEnd w:id="603"/>
      <w:bookmarkEnd w:id="604"/>
      <w:bookmarkEnd w:id="605"/>
      <w:bookmarkEnd w:id="606"/>
      <w:bookmarkEnd w:id="607"/>
      <w:bookmarkEnd w:id="608"/>
      <w:bookmarkEnd w:id="609"/>
      <w:bookmarkEnd w:id="610"/>
      <w:bookmarkEnd w:id="611"/>
      <w:bookmarkEnd w:id="612"/>
      <w:bookmarkEnd w:id="613"/>
      <w:bookmarkEnd w:id="614"/>
      <w:bookmarkEnd w:id="624"/>
    </w:p>
    <w:p>
      <w:pPr>
        <w:pStyle w:val="7"/>
        <w:pageBreakBefore w:val="0"/>
        <w:widowControl/>
        <w:kinsoku/>
        <w:wordWrap/>
        <w:overflowPunct/>
        <w:topLinePunct w:val="0"/>
        <w:bidi w:val="0"/>
        <w:adjustRightInd/>
        <w:snapToGrid/>
        <w:ind w:firstLine="482"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bookmarkStart w:id="625" w:name="_Toc13465"/>
      <w:bookmarkStart w:id="626" w:name="_Toc11699"/>
      <w:bookmarkStart w:id="627" w:name="_Toc21546"/>
      <w:bookmarkStart w:id="628" w:name="_Toc20396"/>
      <w:bookmarkStart w:id="629" w:name="_Toc23026"/>
      <w:bookmarkStart w:id="630" w:name="_Toc28247"/>
      <w:r>
        <w:rPr>
          <w:rFonts w:hint="eastAsia" w:ascii="宋体" w:hAnsi="宋体" w:eastAsia="宋体" w:cs="宋体"/>
          <w:color w:val="000000" w:themeColor="text1"/>
          <w:sz w:val="24"/>
          <w:szCs w:val="24"/>
          <w:highlight w:val="none"/>
          <w:lang w:val="en-US" w:eastAsia="zh-CN"/>
          <w14:textFill>
            <w14:solidFill>
              <w14:schemeClr w14:val="tx1"/>
            </w14:solidFill>
          </w14:textFill>
        </w:rPr>
        <w:t>8.1</w:t>
      </w:r>
      <w:bookmarkEnd w:id="615"/>
      <w:bookmarkEnd w:id="616"/>
      <w:bookmarkEnd w:id="617"/>
      <w:bookmarkEnd w:id="618"/>
      <w:r>
        <w:rPr>
          <w:rFonts w:hint="eastAsia" w:ascii="宋体" w:hAnsi="宋体" w:eastAsia="宋体" w:cs="宋体"/>
          <w:color w:val="000000" w:themeColor="text1"/>
          <w:sz w:val="24"/>
          <w:szCs w:val="24"/>
          <w:highlight w:val="none"/>
          <w:lang w:val="en-US" w:eastAsia="zh-CN"/>
          <w14:textFill>
            <w14:solidFill>
              <w14:schemeClr w14:val="tx1"/>
            </w14:solidFill>
          </w14:textFill>
        </w:rPr>
        <w:t>经济效益分析</w:t>
      </w:r>
      <w:bookmarkEnd w:id="619"/>
      <w:bookmarkEnd w:id="620"/>
      <w:bookmarkEnd w:id="621"/>
      <w:bookmarkEnd w:id="622"/>
      <w:bookmarkEnd w:id="623"/>
      <w:bookmarkEnd w:id="625"/>
      <w:bookmarkEnd w:id="626"/>
      <w:bookmarkEnd w:id="627"/>
      <w:bookmarkEnd w:id="628"/>
      <w:bookmarkEnd w:id="629"/>
      <w:bookmarkEnd w:id="630"/>
    </w:p>
    <w:p>
      <w:pPr>
        <w:spacing w:line="440" w:lineRule="exact"/>
        <w:ind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本项目位于株洲高新区新马创新工业园内，总占地面积约3亩，项目总投资5000万元，建设周期为4个月。预计全部建成达产后，可实现年销售收入5000万元以上，税后内部收益率约为40%，投资回收期约3.2年。因此，该项目具有较高的经济效益，对促进当地国民经济发展起到促进作用。</w:t>
      </w:r>
    </w:p>
    <w:p>
      <w:pPr>
        <w:pStyle w:val="7"/>
        <w:pageBreakBefore w:val="0"/>
        <w:widowControl/>
        <w:kinsoku/>
        <w:wordWrap/>
        <w:overflowPunct/>
        <w:topLinePunct w:val="0"/>
        <w:bidi w:val="0"/>
        <w:adjustRightInd/>
        <w:snapToGrid/>
        <w:ind w:firstLine="482"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bookmarkStart w:id="631" w:name="_Toc22943_WPSOffice_Level2"/>
      <w:bookmarkStart w:id="632" w:name="_Toc28691"/>
      <w:bookmarkStart w:id="633" w:name="_Toc17943_WPSOffice_Level2"/>
      <w:bookmarkStart w:id="634" w:name="_Toc18262"/>
      <w:bookmarkStart w:id="635" w:name="_Toc26531_WPSOffice_Level2"/>
      <w:bookmarkStart w:id="636" w:name="_Toc23951"/>
      <w:bookmarkStart w:id="637" w:name="_Toc7132"/>
      <w:bookmarkStart w:id="638" w:name="_Toc29919"/>
      <w:bookmarkStart w:id="639" w:name="_Toc28883"/>
      <w:bookmarkStart w:id="640" w:name="_Toc14695"/>
      <w:bookmarkStart w:id="641" w:name="_Toc2460"/>
      <w:bookmarkStart w:id="642" w:name="_Toc5665"/>
      <w:bookmarkStart w:id="643" w:name="_Toc26583"/>
      <w:bookmarkStart w:id="644" w:name="_Toc29209"/>
      <w:r>
        <w:rPr>
          <w:rFonts w:hint="eastAsia" w:ascii="宋体" w:hAnsi="宋体" w:eastAsia="宋体" w:cs="宋体"/>
          <w:color w:val="000000" w:themeColor="text1"/>
          <w:sz w:val="24"/>
          <w:szCs w:val="24"/>
          <w:highlight w:val="none"/>
          <w:lang w:val="en-US" w:eastAsia="zh-CN"/>
          <w14:textFill>
            <w14:solidFill>
              <w14:schemeClr w14:val="tx1"/>
            </w14:solidFill>
          </w14:textFill>
        </w:rPr>
        <w:t>8.2</w:t>
      </w:r>
      <w:bookmarkEnd w:id="631"/>
      <w:bookmarkEnd w:id="632"/>
      <w:bookmarkEnd w:id="633"/>
      <w:bookmarkEnd w:id="634"/>
      <w:bookmarkEnd w:id="635"/>
      <w:bookmarkEnd w:id="636"/>
      <w:bookmarkEnd w:id="637"/>
      <w:bookmarkEnd w:id="638"/>
      <w:bookmarkEnd w:id="639"/>
      <w:bookmarkEnd w:id="640"/>
      <w:bookmarkEnd w:id="641"/>
      <w:bookmarkEnd w:id="642"/>
      <w:bookmarkEnd w:id="643"/>
      <w:r>
        <w:rPr>
          <w:rFonts w:hint="eastAsia" w:ascii="宋体" w:hAnsi="宋体" w:eastAsia="宋体" w:cs="宋体"/>
          <w:color w:val="000000" w:themeColor="text1"/>
          <w:sz w:val="24"/>
          <w:szCs w:val="24"/>
          <w:highlight w:val="none"/>
          <w:lang w:val="en-US" w:eastAsia="zh-CN"/>
          <w14:textFill>
            <w14:solidFill>
              <w14:schemeClr w14:val="tx1"/>
            </w14:solidFill>
          </w14:textFill>
        </w:rPr>
        <w:t>社会效益分析</w:t>
      </w:r>
      <w:bookmarkEnd w:id="644"/>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（1）本项目位于株洲高新区新马创新工业片区，项目建设提高了土地利用率。</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（2）项目采用先进工艺与设备，该工艺技术成熟，设备运行稳定，产品质量好，收率较高，生产成本低，有利于市场竞争。</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（3）本项目建成投产后，可为当地群众提供一些就业机会，增加当地的税收，有利于促进当地的经济发展项目在当地的建设也在一定程度上增强地方经济实力，带动当地的发展。</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综合上述分析可知，本项目的建设有一定的社会效益。</w:t>
      </w:r>
    </w:p>
    <w:p>
      <w:pPr>
        <w:pStyle w:val="7"/>
        <w:pageBreakBefore w:val="0"/>
        <w:widowControl/>
        <w:kinsoku/>
        <w:wordWrap/>
        <w:overflowPunct/>
        <w:topLinePunct w:val="0"/>
        <w:bidi w:val="0"/>
        <w:adjustRightInd/>
        <w:snapToGrid/>
        <w:ind w:firstLine="482"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bookmarkStart w:id="645" w:name="_Toc16878"/>
      <w:bookmarkStart w:id="646" w:name="_Toc5035"/>
      <w:bookmarkStart w:id="647" w:name="_Toc4992"/>
      <w:bookmarkStart w:id="648" w:name="_Toc13404"/>
      <w:bookmarkStart w:id="649" w:name="_Toc548"/>
      <w:bookmarkStart w:id="650" w:name="_Toc15931"/>
      <w:bookmarkStart w:id="651" w:name="_Toc31546"/>
      <w:bookmarkStart w:id="652" w:name="_Toc5728"/>
      <w:bookmarkStart w:id="653" w:name="_Toc6169"/>
      <w:bookmarkStart w:id="654" w:name="_Toc7536"/>
      <w:r>
        <w:rPr>
          <w:rFonts w:hint="eastAsia" w:ascii="宋体" w:hAnsi="宋体" w:eastAsia="宋体" w:cs="宋体"/>
          <w:color w:val="000000" w:themeColor="text1"/>
          <w:sz w:val="24"/>
          <w:szCs w:val="24"/>
          <w:highlight w:val="none"/>
          <w:lang w:val="en-US" w:eastAsia="zh-CN"/>
          <w14:textFill>
            <w14:solidFill>
              <w14:schemeClr w14:val="tx1"/>
            </w14:solidFill>
          </w14:textFill>
        </w:rPr>
        <w:t>8.3环境效益分析</w:t>
      </w:r>
      <w:bookmarkEnd w:id="645"/>
      <w:bookmarkEnd w:id="646"/>
      <w:bookmarkEnd w:id="647"/>
      <w:bookmarkEnd w:id="648"/>
      <w:bookmarkEnd w:id="649"/>
      <w:bookmarkEnd w:id="650"/>
      <w:bookmarkEnd w:id="651"/>
      <w:bookmarkEnd w:id="652"/>
      <w:bookmarkEnd w:id="653"/>
      <w:bookmarkEnd w:id="654"/>
    </w:p>
    <w:p>
      <w:pPr>
        <w:spacing w:line="360" w:lineRule="auto"/>
        <w:ind w:firstLine="480" w:firstLineChars="200"/>
        <w:rPr>
          <w:rFonts w:hint="eastAsia" w:ascii="宋体" w:hAnsi="宋体" w:eastAsia="宋体" w:cs="宋体"/>
          <w:color w:val="000000" w:themeColor="text1"/>
          <w:highlight w:val="none"/>
          <w:lang w:val="en-US" w:eastAsia="zh-CN"/>
          <w14:textFill>
            <w14:solidFill>
              <w14:schemeClr w14:val="tx1"/>
            </w14:solidFill>
          </w14:textFill>
        </w:rPr>
      </w:pPr>
      <w:bookmarkStart w:id="655" w:name="_Toc164132747"/>
      <w:bookmarkStart w:id="656" w:name="_Toc139277636"/>
      <w:bookmarkStart w:id="657" w:name="_Toc135102211"/>
      <w:bookmarkStart w:id="658" w:name="_Toc106872565"/>
      <w:bookmarkStart w:id="659" w:name="_Toc175374423"/>
      <w:r>
        <w:rPr>
          <w:rFonts w:hint="eastAsia" w:ascii="宋体" w:hAnsi="宋体" w:eastAsia="宋体" w:cs="宋体"/>
          <w:color w:val="000000" w:themeColor="text1"/>
          <w:highlight w:val="none"/>
          <w:lang w:val="en-US" w:eastAsia="zh-CN"/>
          <w14:textFill>
            <w14:solidFill>
              <w14:schemeClr w14:val="tx1"/>
            </w14:solidFill>
          </w14:textFill>
        </w:rPr>
        <w:t>本项目环保投资如下表。</w:t>
      </w:r>
    </w:p>
    <w:p>
      <w:pPr>
        <w:keepNext w:val="0"/>
        <w:keepLines w:val="0"/>
        <w:pageBreakBefore w:val="0"/>
        <w:widowControl/>
        <w:kinsoku/>
        <w:wordWrap/>
        <w:overflowPunct/>
        <w:topLinePunct w:val="0"/>
        <w:autoSpaceDE/>
        <w:autoSpaceDN/>
        <w:bidi w:val="0"/>
        <w:adjustRightInd/>
        <w:snapToGrid/>
        <w:spacing w:before="167" w:beforeLines="50" w:after="167" w:afterLines="50" w:line="360" w:lineRule="auto"/>
        <w:ind w:firstLine="0" w:firstLineChars="0"/>
        <w:jc w:val="center"/>
        <w:textAlignment w:val="auto"/>
        <w:rPr>
          <w:rFonts w:hint="eastAsia" w:ascii="宋体" w:hAnsi="宋体" w:eastAsia="宋体" w:cs="宋体"/>
          <w:b/>
          <w:bCs/>
          <w:color w:val="000000" w:themeColor="text1"/>
          <w:highlight w:val="none"/>
          <w:lang w:val="en-US" w:eastAsia="zh-CN"/>
          <w14:textFill>
            <w14:solidFill>
              <w14:schemeClr w14:val="tx1"/>
            </w14:solidFill>
          </w14:textFill>
        </w:rPr>
      </w:pPr>
      <w:r>
        <w:rPr>
          <w:rFonts w:hint="eastAsia" w:ascii="宋体" w:hAnsi="宋体" w:eastAsia="宋体" w:cs="宋体"/>
          <w:b/>
          <w:bCs/>
          <w:color w:val="000000" w:themeColor="text1"/>
          <w:highlight w:val="none"/>
          <w:lang w:val="en-US" w:eastAsia="zh-CN"/>
          <w14:textFill>
            <w14:solidFill>
              <w14:schemeClr w14:val="tx1"/>
            </w14:solidFill>
          </w14:textFill>
        </w:rPr>
        <w:t>表8.3-1环保投资估算</w:t>
      </w:r>
    </w:p>
    <w:tbl>
      <w:tblPr>
        <w:tblStyle w:val="31"/>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2"/>
        <w:gridCol w:w="5074"/>
        <w:gridCol w:w="3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序号</w:t>
            </w:r>
          </w:p>
        </w:tc>
        <w:tc>
          <w:tcPr>
            <w:tcW w:w="257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措施名称</w:t>
            </w:r>
          </w:p>
        </w:tc>
        <w:tc>
          <w:tcPr>
            <w:tcW w:w="1667"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w:t>
            </w:r>
          </w:p>
        </w:tc>
        <w:tc>
          <w:tcPr>
            <w:tcW w:w="257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雨污分流，</w:t>
            </w:r>
            <w:r>
              <w:rPr>
                <w:rFonts w:hint="eastAsia" w:cs="宋体"/>
                <w:color w:val="000000" w:themeColor="text1"/>
                <w:sz w:val="21"/>
                <w:szCs w:val="21"/>
                <w:highlight w:val="none"/>
                <w:vertAlign w:val="baseline"/>
                <w:lang w:val="en-US" w:eastAsia="zh-CN"/>
                <w14:textFill>
                  <w14:solidFill>
                    <w14:schemeClr w14:val="tx1"/>
                  </w14:solidFill>
                </w14:textFill>
              </w:rPr>
              <w:t>216m³消防水池（依托）</w:t>
            </w:r>
          </w:p>
        </w:tc>
        <w:tc>
          <w:tcPr>
            <w:tcW w:w="1667"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w:t>
            </w:r>
          </w:p>
        </w:tc>
        <w:tc>
          <w:tcPr>
            <w:tcW w:w="257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项目两条生产线流延工序均含有四级冷凝回收系统以及亚胺化工序均含有一级冷凝回收系统。两条生产线流延工序共用一套“三级喷淋+湿电系统”，经DA001排气筒高空排放；两条生产线的亚胺化工序，共用一套“二级喷淋+湿电系统”，</w:t>
            </w:r>
            <w:r>
              <w:rPr>
                <w:rFonts w:hint="eastAsia" w:cs="宋体"/>
                <w:color w:val="000000" w:themeColor="text1"/>
                <w:sz w:val="21"/>
                <w:szCs w:val="21"/>
                <w:highlight w:val="none"/>
                <w:vertAlign w:val="baseline"/>
                <w:lang w:val="en-US" w:eastAsia="zh-CN"/>
                <w14:textFill>
                  <w14:solidFill>
                    <w14:schemeClr w14:val="tx1"/>
                  </w14:solidFill>
                </w14:textFill>
              </w:rPr>
              <w:t>与电晕废气一起</w:t>
            </w: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经DA002排气筒高空排放。</w:t>
            </w:r>
          </w:p>
        </w:tc>
        <w:tc>
          <w:tcPr>
            <w:tcW w:w="1667"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3</w:t>
            </w:r>
          </w:p>
        </w:tc>
        <w:tc>
          <w:tcPr>
            <w:tcW w:w="257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80m²危废暂存间</w:t>
            </w:r>
          </w:p>
        </w:tc>
        <w:tc>
          <w:tcPr>
            <w:tcW w:w="1667"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4</w:t>
            </w:r>
          </w:p>
        </w:tc>
        <w:tc>
          <w:tcPr>
            <w:tcW w:w="257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一般固废暂存间</w:t>
            </w:r>
          </w:p>
        </w:tc>
        <w:tc>
          <w:tcPr>
            <w:tcW w:w="1667"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5</w:t>
            </w:r>
          </w:p>
        </w:tc>
        <w:tc>
          <w:tcPr>
            <w:tcW w:w="257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设备减震基座、消声器、低噪声填料</w:t>
            </w:r>
          </w:p>
        </w:tc>
        <w:tc>
          <w:tcPr>
            <w:tcW w:w="1667"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6</w:t>
            </w:r>
          </w:p>
        </w:tc>
        <w:tc>
          <w:tcPr>
            <w:tcW w:w="257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地下水污染防治（采取分区防渗，对原料仓库、生产车间、有机废气处置设施作业区、危险废物暂存库采取重点防渗；）</w:t>
            </w:r>
          </w:p>
        </w:tc>
        <w:tc>
          <w:tcPr>
            <w:tcW w:w="1667"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2" w:type="pct"/>
            <w:gridSpan w:val="2"/>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合计</w:t>
            </w:r>
          </w:p>
        </w:tc>
        <w:tc>
          <w:tcPr>
            <w:tcW w:w="1667"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111</w:t>
            </w:r>
          </w:p>
        </w:tc>
      </w:tr>
    </w:tbl>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项目环境损益分析包括环境代价分析、环境成本分析、环境经济收益和环境经济效益分析四个部分。</w:t>
      </w:r>
    </w:p>
    <w:p>
      <w:pPr>
        <w:pStyle w:val="8"/>
        <w:keepNext/>
        <w:keepLines/>
        <w:pageBreakBefore w:val="0"/>
        <w:kinsoku/>
        <w:wordWrap/>
        <w:overflowPunct/>
        <w:topLinePunct w:val="0"/>
        <w:autoSpaceDE/>
        <w:autoSpaceDN/>
        <w:bidi w:val="0"/>
        <w:adjustRightInd/>
        <w:snapToGrid/>
        <w:ind w:firstLine="482" w:firstLineChars="200"/>
        <w:textAlignment w:val="auto"/>
        <w:rPr>
          <w:rFonts w:hint="eastAsia" w:ascii="宋体" w:hAnsi="宋体" w:eastAsia="宋体" w:cs="宋体"/>
          <w:bCs/>
          <w:color w:val="000000" w:themeColor="text1"/>
          <w:highlight w:val="none"/>
          <w:lang w:val="en-US" w:eastAsia="zh-CN"/>
          <w14:textFill>
            <w14:solidFill>
              <w14:schemeClr w14:val="tx1"/>
            </w14:solidFill>
          </w14:textFill>
        </w:rPr>
      </w:pPr>
      <w:bookmarkStart w:id="660" w:name="_Toc26747"/>
      <w:bookmarkStart w:id="661" w:name="_Toc15099"/>
      <w:bookmarkStart w:id="662" w:name="_Toc15790"/>
      <w:bookmarkStart w:id="663" w:name="_Toc2011"/>
      <w:bookmarkStart w:id="664" w:name="_Toc19092"/>
      <w:bookmarkStart w:id="665" w:name="_Toc32516"/>
      <w:bookmarkStart w:id="666" w:name="_Toc30934"/>
      <w:bookmarkStart w:id="667" w:name="_Toc2806"/>
      <w:bookmarkStart w:id="668" w:name="_Toc15919"/>
      <w:r>
        <w:rPr>
          <w:rFonts w:hint="eastAsia" w:ascii="宋体" w:hAnsi="宋体" w:eastAsia="宋体" w:cs="宋体"/>
          <w:bCs/>
          <w:color w:val="000000" w:themeColor="text1"/>
          <w:highlight w:val="none"/>
          <w:lang w:val="en-US" w:eastAsia="zh-CN"/>
          <w14:textFill>
            <w14:solidFill>
              <w14:schemeClr w14:val="tx1"/>
            </w14:solidFill>
          </w14:textFill>
        </w:rPr>
        <w:t>8.3.1建设项目环境代价分析</w:t>
      </w:r>
      <w:bookmarkEnd w:id="660"/>
      <w:bookmarkEnd w:id="661"/>
      <w:bookmarkEnd w:id="662"/>
      <w:bookmarkEnd w:id="663"/>
      <w:bookmarkEnd w:id="664"/>
      <w:bookmarkEnd w:id="665"/>
      <w:bookmarkEnd w:id="666"/>
      <w:bookmarkEnd w:id="667"/>
      <w:bookmarkEnd w:id="668"/>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环境代价是项目对环境污染和破坏所造成环境损失折算的经济价值，是项目环境影响损益分析的核心内容。本项目投产后，环境所承受的环境经济代价有三部分:资源和能源流失代价(A)、对环境生产和生活资料造成的损失代价(B)、对人群、动植物造成的损失代价(C)。</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这三部分之和共同构成该项目的环境代价。其中:</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drawing>
          <wp:anchor distT="0" distB="0" distL="114300" distR="114300" simplePos="0" relativeHeight="251664384" behindDoc="0" locked="0" layoutInCell="1" allowOverlap="1">
            <wp:simplePos x="0" y="0"/>
            <wp:positionH relativeFrom="column">
              <wp:posOffset>652780</wp:posOffset>
            </wp:positionH>
            <wp:positionV relativeFrom="paragraph">
              <wp:posOffset>262255</wp:posOffset>
            </wp:positionV>
            <wp:extent cx="657225" cy="409575"/>
            <wp:effectExtent l="0" t="0" r="9525" b="8890"/>
            <wp:wrapNone/>
            <wp:docPr id="197" name="图片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970"/>
                    <pic:cNvPicPr>
                      <a:picLocks noChangeAspect="1"/>
                    </pic:cNvPicPr>
                  </pic:nvPicPr>
                  <pic:blipFill>
                    <a:blip r:embed="rId40"/>
                    <a:stretch>
                      <a:fillRect/>
                    </a:stretch>
                  </pic:blipFill>
                  <pic:spPr>
                    <a:xfrm>
                      <a:off x="0" y="0"/>
                      <a:ext cx="657225" cy="409575"/>
                    </a:xfrm>
                    <a:prstGeom prst="rect">
                      <a:avLst/>
                    </a:prstGeom>
                    <a:noFill/>
                    <a:ln>
                      <a:noFill/>
                    </a:ln>
                  </pic:spPr>
                </pic:pic>
              </a:graphicData>
            </a:graphic>
          </wp:anchor>
        </w:drawing>
      </w:r>
      <w:r>
        <w:rPr>
          <w:rFonts w:hint="eastAsia" w:ascii="宋体" w:hAnsi="宋体" w:eastAsia="宋体" w:cs="宋体"/>
          <w:color w:val="000000" w:themeColor="text1"/>
          <w:highlight w:val="none"/>
          <w14:textFill>
            <w14:solidFill>
              <w14:schemeClr w14:val="tx1"/>
            </w14:solidFill>
          </w14:textFill>
        </w:rPr>
        <w:t>1）资源和能源流失代价(A)</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highlight w:val="none"/>
          <w14:textFill>
            <w14:solidFill>
              <w14:schemeClr w14:val="tx1"/>
            </w14:solidFill>
          </w14:textFill>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式中：Qi为某种污染物排放年累计量；Pi为某污染物作为资源、能源价格。</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该项目实施主要流失的资源和能源为水、电和汽，根据</w:t>
      </w:r>
      <w:r>
        <w:rPr>
          <w:rFonts w:hint="eastAsia" w:ascii="宋体" w:hAnsi="宋体" w:eastAsia="宋体" w:cs="宋体"/>
          <w:color w:val="000000" w:themeColor="text1"/>
          <w:highlight w:val="none"/>
          <w:lang w:val="en-US" w:eastAsia="zh-CN"/>
          <w14:textFill>
            <w14:solidFill>
              <w14:schemeClr w14:val="tx1"/>
            </w14:solidFill>
          </w14:textFill>
        </w:rPr>
        <w:t>株洲</w:t>
      </w:r>
      <w:r>
        <w:rPr>
          <w:rFonts w:hint="eastAsia" w:ascii="宋体" w:hAnsi="宋体" w:eastAsia="宋体" w:cs="宋体"/>
          <w:color w:val="000000" w:themeColor="text1"/>
          <w:highlight w:val="none"/>
          <w14:textFill>
            <w14:solidFill>
              <w14:schemeClr w14:val="tx1"/>
            </w14:solidFill>
          </w14:textFill>
        </w:rPr>
        <w:t>地区资源和能源收费标准，得出本项目年资源和能源流失代价(A)，由下表可知本项目资源和能源流失代价约</w:t>
      </w:r>
      <w:r>
        <w:rPr>
          <w:rFonts w:hint="eastAsia" w:ascii="宋体" w:hAnsi="宋体" w:eastAsia="宋体" w:cs="宋体"/>
          <w:color w:val="000000" w:themeColor="text1"/>
          <w:highlight w:val="none"/>
          <w:lang w:val="en-US" w:eastAsia="zh-CN"/>
          <w14:textFill>
            <w14:solidFill>
              <w14:schemeClr w14:val="tx1"/>
            </w14:solidFill>
          </w14:textFill>
        </w:rPr>
        <w:t>143.88</w:t>
      </w:r>
      <w:r>
        <w:rPr>
          <w:rFonts w:hint="eastAsia" w:ascii="宋体" w:hAnsi="宋体" w:eastAsia="宋体" w:cs="宋体"/>
          <w:color w:val="000000" w:themeColor="text1"/>
          <w:highlight w:val="none"/>
          <w14:textFill>
            <w14:solidFill>
              <w14:schemeClr w14:val="tx1"/>
            </w14:solidFill>
          </w14:textFill>
        </w:rPr>
        <w:t>万元。</w:t>
      </w:r>
    </w:p>
    <w:p>
      <w:pPr>
        <w:keepNext w:val="0"/>
        <w:keepLines w:val="0"/>
        <w:pageBreakBefore w:val="0"/>
        <w:widowControl/>
        <w:kinsoku/>
        <w:wordWrap/>
        <w:overflowPunct/>
        <w:topLinePunct w:val="0"/>
        <w:autoSpaceDE/>
        <w:autoSpaceDN/>
        <w:bidi w:val="0"/>
        <w:adjustRightInd/>
        <w:snapToGrid/>
        <w:spacing w:before="167" w:beforeLines="50" w:after="167" w:afterLines="50" w:line="360" w:lineRule="auto"/>
        <w:ind w:firstLine="0" w:firstLineChars="0"/>
        <w:jc w:val="center"/>
        <w:textAlignment w:val="auto"/>
        <w:rPr>
          <w:rFonts w:hint="eastAsia" w:ascii="宋体" w:hAnsi="宋体" w:eastAsia="宋体" w:cs="宋体"/>
          <w:b/>
          <w:bCs/>
          <w:color w:val="000000" w:themeColor="text1"/>
          <w:highlight w:val="none"/>
          <w:lang w:val="en-US" w:eastAsia="zh-CN"/>
          <w14:textFill>
            <w14:solidFill>
              <w14:schemeClr w14:val="tx1"/>
            </w14:solidFill>
          </w14:textFill>
        </w:rPr>
      </w:pPr>
      <w:r>
        <w:rPr>
          <w:rFonts w:hint="eastAsia" w:ascii="宋体" w:hAnsi="宋体" w:eastAsia="宋体" w:cs="宋体"/>
          <w:b/>
          <w:bCs/>
          <w:color w:val="000000" w:themeColor="text1"/>
          <w:highlight w:val="none"/>
          <w:lang w:val="en-US" w:eastAsia="zh-CN"/>
          <w14:textFill>
            <w14:solidFill>
              <w14:schemeClr w14:val="tx1"/>
            </w14:solidFill>
          </w14:textFill>
        </w:rPr>
        <w:t>表8.3-2资源和能源流失代价计算表</w:t>
      </w:r>
    </w:p>
    <w:tbl>
      <w:tblPr>
        <w:tblStyle w:val="30"/>
        <w:tblW w:w="0" w:type="auto"/>
        <w:tblInd w:w="0" w:type="dxa"/>
        <w:tblLayout w:type="fixed"/>
        <w:tblCellMar>
          <w:top w:w="15" w:type="dxa"/>
          <w:left w:w="15" w:type="dxa"/>
          <w:bottom w:w="15" w:type="dxa"/>
          <w:right w:w="15" w:type="dxa"/>
        </w:tblCellMar>
      </w:tblPr>
      <w:tblGrid>
        <w:gridCol w:w="1250"/>
        <w:gridCol w:w="1292"/>
        <w:gridCol w:w="1791"/>
        <w:gridCol w:w="2089"/>
        <w:gridCol w:w="3131"/>
      </w:tblGrid>
      <w:tr>
        <w:tblPrEx>
          <w:tblCellMar>
            <w:top w:w="15" w:type="dxa"/>
            <w:left w:w="15" w:type="dxa"/>
            <w:bottom w:w="15" w:type="dxa"/>
            <w:right w:w="15" w:type="dxa"/>
          </w:tblCellMar>
        </w:tblPrEx>
        <w:trPr>
          <w:trHeight w:val="390" w:hRule="atLeast"/>
        </w:trPr>
        <w:tc>
          <w:tcPr>
            <w:tcW w:w="12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序号</w:t>
            </w:r>
          </w:p>
        </w:tc>
        <w:tc>
          <w:tcPr>
            <w:tcW w:w="129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项目</w:t>
            </w:r>
          </w:p>
        </w:tc>
        <w:tc>
          <w:tcPr>
            <w:tcW w:w="179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年用量</w:t>
            </w:r>
          </w:p>
        </w:tc>
        <w:tc>
          <w:tcPr>
            <w:tcW w:w="208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收费标准</w:t>
            </w:r>
          </w:p>
        </w:tc>
        <w:tc>
          <w:tcPr>
            <w:tcW w:w="313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资源和能源流失代价（万元）</w:t>
            </w:r>
          </w:p>
        </w:tc>
      </w:tr>
      <w:tr>
        <w:tblPrEx>
          <w:tblCellMar>
            <w:top w:w="15" w:type="dxa"/>
            <w:left w:w="15" w:type="dxa"/>
            <w:bottom w:w="15" w:type="dxa"/>
            <w:right w:w="15" w:type="dxa"/>
          </w:tblCellMar>
        </w:tblPrEx>
        <w:trPr>
          <w:trHeight w:val="435" w:hRule="atLeast"/>
        </w:trPr>
        <w:tc>
          <w:tcPr>
            <w:tcW w:w="12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w:t>
            </w:r>
          </w:p>
        </w:tc>
        <w:tc>
          <w:tcPr>
            <w:tcW w:w="129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水</w:t>
            </w:r>
          </w:p>
        </w:tc>
        <w:tc>
          <w:tcPr>
            <w:tcW w:w="179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3084.75t</w:t>
            </w:r>
          </w:p>
        </w:tc>
        <w:tc>
          <w:tcPr>
            <w:tcW w:w="208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3.5元/t</w:t>
            </w:r>
          </w:p>
        </w:tc>
        <w:tc>
          <w:tcPr>
            <w:tcW w:w="313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1.08</w:t>
            </w:r>
          </w:p>
        </w:tc>
      </w:tr>
      <w:tr>
        <w:tblPrEx>
          <w:tblCellMar>
            <w:top w:w="15" w:type="dxa"/>
            <w:left w:w="15" w:type="dxa"/>
            <w:bottom w:w="15" w:type="dxa"/>
            <w:right w:w="15" w:type="dxa"/>
          </w:tblCellMar>
        </w:tblPrEx>
        <w:trPr>
          <w:trHeight w:val="435" w:hRule="atLeast"/>
        </w:trPr>
        <w:tc>
          <w:tcPr>
            <w:tcW w:w="12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w:t>
            </w:r>
          </w:p>
        </w:tc>
        <w:tc>
          <w:tcPr>
            <w:tcW w:w="129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电</w:t>
            </w:r>
          </w:p>
        </w:tc>
        <w:tc>
          <w:tcPr>
            <w:tcW w:w="179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204万度</w:t>
            </w:r>
          </w:p>
        </w:tc>
        <w:tc>
          <w:tcPr>
            <w:tcW w:w="208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0.7元/度</w:t>
            </w:r>
          </w:p>
        </w:tc>
        <w:tc>
          <w:tcPr>
            <w:tcW w:w="313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142.8</w:t>
            </w:r>
          </w:p>
        </w:tc>
      </w:tr>
      <w:tr>
        <w:tblPrEx>
          <w:tblCellMar>
            <w:top w:w="15" w:type="dxa"/>
            <w:left w:w="15" w:type="dxa"/>
            <w:bottom w:w="15" w:type="dxa"/>
            <w:right w:w="15" w:type="dxa"/>
          </w:tblCellMar>
        </w:tblPrEx>
        <w:trPr>
          <w:trHeight w:val="430" w:hRule="atLeast"/>
        </w:trPr>
        <w:tc>
          <w:tcPr>
            <w:tcW w:w="12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p>
        </w:tc>
        <w:tc>
          <w:tcPr>
            <w:tcW w:w="129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合计</w:t>
            </w:r>
          </w:p>
        </w:tc>
        <w:tc>
          <w:tcPr>
            <w:tcW w:w="179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p>
        </w:tc>
        <w:tc>
          <w:tcPr>
            <w:tcW w:w="208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p>
        </w:tc>
        <w:tc>
          <w:tcPr>
            <w:tcW w:w="313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143.88</w:t>
            </w:r>
          </w:p>
        </w:tc>
      </w:tr>
      <w:bookmarkEnd w:id="655"/>
      <w:bookmarkEnd w:id="656"/>
      <w:bookmarkEnd w:id="657"/>
      <w:bookmarkEnd w:id="658"/>
      <w:bookmarkEnd w:id="659"/>
    </w:tbl>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2）生产生活资料损失代价(B)</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这一部分损失主要是环境税和处理处置费用，包括水处理费、废气处理费和危废处置费用总和。由下表可知本项目年交处理处置费用和环境税约为</w:t>
      </w:r>
      <w:r>
        <w:rPr>
          <w:rFonts w:hint="eastAsia" w:ascii="宋体" w:hAnsi="宋体" w:eastAsia="宋体" w:cs="宋体"/>
          <w:color w:val="000000" w:themeColor="text1"/>
          <w:highlight w:val="none"/>
          <w:lang w:val="en-US" w:eastAsia="zh-CN"/>
          <w14:textFill>
            <w14:solidFill>
              <w14:schemeClr w14:val="tx1"/>
            </w14:solidFill>
          </w14:textFill>
        </w:rPr>
        <w:t>6.48</w:t>
      </w:r>
      <w:r>
        <w:rPr>
          <w:rFonts w:hint="eastAsia" w:ascii="宋体" w:hAnsi="宋体" w:eastAsia="宋体" w:cs="宋体"/>
          <w:color w:val="000000" w:themeColor="text1"/>
          <w:highlight w:val="none"/>
          <w14:textFill>
            <w14:solidFill>
              <w14:schemeClr w14:val="tx1"/>
            </w14:solidFill>
          </w14:textFill>
        </w:rPr>
        <w:t>万元，即生产生活资料损失代价(B)约为</w:t>
      </w:r>
      <w:r>
        <w:rPr>
          <w:rFonts w:hint="eastAsia" w:ascii="宋体" w:hAnsi="宋体" w:eastAsia="宋体" w:cs="宋体"/>
          <w:color w:val="000000" w:themeColor="text1"/>
          <w:highlight w:val="none"/>
          <w:lang w:val="en-US" w:eastAsia="zh-CN"/>
          <w14:textFill>
            <w14:solidFill>
              <w14:schemeClr w14:val="tx1"/>
            </w14:solidFill>
          </w14:textFill>
        </w:rPr>
        <w:t>6.48</w:t>
      </w:r>
      <w:r>
        <w:rPr>
          <w:rFonts w:hint="eastAsia" w:ascii="宋体" w:hAnsi="宋体" w:eastAsia="宋体" w:cs="宋体"/>
          <w:color w:val="000000" w:themeColor="text1"/>
          <w:highlight w:val="none"/>
          <w14:textFill>
            <w14:solidFill>
              <w14:schemeClr w14:val="tx1"/>
            </w14:solidFill>
          </w14:textFill>
        </w:rPr>
        <w:t>万元。</w:t>
      </w:r>
    </w:p>
    <w:p>
      <w:pPr>
        <w:keepNext w:val="0"/>
        <w:keepLines w:val="0"/>
        <w:pageBreakBefore w:val="0"/>
        <w:widowControl/>
        <w:kinsoku/>
        <w:wordWrap/>
        <w:overflowPunct/>
        <w:topLinePunct w:val="0"/>
        <w:autoSpaceDE/>
        <w:autoSpaceDN/>
        <w:bidi w:val="0"/>
        <w:adjustRightInd/>
        <w:snapToGrid/>
        <w:spacing w:before="167" w:beforeLines="50" w:after="167" w:afterLines="50" w:line="360" w:lineRule="auto"/>
        <w:ind w:firstLine="0" w:firstLineChars="0"/>
        <w:jc w:val="center"/>
        <w:textAlignment w:val="auto"/>
        <w:rPr>
          <w:rFonts w:hint="eastAsia" w:ascii="宋体" w:hAnsi="宋体" w:eastAsia="宋体" w:cs="宋体"/>
          <w:b/>
          <w:bCs/>
          <w:color w:val="000000" w:themeColor="text1"/>
          <w:highlight w:val="none"/>
          <w:lang w:val="en-US" w:eastAsia="zh-CN"/>
          <w14:textFill>
            <w14:solidFill>
              <w14:schemeClr w14:val="tx1"/>
            </w14:solidFill>
          </w14:textFill>
        </w:rPr>
      </w:pPr>
      <w:r>
        <w:rPr>
          <w:rFonts w:hint="eastAsia" w:ascii="宋体" w:hAnsi="宋体" w:eastAsia="宋体" w:cs="宋体"/>
          <w:b/>
          <w:bCs/>
          <w:color w:val="000000" w:themeColor="text1"/>
          <w:highlight w:val="none"/>
          <w:lang w:val="en-US" w:eastAsia="zh-CN"/>
          <w14:textFill>
            <w14:solidFill>
              <w14:schemeClr w14:val="tx1"/>
            </w14:solidFill>
          </w14:textFill>
        </w:rPr>
        <w:t>表8.3-3生产生活代价计算表</w:t>
      </w:r>
    </w:p>
    <w:tbl>
      <w:tblPr>
        <w:tblStyle w:val="3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987"/>
        <w:gridCol w:w="1257"/>
        <w:gridCol w:w="1257"/>
        <w:gridCol w:w="1549"/>
        <w:gridCol w:w="2801"/>
        <w:gridCol w:w="1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11" w:type="pct"/>
            <w:noWrap w:val="0"/>
            <w:vAlign w:val="center"/>
          </w:tcPr>
          <w:p>
            <w:pPr>
              <w:snapToGrid w:val="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污染源</w:t>
            </w:r>
          </w:p>
        </w:tc>
        <w:tc>
          <w:tcPr>
            <w:tcW w:w="650" w:type="pct"/>
            <w:noWrap w:val="0"/>
            <w:vAlign w:val="center"/>
          </w:tcPr>
          <w:p>
            <w:pPr>
              <w:snapToGrid w:val="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污染物</w:t>
            </w:r>
          </w:p>
        </w:tc>
        <w:tc>
          <w:tcPr>
            <w:tcW w:w="650" w:type="pct"/>
            <w:noWrap w:val="0"/>
            <w:vAlign w:val="center"/>
          </w:tcPr>
          <w:p>
            <w:pPr>
              <w:snapToGrid w:val="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污染物量(t/a)</w:t>
            </w:r>
          </w:p>
        </w:tc>
        <w:tc>
          <w:tcPr>
            <w:tcW w:w="800" w:type="pct"/>
            <w:noWrap w:val="0"/>
            <w:vAlign w:val="center"/>
          </w:tcPr>
          <w:p>
            <w:pPr>
              <w:snapToGrid w:val="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污染物当量</w:t>
            </w:r>
          </w:p>
          <w:p>
            <w:pPr>
              <w:snapToGrid w:val="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（元/kg）</w:t>
            </w:r>
          </w:p>
        </w:tc>
        <w:tc>
          <w:tcPr>
            <w:tcW w:w="1449" w:type="pct"/>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生产生活资料损失代价（元）</w:t>
            </w:r>
          </w:p>
        </w:tc>
        <w:tc>
          <w:tcPr>
            <w:tcW w:w="937" w:type="pct"/>
            <w:noWrap w:val="0"/>
            <w:vAlign w:val="center"/>
          </w:tcPr>
          <w:p>
            <w:pPr>
              <w:snapToGrid w:val="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66" w:hRule="atLeast"/>
        </w:trPr>
        <w:tc>
          <w:tcPr>
            <w:tcW w:w="511" w:type="pct"/>
            <w:noWrap w:val="0"/>
            <w:vAlign w:val="center"/>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废气</w:t>
            </w:r>
          </w:p>
        </w:tc>
        <w:tc>
          <w:tcPr>
            <w:tcW w:w="650" w:type="pct"/>
            <w:noWrap w:val="0"/>
            <w:vAlign w:val="center"/>
          </w:tcPr>
          <w:p>
            <w:pPr>
              <w:snapToGrid w:val="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VOC</w:t>
            </w:r>
            <w:r>
              <w:rPr>
                <w:rFonts w:hint="eastAsia" w:ascii="宋体" w:hAnsi="宋体" w:eastAsia="宋体" w:cs="宋体"/>
                <w:color w:val="000000" w:themeColor="text1"/>
                <w:sz w:val="21"/>
                <w:szCs w:val="21"/>
                <w:highlight w:val="none"/>
                <w:vertAlign w:val="subscript"/>
                <w14:textFill>
                  <w14:solidFill>
                    <w14:schemeClr w14:val="tx1"/>
                  </w14:solidFill>
                </w14:textFill>
              </w:rPr>
              <w:t>S</w:t>
            </w:r>
          </w:p>
        </w:tc>
        <w:tc>
          <w:tcPr>
            <w:tcW w:w="650" w:type="pct"/>
            <w:noWrap w:val="0"/>
            <w:vAlign w:val="center"/>
          </w:tcPr>
          <w:p>
            <w:pPr>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2.54</w:t>
            </w:r>
          </w:p>
        </w:tc>
        <w:tc>
          <w:tcPr>
            <w:tcW w:w="800" w:type="pct"/>
            <w:noWrap w:val="0"/>
            <w:vAlign w:val="center"/>
          </w:tcPr>
          <w:p>
            <w:pPr>
              <w:snapToGrid w:val="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0.95</w:t>
            </w:r>
          </w:p>
        </w:tc>
        <w:tc>
          <w:tcPr>
            <w:tcW w:w="1449" w:type="pct"/>
            <w:noWrap w:val="0"/>
            <w:vAlign w:val="center"/>
          </w:tcPr>
          <w:p>
            <w:pPr>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2413</w:t>
            </w:r>
          </w:p>
        </w:tc>
        <w:tc>
          <w:tcPr>
            <w:tcW w:w="937" w:type="pct"/>
            <w:noWrap w:val="0"/>
            <w:vAlign w:val="center"/>
          </w:tcPr>
          <w:p>
            <w:pPr>
              <w:snapToGrid w:val="0"/>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11" w:type="pct"/>
            <w:vMerge w:val="restart"/>
            <w:noWrap w:val="0"/>
            <w:vAlign w:val="center"/>
          </w:tcPr>
          <w:p>
            <w:pPr>
              <w:snapToGrid w:val="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废水</w:t>
            </w:r>
          </w:p>
        </w:tc>
        <w:tc>
          <w:tcPr>
            <w:tcW w:w="650" w:type="pct"/>
            <w:noWrap w:val="0"/>
            <w:vAlign w:val="center"/>
          </w:tcPr>
          <w:p>
            <w:pPr>
              <w:snapToGrid w:val="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COD</w:t>
            </w:r>
          </w:p>
        </w:tc>
        <w:tc>
          <w:tcPr>
            <w:tcW w:w="650" w:type="pct"/>
            <w:noWrap w:val="0"/>
            <w:vAlign w:val="center"/>
          </w:tcPr>
          <w:p>
            <w:pPr>
              <w:snapToGrid w:val="0"/>
              <w:spacing w:line="36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pacing w:val="-11"/>
                <w:sz w:val="21"/>
                <w:szCs w:val="21"/>
                <w:highlight w:val="none"/>
                <w:lang w:val="en-US" w:eastAsia="zh-CN" w:bidi="ar"/>
                <w14:textFill>
                  <w14:solidFill>
                    <w14:schemeClr w14:val="tx1"/>
                  </w14:solidFill>
                </w14:textFill>
              </w:rPr>
              <w:t>0.0315</w:t>
            </w:r>
          </w:p>
        </w:tc>
        <w:tc>
          <w:tcPr>
            <w:tcW w:w="800" w:type="pct"/>
            <w:noWrap w:val="0"/>
            <w:vAlign w:val="center"/>
          </w:tcPr>
          <w:p>
            <w:pPr>
              <w:snapToGrid w:val="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p>
        </w:tc>
        <w:tc>
          <w:tcPr>
            <w:tcW w:w="1449" w:type="pct"/>
            <w:noWrap w:val="0"/>
            <w:vAlign w:val="center"/>
          </w:tcPr>
          <w:p>
            <w:pPr>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31.5</w:t>
            </w:r>
          </w:p>
        </w:tc>
        <w:tc>
          <w:tcPr>
            <w:tcW w:w="937" w:type="pct"/>
            <w:noWrap w:val="0"/>
            <w:vAlign w:val="center"/>
          </w:tcPr>
          <w:p>
            <w:pPr>
              <w:snapToGrid w:val="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11" w:type="pct"/>
            <w:vMerge w:val="continue"/>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650" w:type="pct"/>
            <w:noWrap w:val="0"/>
            <w:vAlign w:val="center"/>
          </w:tcPr>
          <w:p>
            <w:pPr>
              <w:snapToGrid w:val="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NH</w:t>
            </w:r>
            <w:r>
              <w:rPr>
                <w:rFonts w:hint="eastAsia" w:ascii="宋体" w:hAnsi="宋体" w:eastAsia="宋体" w:cs="宋体"/>
                <w:color w:val="000000" w:themeColor="text1"/>
                <w:sz w:val="21"/>
                <w:szCs w:val="21"/>
                <w:highlight w:val="none"/>
                <w:vertAlign w:val="subscript"/>
                <w14:textFill>
                  <w14:solidFill>
                    <w14:schemeClr w14:val="tx1"/>
                  </w14:solidFill>
                </w14:textFill>
              </w:rPr>
              <w:t>3</w:t>
            </w:r>
            <w:r>
              <w:rPr>
                <w:rFonts w:hint="eastAsia" w:ascii="宋体" w:hAnsi="宋体" w:eastAsia="宋体" w:cs="宋体"/>
                <w:color w:val="000000" w:themeColor="text1"/>
                <w:sz w:val="21"/>
                <w:szCs w:val="21"/>
                <w:highlight w:val="none"/>
                <w14:textFill>
                  <w14:solidFill>
                    <w14:schemeClr w14:val="tx1"/>
                  </w14:solidFill>
                </w14:textFill>
              </w:rPr>
              <w:t>-N</w:t>
            </w:r>
          </w:p>
        </w:tc>
        <w:tc>
          <w:tcPr>
            <w:tcW w:w="650" w:type="pct"/>
            <w:noWrap w:val="0"/>
            <w:vAlign w:val="center"/>
          </w:tcPr>
          <w:p>
            <w:pPr>
              <w:snapToGrid w:val="0"/>
              <w:spacing w:line="36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pacing w:val="-11"/>
                <w:sz w:val="21"/>
                <w:szCs w:val="21"/>
                <w:highlight w:val="none"/>
                <w14:textFill>
                  <w14:solidFill>
                    <w14:schemeClr w14:val="tx1"/>
                  </w14:solidFill>
                </w14:textFill>
              </w:rPr>
              <w:t>0.</w:t>
            </w:r>
            <w:r>
              <w:rPr>
                <w:rFonts w:hint="eastAsia" w:ascii="宋体" w:hAnsi="宋体" w:eastAsia="宋体" w:cs="宋体"/>
                <w:color w:val="000000" w:themeColor="text1"/>
                <w:spacing w:val="-11"/>
                <w:sz w:val="21"/>
                <w:szCs w:val="21"/>
                <w:highlight w:val="none"/>
                <w:lang w:val="en-US" w:eastAsia="zh-CN"/>
                <w14:textFill>
                  <w14:solidFill>
                    <w14:schemeClr w14:val="tx1"/>
                  </w14:solidFill>
                </w14:textFill>
              </w:rPr>
              <w:t>0012</w:t>
            </w:r>
          </w:p>
        </w:tc>
        <w:tc>
          <w:tcPr>
            <w:tcW w:w="800" w:type="pct"/>
            <w:noWrap w:val="0"/>
            <w:vAlign w:val="center"/>
          </w:tcPr>
          <w:p>
            <w:pPr>
              <w:snapToGrid w:val="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0.8</w:t>
            </w:r>
          </w:p>
        </w:tc>
        <w:tc>
          <w:tcPr>
            <w:tcW w:w="1449" w:type="pct"/>
            <w:noWrap w:val="0"/>
            <w:vAlign w:val="center"/>
          </w:tcPr>
          <w:p>
            <w:pPr>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9.6</w:t>
            </w:r>
          </w:p>
        </w:tc>
        <w:tc>
          <w:tcPr>
            <w:tcW w:w="937" w:type="pct"/>
            <w:noWrap w:val="0"/>
            <w:vAlign w:val="center"/>
          </w:tcPr>
          <w:p>
            <w:pPr>
              <w:snapToGrid w:val="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11" w:type="pct"/>
            <w:noWrap w:val="0"/>
            <w:vAlign w:val="center"/>
          </w:tcPr>
          <w:p>
            <w:pPr>
              <w:snapToGrid w:val="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固体废物</w:t>
            </w:r>
          </w:p>
        </w:tc>
        <w:tc>
          <w:tcPr>
            <w:tcW w:w="650" w:type="pct"/>
            <w:noWrap w:val="0"/>
            <w:vAlign w:val="center"/>
          </w:tcPr>
          <w:p>
            <w:pPr>
              <w:snapToGrid w:val="0"/>
              <w:jc w:val="center"/>
              <w:rPr>
                <w:rFonts w:hint="eastAsia" w:ascii="宋体" w:hAnsi="宋体" w:eastAsia="宋体" w:cs="宋体"/>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危废</w:t>
            </w:r>
          </w:p>
        </w:tc>
        <w:tc>
          <w:tcPr>
            <w:tcW w:w="650" w:type="pct"/>
            <w:noWrap w:val="0"/>
            <w:vAlign w:val="center"/>
          </w:tcPr>
          <w:p>
            <w:pPr>
              <w:snapToGrid w:val="0"/>
              <w:jc w:val="center"/>
              <w:rPr>
                <w:rFonts w:hint="eastAsia" w:ascii="宋体" w:hAnsi="宋体" w:eastAsia="宋体" w:cs="宋体"/>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15.6</w:t>
            </w:r>
          </w:p>
        </w:tc>
        <w:tc>
          <w:tcPr>
            <w:tcW w:w="800" w:type="pct"/>
            <w:noWrap w:val="0"/>
            <w:vAlign w:val="center"/>
          </w:tcPr>
          <w:p>
            <w:pPr>
              <w:snapToGrid w:val="0"/>
              <w:jc w:val="center"/>
              <w:rPr>
                <w:rFonts w:hint="eastAsia" w:ascii="宋体" w:hAnsi="宋体" w:eastAsia="宋体" w:cs="宋体"/>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4000元/t</w:t>
            </w:r>
          </w:p>
        </w:tc>
        <w:tc>
          <w:tcPr>
            <w:tcW w:w="1449" w:type="pct"/>
            <w:noWrap w:val="0"/>
            <w:vAlign w:val="center"/>
          </w:tcPr>
          <w:p>
            <w:pPr>
              <w:snapToGrid w:val="0"/>
              <w:jc w:val="center"/>
              <w:rPr>
                <w:rFonts w:hint="eastAsia" w:ascii="宋体" w:hAnsi="宋体" w:eastAsia="宋体" w:cs="宋体"/>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62400</w:t>
            </w:r>
          </w:p>
        </w:tc>
        <w:tc>
          <w:tcPr>
            <w:tcW w:w="937" w:type="pct"/>
            <w:noWrap w:val="0"/>
            <w:vAlign w:val="center"/>
          </w:tcPr>
          <w:p>
            <w:pPr>
              <w:snapToGrid w:val="0"/>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2" w:hRule="atLeast"/>
        </w:trPr>
        <w:tc>
          <w:tcPr>
            <w:tcW w:w="2612" w:type="pct"/>
            <w:gridSpan w:val="4"/>
            <w:noWrap w:val="0"/>
            <w:vAlign w:val="center"/>
          </w:tcPr>
          <w:p>
            <w:pPr>
              <w:snapToGrid w:val="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合计</w:t>
            </w:r>
          </w:p>
        </w:tc>
        <w:tc>
          <w:tcPr>
            <w:tcW w:w="144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2"/>
                <w:szCs w:val="22"/>
                <w:u w:val="none"/>
                <w:lang w:val="en-US" w:eastAsia="zh-CN" w:bidi="ar-SA"/>
                <w14:textFill>
                  <w14:solidFill>
                    <w14:schemeClr w14:val="tx1"/>
                  </w14:solidFill>
                </w14:textFill>
              </w:rPr>
              <w:t>64854.1</w:t>
            </w:r>
          </w:p>
        </w:tc>
        <w:tc>
          <w:tcPr>
            <w:tcW w:w="937" w:type="pct"/>
            <w:noWrap w:val="0"/>
            <w:vAlign w:val="center"/>
          </w:tcPr>
          <w:p>
            <w:pPr>
              <w:snapToGrid w:val="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w:t>
            </w:r>
          </w:p>
        </w:tc>
      </w:tr>
    </w:tbl>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3）人群、动植物损失(C)</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本项目位工业用地范围内，在采取相应的环境保护措施后对人群和动植物影响较小，因此本次评价不考虑该损失。</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根据上述三项，本工程环境代价约为</w:t>
      </w:r>
      <w:r>
        <w:rPr>
          <w:rFonts w:hint="eastAsia" w:ascii="宋体" w:hAnsi="宋体" w:eastAsia="宋体" w:cs="宋体"/>
          <w:color w:val="000000" w:themeColor="text1"/>
          <w:highlight w:val="none"/>
          <w:lang w:val="en-US" w:eastAsia="zh-CN"/>
          <w14:textFill>
            <w14:solidFill>
              <w14:schemeClr w14:val="tx1"/>
            </w14:solidFill>
          </w14:textFill>
        </w:rPr>
        <w:t>150.36</w:t>
      </w:r>
      <w:r>
        <w:rPr>
          <w:rFonts w:hint="eastAsia" w:ascii="宋体" w:hAnsi="宋体" w:eastAsia="宋体" w:cs="宋体"/>
          <w:color w:val="000000" w:themeColor="text1"/>
          <w:highlight w:val="none"/>
          <w14:textFill>
            <w14:solidFill>
              <w14:schemeClr w14:val="tx1"/>
            </w14:solidFill>
          </w14:textFill>
        </w:rPr>
        <w:t>万元/年。</w:t>
      </w:r>
    </w:p>
    <w:p>
      <w:pPr>
        <w:pStyle w:val="8"/>
        <w:keepNext/>
        <w:keepLines/>
        <w:pageBreakBefore w:val="0"/>
        <w:kinsoku/>
        <w:wordWrap/>
        <w:overflowPunct/>
        <w:topLinePunct w:val="0"/>
        <w:autoSpaceDE/>
        <w:autoSpaceDN/>
        <w:bidi w:val="0"/>
        <w:adjustRightInd/>
        <w:snapToGrid/>
        <w:ind w:firstLine="482" w:firstLineChars="200"/>
        <w:textAlignment w:val="auto"/>
        <w:rPr>
          <w:rFonts w:hint="eastAsia" w:ascii="宋体" w:hAnsi="宋体" w:eastAsia="宋体" w:cs="宋体"/>
          <w:bCs/>
          <w:color w:val="000000" w:themeColor="text1"/>
          <w:highlight w:val="none"/>
          <w:lang w:val="en-US" w:eastAsia="zh-CN"/>
          <w14:textFill>
            <w14:solidFill>
              <w14:schemeClr w14:val="tx1"/>
            </w14:solidFill>
          </w14:textFill>
        </w:rPr>
      </w:pPr>
      <w:bookmarkStart w:id="669" w:name="_Toc11141"/>
      <w:bookmarkStart w:id="670" w:name="_Toc29047"/>
      <w:bookmarkStart w:id="671" w:name="_Toc20783"/>
      <w:bookmarkStart w:id="672" w:name="_Toc11397"/>
      <w:bookmarkStart w:id="673" w:name="_Toc15320"/>
      <w:bookmarkStart w:id="674" w:name="_Toc8646"/>
      <w:bookmarkStart w:id="675" w:name="_Toc32254"/>
      <w:r>
        <w:rPr>
          <w:rFonts w:hint="eastAsia" w:ascii="宋体" w:hAnsi="宋体" w:eastAsia="宋体" w:cs="宋体"/>
          <w:bCs/>
          <w:color w:val="000000" w:themeColor="text1"/>
          <w:highlight w:val="none"/>
          <w:lang w:val="en-US" w:eastAsia="zh-CN"/>
          <w14:textFill>
            <w14:solidFill>
              <w14:schemeClr w14:val="tx1"/>
            </w14:solidFill>
          </w14:textFill>
        </w:rPr>
        <w:t>8.3.2建设项目环境成本分析</w:t>
      </w:r>
      <w:bookmarkEnd w:id="669"/>
      <w:bookmarkEnd w:id="670"/>
      <w:bookmarkEnd w:id="671"/>
      <w:bookmarkEnd w:id="672"/>
      <w:bookmarkEnd w:id="673"/>
      <w:bookmarkEnd w:id="674"/>
      <w:bookmarkEnd w:id="675"/>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建设项目环境成本主要包括两部分：工程环境保护措施投资和环保设施运行及管理费用。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1）环保工程建设投资。本项目总投资为</w:t>
      </w:r>
      <w:r>
        <w:rPr>
          <w:rFonts w:hint="eastAsia" w:ascii="宋体" w:hAnsi="宋体" w:eastAsia="宋体" w:cs="宋体"/>
          <w:color w:val="000000" w:themeColor="text1"/>
          <w:highlight w:val="none"/>
          <w:lang w:val="en-US" w:eastAsia="zh-CN"/>
          <w14:textFill>
            <w14:solidFill>
              <w14:schemeClr w14:val="tx1"/>
            </w14:solidFill>
          </w14:textFill>
        </w:rPr>
        <w:t>5000</w:t>
      </w:r>
      <w:r>
        <w:rPr>
          <w:rFonts w:hint="eastAsia" w:ascii="宋体" w:hAnsi="宋体" w:eastAsia="宋体" w:cs="宋体"/>
          <w:color w:val="000000" w:themeColor="text1"/>
          <w:highlight w:val="none"/>
          <w14:textFill>
            <w14:solidFill>
              <w14:schemeClr w14:val="tx1"/>
            </w14:solidFill>
          </w14:textFill>
        </w:rPr>
        <w:t>万元，环保投资占总投资比例的</w:t>
      </w:r>
      <w:r>
        <w:rPr>
          <w:rFonts w:hint="eastAsia" w:ascii="宋体" w:hAnsi="宋体" w:eastAsia="宋体" w:cs="宋体"/>
          <w:color w:val="000000" w:themeColor="text1"/>
          <w:highlight w:val="none"/>
          <w:lang w:val="en-US" w:eastAsia="zh-CN"/>
          <w14:textFill>
            <w14:solidFill>
              <w14:schemeClr w14:val="tx1"/>
            </w14:solidFill>
          </w14:textFill>
        </w:rPr>
        <w:t>2.22</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（此部分已计入项目总投资中）。</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2）环保工程运行管理费用，此部分费用主要有五个部分，包括设备折旧、设备大修基金、能源、材料消耗、环保工作人员成本和管理费用。由下表可知，本项目环保工程运行管理费为</w:t>
      </w:r>
      <w:r>
        <w:rPr>
          <w:rFonts w:hint="eastAsia" w:ascii="宋体" w:hAnsi="宋体" w:eastAsia="宋体" w:cs="宋体"/>
          <w:color w:val="000000" w:themeColor="text1"/>
          <w:highlight w:val="none"/>
          <w:lang w:val="en-US" w:eastAsia="zh-CN"/>
          <w14:textFill>
            <w14:solidFill>
              <w14:schemeClr w14:val="tx1"/>
            </w14:solidFill>
          </w14:textFill>
        </w:rPr>
        <w:t>21.5</w:t>
      </w:r>
      <w:r>
        <w:rPr>
          <w:rFonts w:hint="eastAsia" w:ascii="宋体" w:hAnsi="宋体" w:eastAsia="宋体" w:cs="宋体"/>
          <w:color w:val="000000" w:themeColor="text1"/>
          <w:highlight w:val="none"/>
          <w14:textFill>
            <w14:solidFill>
              <w14:schemeClr w14:val="tx1"/>
            </w14:solidFill>
          </w14:textFill>
        </w:rPr>
        <w:t>万元。</w:t>
      </w:r>
    </w:p>
    <w:p>
      <w:pPr>
        <w:keepNext w:val="0"/>
        <w:keepLines w:val="0"/>
        <w:pageBreakBefore w:val="0"/>
        <w:widowControl/>
        <w:kinsoku/>
        <w:wordWrap/>
        <w:overflowPunct/>
        <w:topLinePunct w:val="0"/>
        <w:autoSpaceDE/>
        <w:autoSpaceDN/>
        <w:bidi w:val="0"/>
        <w:adjustRightInd/>
        <w:snapToGrid/>
        <w:spacing w:before="167" w:beforeLines="50" w:after="167" w:afterLines="50" w:line="360" w:lineRule="auto"/>
        <w:ind w:firstLine="0" w:firstLineChars="0"/>
        <w:jc w:val="center"/>
        <w:textAlignment w:val="auto"/>
        <w:rPr>
          <w:rFonts w:hint="eastAsia" w:ascii="宋体" w:hAnsi="宋体" w:eastAsia="宋体" w:cs="宋体"/>
          <w:b/>
          <w:bCs/>
          <w:color w:val="000000" w:themeColor="text1"/>
          <w:highlight w:val="none"/>
          <w:lang w:val="en-US" w:eastAsia="zh-CN"/>
          <w14:textFill>
            <w14:solidFill>
              <w14:schemeClr w14:val="tx1"/>
            </w14:solidFill>
          </w14:textFill>
        </w:rPr>
      </w:pPr>
      <w:r>
        <w:rPr>
          <w:rFonts w:hint="eastAsia" w:ascii="宋体" w:hAnsi="宋体" w:eastAsia="宋体" w:cs="宋体"/>
          <w:b/>
          <w:bCs/>
          <w:color w:val="000000" w:themeColor="text1"/>
          <w:highlight w:val="none"/>
          <w:lang w:val="en-US" w:eastAsia="zh-CN"/>
          <w14:textFill>
            <w14:solidFill>
              <w14:schemeClr w14:val="tx1"/>
            </w14:solidFill>
          </w14:textFill>
        </w:rPr>
        <w:t>表8.3-4环保工程运行管理费用计算表</w:t>
      </w:r>
    </w:p>
    <w:tbl>
      <w:tblPr>
        <w:tblStyle w:val="30"/>
        <w:tblW w:w="0" w:type="auto"/>
        <w:jc w:val="center"/>
        <w:tblLayout w:type="fixed"/>
        <w:tblCellMar>
          <w:top w:w="15" w:type="dxa"/>
          <w:left w:w="15" w:type="dxa"/>
          <w:bottom w:w="15" w:type="dxa"/>
          <w:right w:w="15" w:type="dxa"/>
        </w:tblCellMar>
      </w:tblPr>
      <w:tblGrid>
        <w:gridCol w:w="780"/>
        <w:gridCol w:w="4111"/>
        <w:gridCol w:w="1559"/>
        <w:gridCol w:w="3045"/>
      </w:tblGrid>
      <w:tr>
        <w:tblPrEx>
          <w:tblCellMar>
            <w:top w:w="15" w:type="dxa"/>
            <w:left w:w="15" w:type="dxa"/>
            <w:bottom w:w="15" w:type="dxa"/>
            <w:right w:w="15" w:type="dxa"/>
          </w:tblCellMar>
        </w:tblPrEx>
        <w:trPr>
          <w:trHeight w:val="403" w:hRule="atLeast"/>
          <w:jc w:val="center"/>
        </w:trPr>
        <w:tc>
          <w:tcPr>
            <w:tcW w:w="780"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序号</w:t>
            </w:r>
          </w:p>
        </w:tc>
        <w:tc>
          <w:tcPr>
            <w:tcW w:w="4111" w:type="dxa"/>
            <w:tcBorders>
              <w:top w:val="single" w:color="auto" w:sz="4" w:space="0"/>
              <w:left w:val="nil"/>
              <w:bottom w:val="single" w:color="auto" w:sz="4" w:space="0"/>
              <w:right w:val="single" w:color="auto" w:sz="4" w:space="0"/>
            </w:tcBorders>
            <w:noWrap w:val="0"/>
            <w:vAlign w:val="center"/>
          </w:tcPr>
          <w:p>
            <w:pPr>
              <w:snapToGrid w:val="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项目</w:t>
            </w:r>
          </w:p>
        </w:tc>
        <w:tc>
          <w:tcPr>
            <w:tcW w:w="1559" w:type="dxa"/>
            <w:tcBorders>
              <w:top w:val="single" w:color="auto" w:sz="4" w:space="0"/>
              <w:left w:val="nil"/>
              <w:bottom w:val="single" w:color="auto" w:sz="4" w:space="0"/>
              <w:right w:val="single" w:color="auto" w:sz="4" w:space="0"/>
            </w:tcBorders>
            <w:noWrap w:val="0"/>
            <w:vAlign w:val="center"/>
          </w:tcPr>
          <w:p>
            <w:pPr>
              <w:snapToGrid w:val="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费用（万元/a）</w:t>
            </w:r>
          </w:p>
        </w:tc>
        <w:tc>
          <w:tcPr>
            <w:tcW w:w="3045" w:type="dxa"/>
            <w:tcBorders>
              <w:top w:val="single" w:color="auto" w:sz="4" w:space="0"/>
              <w:left w:val="nil"/>
              <w:bottom w:val="single" w:color="auto" w:sz="4" w:space="0"/>
              <w:right w:val="single" w:color="auto" w:sz="4" w:space="0"/>
            </w:tcBorders>
            <w:noWrap w:val="0"/>
            <w:vAlign w:val="center"/>
          </w:tcPr>
          <w:p>
            <w:pPr>
              <w:snapToGrid w:val="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年用量</w:t>
            </w:r>
          </w:p>
        </w:tc>
      </w:tr>
      <w:tr>
        <w:tblPrEx>
          <w:tblCellMar>
            <w:top w:w="15" w:type="dxa"/>
            <w:left w:w="15" w:type="dxa"/>
            <w:bottom w:w="15" w:type="dxa"/>
            <w:right w:w="15" w:type="dxa"/>
          </w:tblCellMar>
        </w:tblPrEx>
        <w:trPr>
          <w:trHeight w:val="418" w:hRule="atLeast"/>
          <w:jc w:val="center"/>
        </w:trPr>
        <w:tc>
          <w:tcPr>
            <w:tcW w:w="780"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p>
        </w:tc>
        <w:tc>
          <w:tcPr>
            <w:tcW w:w="4111" w:type="dxa"/>
            <w:tcBorders>
              <w:top w:val="single" w:color="auto" w:sz="4" w:space="0"/>
              <w:left w:val="nil"/>
              <w:bottom w:val="single" w:color="auto" w:sz="4" w:space="0"/>
              <w:right w:val="single" w:color="auto" w:sz="4" w:space="0"/>
            </w:tcBorders>
            <w:noWrap w:val="0"/>
            <w:vAlign w:val="center"/>
          </w:tcPr>
          <w:p>
            <w:pPr>
              <w:snapToGrid w:val="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设备折旧</w:t>
            </w:r>
          </w:p>
        </w:tc>
        <w:tc>
          <w:tcPr>
            <w:tcW w:w="1559" w:type="dxa"/>
            <w:tcBorders>
              <w:top w:val="single" w:color="auto" w:sz="4" w:space="0"/>
              <w:left w:val="nil"/>
              <w:bottom w:val="single" w:color="auto" w:sz="4" w:space="0"/>
              <w:right w:val="single" w:color="auto" w:sz="4" w:space="0"/>
            </w:tcBorders>
            <w:noWrap w:val="0"/>
            <w:vAlign w:val="center"/>
          </w:tcPr>
          <w:p>
            <w:pPr>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5.55</w:t>
            </w:r>
          </w:p>
        </w:tc>
        <w:tc>
          <w:tcPr>
            <w:tcW w:w="3045" w:type="dxa"/>
            <w:tcBorders>
              <w:top w:val="single" w:color="auto" w:sz="4" w:space="0"/>
              <w:left w:val="nil"/>
              <w:bottom w:val="single" w:color="auto" w:sz="4" w:space="0"/>
              <w:right w:val="single" w:color="auto" w:sz="4" w:space="0"/>
            </w:tcBorders>
            <w:noWrap w:val="0"/>
            <w:vAlign w:val="center"/>
          </w:tcPr>
          <w:p>
            <w:pPr>
              <w:snapToGrid w:val="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按环保设施费的5%计</w:t>
            </w:r>
          </w:p>
        </w:tc>
      </w:tr>
      <w:tr>
        <w:tblPrEx>
          <w:tblCellMar>
            <w:top w:w="15" w:type="dxa"/>
            <w:left w:w="15" w:type="dxa"/>
            <w:bottom w:w="15" w:type="dxa"/>
            <w:right w:w="15" w:type="dxa"/>
          </w:tblCellMar>
        </w:tblPrEx>
        <w:trPr>
          <w:trHeight w:val="343" w:hRule="atLeast"/>
          <w:jc w:val="center"/>
        </w:trPr>
        <w:tc>
          <w:tcPr>
            <w:tcW w:w="780"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w:t>
            </w:r>
          </w:p>
        </w:tc>
        <w:tc>
          <w:tcPr>
            <w:tcW w:w="4111" w:type="dxa"/>
            <w:tcBorders>
              <w:top w:val="single" w:color="auto" w:sz="4" w:space="0"/>
              <w:left w:val="nil"/>
              <w:bottom w:val="single" w:color="auto" w:sz="4" w:space="0"/>
              <w:right w:val="single" w:color="auto" w:sz="4" w:space="0"/>
            </w:tcBorders>
            <w:noWrap w:val="0"/>
            <w:vAlign w:val="center"/>
          </w:tcPr>
          <w:p>
            <w:pPr>
              <w:snapToGrid w:val="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设备大修基金</w:t>
            </w:r>
          </w:p>
        </w:tc>
        <w:tc>
          <w:tcPr>
            <w:tcW w:w="1559" w:type="dxa"/>
            <w:tcBorders>
              <w:top w:val="single" w:color="auto" w:sz="4" w:space="0"/>
              <w:left w:val="nil"/>
              <w:bottom w:val="single" w:color="auto" w:sz="4" w:space="0"/>
              <w:right w:val="single" w:color="auto" w:sz="4" w:space="0"/>
            </w:tcBorders>
            <w:noWrap w:val="0"/>
            <w:vAlign w:val="center"/>
          </w:tcPr>
          <w:p>
            <w:pPr>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3.33</w:t>
            </w:r>
          </w:p>
        </w:tc>
        <w:tc>
          <w:tcPr>
            <w:tcW w:w="3045" w:type="dxa"/>
            <w:tcBorders>
              <w:top w:val="single" w:color="auto" w:sz="4" w:space="0"/>
              <w:left w:val="nil"/>
              <w:bottom w:val="single" w:color="auto" w:sz="4" w:space="0"/>
              <w:right w:val="single" w:color="auto" w:sz="4" w:space="0"/>
            </w:tcBorders>
            <w:noWrap w:val="0"/>
            <w:vAlign w:val="center"/>
          </w:tcPr>
          <w:p>
            <w:pPr>
              <w:snapToGrid w:val="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按环保设施费的3%计</w:t>
            </w:r>
          </w:p>
        </w:tc>
      </w:tr>
      <w:tr>
        <w:tblPrEx>
          <w:tblCellMar>
            <w:top w:w="15" w:type="dxa"/>
            <w:left w:w="15" w:type="dxa"/>
            <w:bottom w:w="15" w:type="dxa"/>
            <w:right w:w="15" w:type="dxa"/>
          </w:tblCellMar>
        </w:tblPrEx>
        <w:trPr>
          <w:trHeight w:val="328" w:hRule="atLeast"/>
          <w:jc w:val="center"/>
        </w:trPr>
        <w:tc>
          <w:tcPr>
            <w:tcW w:w="780"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w:t>
            </w:r>
          </w:p>
        </w:tc>
        <w:tc>
          <w:tcPr>
            <w:tcW w:w="4111" w:type="dxa"/>
            <w:tcBorders>
              <w:top w:val="single" w:color="auto" w:sz="4" w:space="0"/>
              <w:left w:val="nil"/>
              <w:bottom w:val="single" w:color="auto" w:sz="4" w:space="0"/>
              <w:right w:val="single" w:color="auto" w:sz="4" w:space="0"/>
            </w:tcBorders>
            <w:noWrap w:val="0"/>
            <w:vAlign w:val="center"/>
          </w:tcPr>
          <w:p>
            <w:pPr>
              <w:snapToGrid w:val="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能源、材料消耗</w:t>
            </w:r>
          </w:p>
        </w:tc>
        <w:tc>
          <w:tcPr>
            <w:tcW w:w="1559" w:type="dxa"/>
            <w:tcBorders>
              <w:top w:val="single" w:color="auto" w:sz="4" w:space="0"/>
              <w:left w:val="nil"/>
              <w:bottom w:val="single" w:color="auto" w:sz="4" w:space="0"/>
              <w:right w:val="single" w:color="auto" w:sz="4" w:space="0"/>
            </w:tcBorders>
            <w:noWrap w:val="0"/>
            <w:vAlign w:val="center"/>
          </w:tcPr>
          <w:p>
            <w:pPr>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20</w:t>
            </w:r>
          </w:p>
        </w:tc>
        <w:tc>
          <w:tcPr>
            <w:tcW w:w="3045" w:type="dxa"/>
            <w:tcBorders>
              <w:top w:val="single" w:color="auto" w:sz="4" w:space="0"/>
              <w:left w:val="nil"/>
              <w:bottom w:val="single" w:color="auto" w:sz="4" w:space="0"/>
              <w:right w:val="single" w:color="auto" w:sz="4" w:space="0"/>
            </w:tcBorders>
            <w:noWrap w:val="0"/>
            <w:vAlign w:val="center"/>
          </w:tcPr>
          <w:p>
            <w:pPr>
              <w:snapToGrid w:val="0"/>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CellMar>
            <w:top w:w="15" w:type="dxa"/>
            <w:left w:w="15" w:type="dxa"/>
            <w:bottom w:w="15" w:type="dxa"/>
            <w:right w:w="15" w:type="dxa"/>
          </w:tblCellMar>
        </w:tblPrEx>
        <w:trPr>
          <w:trHeight w:val="388" w:hRule="atLeast"/>
          <w:jc w:val="center"/>
        </w:trPr>
        <w:tc>
          <w:tcPr>
            <w:tcW w:w="780"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4</w:t>
            </w:r>
          </w:p>
        </w:tc>
        <w:tc>
          <w:tcPr>
            <w:tcW w:w="4111" w:type="dxa"/>
            <w:tcBorders>
              <w:top w:val="single" w:color="auto" w:sz="4" w:space="0"/>
              <w:left w:val="nil"/>
              <w:bottom w:val="single" w:color="auto" w:sz="4" w:space="0"/>
              <w:right w:val="single" w:color="auto" w:sz="4" w:space="0"/>
            </w:tcBorders>
            <w:noWrap w:val="0"/>
            <w:vAlign w:val="center"/>
          </w:tcPr>
          <w:p>
            <w:pPr>
              <w:snapToGrid w:val="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环保工作人员成本</w:t>
            </w:r>
          </w:p>
        </w:tc>
        <w:tc>
          <w:tcPr>
            <w:tcW w:w="1559" w:type="dxa"/>
            <w:tcBorders>
              <w:top w:val="single" w:color="auto" w:sz="4" w:space="0"/>
              <w:left w:val="nil"/>
              <w:bottom w:val="single" w:color="auto" w:sz="4" w:space="0"/>
              <w:right w:val="single" w:color="auto" w:sz="4" w:space="0"/>
            </w:tcBorders>
            <w:noWrap w:val="0"/>
            <w:vAlign w:val="center"/>
          </w:tcPr>
          <w:p>
            <w:pPr>
              <w:snapToGrid w:val="0"/>
              <w:jc w:val="center"/>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0</w:t>
            </w:r>
          </w:p>
        </w:tc>
        <w:tc>
          <w:tcPr>
            <w:tcW w:w="3045" w:type="dxa"/>
            <w:tcBorders>
              <w:top w:val="single" w:color="auto" w:sz="4" w:space="0"/>
              <w:left w:val="nil"/>
              <w:bottom w:val="single" w:color="auto" w:sz="4" w:space="0"/>
              <w:right w:val="single" w:color="auto" w:sz="4" w:space="0"/>
            </w:tcBorders>
            <w:noWrap w:val="0"/>
            <w:vAlign w:val="center"/>
          </w:tcPr>
          <w:p>
            <w:pPr>
              <w:snapToGrid w:val="0"/>
              <w:jc w:val="center"/>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由现有项目人员兼任</w:t>
            </w:r>
          </w:p>
        </w:tc>
      </w:tr>
      <w:tr>
        <w:tblPrEx>
          <w:tblCellMar>
            <w:top w:w="15" w:type="dxa"/>
            <w:left w:w="15" w:type="dxa"/>
            <w:bottom w:w="15" w:type="dxa"/>
            <w:right w:w="15" w:type="dxa"/>
          </w:tblCellMar>
        </w:tblPrEx>
        <w:trPr>
          <w:trHeight w:val="443" w:hRule="atLeast"/>
          <w:jc w:val="center"/>
        </w:trPr>
        <w:tc>
          <w:tcPr>
            <w:tcW w:w="780"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5</w:t>
            </w:r>
          </w:p>
        </w:tc>
        <w:tc>
          <w:tcPr>
            <w:tcW w:w="4111" w:type="dxa"/>
            <w:tcBorders>
              <w:top w:val="single" w:color="auto" w:sz="4" w:space="0"/>
              <w:left w:val="nil"/>
              <w:bottom w:val="single" w:color="auto" w:sz="4" w:space="0"/>
              <w:right w:val="single" w:color="auto" w:sz="4" w:space="0"/>
            </w:tcBorders>
            <w:noWrap w:val="0"/>
            <w:vAlign w:val="center"/>
          </w:tcPr>
          <w:p>
            <w:pPr>
              <w:snapToGrid w:val="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管理费用（包括环保系统日常行政开支费用）</w:t>
            </w:r>
          </w:p>
        </w:tc>
        <w:tc>
          <w:tcPr>
            <w:tcW w:w="1559" w:type="dxa"/>
            <w:tcBorders>
              <w:top w:val="single" w:color="auto" w:sz="4" w:space="0"/>
              <w:left w:val="nil"/>
              <w:bottom w:val="single" w:color="auto" w:sz="4" w:space="0"/>
              <w:right w:val="single" w:color="auto" w:sz="4" w:space="0"/>
            </w:tcBorders>
            <w:noWrap w:val="0"/>
            <w:vAlign w:val="center"/>
          </w:tcPr>
          <w:p>
            <w:pPr>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0.626</w:t>
            </w:r>
          </w:p>
        </w:tc>
        <w:tc>
          <w:tcPr>
            <w:tcW w:w="3045" w:type="dxa"/>
            <w:tcBorders>
              <w:top w:val="single" w:color="auto" w:sz="4" w:space="0"/>
              <w:left w:val="nil"/>
              <w:bottom w:val="single" w:color="auto" w:sz="4" w:space="0"/>
              <w:right w:val="single" w:color="auto" w:sz="4" w:space="0"/>
            </w:tcBorders>
            <w:noWrap w:val="0"/>
            <w:vAlign w:val="center"/>
          </w:tcPr>
          <w:p>
            <w:pPr>
              <w:snapToGrid w:val="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按前4项总费用的3%估算</w:t>
            </w:r>
          </w:p>
        </w:tc>
      </w:tr>
      <w:tr>
        <w:tblPrEx>
          <w:tblCellMar>
            <w:top w:w="15" w:type="dxa"/>
            <w:left w:w="15" w:type="dxa"/>
            <w:bottom w:w="15" w:type="dxa"/>
            <w:right w:w="15" w:type="dxa"/>
          </w:tblCellMar>
        </w:tblPrEx>
        <w:trPr>
          <w:trHeight w:val="428" w:hRule="atLeast"/>
          <w:jc w:val="center"/>
        </w:trPr>
        <w:tc>
          <w:tcPr>
            <w:tcW w:w="4891" w:type="dxa"/>
            <w:gridSpan w:val="2"/>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合计</w:t>
            </w:r>
          </w:p>
        </w:tc>
        <w:tc>
          <w:tcPr>
            <w:tcW w:w="1559" w:type="dxa"/>
            <w:tcBorders>
              <w:top w:val="single" w:color="auto" w:sz="4" w:space="0"/>
              <w:left w:val="nil"/>
              <w:bottom w:val="single" w:color="auto" w:sz="4" w:space="0"/>
              <w:right w:val="single" w:color="auto" w:sz="4" w:space="0"/>
            </w:tcBorders>
            <w:noWrap w:val="0"/>
            <w:vAlign w:val="center"/>
          </w:tcPr>
          <w:p>
            <w:pPr>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21.5</w:t>
            </w:r>
          </w:p>
        </w:tc>
        <w:tc>
          <w:tcPr>
            <w:tcW w:w="3045" w:type="dxa"/>
            <w:tcBorders>
              <w:top w:val="single" w:color="auto" w:sz="4" w:space="0"/>
              <w:left w:val="nil"/>
              <w:bottom w:val="single" w:color="auto" w:sz="4" w:space="0"/>
              <w:right w:val="single" w:color="auto" w:sz="4" w:space="0"/>
            </w:tcBorders>
            <w:noWrap w:val="0"/>
            <w:vAlign w:val="center"/>
          </w:tcPr>
          <w:p>
            <w:pPr>
              <w:snapToGrid w:val="0"/>
              <w:jc w:val="center"/>
              <w:rPr>
                <w:rFonts w:hint="eastAsia" w:ascii="宋体" w:hAnsi="宋体" w:eastAsia="宋体" w:cs="宋体"/>
                <w:color w:val="000000" w:themeColor="text1"/>
                <w:sz w:val="21"/>
                <w:szCs w:val="21"/>
                <w:highlight w:val="none"/>
                <w14:textFill>
                  <w14:solidFill>
                    <w14:schemeClr w14:val="tx1"/>
                  </w14:solidFill>
                </w14:textFill>
              </w:rPr>
            </w:pPr>
          </w:p>
        </w:tc>
      </w:tr>
    </w:tbl>
    <w:p>
      <w:pPr>
        <w:pStyle w:val="8"/>
        <w:keepNext/>
        <w:keepLines/>
        <w:pageBreakBefore w:val="0"/>
        <w:kinsoku/>
        <w:wordWrap/>
        <w:overflowPunct/>
        <w:topLinePunct w:val="0"/>
        <w:autoSpaceDE/>
        <w:autoSpaceDN/>
        <w:bidi w:val="0"/>
        <w:adjustRightInd/>
        <w:snapToGrid/>
        <w:ind w:firstLine="482" w:firstLineChars="200"/>
        <w:textAlignment w:val="auto"/>
        <w:rPr>
          <w:rFonts w:hint="eastAsia" w:ascii="宋体" w:hAnsi="宋体" w:eastAsia="宋体" w:cs="宋体"/>
          <w:bCs/>
          <w:color w:val="000000" w:themeColor="text1"/>
          <w:highlight w:val="none"/>
          <w:lang w:val="en-US" w:eastAsia="zh-CN"/>
          <w14:textFill>
            <w14:solidFill>
              <w14:schemeClr w14:val="tx1"/>
            </w14:solidFill>
          </w14:textFill>
        </w:rPr>
      </w:pPr>
      <w:bookmarkStart w:id="676" w:name="_Toc12060"/>
      <w:bookmarkStart w:id="677" w:name="_Toc3472"/>
      <w:bookmarkStart w:id="678" w:name="_Toc30957"/>
      <w:bookmarkStart w:id="679" w:name="_Toc22939"/>
      <w:bookmarkStart w:id="680" w:name="_Toc15512"/>
      <w:bookmarkStart w:id="681" w:name="_Toc7986"/>
      <w:bookmarkStart w:id="682" w:name="_Toc32463"/>
      <w:r>
        <w:rPr>
          <w:rFonts w:hint="eastAsia" w:ascii="宋体" w:hAnsi="宋体" w:eastAsia="宋体" w:cs="宋体"/>
          <w:bCs/>
          <w:color w:val="000000" w:themeColor="text1"/>
          <w:highlight w:val="none"/>
          <w:lang w:val="en-US" w:eastAsia="zh-CN"/>
          <w14:textFill>
            <w14:solidFill>
              <w14:schemeClr w14:val="tx1"/>
            </w14:solidFill>
          </w14:textFill>
        </w:rPr>
        <w:t>8.3.3环境经济收益分析</w:t>
      </w:r>
      <w:bookmarkEnd w:id="676"/>
      <w:bookmarkEnd w:id="677"/>
      <w:bookmarkEnd w:id="678"/>
      <w:bookmarkEnd w:id="679"/>
      <w:bookmarkEnd w:id="680"/>
      <w:bookmarkEnd w:id="681"/>
      <w:bookmarkEnd w:id="682"/>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环境经济收益分析是指采取环境保护综合治理措施获取的直接经济收益。该项目提高水复用量、增加绿化面积、减少污染物排放等方面可以取得一定的经济收益。该项目在改善区域生态环境的经济收益很小，可忽略不计。</w:t>
      </w:r>
    </w:p>
    <w:p>
      <w:pPr>
        <w:pStyle w:val="8"/>
        <w:keepNext/>
        <w:keepLines/>
        <w:pageBreakBefore w:val="0"/>
        <w:kinsoku/>
        <w:wordWrap/>
        <w:overflowPunct/>
        <w:topLinePunct w:val="0"/>
        <w:autoSpaceDE/>
        <w:autoSpaceDN/>
        <w:bidi w:val="0"/>
        <w:adjustRightInd/>
        <w:snapToGrid/>
        <w:ind w:firstLine="482" w:firstLineChars="200"/>
        <w:textAlignment w:val="auto"/>
        <w:rPr>
          <w:rFonts w:hint="eastAsia" w:ascii="宋体" w:hAnsi="宋体" w:eastAsia="宋体" w:cs="宋体"/>
          <w:bCs/>
          <w:color w:val="000000" w:themeColor="text1"/>
          <w:highlight w:val="none"/>
          <w:lang w:val="en-US" w:eastAsia="zh-CN"/>
          <w14:textFill>
            <w14:solidFill>
              <w14:schemeClr w14:val="tx1"/>
            </w14:solidFill>
          </w14:textFill>
        </w:rPr>
      </w:pPr>
      <w:bookmarkStart w:id="683" w:name="_Toc3453"/>
      <w:bookmarkStart w:id="684" w:name="_Toc30193"/>
      <w:bookmarkStart w:id="685" w:name="_Toc10060"/>
      <w:bookmarkStart w:id="686" w:name="_Toc13197"/>
      <w:bookmarkStart w:id="687" w:name="_Toc21740"/>
      <w:bookmarkStart w:id="688" w:name="_Toc4683"/>
      <w:bookmarkStart w:id="689" w:name="_Toc23134"/>
      <w:r>
        <w:rPr>
          <w:rFonts w:hint="eastAsia" w:ascii="宋体" w:hAnsi="宋体" w:eastAsia="宋体" w:cs="宋体"/>
          <w:bCs/>
          <w:color w:val="000000" w:themeColor="text1"/>
          <w:highlight w:val="none"/>
          <w:lang w:val="en-US" w:eastAsia="zh-CN"/>
          <w14:textFill>
            <w14:solidFill>
              <w14:schemeClr w14:val="tx1"/>
            </w14:solidFill>
          </w14:textFill>
        </w:rPr>
        <w:t>8.3.4建设项目环境经济效益分析</w:t>
      </w:r>
      <w:bookmarkEnd w:id="683"/>
      <w:bookmarkEnd w:id="684"/>
      <w:bookmarkEnd w:id="685"/>
      <w:bookmarkEnd w:id="686"/>
      <w:bookmarkEnd w:id="687"/>
      <w:bookmarkEnd w:id="688"/>
      <w:bookmarkEnd w:id="689"/>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主要从以下几方面进行：</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1）环保建设费用占建设投资比例</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环保建设费用（万元）/总投资（万元）=</w:t>
      </w:r>
      <w:r>
        <w:rPr>
          <w:rFonts w:hint="eastAsia" w:ascii="宋体" w:hAnsi="宋体" w:eastAsia="宋体" w:cs="宋体"/>
          <w:color w:val="000000" w:themeColor="text1"/>
          <w:highlight w:val="none"/>
          <w:lang w:val="en-US" w:eastAsia="zh-CN"/>
          <w14:textFill>
            <w14:solidFill>
              <w14:schemeClr w14:val="tx1"/>
            </w14:solidFill>
          </w14:textFill>
        </w:rPr>
        <w:t>111</w:t>
      </w:r>
      <w:r>
        <w:rPr>
          <w:rFonts w:hint="eastAsia" w:ascii="宋体" w:hAnsi="宋体" w:eastAsia="宋体" w:cs="宋体"/>
          <w:color w:val="000000" w:themeColor="text1"/>
          <w:highlight w:val="none"/>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5000</w:t>
      </w:r>
      <w:r>
        <w:rPr>
          <w:rFonts w:hint="eastAsia" w:ascii="宋体" w:hAnsi="宋体" w:eastAsia="宋体" w:cs="宋体"/>
          <w:color w:val="000000" w:themeColor="text1"/>
          <w:highlight w:val="none"/>
          <w14:textFill>
            <w14:solidFill>
              <w14:schemeClr w14:val="tx1"/>
            </w14:solidFill>
          </w14:textFill>
        </w:rPr>
        <w:t>×100%=</w:t>
      </w:r>
      <w:r>
        <w:rPr>
          <w:rFonts w:hint="eastAsia" w:ascii="宋体" w:hAnsi="宋体" w:eastAsia="宋体" w:cs="宋体"/>
          <w:color w:val="000000" w:themeColor="text1"/>
          <w:highlight w:val="none"/>
          <w:lang w:val="en-US" w:eastAsia="zh-CN"/>
          <w14:textFill>
            <w14:solidFill>
              <w14:schemeClr w14:val="tx1"/>
            </w14:solidFill>
          </w14:textFill>
        </w:rPr>
        <w:t>2.22</w:t>
      </w:r>
      <w:r>
        <w:rPr>
          <w:rFonts w:hint="eastAsia" w:ascii="宋体" w:hAnsi="宋体" w:eastAsia="宋体" w:cs="宋体"/>
          <w:color w:val="000000" w:themeColor="text1"/>
          <w:highlight w:val="none"/>
          <w:lang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2）环境成本率</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环境成本率是指工程单位经济效益所需的环保运行管理费用（工程总经济效益按税后利</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润计）：</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环境成本率=环保运行管理费用/工程总经济效益×100%=</w:t>
      </w:r>
      <w:r>
        <w:rPr>
          <w:rFonts w:hint="eastAsia" w:ascii="宋体" w:hAnsi="宋体" w:eastAsia="宋体" w:cs="宋体"/>
          <w:color w:val="000000" w:themeColor="text1"/>
          <w:highlight w:val="none"/>
          <w:lang w:val="en-US" w:eastAsia="zh-CN"/>
          <w14:textFill>
            <w14:solidFill>
              <w14:schemeClr w14:val="tx1"/>
            </w14:solidFill>
          </w14:textFill>
        </w:rPr>
        <w:t>21.5</w:t>
      </w:r>
      <w:r>
        <w:rPr>
          <w:rFonts w:hint="eastAsia" w:ascii="宋体" w:hAnsi="宋体" w:eastAsia="宋体" w:cs="宋体"/>
          <w:color w:val="000000" w:themeColor="text1"/>
          <w:highlight w:val="none"/>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5000</w:t>
      </w:r>
      <w:r>
        <w:rPr>
          <w:rFonts w:hint="eastAsia" w:ascii="宋体" w:hAnsi="宋体" w:eastAsia="宋体" w:cs="宋体"/>
          <w:color w:val="000000" w:themeColor="text1"/>
          <w:highlight w:val="none"/>
          <w14:textFill>
            <w14:solidFill>
              <w14:schemeClr w14:val="tx1"/>
            </w14:solidFill>
          </w14:textFill>
        </w:rPr>
        <w:t>×100%=0.</w:t>
      </w:r>
      <w:r>
        <w:rPr>
          <w:rFonts w:hint="eastAsia" w:ascii="宋体" w:hAnsi="宋体" w:eastAsia="宋体" w:cs="宋体"/>
          <w:color w:val="000000" w:themeColor="text1"/>
          <w:highlight w:val="none"/>
          <w:lang w:val="en-US" w:eastAsia="zh-CN"/>
          <w14:textFill>
            <w14:solidFill>
              <w14:schemeClr w14:val="tx1"/>
            </w14:solidFill>
          </w14:textFill>
        </w:rPr>
        <w:t>43</w:t>
      </w:r>
      <w:r>
        <w:rPr>
          <w:rFonts w:hint="eastAsia" w:ascii="宋体" w:hAnsi="宋体" w:eastAsia="宋体" w:cs="宋体"/>
          <w:color w:val="000000" w:themeColor="text1"/>
          <w:highlight w:val="none"/>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3）环境系数</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环境系数指工程单位产值所需的环保运行管理费用：环境系数=环保运行管理费用/总产值×100%=</w:t>
      </w:r>
      <w:r>
        <w:rPr>
          <w:rFonts w:hint="eastAsia" w:ascii="宋体" w:hAnsi="宋体" w:eastAsia="宋体" w:cs="宋体"/>
          <w:color w:val="000000" w:themeColor="text1"/>
          <w:highlight w:val="none"/>
          <w:lang w:val="en-US" w:eastAsia="zh-CN"/>
          <w14:textFill>
            <w14:solidFill>
              <w14:schemeClr w14:val="tx1"/>
            </w14:solidFill>
          </w14:textFill>
        </w:rPr>
        <w:t>21.5</w:t>
      </w:r>
      <w:r>
        <w:rPr>
          <w:rFonts w:hint="eastAsia" w:ascii="宋体" w:hAnsi="宋体" w:eastAsia="宋体" w:cs="宋体"/>
          <w:color w:val="000000" w:themeColor="text1"/>
          <w:highlight w:val="none"/>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5000</w:t>
      </w:r>
      <w:r>
        <w:rPr>
          <w:rFonts w:hint="eastAsia" w:ascii="宋体" w:hAnsi="宋体" w:eastAsia="宋体" w:cs="宋体"/>
          <w:color w:val="000000" w:themeColor="text1"/>
          <w:highlight w:val="none"/>
          <w14:textFill>
            <w14:solidFill>
              <w14:schemeClr w14:val="tx1"/>
            </w14:solidFill>
          </w14:textFill>
        </w:rPr>
        <w:t>×100%=0.</w:t>
      </w:r>
      <w:r>
        <w:rPr>
          <w:rFonts w:hint="eastAsia" w:ascii="宋体" w:hAnsi="宋体" w:eastAsia="宋体" w:cs="宋体"/>
          <w:color w:val="000000" w:themeColor="text1"/>
          <w:highlight w:val="none"/>
          <w:lang w:val="en-US" w:eastAsia="zh-CN"/>
          <w14:textFill>
            <w14:solidFill>
              <w14:schemeClr w14:val="tx1"/>
            </w14:solidFill>
          </w14:textFill>
        </w:rPr>
        <w:t>43</w:t>
      </w:r>
      <w:r>
        <w:rPr>
          <w:rFonts w:hint="eastAsia" w:ascii="宋体" w:hAnsi="宋体" w:eastAsia="宋体" w:cs="宋体"/>
          <w:color w:val="000000" w:themeColor="text1"/>
          <w:highlight w:val="none"/>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4）项目环境经济总体效益</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建设项目环境经济总体效益=</w:t>
      </w:r>
      <w:r>
        <w:rPr>
          <w:rFonts w:hint="eastAsia" w:ascii="宋体" w:hAnsi="宋体" w:eastAsia="宋体" w:cs="宋体"/>
          <w:color w:val="000000" w:themeColor="text1"/>
          <w:highlight w:val="none"/>
          <w:lang w:val="en-US" w:eastAsia="zh-CN"/>
          <w14:textFill>
            <w14:solidFill>
              <w14:schemeClr w14:val="tx1"/>
            </w14:solidFill>
          </w14:textFill>
        </w:rPr>
        <w:t>5000</w:t>
      </w:r>
      <w:r>
        <w:rPr>
          <w:rFonts w:hint="eastAsia" w:ascii="宋体" w:hAnsi="宋体" w:eastAsia="宋体" w:cs="宋体"/>
          <w:color w:val="000000" w:themeColor="text1"/>
          <w:highlight w:val="none"/>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21.5</w:t>
      </w:r>
      <w:r>
        <w:rPr>
          <w:rFonts w:hint="eastAsia" w:ascii="宋体" w:hAnsi="宋体" w:eastAsia="宋体" w:cs="宋体"/>
          <w:color w:val="000000" w:themeColor="text1"/>
          <w:highlight w:val="none"/>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4978.5</w:t>
      </w:r>
      <w:r>
        <w:rPr>
          <w:rFonts w:hint="eastAsia" w:ascii="宋体" w:hAnsi="宋体" w:eastAsia="宋体" w:cs="宋体"/>
          <w:color w:val="000000" w:themeColor="text1"/>
          <w:highlight w:val="none"/>
          <w14:textFill>
            <w14:solidFill>
              <w14:schemeClr w14:val="tx1"/>
            </w14:solidFill>
          </w14:textFill>
        </w:rPr>
        <w:t>万元</w:t>
      </w:r>
      <w:r>
        <w:rPr>
          <w:rFonts w:hint="eastAsia" w:ascii="宋体" w:hAnsi="宋体" w:eastAsia="宋体" w:cs="宋体"/>
          <w:color w:val="000000" w:themeColor="text1"/>
          <w:highlight w:val="none"/>
          <w:lang w:eastAsia="zh-CN"/>
          <w14:textFill>
            <w14:solidFill>
              <w14:schemeClr w14:val="tx1"/>
            </w14:solidFill>
          </w14:textFill>
        </w:rPr>
        <w:t>。</w:t>
      </w:r>
    </w:p>
    <w:p>
      <w:pPr>
        <w:pStyle w:val="7"/>
        <w:pageBreakBefore w:val="0"/>
        <w:widowControl/>
        <w:kinsoku/>
        <w:wordWrap/>
        <w:overflowPunct/>
        <w:topLinePunct w:val="0"/>
        <w:bidi w:val="0"/>
        <w:adjustRightInd/>
        <w:snapToGrid/>
        <w:ind w:firstLine="482"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bookmarkStart w:id="690" w:name="_Toc6660"/>
      <w:bookmarkStart w:id="691" w:name="_Toc32536"/>
      <w:bookmarkStart w:id="692" w:name="_Toc25675_WPSOffice_Level2"/>
      <w:bookmarkStart w:id="693" w:name="_Toc24829"/>
      <w:bookmarkStart w:id="694" w:name="_Toc798"/>
      <w:bookmarkStart w:id="695" w:name="_Toc10261"/>
      <w:bookmarkStart w:id="696" w:name="_Toc13082"/>
      <w:bookmarkStart w:id="697" w:name="_Toc14528"/>
      <w:bookmarkStart w:id="698" w:name="_Toc15968"/>
      <w:bookmarkStart w:id="699" w:name="_Toc12620"/>
      <w:bookmarkStart w:id="700" w:name="_Toc16510"/>
      <w:bookmarkStart w:id="701" w:name="_Toc29702_WPSOffice_Level2"/>
      <w:bookmarkStart w:id="702" w:name="_Toc21482_WPSOffice_Level2"/>
      <w:bookmarkStart w:id="703" w:name="_Toc4246"/>
      <w:r>
        <w:rPr>
          <w:rFonts w:hint="eastAsia" w:ascii="宋体" w:hAnsi="宋体" w:eastAsia="宋体" w:cs="宋体"/>
          <w:color w:val="000000" w:themeColor="text1"/>
          <w:sz w:val="24"/>
          <w:szCs w:val="24"/>
          <w:highlight w:val="none"/>
          <w:lang w:val="en-US" w:eastAsia="zh-CN"/>
          <w14:textFill>
            <w14:solidFill>
              <w14:schemeClr w14:val="tx1"/>
            </w14:solidFill>
          </w14:textFill>
        </w:rPr>
        <w:t>8.4小结</w:t>
      </w:r>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p>
    <w:p>
      <w:pPr>
        <w:widowControl w:val="0"/>
        <w:spacing w:line="360" w:lineRule="auto"/>
        <w:ind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综上所述，项目的建设过程中，通过合理的环保投资，保证各项污染防治措施的落实，可以使运行后的各类污染物做到稳定、达标排放，从而实现经济效益、社会效益和环境效益的统一。</w:t>
      </w:r>
    </w:p>
    <w:p>
      <w:pPr>
        <w:widowControl w:val="0"/>
        <w:rPr>
          <w:rFonts w:hint="eastAsia" w:ascii="宋体" w:hAnsi="宋体" w:eastAsia="宋体" w:cs="宋体"/>
          <w:color w:val="000000" w:themeColor="text1"/>
          <w:highlight w:val="none"/>
          <w14:textFill>
            <w14:solidFill>
              <w14:schemeClr w14:val="tx1"/>
            </w14:solidFill>
          </w14:textFill>
        </w:rPr>
        <w:sectPr>
          <w:footerReference r:id="rId10" w:type="default"/>
          <w:pgSz w:w="11905" w:h="16838"/>
          <w:pgMar w:top="1440" w:right="1134" w:bottom="1440" w:left="1134" w:header="850" w:footer="992" w:gutter="0"/>
          <w:pgBorders w:offsetFrom="page">
            <w:top w:val="none" w:sz="0" w:space="0"/>
            <w:left w:val="none" w:sz="0" w:space="0"/>
            <w:bottom w:val="none" w:sz="0" w:space="0"/>
            <w:right w:val="none" w:sz="0" w:space="0"/>
          </w:pgBorders>
          <w:pgNumType w:fmt="decimal"/>
          <w:cols w:space="0" w:num="1"/>
          <w:rtlGutter w:val="0"/>
          <w:docGrid w:type="lines" w:linePitch="332" w:charSpace="0"/>
        </w:sectPr>
      </w:pPr>
    </w:p>
    <w:p>
      <w:pPr>
        <w:pStyle w:val="6"/>
        <w:spacing w:after="120"/>
        <w:rPr>
          <w:rFonts w:hint="eastAsia" w:ascii="宋体" w:hAnsi="宋体" w:eastAsia="宋体" w:cs="宋体"/>
          <w:bCs/>
          <w:color w:val="000000" w:themeColor="text1"/>
          <w:highlight w:val="none"/>
          <w:lang w:eastAsia="zh-CN"/>
          <w14:textFill>
            <w14:solidFill>
              <w14:schemeClr w14:val="tx1"/>
            </w14:solidFill>
          </w14:textFill>
        </w:rPr>
      </w:pPr>
      <w:bookmarkStart w:id="704" w:name="_Toc6353"/>
      <w:bookmarkStart w:id="705" w:name="_Toc17947"/>
      <w:bookmarkStart w:id="706" w:name="_Toc22768"/>
      <w:bookmarkStart w:id="707" w:name="_Toc17844"/>
      <w:bookmarkStart w:id="708" w:name="_Toc2039"/>
      <w:bookmarkStart w:id="709" w:name="_Toc5023"/>
      <w:bookmarkStart w:id="710" w:name="_Toc503"/>
      <w:r>
        <w:rPr>
          <w:rFonts w:hint="eastAsia" w:ascii="宋体" w:hAnsi="宋体" w:eastAsia="宋体" w:cs="宋体"/>
          <w:bCs/>
          <w:color w:val="000000" w:themeColor="text1"/>
          <w:highlight w:val="none"/>
          <w14:textFill>
            <w14:solidFill>
              <w14:schemeClr w14:val="tx1"/>
            </w14:solidFill>
          </w14:textFill>
        </w:rPr>
        <w:fldChar w:fldCharType="begin"/>
      </w:r>
      <w:r>
        <w:rPr>
          <w:rFonts w:hint="eastAsia" w:ascii="宋体" w:hAnsi="宋体" w:eastAsia="宋体" w:cs="宋体"/>
          <w:bCs/>
          <w:color w:val="000000" w:themeColor="text1"/>
          <w:highlight w:val="none"/>
          <w:lang w:eastAsia="zh-CN"/>
          <w14:textFill>
            <w14:solidFill>
              <w14:schemeClr w14:val="tx1"/>
            </w14:solidFill>
          </w14:textFill>
        </w:rPr>
        <w:instrText xml:space="preserve">HYPERLINK\l"_Toc265135733"</w:instrText>
      </w:r>
      <w:r>
        <w:rPr>
          <w:rFonts w:hint="eastAsia" w:ascii="宋体" w:hAnsi="宋体" w:eastAsia="宋体" w:cs="宋体"/>
          <w:bCs/>
          <w:color w:val="000000" w:themeColor="text1"/>
          <w:highlight w:val="none"/>
          <w14:textFill>
            <w14:solidFill>
              <w14:schemeClr w14:val="tx1"/>
            </w14:solidFill>
          </w14:textFill>
        </w:rPr>
        <w:fldChar w:fldCharType="separate"/>
      </w:r>
      <w:bookmarkStart w:id="711" w:name="_Toc7061_WPSOffice_Level1"/>
      <w:bookmarkStart w:id="712" w:name="_Toc8393_WPSOffice_Level1"/>
      <w:bookmarkStart w:id="713" w:name="_Toc410855346"/>
      <w:bookmarkStart w:id="714" w:name="_Toc15074_WPSOffice_Level1"/>
      <w:r>
        <w:rPr>
          <w:rFonts w:hint="eastAsia" w:ascii="宋体" w:hAnsi="宋体" w:eastAsia="宋体" w:cs="宋体"/>
          <w:bCs/>
          <w:color w:val="000000" w:themeColor="text1"/>
          <w:highlight w:val="none"/>
          <w:lang w:val="en-US" w:eastAsia="zh-CN"/>
          <w14:textFill>
            <w14:solidFill>
              <w14:schemeClr w14:val="tx1"/>
            </w14:solidFill>
          </w14:textFill>
        </w:rPr>
        <w:t>九、</w:t>
      </w:r>
      <w:r>
        <w:rPr>
          <w:rFonts w:hint="eastAsia" w:ascii="宋体" w:hAnsi="宋体" w:eastAsia="宋体" w:cs="宋体"/>
          <w:bCs/>
          <w:color w:val="000000" w:themeColor="text1"/>
          <w:highlight w:val="none"/>
          <w:lang w:eastAsia="zh-CN"/>
          <w14:textFill>
            <w14:solidFill>
              <w14:schemeClr w14:val="tx1"/>
            </w14:solidFill>
          </w14:textFill>
        </w:rPr>
        <w:t>环境管理与监测</w:t>
      </w:r>
      <w:bookmarkEnd w:id="711"/>
      <w:bookmarkEnd w:id="712"/>
      <w:bookmarkEnd w:id="713"/>
      <w:bookmarkEnd w:id="714"/>
      <w:r>
        <w:rPr>
          <w:rFonts w:hint="eastAsia" w:ascii="宋体" w:hAnsi="宋体" w:eastAsia="宋体" w:cs="宋体"/>
          <w:bCs/>
          <w:color w:val="000000" w:themeColor="text1"/>
          <w:highlight w:val="none"/>
          <w14:textFill>
            <w14:solidFill>
              <w14:schemeClr w14:val="tx1"/>
            </w14:solidFill>
          </w14:textFill>
        </w:rPr>
        <w:fldChar w:fldCharType="end"/>
      </w:r>
      <w:bookmarkEnd w:id="704"/>
      <w:r>
        <w:rPr>
          <w:rFonts w:hint="eastAsia" w:ascii="宋体" w:hAnsi="宋体" w:eastAsia="宋体" w:cs="宋体"/>
          <w:bCs/>
          <w:color w:val="000000" w:themeColor="text1"/>
          <w:highlight w:val="none"/>
          <w:lang w:eastAsia="zh-CN"/>
          <w14:textFill>
            <w14:solidFill>
              <w14:schemeClr w14:val="tx1"/>
            </w14:solidFill>
          </w14:textFill>
        </w:rPr>
        <w:t>计划</w:t>
      </w:r>
      <w:bookmarkEnd w:id="705"/>
      <w:bookmarkEnd w:id="706"/>
      <w:bookmarkEnd w:id="707"/>
      <w:bookmarkEnd w:id="708"/>
      <w:bookmarkEnd w:id="709"/>
      <w:bookmarkEnd w:id="710"/>
    </w:p>
    <w:p>
      <w:pPr>
        <w:pStyle w:val="7"/>
        <w:keepNext w:val="0"/>
        <w:keepLines w:val="0"/>
        <w:pageBreakBefore w:val="0"/>
        <w:widowControl/>
        <w:kinsoku/>
        <w:wordWrap/>
        <w:overflowPunct/>
        <w:topLinePunct w:val="0"/>
        <w:bidi w:val="0"/>
        <w:adjustRightInd/>
        <w:snapToGrid/>
        <w:spacing w:line="360" w:lineRule="auto"/>
        <w:ind w:leftChars="0" w:firstLine="482" w:firstLineChars="20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bookmarkStart w:id="715" w:name="_Toc517720298"/>
      <w:bookmarkStart w:id="716" w:name="_Toc5980"/>
      <w:bookmarkStart w:id="717" w:name="_Toc7000039"/>
      <w:bookmarkStart w:id="718" w:name="_Toc12438"/>
      <w:bookmarkStart w:id="719" w:name="_Toc518752287"/>
      <w:bookmarkStart w:id="720" w:name="_Toc14787"/>
      <w:bookmarkStart w:id="721" w:name="_Toc23085"/>
      <w:bookmarkStart w:id="722" w:name="_Toc15559689"/>
      <w:bookmarkStart w:id="723" w:name="_Toc13210"/>
      <w:bookmarkStart w:id="724" w:name="_Toc23145"/>
      <w:bookmarkStart w:id="725" w:name="_Toc22561355"/>
      <w:r>
        <w:rPr>
          <w:rFonts w:hint="eastAsia" w:ascii="宋体" w:hAnsi="宋体" w:eastAsia="宋体" w:cs="宋体"/>
          <w:color w:val="000000" w:themeColor="text1"/>
          <w:sz w:val="24"/>
          <w:szCs w:val="24"/>
          <w:highlight w:val="none"/>
          <w:lang w:eastAsia="zh-CN"/>
          <w14:textFill>
            <w14:solidFill>
              <w14:schemeClr w14:val="tx1"/>
            </w14:solidFill>
          </w14:textFill>
        </w:rPr>
        <w:t>9.1环境管理要求</w:t>
      </w:r>
      <w:bookmarkEnd w:id="715"/>
      <w:bookmarkEnd w:id="716"/>
      <w:bookmarkEnd w:id="717"/>
      <w:bookmarkEnd w:id="718"/>
      <w:bookmarkEnd w:id="719"/>
      <w:bookmarkEnd w:id="720"/>
      <w:bookmarkEnd w:id="721"/>
      <w:bookmarkEnd w:id="722"/>
      <w:bookmarkEnd w:id="723"/>
      <w:bookmarkEnd w:id="724"/>
    </w:p>
    <w:p>
      <w:pPr>
        <w:pStyle w:val="8"/>
        <w:keepNext w:val="0"/>
        <w:keepLines w:val="0"/>
        <w:pageBreakBefore w:val="0"/>
        <w:widowControl/>
        <w:kinsoku/>
        <w:wordWrap/>
        <w:overflowPunct/>
        <w:topLinePunct w:val="0"/>
        <w:bidi w:val="0"/>
        <w:adjustRightInd/>
        <w:snapToGrid/>
        <w:spacing w:line="360" w:lineRule="auto"/>
        <w:ind w:leftChars="0" w:firstLine="482" w:firstLineChars="20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bookmarkStart w:id="726" w:name="_Toc6498168"/>
      <w:bookmarkStart w:id="727" w:name="_Toc9941751"/>
      <w:bookmarkStart w:id="728" w:name="_Toc8894979"/>
      <w:bookmarkStart w:id="729" w:name="_Toc15559690"/>
      <w:bookmarkStart w:id="730" w:name="_Toc6655161"/>
      <w:bookmarkStart w:id="731" w:name="_Toc536433532"/>
      <w:bookmarkStart w:id="732" w:name="_Toc518752288"/>
      <w:bookmarkStart w:id="733" w:name="_Toc7000040"/>
      <w:bookmarkStart w:id="734" w:name="_Toc31633"/>
      <w:bookmarkStart w:id="735" w:name="_Toc12622131"/>
      <w:bookmarkStart w:id="736" w:name="_Toc2247967"/>
      <w:bookmarkStart w:id="737" w:name="_Toc9861179"/>
      <w:r>
        <w:rPr>
          <w:rFonts w:hint="eastAsia" w:ascii="宋体" w:hAnsi="宋体" w:eastAsia="宋体" w:cs="宋体"/>
          <w:color w:val="000000" w:themeColor="text1"/>
          <w:sz w:val="24"/>
          <w:szCs w:val="24"/>
          <w:highlight w:val="none"/>
          <w:lang w:eastAsia="zh-CN"/>
          <w14:textFill>
            <w14:solidFill>
              <w14:schemeClr w14:val="tx1"/>
            </w14:solidFill>
          </w14:textFill>
        </w:rPr>
        <w:t>9.1.1施工期环境管理要求</w:t>
      </w:r>
      <w:bookmarkEnd w:id="726"/>
      <w:bookmarkEnd w:id="727"/>
      <w:bookmarkEnd w:id="728"/>
      <w:bookmarkEnd w:id="729"/>
      <w:bookmarkEnd w:id="730"/>
      <w:bookmarkEnd w:id="731"/>
      <w:bookmarkEnd w:id="732"/>
      <w:bookmarkEnd w:id="733"/>
      <w:bookmarkEnd w:id="734"/>
      <w:bookmarkEnd w:id="735"/>
      <w:bookmarkEnd w:id="736"/>
      <w:bookmarkEnd w:id="737"/>
    </w:p>
    <w:p>
      <w:pPr>
        <w:keepNext w:val="0"/>
        <w:keepLines w:val="0"/>
        <w:pageBreakBefore w:val="0"/>
        <w:widowControl/>
        <w:kinsoku/>
        <w:wordWrap/>
        <w:overflowPunct/>
        <w:topLinePunct w:val="0"/>
        <w:bidi w:val="0"/>
        <w:adjustRightInd/>
        <w:snapToGrid/>
        <w:spacing w:line="360" w:lineRule="auto"/>
        <w:ind w:lef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建设期施工单位应加强自身的环境管理，配备必要的专、兼职环保管理人员，这些人员应是施工前经过相关培训、具备一定能力和资质的技术人员，并赋予相应的职责和权力，使其充分发挥施工现场环保监督、管理职能，确保工程施工按照国家有关环保法规及工程设计的措施要求进行。</w:t>
      </w:r>
    </w:p>
    <w:p>
      <w:pPr>
        <w:keepNext w:val="0"/>
        <w:keepLines w:val="0"/>
        <w:pageBreakBefore w:val="0"/>
        <w:widowControl/>
        <w:kinsoku/>
        <w:wordWrap/>
        <w:overflowPunct/>
        <w:topLinePunct w:val="0"/>
        <w:bidi w:val="0"/>
        <w:adjustRightInd/>
        <w:snapToGrid/>
        <w:spacing w:line="360" w:lineRule="auto"/>
        <w:ind w:lef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落实建设单位施工期环境管理职能是做好工程中环境保护工作的关键，首先是在工程施工承发包工作中，应将环保工程摆在主体工程同等的地位，环保工程质量、工期及与之相关的施工单位资质、能力都将作为重要的发包条件写入合同书中，为环保工程能够高质量地“同时施工”奠定基础。其次是及时掌握工程施工环保动态，定期检查和总结工程环保措施实施情况，资金使用情况，确保环保工程的进度要求。第三是协调各施工单位关系，消除可能存在环保项目遗漏和缺口，出现重大环保问题或环境纠纷时，积极组织力量解决，并协调施工单位处理好地方环境保护部门、公众三方相互利益的关系。</w:t>
      </w:r>
    </w:p>
    <w:p>
      <w:pPr>
        <w:pStyle w:val="8"/>
        <w:keepNext w:val="0"/>
        <w:keepLines w:val="0"/>
        <w:pageBreakBefore w:val="0"/>
        <w:widowControl/>
        <w:kinsoku/>
        <w:wordWrap/>
        <w:overflowPunct/>
        <w:topLinePunct w:val="0"/>
        <w:bidi w:val="0"/>
        <w:adjustRightInd/>
        <w:snapToGrid/>
        <w:spacing w:line="360" w:lineRule="auto"/>
        <w:ind w:leftChars="0" w:firstLine="482" w:firstLineChars="200"/>
        <w:textAlignment w:val="auto"/>
        <w:rPr>
          <w:rFonts w:hint="eastAsia" w:ascii="宋体" w:hAnsi="宋体" w:eastAsia="宋体" w:cs="宋体"/>
          <w:b w:val="0"/>
          <w:color w:val="000000" w:themeColor="text1"/>
          <w:sz w:val="24"/>
          <w:szCs w:val="24"/>
          <w:highlight w:val="none"/>
          <w:lang w:eastAsia="zh-CN"/>
          <w14:textFill>
            <w14:solidFill>
              <w14:schemeClr w14:val="tx1"/>
            </w14:solidFill>
          </w14:textFill>
        </w:rPr>
      </w:pPr>
      <w:bookmarkStart w:id="738" w:name="_Toc12622132"/>
      <w:bookmarkStart w:id="739" w:name="_Toc9861180"/>
      <w:bookmarkStart w:id="740" w:name="_Toc15559691"/>
      <w:bookmarkStart w:id="741" w:name="_Toc8894980"/>
      <w:bookmarkStart w:id="742" w:name="_Toc6655162"/>
      <w:bookmarkStart w:id="743" w:name="_Toc518752289"/>
      <w:bookmarkStart w:id="744" w:name="_Toc6498169"/>
      <w:bookmarkStart w:id="745" w:name="_Toc536433533"/>
      <w:bookmarkStart w:id="746" w:name="_Toc16716"/>
      <w:bookmarkStart w:id="747" w:name="_Toc9941752"/>
      <w:bookmarkStart w:id="748" w:name="_Toc2247968"/>
      <w:bookmarkStart w:id="749" w:name="_Toc7000041"/>
      <w:r>
        <w:rPr>
          <w:rFonts w:hint="eastAsia" w:ascii="宋体" w:hAnsi="宋体" w:eastAsia="宋体" w:cs="宋体"/>
          <w:color w:val="000000" w:themeColor="text1"/>
          <w:sz w:val="24"/>
          <w:szCs w:val="24"/>
          <w:highlight w:val="none"/>
          <w:lang w:eastAsia="zh-CN"/>
          <w14:textFill>
            <w14:solidFill>
              <w14:schemeClr w14:val="tx1"/>
            </w14:solidFill>
          </w14:textFill>
        </w:rPr>
        <w:t>9.1.2营运期环境管理要求</w:t>
      </w:r>
      <w:bookmarkEnd w:id="738"/>
      <w:bookmarkEnd w:id="739"/>
      <w:bookmarkEnd w:id="740"/>
      <w:bookmarkEnd w:id="741"/>
      <w:bookmarkEnd w:id="742"/>
      <w:bookmarkEnd w:id="743"/>
      <w:bookmarkEnd w:id="744"/>
      <w:bookmarkEnd w:id="745"/>
      <w:bookmarkEnd w:id="746"/>
      <w:bookmarkEnd w:id="747"/>
      <w:bookmarkEnd w:id="748"/>
      <w:bookmarkEnd w:id="749"/>
    </w:p>
    <w:p>
      <w:pPr>
        <w:pStyle w:val="72"/>
        <w:keepNext w:val="0"/>
        <w:keepLines w:val="0"/>
        <w:pageBreakBefore w:val="0"/>
        <w:widowControl/>
        <w:tabs>
          <w:tab w:val="left" w:pos="0"/>
        </w:tabs>
        <w:kinsoku/>
        <w:wordWrap/>
        <w:overflowPunct/>
        <w:topLinePunct w:val="0"/>
        <w:autoSpaceDE/>
        <w:autoSpaceDN/>
        <w:bidi w:val="0"/>
        <w:adjustRightInd/>
        <w:snapToGrid/>
        <w:spacing w:line="360" w:lineRule="auto"/>
        <w:ind w:leftChars="0" w:firstLine="482" w:firstLineChars="200"/>
        <w:textAlignment w:val="auto"/>
        <w:outlineLvl w:val="3"/>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9.1.2.1环境管理机构</w:t>
      </w:r>
    </w:p>
    <w:p>
      <w:pPr>
        <w:keepNext w:val="0"/>
        <w:keepLines w:val="0"/>
        <w:pageBreakBefore w:val="0"/>
        <w:widowControl/>
        <w:kinsoku/>
        <w:wordWrap/>
        <w:overflowPunct/>
        <w:topLinePunct w:val="0"/>
        <w:bidi w:val="0"/>
        <w:adjustRightInd/>
        <w:snapToGrid/>
        <w:spacing w:line="360" w:lineRule="auto"/>
        <w:ind w:lef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lang w:eastAsia="zh-CN"/>
          <w14:textFill>
            <w14:solidFill>
              <w14:schemeClr w14:val="tx1"/>
            </w14:solidFill>
          </w14:textFill>
        </w:rPr>
        <w:t>株洲市绝缘材料有限责任公司</w:t>
      </w:r>
      <w:r>
        <w:rPr>
          <w:rFonts w:hint="eastAsia" w:ascii="宋体" w:hAnsi="宋体" w:eastAsia="宋体" w:cs="宋体"/>
          <w:color w:val="000000" w:themeColor="text1"/>
          <w:sz w:val="24"/>
          <w:szCs w:val="24"/>
          <w:highlight w:val="none"/>
          <w14:textFill>
            <w14:solidFill>
              <w14:schemeClr w14:val="tx1"/>
            </w14:solidFill>
          </w14:textFill>
        </w:rPr>
        <w:t>现有的环保管理机构，其基本任务是负责组织、制定、落实监督本公司的环境保护管理制度和环境保护规划，组织内部环境监测、污染源调查及建档、环境统计工作；进行必要的环境教育、技术培训和技术攻关等。</w:t>
      </w:r>
    </w:p>
    <w:p>
      <w:pPr>
        <w:keepNext w:val="0"/>
        <w:keepLines w:val="0"/>
        <w:pageBreakBefore w:val="0"/>
        <w:widowControl/>
        <w:kinsoku/>
        <w:wordWrap/>
        <w:overflowPunct/>
        <w:topLinePunct w:val="0"/>
        <w:bidi w:val="0"/>
        <w:adjustRightInd/>
        <w:snapToGrid/>
        <w:spacing w:line="360" w:lineRule="auto"/>
        <w:ind w:lef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为加强公司的环境保护、切实抓好公司的环境管理工作，</w:t>
      </w:r>
      <w:r>
        <w:rPr>
          <w:rFonts w:hint="eastAsia" w:ascii="宋体" w:hAnsi="宋体" w:eastAsia="宋体" w:cs="宋体"/>
          <w:color w:val="000000" w:themeColor="text1"/>
          <w:sz w:val="24"/>
          <w:szCs w:val="24"/>
          <w:highlight w:val="none"/>
          <w:lang w:eastAsia="zh-CN"/>
          <w14:textFill>
            <w14:solidFill>
              <w14:schemeClr w14:val="tx1"/>
            </w14:solidFill>
          </w14:textFill>
        </w:rPr>
        <w:t>株洲市绝缘材料有限责任公司</w:t>
      </w:r>
      <w:r>
        <w:rPr>
          <w:rFonts w:hint="eastAsia" w:ascii="宋体" w:hAnsi="宋体" w:eastAsia="宋体" w:cs="宋体"/>
          <w:color w:val="000000" w:themeColor="text1"/>
          <w:sz w:val="24"/>
          <w:szCs w:val="24"/>
          <w:highlight w:val="none"/>
          <w14:textFill>
            <w14:solidFill>
              <w14:schemeClr w14:val="tx1"/>
            </w14:solidFill>
          </w14:textFill>
        </w:rPr>
        <w:t>设立</w:t>
      </w:r>
      <w:r>
        <w:rPr>
          <w:rFonts w:hint="eastAsia" w:ascii="宋体" w:hAnsi="宋体" w:eastAsia="宋体" w:cs="宋体"/>
          <w:color w:val="000000" w:themeColor="text1"/>
          <w:sz w:val="24"/>
          <w:szCs w:val="24"/>
          <w:highlight w:val="none"/>
          <w:lang w:val="en-US" w:eastAsia="zh-CN"/>
          <w14:textFill>
            <w14:solidFill>
              <w14:schemeClr w14:val="tx1"/>
            </w14:solidFill>
          </w14:textFill>
        </w:rPr>
        <w:t>环境管理机构</w:t>
      </w:r>
      <w:r>
        <w:rPr>
          <w:rFonts w:hint="eastAsia" w:ascii="宋体" w:hAnsi="宋体" w:eastAsia="宋体" w:cs="宋体"/>
          <w:color w:val="000000" w:themeColor="text1"/>
          <w:sz w:val="24"/>
          <w:szCs w:val="24"/>
          <w:highlight w:val="none"/>
          <w14:textFill>
            <w14:solidFill>
              <w14:schemeClr w14:val="tx1"/>
            </w14:solidFill>
          </w14:textFill>
        </w:rPr>
        <w:t>，负责各厂区环保事宜。</w:t>
      </w:r>
    </w:p>
    <w:p>
      <w:pPr>
        <w:pStyle w:val="72"/>
        <w:keepNext w:val="0"/>
        <w:keepLines w:val="0"/>
        <w:pageBreakBefore w:val="0"/>
        <w:widowControl/>
        <w:tabs>
          <w:tab w:val="left" w:pos="0"/>
        </w:tabs>
        <w:kinsoku/>
        <w:wordWrap/>
        <w:overflowPunct/>
        <w:topLinePunct w:val="0"/>
        <w:autoSpaceDE/>
        <w:autoSpaceDN/>
        <w:bidi w:val="0"/>
        <w:adjustRightInd/>
        <w:snapToGrid/>
        <w:spacing w:line="360" w:lineRule="auto"/>
        <w:ind w:leftChars="0" w:firstLine="482" w:firstLineChars="200"/>
        <w:textAlignment w:val="auto"/>
        <w:outlineLvl w:val="3"/>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9.1.2.</w:t>
      </w:r>
      <w:r>
        <w:rPr>
          <w:rFonts w:hint="eastAsia" w:ascii="宋体" w:hAnsi="宋体" w:eastAsia="宋体" w:cs="宋体"/>
          <w:b/>
          <w:color w:val="000000" w:themeColor="text1"/>
          <w:sz w:val="24"/>
          <w:szCs w:val="24"/>
          <w:highlight w:val="none"/>
          <w:lang w:val="en-US" w:eastAsia="zh-CN"/>
          <w14:textFill>
            <w14:solidFill>
              <w14:schemeClr w14:val="tx1"/>
            </w14:solidFill>
          </w14:textFill>
        </w:rPr>
        <w:t>2</w:t>
      </w:r>
      <w:r>
        <w:rPr>
          <w:rFonts w:hint="eastAsia" w:ascii="宋体" w:hAnsi="宋体" w:eastAsia="宋体" w:cs="宋体"/>
          <w:b/>
          <w:color w:val="000000" w:themeColor="text1"/>
          <w:sz w:val="24"/>
          <w:szCs w:val="24"/>
          <w:highlight w:val="none"/>
          <w14:textFill>
            <w14:solidFill>
              <w14:schemeClr w14:val="tx1"/>
            </w14:solidFill>
          </w14:textFill>
        </w:rPr>
        <w:t>信息公开</w:t>
      </w:r>
    </w:p>
    <w:p>
      <w:pPr>
        <w:keepNext w:val="0"/>
        <w:keepLines w:val="0"/>
        <w:pageBreakBefore w:val="0"/>
        <w:widowControl/>
        <w:kinsoku/>
        <w:wordWrap/>
        <w:overflowPunct/>
        <w:topLinePunct w:val="0"/>
        <w:bidi w:val="0"/>
        <w:adjustRightInd/>
        <w:snapToGrid/>
        <w:spacing w:line="360" w:lineRule="auto"/>
        <w:ind w:lef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株洲市绝缘材料有限责任公司</w:t>
      </w:r>
      <w:r>
        <w:rPr>
          <w:rFonts w:hint="eastAsia" w:ascii="宋体" w:hAnsi="宋体" w:eastAsia="宋体" w:cs="宋体"/>
          <w:color w:val="000000" w:themeColor="text1"/>
          <w:sz w:val="24"/>
          <w:szCs w:val="24"/>
          <w:highlight w:val="none"/>
          <w14:textFill>
            <w14:solidFill>
              <w14:schemeClr w14:val="tx1"/>
            </w14:solidFill>
          </w14:textFill>
        </w:rPr>
        <w:t>需向社会公开的信息包括：</w:t>
      </w:r>
    </w:p>
    <w:p>
      <w:pPr>
        <w:keepNext w:val="0"/>
        <w:keepLines w:val="0"/>
        <w:pageBreakBefore w:val="0"/>
        <w:widowControl/>
        <w:kinsoku/>
        <w:wordWrap/>
        <w:overflowPunct/>
        <w:topLinePunct w:val="0"/>
        <w:bidi w:val="0"/>
        <w:adjustRightInd/>
        <w:snapToGrid/>
        <w:spacing w:line="360" w:lineRule="auto"/>
        <w:ind w:lef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a、环境保护方针、年度环境保护目标及成效；</w:t>
      </w:r>
    </w:p>
    <w:p>
      <w:pPr>
        <w:keepNext w:val="0"/>
        <w:keepLines w:val="0"/>
        <w:pageBreakBefore w:val="0"/>
        <w:widowControl/>
        <w:kinsoku/>
        <w:wordWrap/>
        <w:overflowPunct/>
        <w:topLinePunct w:val="0"/>
        <w:bidi w:val="0"/>
        <w:adjustRightInd/>
        <w:snapToGrid/>
        <w:spacing w:line="360" w:lineRule="auto"/>
        <w:ind w:lef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b、环保投资和环境技术开发情况；</w:t>
      </w:r>
    </w:p>
    <w:p>
      <w:pPr>
        <w:keepNext w:val="0"/>
        <w:keepLines w:val="0"/>
        <w:pageBreakBefore w:val="0"/>
        <w:widowControl/>
        <w:kinsoku/>
        <w:wordWrap/>
        <w:overflowPunct/>
        <w:topLinePunct w:val="0"/>
        <w:bidi w:val="0"/>
        <w:adjustRightInd/>
        <w:snapToGrid/>
        <w:spacing w:line="360" w:lineRule="auto"/>
        <w:ind w:lef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c、排放污染物种类、数量、浓度和去向；</w:t>
      </w:r>
    </w:p>
    <w:p>
      <w:pPr>
        <w:keepNext w:val="0"/>
        <w:keepLines w:val="0"/>
        <w:pageBreakBefore w:val="0"/>
        <w:widowControl/>
        <w:kinsoku/>
        <w:wordWrap/>
        <w:overflowPunct/>
        <w:topLinePunct w:val="0"/>
        <w:bidi w:val="0"/>
        <w:adjustRightInd/>
        <w:snapToGrid/>
        <w:spacing w:line="360" w:lineRule="auto"/>
        <w:ind w:lef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d、环保设施的建设和运行情况；</w:t>
      </w:r>
    </w:p>
    <w:p>
      <w:pPr>
        <w:keepNext w:val="0"/>
        <w:keepLines w:val="0"/>
        <w:pageBreakBefore w:val="0"/>
        <w:widowControl/>
        <w:kinsoku/>
        <w:wordWrap/>
        <w:overflowPunct/>
        <w:topLinePunct w:val="0"/>
        <w:bidi w:val="0"/>
        <w:adjustRightInd/>
        <w:snapToGrid/>
        <w:spacing w:line="360" w:lineRule="auto"/>
        <w:ind w:lef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e、生产过程中产生的废物的处理、处置情况，固体废弃物的回收、综合利用情况；</w:t>
      </w:r>
    </w:p>
    <w:p>
      <w:pPr>
        <w:keepNext w:val="0"/>
        <w:keepLines w:val="0"/>
        <w:pageBreakBefore w:val="0"/>
        <w:widowControl/>
        <w:kinsoku/>
        <w:wordWrap/>
        <w:overflowPunct/>
        <w:topLinePunct w:val="0"/>
        <w:bidi w:val="0"/>
        <w:adjustRightInd/>
        <w:snapToGrid/>
        <w:spacing w:line="360" w:lineRule="auto"/>
        <w:ind w:lef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f、与环保部门签订的改善环境行为的自愿协议；</w:t>
      </w:r>
    </w:p>
    <w:p>
      <w:pPr>
        <w:keepNext w:val="0"/>
        <w:keepLines w:val="0"/>
        <w:pageBreakBefore w:val="0"/>
        <w:widowControl/>
        <w:kinsoku/>
        <w:wordWrap/>
        <w:overflowPunct/>
        <w:topLinePunct w:val="0"/>
        <w:bidi w:val="0"/>
        <w:adjustRightInd/>
        <w:snapToGrid/>
        <w:spacing w:line="360" w:lineRule="auto"/>
        <w:ind w:lef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g、企业履行社会责任的情况；</w:t>
      </w:r>
    </w:p>
    <w:p>
      <w:pPr>
        <w:keepNext w:val="0"/>
        <w:keepLines w:val="0"/>
        <w:pageBreakBefore w:val="0"/>
        <w:widowControl/>
        <w:kinsoku/>
        <w:wordWrap/>
        <w:overflowPunct/>
        <w:topLinePunct w:val="0"/>
        <w:bidi w:val="0"/>
        <w:adjustRightInd/>
        <w:snapToGrid/>
        <w:spacing w:line="360" w:lineRule="auto"/>
        <w:ind w:lef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h、企业自愿公开的其他环境信息。</w:t>
      </w:r>
    </w:p>
    <w:p>
      <w:pPr>
        <w:pStyle w:val="72"/>
        <w:keepNext w:val="0"/>
        <w:keepLines w:val="0"/>
        <w:pageBreakBefore w:val="0"/>
        <w:widowControl/>
        <w:tabs>
          <w:tab w:val="left" w:pos="0"/>
        </w:tabs>
        <w:kinsoku/>
        <w:wordWrap/>
        <w:overflowPunct/>
        <w:topLinePunct w:val="0"/>
        <w:autoSpaceDE/>
        <w:autoSpaceDN/>
        <w:bidi w:val="0"/>
        <w:adjustRightInd/>
        <w:snapToGrid/>
        <w:spacing w:line="360" w:lineRule="auto"/>
        <w:ind w:leftChars="0" w:firstLine="482" w:firstLineChars="200"/>
        <w:textAlignment w:val="auto"/>
        <w:outlineLvl w:val="3"/>
        <w:rPr>
          <w:rFonts w:hint="eastAsia" w:ascii="宋体" w:hAnsi="宋体" w:eastAsia="宋体" w:cs="宋体"/>
          <w:b/>
          <w:color w:val="000000" w:themeColor="text1"/>
          <w:sz w:val="24"/>
          <w:szCs w:val="24"/>
          <w:highlight w:val="none"/>
          <w:lang w:eastAsia="zh-CN"/>
          <w14:textFill>
            <w14:solidFill>
              <w14:schemeClr w14:val="tx1"/>
            </w14:solidFill>
          </w14:textFill>
        </w:rPr>
      </w:pPr>
      <w:bookmarkStart w:id="750" w:name="_Toc1926"/>
      <w:bookmarkStart w:id="751" w:name="_Toc31470"/>
      <w:bookmarkStart w:id="752" w:name="_Toc611"/>
      <w:bookmarkStart w:id="753" w:name="_Toc12272"/>
      <w:bookmarkStart w:id="754" w:name="_Toc1966"/>
      <w:r>
        <w:rPr>
          <w:rFonts w:hint="eastAsia" w:ascii="宋体" w:hAnsi="宋体" w:eastAsia="宋体" w:cs="宋体"/>
          <w:b/>
          <w:color w:val="000000" w:themeColor="text1"/>
          <w:sz w:val="24"/>
          <w:szCs w:val="24"/>
          <w:highlight w:val="none"/>
          <w14:textFill>
            <w14:solidFill>
              <w14:schemeClr w14:val="tx1"/>
            </w14:solidFill>
          </w14:textFill>
        </w:rPr>
        <w:t>9.1.2.</w:t>
      </w:r>
      <w:r>
        <w:rPr>
          <w:rFonts w:hint="eastAsia" w:ascii="宋体" w:hAnsi="宋体" w:eastAsia="宋体" w:cs="宋体"/>
          <w:b/>
          <w:color w:val="000000" w:themeColor="text1"/>
          <w:sz w:val="24"/>
          <w:szCs w:val="24"/>
          <w:highlight w:val="none"/>
          <w:lang w:val="en-US" w:eastAsia="zh-CN"/>
          <w14:textFill>
            <w14:solidFill>
              <w14:schemeClr w14:val="tx1"/>
            </w14:solidFill>
          </w14:textFill>
        </w:rPr>
        <w:t>3</w:t>
      </w:r>
      <w:r>
        <w:rPr>
          <w:rFonts w:hint="eastAsia" w:ascii="宋体" w:hAnsi="宋体" w:eastAsia="宋体" w:cs="宋体"/>
          <w:b/>
          <w:color w:val="000000" w:themeColor="text1"/>
          <w:sz w:val="24"/>
          <w:szCs w:val="24"/>
          <w:highlight w:val="none"/>
          <w14:textFill>
            <w14:solidFill>
              <w14:schemeClr w14:val="tx1"/>
            </w14:solidFill>
          </w14:textFill>
        </w:rPr>
        <w:t>环境管理</w:t>
      </w:r>
      <w:r>
        <w:rPr>
          <w:rFonts w:hint="eastAsia" w:ascii="宋体" w:hAnsi="宋体" w:eastAsia="宋体" w:cs="宋体"/>
          <w:b/>
          <w:color w:val="000000" w:themeColor="text1"/>
          <w:sz w:val="24"/>
          <w:szCs w:val="24"/>
          <w:highlight w:val="none"/>
          <w:lang w:val="en-US" w:eastAsia="zh-CN"/>
          <w14:textFill>
            <w14:solidFill>
              <w14:schemeClr w14:val="tx1"/>
            </w14:solidFill>
          </w14:textFill>
        </w:rPr>
        <w:t>要求</w:t>
      </w:r>
    </w:p>
    <w:p>
      <w:pPr>
        <w:keepNext w:val="0"/>
        <w:keepLines w:val="0"/>
        <w:pageBreakBefore w:val="0"/>
        <w:widowControl/>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color w:val="000000" w:themeColor="text1"/>
          <w:sz w:val="24"/>
          <w:szCs w:val="24"/>
          <w:u w:val="single"/>
          <w:lang w:val="en-US" w:eastAsia="zh-CN"/>
          <w14:textFill>
            <w14:solidFill>
              <w14:schemeClr w14:val="tx1"/>
            </w14:solidFill>
          </w14:textFill>
        </w:rPr>
      </w:pPr>
      <w:r>
        <w:rPr>
          <w:rFonts w:hint="eastAsia" w:ascii="宋体" w:hAnsi="宋体" w:eastAsia="宋体" w:cs="宋体"/>
          <w:color w:val="000000" w:themeColor="text1"/>
          <w:sz w:val="24"/>
          <w:szCs w:val="24"/>
          <w:u w:val="single"/>
          <w:lang w:val="en-US" w:eastAsia="zh-CN"/>
          <w14:textFill>
            <w14:solidFill>
              <w14:schemeClr w14:val="tx1"/>
            </w14:solidFill>
          </w14:textFill>
        </w:rPr>
        <w:t>建议公司建立环保经济责任制，并建立环保台帐管理制度，应在日常管理中严格落实，避免流于形式。严格落实“三废”排放收费制和超标处罚制度，推动各车间的清洁生产技术创新。</w:t>
      </w:r>
    </w:p>
    <w:p>
      <w:pPr>
        <w:keepNext w:val="0"/>
        <w:keepLines w:val="0"/>
        <w:pageBreakBefore w:val="0"/>
        <w:widowControl/>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color w:val="000000" w:themeColor="text1"/>
          <w:sz w:val="24"/>
          <w:szCs w:val="24"/>
          <w:u w:val="single"/>
          <w:lang w:val="en-US" w:eastAsia="zh-CN"/>
          <w14:textFill>
            <w14:solidFill>
              <w14:schemeClr w14:val="tx1"/>
            </w14:solidFill>
          </w14:textFill>
        </w:rPr>
      </w:pPr>
      <w:r>
        <w:rPr>
          <w:rFonts w:hint="eastAsia" w:ascii="宋体" w:hAnsi="宋体" w:eastAsia="宋体" w:cs="宋体"/>
          <w:color w:val="000000" w:themeColor="text1"/>
          <w:sz w:val="24"/>
          <w:szCs w:val="24"/>
          <w:u w:val="single"/>
          <w:lang w:val="en-US" w:eastAsia="zh-CN"/>
          <w14:textFill>
            <w14:solidFill>
              <w14:schemeClr w14:val="tx1"/>
            </w14:solidFill>
          </w14:textFill>
        </w:rPr>
        <w:t>建立预防事故排放的制度和添置必要的设备，并加强人员培训，加强防火、防爆、防泄漏管理。加强对固废(残液、残渣)的管理，防止产生二次污染。</w:t>
      </w:r>
    </w:p>
    <w:p>
      <w:pPr>
        <w:keepNext w:val="0"/>
        <w:keepLines w:val="0"/>
        <w:pageBreakBefore w:val="0"/>
        <w:widowControl/>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color w:val="000000" w:themeColor="text1"/>
          <w:sz w:val="24"/>
          <w:szCs w:val="24"/>
          <w:u w:val="single"/>
          <w:lang w:val="en-US" w:eastAsia="zh-CN"/>
          <w14:textFill>
            <w14:solidFill>
              <w14:schemeClr w14:val="tx1"/>
            </w14:solidFill>
          </w14:textFill>
        </w:rPr>
      </w:pPr>
      <w:r>
        <w:rPr>
          <w:rFonts w:hint="eastAsia" w:ascii="宋体" w:hAnsi="宋体" w:eastAsia="宋体" w:cs="宋体"/>
          <w:color w:val="000000" w:themeColor="text1"/>
          <w:sz w:val="24"/>
          <w:szCs w:val="24"/>
          <w:u w:val="single"/>
          <w:lang w:val="en-US" w:eastAsia="zh-CN"/>
          <w14:textFill>
            <w14:solidFill>
              <w14:schemeClr w14:val="tx1"/>
            </w14:solidFill>
          </w14:textFill>
        </w:rPr>
        <w:t>应加强对清污分流的管理，尤其注意地面冲洗水等低浓度废水，防止污水进入湘江。</w:t>
      </w:r>
    </w:p>
    <w:p>
      <w:pPr>
        <w:keepNext w:val="0"/>
        <w:keepLines w:val="0"/>
        <w:pageBreakBefore w:val="0"/>
        <w:widowControl/>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color w:val="000000" w:themeColor="text1"/>
          <w:sz w:val="24"/>
          <w:szCs w:val="24"/>
          <w:u w:val="single"/>
          <w:lang w:val="en-US" w:eastAsia="zh-CN"/>
          <w14:textFill>
            <w14:solidFill>
              <w14:schemeClr w14:val="tx1"/>
            </w14:solidFill>
          </w14:textFill>
        </w:rPr>
      </w:pPr>
      <w:r>
        <w:rPr>
          <w:rFonts w:hint="eastAsia" w:ascii="宋体" w:hAnsi="宋体" w:eastAsia="宋体" w:cs="宋体"/>
          <w:color w:val="000000" w:themeColor="text1"/>
          <w:sz w:val="24"/>
          <w:szCs w:val="24"/>
          <w:u w:val="single"/>
          <w:lang w:val="en-US" w:eastAsia="zh-CN"/>
          <w14:textFill>
            <w14:solidFill>
              <w14:schemeClr w14:val="tx1"/>
            </w14:solidFill>
          </w14:textFill>
        </w:rPr>
        <w:t>规范废水排污口，厂区污水进管前设监测井，只设一个雨水排放口。污水排放口，废气排放口和噪声源均应按GB15562.1-1995《环境保护图形标志——排放口(源)》的要求设置和维护图形标志。</w:t>
      </w:r>
    </w:p>
    <w:p>
      <w:pPr>
        <w:pStyle w:val="72"/>
        <w:keepNext w:val="0"/>
        <w:keepLines w:val="0"/>
        <w:pageBreakBefore w:val="0"/>
        <w:widowControl/>
        <w:tabs>
          <w:tab w:val="left" w:pos="0"/>
        </w:tabs>
        <w:kinsoku/>
        <w:wordWrap/>
        <w:overflowPunct/>
        <w:topLinePunct w:val="0"/>
        <w:autoSpaceDE/>
        <w:autoSpaceDN/>
        <w:bidi w:val="0"/>
        <w:adjustRightInd/>
        <w:snapToGrid/>
        <w:spacing w:line="360" w:lineRule="auto"/>
        <w:ind w:leftChars="0" w:firstLine="482" w:firstLineChars="200"/>
        <w:textAlignment w:val="auto"/>
        <w:outlineLvl w:val="3"/>
        <w:rPr>
          <w:rFonts w:hint="eastAsia" w:ascii="宋体" w:hAnsi="宋体" w:eastAsia="宋体" w:cs="宋体"/>
          <w:b/>
          <w:color w:val="000000" w:themeColor="text1"/>
          <w:sz w:val="24"/>
          <w:szCs w:val="24"/>
          <w:highlight w:val="none"/>
          <w:lang w:val="en-US" w:eastAsia="zh-CN"/>
          <w14:textFill>
            <w14:solidFill>
              <w14:schemeClr w14:val="tx1"/>
            </w14:solidFill>
          </w14:textFill>
        </w:rPr>
      </w:pPr>
      <w:r>
        <w:rPr>
          <w:rFonts w:hint="eastAsia" w:ascii="宋体" w:hAnsi="宋体" w:eastAsia="宋体" w:cs="宋体"/>
          <w:b/>
          <w:color w:val="000000" w:themeColor="text1"/>
          <w:sz w:val="24"/>
          <w:szCs w:val="24"/>
          <w:highlight w:val="none"/>
          <w:lang w:val="en-US" w:eastAsia="zh-CN"/>
          <w14:textFill>
            <w14:solidFill>
              <w14:schemeClr w14:val="tx1"/>
            </w14:solidFill>
          </w14:textFill>
        </w:rPr>
        <w:t>9.1.2.4环保“三同时”验收</w:t>
      </w:r>
    </w:p>
    <w:p>
      <w:pPr>
        <w:keepNext w:val="0"/>
        <w:keepLines w:val="0"/>
        <w:pageBreakBefore w:val="0"/>
        <w:kinsoku/>
        <w:wordWrap/>
        <w:overflowPunct/>
        <w:topLinePunct w:val="0"/>
        <w:bidi w:val="0"/>
        <w:adjustRightInd/>
        <w:snapToGrid/>
        <w:spacing w:line="360" w:lineRule="auto"/>
        <w:ind w:leftChars="0" w:firstLine="512" w:firstLineChars="200"/>
        <w:textAlignment w:val="auto"/>
        <w:rPr>
          <w:rFonts w:hint="eastAsia" w:ascii="宋体" w:hAnsi="宋体" w:eastAsia="宋体" w:cs="宋体"/>
          <w:bCs/>
          <w:color w:val="000000" w:themeColor="text1"/>
          <w:spacing w:val="8"/>
          <w:sz w:val="24"/>
          <w:szCs w:val="24"/>
          <w:highlight w:val="none"/>
          <w:u w:val="single"/>
          <w14:textFill>
            <w14:solidFill>
              <w14:schemeClr w14:val="tx1"/>
            </w14:solidFill>
          </w14:textFill>
        </w:rPr>
      </w:pPr>
      <w:r>
        <w:rPr>
          <w:rFonts w:hint="eastAsia" w:ascii="宋体" w:hAnsi="宋体" w:eastAsia="宋体" w:cs="宋体"/>
          <w:bCs/>
          <w:color w:val="000000" w:themeColor="text1"/>
          <w:spacing w:val="8"/>
          <w:sz w:val="24"/>
          <w:szCs w:val="24"/>
          <w:highlight w:val="none"/>
          <w:u w:val="single"/>
          <w:lang w:val="en-US" w:eastAsia="zh-CN"/>
          <w14:textFill>
            <w14:solidFill>
              <w14:schemeClr w14:val="tx1"/>
            </w14:solidFill>
          </w14:textFill>
        </w:rPr>
        <w:t>本</w:t>
      </w:r>
      <w:r>
        <w:rPr>
          <w:rFonts w:hint="eastAsia" w:ascii="宋体" w:hAnsi="宋体" w:eastAsia="宋体" w:cs="宋体"/>
          <w:bCs/>
          <w:color w:val="000000" w:themeColor="text1"/>
          <w:spacing w:val="8"/>
          <w:sz w:val="24"/>
          <w:szCs w:val="24"/>
          <w:highlight w:val="none"/>
          <w:u w:val="single"/>
          <w14:textFill>
            <w14:solidFill>
              <w14:schemeClr w14:val="tx1"/>
            </w14:solidFill>
          </w14:textFill>
        </w:rPr>
        <w:t>项目拟采取的污染防治措施和环境保护措施的“三同时”一览表。</w:t>
      </w:r>
    </w:p>
    <w:p>
      <w:pPr>
        <w:keepNext w:val="0"/>
        <w:keepLines w:val="0"/>
        <w:pageBreakBefore w:val="0"/>
        <w:widowControl/>
        <w:kinsoku/>
        <w:wordWrap/>
        <w:overflowPunct/>
        <w:topLinePunct w:val="0"/>
        <w:autoSpaceDE/>
        <w:autoSpaceDN/>
        <w:bidi w:val="0"/>
        <w:adjustRightInd/>
        <w:snapToGrid/>
        <w:spacing w:before="167" w:beforeLines="50" w:after="167" w:afterLines="50" w:line="360" w:lineRule="auto"/>
        <w:ind w:firstLine="0" w:firstLineChars="0"/>
        <w:jc w:val="center"/>
        <w:textAlignment w:val="auto"/>
        <w:rPr>
          <w:rFonts w:hint="eastAsia" w:ascii="宋体" w:hAnsi="宋体" w:eastAsia="宋体" w:cs="宋体"/>
          <w:b/>
          <w:bCs/>
          <w:color w:val="000000" w:themeColor="text1"/>
          <w:highlight w:val="none"/>
          <w:u w:val="single"/>
          <w:lang w:val="en-US" w:eastAsia="zh-CN"/>
          <w14:textFill>
            <w14:solidFill>
              <w14:schemeClr w14:val="tx1"/>
            </w14:solidFill>
          </w14:textFill>
        </w:rPr>
      </w:pPr>
      <w:r>
        <w:rPr>
          <w:rFonts w:hint="eastAsia" w:ascii="宋体" w:hAnsi="宋体" w:eastAsia="宋体" w:cs="宋体"/>
          <w:b/>
          <w:bCs/>
          <w:color w:val="000000" w:themeColor="text1"/>
          <w:highlight w:val="none"/>
          <w:u w:val="single"/>
          <w:lang w:val="en-US" w:eastAsia="zh-CN"/>
          <w14:textFill>
            <w14:solidFill>
              <w14:schemeClr w14:val="tx1"/>
            </w14:solidFill>
          </w14:textFill>
        </w:rPr>
        <w:t>表9.1.2.4-1建设项目“三同时”环保设施一览表</w:t>
      </w:r>
    </w:p>
    <w:tbl>
      <w:tblPr>
        <w:tblStyle w:val="3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8"/>
        <w:gridCol w:w="1953"/>
        <w:gridCol w:w="3665"/>
        <w:gridCol w:w="30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pct"/>
            <w:vAlign w:val="center"/>
          </w:tcPr>
          <w:p>
            <w:pPr>
              <w:widowControl w:val="0"/>
              <w:jc w:val="cente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pPr>
            <w: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t>类别</w:t>
            </w:r>
          </w:p>
        </w:tc>
        <w:tc>
          <w:tcPr>
            <w:tcW w:w="991" w:type="pct"/>
            <w:vAlign w:val="center"/>
          </w:tcPr>
          <w:p>
            <w:pPr>
              <w:widowControl w:val="0"/>
              <w:jc w:val="cente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pPr>
            <w: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t>污染物种类</w:t>
            </w:r>
          </w:p>
        </w:tc>
        <w:tc>
          <w:tcPr>
            <w:tcW w:w="1860" w:type="pct"/>
            <w:vAlign w:val="center"/>
          </w:tcPr>
          <w:p>
            <w:pPr>
              <w:widowControl w:val="0"/>
              <w:jc w:val="cente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pPr>
            <w: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t>处理措施</w:t>
            </w:r>
          </w:p>
        </w:tc>
        <w:tc>
          <w:tcPr>
            <w:tcW w:w="1524" w:type="pct"/>
            <w:vAlign w:val="center"/>
          </w:tcPr>
          <w:p>
            <w:pPr>
              <w:widowControl w:val="0"/>
              <w:jc w:val="cente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pPr>
            <w: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pct"/>
            <w:vAlign w:val="center"/>
          </w:tcPr>
          <w:p>
            <w:pPr>
              <w:widowControl w:val="0"/>
              <w:jc w:val="cente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pPr>
            <w: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t>废气</w:t>
            </w:r>
          </w:p>
        </w:tc>
        <w:tc>
          <w:tcPr>
            <w:tcW w:w="991" w:type="pct"/>
            <w:vAlign w:val="center"/>
          </w:tcPr>
          <w:p>
            <w:pPr>
              <w:widowControl w:val="0"/>
              <w:jc w:val="cente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pPr>
            <w: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t>投料废气、消泡废气、流延废气和亚胺化废气</w:t>
            </w:r>
          </w:p>
        </w:tc>
        <w:tc>
          <w:tcPr>
            <w:tcW w:w="1860" w:type="pct"/>
            <w:vAlign w:val="center"/>
          </w:tcPr>
          <w:p>
            <w:pPr>
              <w:widowControl w:val="0"/>
              <w:jc w:val="center"/>
              <w:rPr>
                <w:rFonts w:hint="eastAsia" w:ascii="宋体" w:hAnsi="宋体" w:eastAsia="宋体" w:cs="宋体"/>
                <w:color w:val="000000" w:themeColor="text1"/>
                <w:sz w:val="21"/>
                <w:szCs w:val="21"/>
                <w:u w:val="singl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u w:val="single"/>
                <w:lang w:val="en-US" w:eastAsia="zh-CN"/>
                <w14:textFill>
                  <w14:solidFill>
                    <w14:schemeClr w14:val="tx1"/>
                  </w14:solidFill>
                </w14:textFill>
              </w:rPr>
              <w:t>项目两条生产线流延工序均含有四级冷凝回收系统以及亚胺化工序均含有一级冷凝回收系统。两条生产线流延工序共用一套“三级喷淋+湿电系统”，经DA001排气筒高空排放；两条生产线的亚胺化工序，共用一套“二级喷淋+湿电系统”，经DA002排气筒高空排放。30%副产经精馏系统回用生产。</w:t>
            </w:r>
          </w:p>
        </w:tc>
        <w:tc>
          <w:tcPr>
            <w:tcW w:w="1524" w:type="pct"/>
            <w:vAlign w:val="center"/>
          </w:tcPr>
          <w:p>
            <w:pPr>
              <w:widowControl w:val="0"/>
              <w:jc w:val="center"/>
              <w:rPr>
                <w:rFonts w:hint="eastAsia" w:ascii="宋体" w:hAnsi="宋体" w:eastAsia="宋体" w:cs="宋体"/>
                <w:color w:val="000000" w:themeColor="text1"/>
                <w:sz w:val="21"/>
                <w:szCs w:val="21"/>
                <w:highlight w:val="none"/>
                <w:u w:val="single"/>
                <w:lang w:val="en-US"/>
                <w14:textFill>
                  <w14:solidFill>
                    <w14:schemeClr w14:val="tx1"/>
                  </w14:solidFill>
                </w14:textFill>
              </w:rPr>
            </w:pPr>
            <w: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t>项目非甲烷总烃、氨排放参照执行《合成树脂工业污染物排放标准》（GB31572-2015）表</w:t>
            </w:r>
            <w:r>
              <w:rPr>
                <w:rFonts w:hint="eastAsia" w:cs="宋体"/>
                <w:color w:val="000000" w:themeColor="text1"/>
                <w:sz w:val="21"/>
                <w:szCs w:val="21"/>
                <w:highlight w:val="none"/>
                <w:u w:val="single"/>
                <w:lang w:val="en-US" w:eastAsia="zh-CN"/>
                <w14:textFill>
                  <w14:solidFill>
                    <w14:schemeClr w14:val="tx1"/>
                  </w14:solidFill>
                </w14:textFill>
              </w:rPr>
              <w:t>4</w:t>
            </w:r>
            <w: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t>中大气污染物排放限值及表9中相应标准限值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6" w:hRule="atLeast"/>
        </w:trPr>
        <w:tc>
          <w:tcPr>
            <w:tcW w:w="623" w:type="pct"/>
            <w:vAlign w:val="center"/>
          </w:tcPr>
          <w:p>
            <w:pPr>
              <w:widowControl w:val="0"/>
              <w:jc w:val="cente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pPr>
            <w: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t>废水</w:t>
            </w:r>
          </w:p>
        </w:tc>
        <w:tc>
          <w:tcPr>
            <w:tcW w:w="991" w:type="pct"/>
            <w:vAlign w:val="center"/>
          </w:tcPr>
          <w:p>
            <w:pPr>
              <w:widowControl w:val="0"/>
              <w:jc w:val="cente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pPr>
            <w: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t>地面保洁废水</w:t>
            </w:r>
          </w:p>
        </w:tc>
        <w:tc>
          <w:tcPr>
            <w:tcW w:w="1860" w:type="pct"/>
            <w:vAlign w:val="center"/>
          </w:tcPr>
          <w:p>
            <w:pPr>
              <w:widowControl w:val="0"/>
              <w:jc w:val="cente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pPr>
            <w: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t>化粪池</w:t>
            </w:r>
          </w:p>
        </w:tc>
        <w:tc>
          <w:tcPr>
            <w:tcW w:w="1524" w:type="pct"/>
            <w:vAlign w:val="center"/>
          </w:tcPr>
          <w:p>
            <w:pPr>
              <w:widowControl w:val="0"/>
              <w:jc w:val="cente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pPr>
            <w: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t>《污水综合排放标准》（GB8978-1996）中的三级排放标准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pct"/>
            <w:vAlign w:val="center"/>
          </w:tcPr>
          <w:p>
            <w:pPr>
              <w:widowControl w:val="0"/>
              <w:jc w:val="cente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pPr>
            <w: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t>噪声</w:t>
            </w:r>
          </w:p>
        </w:tc>
        <w:tc>
          <w:tcPr>
            <w:tcW w:w="991" w:type="pct"/>
            <w:vAlign w:val="center"/>
          </w:tcPr>
          <w:p>
            <w:pPr>
              <w:widowControl w:val="0"/>
              <w:jc w:val="cente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pPr>
            <w: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t>风机、配料罐等设备</w:t>
            </w:r>
          </w:p>
        </w:tc>
        <w:tc>
          <w:tcPr>
            <w:tcW w:w="1860" w:type="pct"/>
            <w:vAlign w:val="center"/>
          </w:tcPr>
          <w:p>
            <w:pPr>
              <w:widowControl w:val="0"/>
              <w:jc w:val="cente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pPr>
            <w: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t>基础减震、设隔音罩、消声等措施</w:t>
            </w:r>
          </w:p>
        </w:tc>
        <w:tc>
          <w:tcPr>
            <w:tcW w:w="1524" w:type="pct"/>
            <w:vAlign w:val="center"/>
          </w:tcPr>
          <w:p>
            <w:pPr>
              <w:widowControl w:val="0"/>
              <w:jc w:val="cente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pPr>
            <w: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t>满足《工业企业厂界噪声排放标准》（GB12348-2008）3类标准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pct"/>
            <w:vMerge w:val="restart"/>
            <w:vAlign w:val="center"/>
          </w:tcPr>
          <w:p>
            <w:pPr>
              <w:widowControl w:val="0"/>
              <w:jc w:val="cente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pPr>
            <w: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t>固体废物</w:t>
            </w:r>
          </w:p>
        </w:tc>
        <w:tc>
          <w:tcPr>
            <w:tcW w:w="991" w:type="pct"/>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singl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single"/>
                <w:lang w:val="en-US" w:eastAsia="zh-CN" w:bidi="ar"/>
                <w14:textFill>
                  <w14:solidFill>
                    <w14:schemeClr w14:val="tx1"/>
                  </w14:solidFill>
                </w14:textFill>
              </w:rPr>
              <w:t>危险废物</w:t>
            </w:r>
          </w:p>
        </w:tc>
        <w:tc>
          <w:tcPr>
            <w:tcW w:w="1860" w:type="pct"/>
            <w:vAlign w:val="center"/>
          </w:tcPr>
          <w:p>
            <w:pPr>
              <w:widowControl w:val="0"/>
              <w:jc w:val="cente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pPr>
            <w: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t>暂存于公司危废间，定期委托有资质单位处置</w:t>
            </w:r>
          </w:p>
        </w:tc>
        <w:tc>
          <w:tcPr>
            <w:tcW w:w="1524" w:type="pct"/>
            <w:vMerge w:val="restart"/>
            <w:vAlign w:val="center"/>
          </w:tcPr>
          <w:p>
            <w:pPr>
              <w:widowControl w:val="0"/>
              <w:jc w:val="cente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pPr>
            <w: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t>固废均得到综合利用或环保处理，不排放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pct"/>
            <w:vMerge w:val="continue"/>
            <w:vAlign w:val="center"/>
          </w:tcPr>
          <w:p>
            <w:pPr>
              <w:widowControl w:val="0"/>
              <w:jc w:val="cente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pPr>
          </w:p>
        </w:tc>
        <w:tc>
          <w:tcPr>
            <w:tcW w:w="991" w:type="pct"/>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singl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single"/>
                <w:lang w:val="en-US" w:eastAsia="zh-CN" w:bidi="ar"/>
                <w14:textFill>
                  <w14:solidFill>
                    <w14:schemeClr w14:val="tx1"/>
                  </w14:solidFill>
                </w14:textFill>
              </w:rPr>
              <w:t>一般固废</w:t>
            </w:r>
          </w:p>
        </w:tc>
        <w:tc>
          <w:tcPr>
            <w:tcW w:w="1860" w:type="pct"/>
            <w:vAlign w:val="center"/>
          </w:tcPr>
          <w:p>
            <w:pPr>
              <w:widowControl w:val="0"/>
              <w:jc w:val="cente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pPr>
            <w: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t>出售综合利用、DMAC副产品70%定期外售和30%回用于精馏生产外售</w:t>
            </w:r>
          </w:p>
        </w:tc>
        <w:tc>
          <w:tcPr>
            <w:tcW w:w="1524" w:type="pct"/>
            <w:vMerge w:val="continue"/>
            <w:vAlign w:val="center"/>
          </w:tcPr>
          <w:p>
            <w:pPr>
              <w:widowControl w:val="0"/>
              <w:jc w:val="cente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pct"/>
            <w:vAlign w:val="center"/>
          </w:tcPr>
          <w:p>
            <w:pPr>
              <w:widowControl w:val="0"/>
              <w:jc w:val="cente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pPr>
            <w: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t>地下水</w:t>
            </w:r>
          </w:p>
        </w:tc>
        <w:tc>
          <w:tcPr>
            <w:tcW w:w="2851" w:type="pct"/>
            <w:gridSpan w:val="2"/>
            <w:vAlign w:val="center"/>
          </w:tcPr>
          <w:p>
            <w:pPr>
              <w:keepNext w:val="0"/>
              <w:keepLines w:val="0"/>
              <w:widowControl/>
              <w:suppressLineNumbers w:val="0"/>
              <w:jc w:val="cente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pPr>
            <w:r>
              <w:rPr>
                <w:rFonts w:hint="eastAsia" w:ascii="宋体" w:hAnsi="宋体" w:eastAsia="宋体" w:cs="宋体"/>
                <w:color w:val="000000" w:themeColor="text1"/>
                <w:kern w:val="0"/>
                <w:sz w:val="21"/>
                <w:szCs w:val="21"/>
                <w:u w:val="single"/>
                <w:lang w:val="en-US" w:eastAsia="zh-CN" w:bidi="ar"/>
                <w14:textFill>
                  <w14:solidFill>
                    <w14:schemeClr w14:val="tx1"/>
                  </w14:solidFill>
                </w14:textFill>
              </w:rPr>
              <w:t>厂区雨污分流，地面夯实；设置分区防渗，持久性有机污染物易泄露区设置重点防渗（M≥6.0，防渗结构层渗透系数K≤1.0×10</w:t>
            </w:r>
            <w:r>
              <w:rPr>
                <w:rFonts w:hint="eastAsia" w:ascii="宋体" w:hAnsi="宋体" w:eastAsia="宋体" w:cs="宋体"/>
                <w:color w:val="000000" w:themeColor="text1"/>
                <w:kern w:val="0"/>
                <w:sz w:val="21"/>
                <w:szCs w:val="21"/>
                <w:u w:val="single"/>
                <w:vertAlign w:val="superscript"/>
                <w:lang w:val="en-US" w:eastAsia="zh-CN" w:bidi="ar"/>
                <w14:textFill>
                  <w14:solidFill>
                    <w14:schemeClr w14:val="tx1"/>
                  </w14:solidFill>
                </w14:textFill>
              </w:rPr>
              <w:t>-10</w:t>
            </w:r>
            <w:r>
              <w:rPr>
                <w:rFonts w:hint="eastAsia" w:ascii="宋体" w:hAnsi="宋体" w:eastAsia="宋体" w:cs="宋体"/>
                <w:color w:val="000000" w:themeColor="text1"/>
                <w:kern w:val="0"/>
                <w:sz w:val="21"/>
                <w:szCs w:val="21"/>
                <w:u w:val="single"/>
                <w:lang w:val="en-US" w:eastAsia="zh-CN" w:bidi="ar"/>
                <w14:textFill>
                  <w14:solidFill>
                    <w14:schemeClr w14:val="tx1"/>
                  </w14:solidFill>
                </w14:textFill>
              </w:rPr>
              <w:t>cm/s）</w:t>
            </w:r>
          </w:p>
        </w:tc>
        <w:tc>
          <w:tcPr>
            <w:tcW w:w="1524" w:type="pct"/>
            <w:vAlign w:val="center"/>
          </w:tcPr>
          <w:p>
            <w:pPr>
              <w:keepNext w:val="0"/>
              <w:keepLines w:val="0"/>
              <w:widowControl/>
              <w:suppressLineNumbers w:val="0"/>
              <w:jc w:val="cente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pPr>
            <w:r>
              <w:rPr>
                <w:rFonts w:hint="eastAsia" w:ascii="宋体" w:hAnsi="宋体" w:eastAsia="宋体" w:cs="宋体"/>
                <w:color w:val="000000" w:themeColor="text1"/>
                <w:kern w:val="0"/>
                <w:sz w:val="21"/>
                <w:szCs w:val="21"/>
                <w:u w:val="single"/>
                <w:lang w:val="en-US" w:eastAsia="zh-CN" w:bidi="ar"/>
                <w14:textFill>
                  <w14:solidFill>
                    <w14:schemeClr w14:val="tx1"/>
                  </w14:solidFill>
                </w14:textFill>
              </w:rPr>
              <w:t>防止地下水、土壤污染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pct"/>
            <w:vAlign w:val="center"/>
          </w:tcPr>
          <w:p>
            <w:pPr>
              <w:widowControl w:val="0"/>
              <w:jc w:val="cente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pPr>
            <w: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t>风险</w:t>
            </w:r>
          </w:p>
        </w:tc>
        <w:tc>
          <w:tcPr>
            <w:tcW w:w="991" w:type="pct"/>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singl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single"/>
                <w:lang w:val="en-US" w:eastAsia="zh-CN" w:bidi="ar"/>
                <w14:textFill>
                  <w14:solidFill>
                    <w14:schemeClr w14:val="tx1"/>
                  </w14:solidFill>
                </w14:textFill>
              </w:rPr>
              <w:t>各风险源</w:t>
            </w:r>
          </w:p>
        </w:tc>
        <w:tc>
          <w:tcPr>
            <w:tcW w:w="1860" w:type="pct"/>
            <w:vAlign w:val="center"/>
          </w:tcPr>
          <w:p>
            <w:pPr>
              <w:keepNext w:val="0"/>
              <w:keepLines w:val="0"/>
              <w:widowControl/>
              <w:suppressLineNumbers w:val="0"/>
              <w:jc w:val="cente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pPr>
            <w:r>
              <w:rPr>
                <w:rFonts w:hint="eastAsia" w:ascii="宋体" w:hAnsi="宋体" w:eastAsia="宋体" w:cs="宋体"/>
                <w:color w:val="000000" w:themeColor="text1"/>
                <w:kern w:val="0"/>
                <w:sz w:val="21"/>
                <w:szCs w:val="21"/>
                <w:u w:val="single"/>
                <w:lang w:val="en-US" w:eastAsia="zh-CN" w:bidi="ar"/>
                <w14:textFill>
                  <w14:solidFill>
                    <w14:schemeClr w14:val="tx1"/>
                  </w14:solidFill>
                </w14:textFill>
              </w:rPr>
              <w:t>定期对泵、阀门、法兰等进行检测；加强风险管理，建立风险防范措施和应急预案</w:t>
            </w:r>
          </w:p>
        </w:tc>
        <w:tc>
          <w:tcPr>
            <w:tcW w:w="1524" w:type="pct"/>
            <w:vAlign w:val="center"/>
          </w:tcPr>
          <w:p>
            <w:pPr>
              <w:keepNext w:val="0"/>
              <w:keepLines w:val="0"/>
              <w:widowControl/>
              <w:suppressLineNumbers w:val="0"/>
              <w:jc w:val="cente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pPr>
            <w:r>
              <w:rPr>
                <w:rFonts w:hint="eastAsia" w:ascii="宋体" w:hAnsi="宋体" w:eastAsia="宋体" w:cs="宋体"/>
                <w:color w:val="000000" w:themeColor="text1"/>
                <w:kern w:val="0"/>
                <w:sz w:val="21"/>
                <w:szCs w:val="21"/>
                <w:u w:val="single"/>
                <w:lang w:val="en-US" w:eastAsia="zh-CN" w:bidi="ar"/>
                <w14:textFill>
                  <w14:solidFill>
                    <w14:schemeClr w14:val="tx1"/>
                  </w14:solidFill>
                </w14:textFill>
              </w:rPr>
              <w:t>将环境风险降至最小程度</w:t>
            </w:r>
          </w:p>
        </w:tc>
      </w:tr>
    </w:tbl>
    <w:p>
      <w:pPr>
        <w:pStyle w:val="7"/>
        <w:keepNext w:val="0"/>
        <w:keepLines w:val="0"/>
        <w:pageBreakBefore w:val="0"/>
        <w:widowControl/>
        <w:kinsoku/>
        <w:wordWrap/>
        <w:overflowPunct/>
        <w:topLinePunct w:val="0"/>
        <w:bidi w:val="0"/>
        <w:adjustRightInd/>
        <w:snapToGrid/>
        <w:spacing w:line="360" w:lineRule="auto"/>
        <w:ind w:leftChars="0" w:firstLine="482" w:firstLineChars="20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bookmarkStart w:id="755" w:name="_Toc3992"/>
      <w:r>
        <w:rPr>
          <w:rFonts w:hint="eastAsia" w:ascii="宋体" w:hAnsi="宋体" w:eastAsia="宋体" w:cs="宋体"/>
          <w:color w:val="000000" w:themeColor="text1"/>
          <w:sz w:val="24"/>
          <w:szCs w:val="24"/>
          <w:highlight w:val="none"/>
          <w:lang w:eastAsia="zh-CN"/>
          <w14:textFill>
            <w14:solidFill>
              <w14:schemeClr w14:val="tx1"/>
            </w14:solidFill>
          </w14:textFill>
        </w:rPr>
        <w:t>9.2污染物排放清单</w:t>
      </w:r>
      <w:bookmarkEnd w:id="725"/>
      <w:bookmarkEnd w:id="750"/>
      <w:bookmarkEnd w:id="751"/>
      <w:bookmarkEnd w:id="752"/>
      <w:bookmarkEnd w:id="753"/>
      <w:bookmarkEnd w:id="754"/>
      <w:bookmarkEnd w:id="755"/>
    </w:p>
    <w:p>
      <w:pPr>
        <w:pStyle w:val="8"/>
        <w:keepNext w:val="0"/>
        <w:keepLines w:val="0"/>
        <w:pageBreakBefore w:val="0"/>
        <w:widowControl/>
        <w:kinsoku/>
        <w:wordWrap/>
        <w:overflowPunct/>
        <w:topLinePunct w:val="0"/>
        <w:bidi w:val="0"/>
        <w:adjustRightInd/>
        <w:snapToGrid/>
        <w:spacing w:line="360" w:lineRule="auto"/>
        <w:ind w:firstLine="482" w:firstLineChars="20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bookmarkStart w:id="756" w:name="_Toc11942"/>
      <w:r>
        <w:rPr>
          <w:rFonts w:hint="eastAsia" w:ascii="宋体" w:hAnsi="宋体" w:eastAsia="宋体" w:cs="宋体"/>
          <w:color w:val="000000" w:themeColor="text1"/>
          <w:sz w:val="24"/>
          <w:szCs w:val="24"/>
          <w:highlight w:val="none"/>
          <w:lang w:eastAsia="zh-CN"/>
          <w14:textFill>
            <w14:solidFill>
              <w14:schemeClr w14:val="tx1"/>
            </w14:solidFill>
          </w14:textFill>
        </w:rPr>
        <w:t>9.</w:t>
      </w:r>
      <w:r>
        <w:rPr>
          <w:rFonts w:hint="eastAsia" w:ascii="宋体" w:hAnsi="宋体" w:eastAsia="宋体" w:cs="宋体"/>
          <w:color w:val="000000" w:themeColor="text1"/>
          <w:sz w:val="24"/>
          <w:szCs w:val="24"/>
          <w:highlight w:val="none"/>
          <w:lang w:val="en-US" w:eastAsia="zh-CN"/>
          <w14:textFill>
            <w14:solidFill>
              <w14:schemeClr w14:val="tx1"/>
            </w14:solidFill>
          </w14:textFill>
        </w:rPr>
        <w:t>2</w:t>
      </w:r>
      <w:r>
        <w:rPr>
          <w:rFonts w:hint="eastAsia" w:ascii="宋体" w:hAnsi="宋体" w:eastAsia="宋体" w:cs="宋体"/>
          <w:color w:val="000000" w:themeColor="text1"/>
          <w:sz w:val="24"/>
          <w:szCs w:val="24"/>
          <w:highlight w:val="none"/>
          <w:lang w:eastAsia="zh-CN"/>
          <w14:textFill>
            <w14:solidFill>
              <w14:schemeClr w14:val="tx1"/>
            </w14:solidFill>
          </w14:textFill>
        </w:rPr>
        <w:t>.1产污节点、污染物及污染治理设施</w:t>
      </w:r>
      <w:bookmarkEnd w:id="756"/>
    </w:p>
    <w:p>
      <w:pPr>
        <w:keepNext w:val="0"/>
        <w:keepLines w:val="0"/>
        <w:pageBreakBefore w:val="0"/>
        <w:widowControl/>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项目废气、废水产排污节点、污染物及污染治理设施信息见下表。</w:t>
      </w:r>
    </w:p>
    <w:p>
      <w:pPr>
        <w:keepNext w:val="0"/>
        <w:keepLines w:val="0"/>
        <w:pageBreakBefore w:val="0"/>
        <w:widowControl/>
        <w:kinsoku/>
        <w:wordWrap/>
        <w:overflowPunct/>
        <w:topLinePunct w:val="0"/>
        <w:autoSpaceDE/>
        <w:autoSpaceDN/>
        <w:bidi w:val="0"/>
        <w:adjustRightInd/>
        <w:snapToGrid/>
        <w:spacing w:before="167" w:beforeLines="50" w:after="167" w:afterLines="50" w:line="360" w:lineRule="auto"/>
        <w:ind w:firstLine="0" w:firstLineChars="0"/>
        <w:jc w:val="center"/>
        <w:textAlignment w:val="auto"/>
        <w:rPr>
          <w:rFonts w:hint="eastAsia" w:ascii="宋体" w:hAnsi="宋体" w:eastAsia="宋体" w:cs="宋体"/>
          <w:b/>
          <w:bCs/>
          <w:color w:val="000000" w:themeColor="text1"/>
          <w:highlight w:val="none"/>
          <w:lang w:val="en-US" w:eastAsia="zh-CN"/>
          <w14:textFill>
            <w14:solidFill>
              <w14:schemeClr w14:val="tx1"/>
            </w14:solidFill>
          </w14:textFill>
        </w:rPr>
      </w:pPr>
      <w:r>
        <w:rPr>
          <w:rFonts w:hint="eastAsia" w:ascii="宋体" w:hAnsi="宋体" w:eastAsia="宋体" w:cs="宋体"/>
          <w:b/>
          <w:bCs/>
          <w:color w:val="000000" w:themeColor="text1"/>
          <w:highlight w:val="none"/>
          <w:lang w:val="en-US" w:eastAsia="zh-CN"/>
          <w14:textFill>
            <w14:solidFill>
              <w14:schemeClr w14:val="tx1"/>
            </w14:solidFill>
          </w14:textFill>
        </w:rPr>
        <w:t>表9.2.1-1  项目废气产排污节点、污染物及污染治理设施信息表</w:t>
      </w:r>
    </w:p>
    <w:tbl>
      <w:tblPr>
        <w:tblStyle w:val="30"/>
        <w:tblW w:w="4997"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683"/>
        <w:gridCol w:w="1098"/>
        <w:gridCol w:w="1163"/>
        <w:gridCol w:w="1228"/>
        <w:gridCol w:w="1293"/>
        <w:gridCol w:w="2200"/>
        <w:gridCol w:w="1147"/>
        <w:gridCol w:w="103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1" w:hRule="atLeast"/>
          <w:jc w:val="center"/>
        </w:trPr>
        <w:tc>
          <w:tcPr>
            <w:tcW w:w="347" w:type="pct"/>
            <w:vMerge w:val="restart"/>
            <w:tcBorders>
              <w:tl2br w:val="nil"/>
              <w:tr2bl w:val="nil"/>
            </w:tcBorders>
            <w:noWrap w:val="0"/>
            <w:vAlign w:val="center"/>
          </w:tcPr>
          <w:p>
            <w:pPr>
              <w:adjustRightInd w:val="0"/>
              <w:snapToGrid w:val="0"/>
              <w:spacing w:line="360" w:lineRule="exact"/>
              <w:ind w:left="-120" w:leftChars="-50" w:right="-120" w:rightChars="-50"/>
              <w:jc w:val="center"/>
              <w:rPr>
                <w:rFonts w:hint="eastAsia" w:ascii="宋体" w:hAnsi="宋体" w:eastAsia="宋体" w:cs="宋体"/>
                <w:b w:val="0"/>
                <w:bCs/>
                <w:color w:val="000000" w:themeColor="text1"/>
                <w:sz w:val="21"/>
                <w:szCs w:val="21"/>
                <w:u w:val="single"/>
                <w14:textFill>
                  <w14:solidFill>
                    <w14:schemeClr w14:val="tx1"/>
                  </w14:solidFill>
                </w14:textFill>
              </w:rPr>
            </w:pPr>
            <w:r>
              <w:rPr>
                <w:rFonts w:hint="eastAsia" w:ascii="宋体" w:hAnsi="宋体" w:eastAsia="宋体" w:cs="宋体"/>
                <w:b w:val="0"/>
                <w:bCs/>
                <w:color w:val="000000" w:themeColor="text1"/>
                <w:sz w:val="21"/>
                <w:szCs w:val="21"/>
                <w:u w:val="single"/>
                <w14:textFill>
                  <w14:solidFill>
                    <w14:schemeClr w14:val="tx1"/>
                  </w14:solidFill>
                </w14:textFill>
              </w:rPr>
              <w:t>生产</w:t>
            </w:r>
          </w:p>
          <w:p>
            <w:pPr>
              <w:adjustRightInd w:val="0"/>
              <w:snapToGrid w:val="0"/>
              <w:spacing w:line="360" w:lineRule="exact"/>
              <w:ind w:left="-120" w:leftChars="-50" w:right="-120" w:rightChars="-50"/>
              <w:jc w:val="center"/>
              <w:rPr>
                <w:rFonts w:hint="eastAsia" w:ascii="宋体" w:hAnsi="宋体" w:eastAsia="宋体" w:cs="宋体"/>
                <w:b w:val="0"/>
                <w:bCs/>
                <w:color w:val="000000" w:themeColor="text1"/>
                <w:sz w:val="21"/>
                <w:szCs w:val="21"/>
                <w:u w:val="single"/>
                <w14:textFill>
                  <w14:solidFill>
                    <w14:schemeClr w14:val="tx1"/>
                  </w14:solidFill>
                </w14:textFill>
              </w:rPr>
            </w:pPr>
            <w:r>
              <w:rPr>
                <w:rFonts w:hint="eastAsia" w:ascii="宋体" w:hAnsi="宋体" w:eastAsia="宋体" w:cs="宋体"/>
                <w:b w:val="0"/>
                <w:bCs/>
                <w:color w:val="000000" w:themeColor="text1"/>
                <w:sz w:val="21"/>
                <w:szCs w:val="21"/>
                <w:u w:val="single"/>
                <w14:textFill>
                  <w14:solidFill>
                    <w14:schemeClr w14:val="tx1"/>
                  </w14:solidFill>
                </w14:textFill>
              </w:rPr>
              <w:t>单元</w:t>
            </w:r>
          </w:p>
        </w:tc>
        <w:tc>
          <w:tcPr>
            <w:tcW w:w="557" w:type="pct"/>
            <w:vMerge w:val="restart"/>
            <w:tcBorders>
              <w:tl2br w:val="nil"/>
              <w:tr2bl w:val="nil"/>
            </w:tcBorders>
            <w:noWrap w:val="0"/>
            <w:vAlign w:val="center"/>
          </w:tcPr>
          <w:p>
            <w:pPr>
              <w:adjustRightInd w:val="0"/>
              <w:snapToGrid w:val="0"/>
              <w:spacing w:line="360" w:lineRule="exact"/>
              <w:jc w:val="center"/>
              <w:rPr>
                <w:rFonts w:hint="eastAsia" w:ascii="宋体" w:hAnsi="宋体" w:eastAsia="宋体" w:cs="宋体"/>
                <w:b w:val="0"/>
                <w:bCs/>
                <w:color w:val="000000" w:themeColor="text1"/>
                <w:sz w:val="21"/>
                <w:szCs w:val="21"/>
                <w:u w:val="single"/>
                <w14:textFill>
                  <w14:solidFill>
                    <w14:schemeClr w14:val="tx1"/>
                  </w14:solidFill>
                </w14:textFill>
              </w:rPr>
            </w:pPr>
            <w:r>
              <w:rPr>
                <w:rFonts w:hint="eastAsia" w:ascii="宋体" w:hAnsi="宋体" w:eastAsia="宋体" w:cs="宋体"/>
                <w:b w:val="0"/>
                <w:bCs/>
                <w:color w:val="000000" w:themeColor="text1"/>
                <w:sz w:val="21"/>
                <w:szCs w:val="21"/>
                <w:u w:val="single"/>
                <w14:textFill>
                  <w14:solidFill>
                    <w14:schemeClr w14:val="tx1"/>
                  </w14:solidFill>
                </w14:textFill>
              </w:rPr>
              <w:t>生产</w:t>
            </w:r>
          </w:p>
          <w:p>
            <w:pPr>
              <w:adjustRightInd w:val="0"/>
              <w:snapToGrid w:val="0"/>
              <w:spacing w:line="360" w:lineRule="exact"/>
              <w:jc w:val="center"/>
              <w:rPr>
                <w:rFonts w:hint="eastAsia" w:ascii="宋体" w:hAnsi="宋体" w:eastAsia="宋体" w:cs="宋体"/>
                <w:b w:val="0"/>
                <w:bCs/>
                <w:color w:val="000000" w:themeColor="text1"/>
                <w:sz w:val="21"/>
                <w:szCs w:val="21"/>
                <w:u w:val="single"/>
                <w14:textFill>
                  <w14:solidFill>
                    <w14:schemeClr w14:val="tx1"/>
                  </w14:solidFill>
                </w14:textFill>
              </w:rPr>
            </w:pPr>
            <w:r>
              <w:rPr>
                <w:rFonts w:hint="eastAsia" w:ascii="宋体" w:hAnsi="宋体" w:eastAsia="宋体" w:cs="宋体"/>
                <w:b w:val="0"/>
                <w:bCs/>
                <w:color w:val="000000" w:themeColor="text1"/>
                <w:sz w:val="21"/>
                <w:szCs w:val="21"/>
                <w:u w:val="single"/>
                <w14:textFill>
                  <w14:solidFill>
                    <w14:schemeClr w14:val="tx1"/>
                  </w14:solidFill>
                </w14:textFill>
              </w:rPr>
              <w:t>设施</w:t>
            </w:r>
          </w:p>
        </w:tc>
        <w:tc>
          <w:tcPr>
            <w:tcW w:w="590" w:type="pct"/>
            <w:vMerge w:val="restart"/>
            <w:tcBorders>
              <w:tl2br w:val="nil"/>
              <w:tr2bl w:val="nil"/>
            </w:tcBorders>
            <w:noWrap w:val="0"/>
            <w:vAlign w:val="center"/>
          </w:tcPr>
          <w:p>
            <w:pPr>
              <w:adjustRightInd w:val="0"/>
              <w:snapToGrid w:val="0"/>
              <w:spacing w:line="360" w:lineRule="exact"/>
              <w:jc w:val="center"/>
              <w:rPr>
                <w:rFonts w:hint="eastAsia" w:ascii="宋体" w:hAnsi="宋体" w:eastAsia="宋体" w:cs="宋体"/>
                <w:b w:val="0"/>
                <w:bCs/>
                <w:color w:val="000000" w:themeColor="text1"/>
                <w:sz w:val="21"/>
                <w:szCs w:val="21"/>
                <w:u w:val="single"/>
                <w14:textFill>
                  <w14:solidFill>
                    <w14:schemeClr w14:val="tx1"/>
                  </w14:solidFill>
                </w14:textFill>
              </w:rPr>
            </w:pPr>
            <w:r>
              <w:rPr>
                <w:rFonts w:hint="eastAsia" w:ascii="宋体" w:hAnsi="宋体" w:eastAsia="宋体" w:cs="宋体"/>
                <w:b w:val="0"/>
                <w:bCs/>
                <w:color w:val="000000" w:themeColor="text1"/>
                <w:sz w:val="21"/>
                <w:szCs w:val="21"/>
                <w:u w:val="single"/>
                <w14:textFill>
                  <w14:solidFill>
                    <w14:schemeClr w14:val="tx1"/>
                  </w14:solidFill>
                </w14:textFill>
              </w:rPr>
              <w:t>废气产污环节</w:t>
            </w:r>
          </w:p>
        </w:tc>
        <w:tc>
          <w:tcPr>
            <w:tcW w:w="623" w:type="pct"/>
            <w:vMerge w:val="restart"/>
            <w:tcBorders>
              <w:tl2br w:val="nil"/>
              <w:tr2bl w:val="nil"/>
            </w:tcBorders>
            <w:noWrap w:val="0"/>
            <w:vAlign w:val="center"/>
          </w:tcPr>
          <w:p>
            <w:pPr>
              <w:adjustRightInd w:val="0"/>
              <w:snapToGrid w:val="0"/>
              <w:spacing w:line="360" w:lineRule="exact"/>
              <w:jc w:val="center"/>
              <w:rPr>
                <w:rFonts w:hint="eastAsia" w:ascii="宋体" w:hAnsi="宋体" w:eastAsia="宋体" w:cs="宋体"/>
                <w:b w:val="0"/>
                <w:bCs/>
                <w:color w:val="000000" w:themeColor="text1"/>
                <w:sz w:val="21"/>
                <w:szCs w:val="21"/>
                <w:u w:val="single"/>
                <w14:textFill>
                  <w14:solidFill>
                    <w14:schemeClr w14:val="tx1"/>
                  </w14:solidFill>
                </w14:textFill>
              </w:rPr>
            </w:pPr>
            <w:r>
              <w:rPr>
                <w:rFonts w:hint="eastAsia" w:ascii="宋体" w:hAnsi="宋体" w:eastAsia="宋体" w:cs="宋体"/>
                <w:b w:val="0"/>
                <w:bCs/>
                <w:color w:val="000000" w:themeColor="text1"/>
                <w:sz w:val="21"/>
                <w:szCs w:val="21"/>
                <w:u w:val="single"/>
                <w14:textFill>
                  <w14:solidFill>
                    <w14:schemeClr w14:val="tx1"/>
                  </w14:solidFill>
                </w14:textFill>
              </w:rPr>
              <w:t>污染物</w:t>
            </w:r>
          </w:p>
          <w:p>
            <w:pPr>
              <w:adjustRightInd w:val="0"/>
              <w:snapToGrid w:val="0"/>
              <w:spacing w:line="360" w:lineRule="exact"/>
              <w:jc w:val="center"/>
              <w:rPr>
                <w:rFonts w:hint="eastAsia" w:ascii="宋体" w:hAnsi="宋体" w:eastAsia="宋体" w:cs="宋体"/>
                <w:b w:val="0"/>
                <w:bCs/>
                <w:color w:val="000000" w:themeColor="text1"/>
                <w:sz w:val="21"/>
                <w:szCs w:val="21"/>
                <w:u w:val="single"/>
                <w14:textFill>
                  <w14:solidFill>
                    <w14:schemeClr w14:val="tx1"/>
                  </w14:solidFill>
                </w14:textFill>
              </w:rPr>
            </w:pPr>
            <w:r>
              <w:rPr>
                <w:rFonts w:hint="eastAsia" w:ascii="宋体" w:hAnsi="宋体" w:eastAsia="宋体" w:cs="宋体"/>
                <w:b w:val="0"/>
                <w:bCs/>
                <w:color w:val="000000" w:themeColor="text1"/>
                <w:sz w:val="21"/>
                <w:szCs w:val="21"/>
                <w:u w:val="single"/>
                <w14:textFill>
                  <w14:solidFill>
                    <w14:schemeClr w14:val="tx1"/>
                  </w14:solidFill>
                </w14:textFill>
              </w:rPr>
              <w:t>种类</w:t>
            </w:r>
          </w:p>
        </w:tc>
        <w:tc>
          <w:tcPr>
            <w:tcW w:w="656" w:type="pct"/>
            <w:vMerge w:val="restart"/>
            <w:tcBorders>
              <w:tl2br w:val="nil"/>
              <w:tr2bl w:val="nil"/>
            </w:tcBorders>
            <w:noWrap w:val="0"/>
            <w:vAlign w:val="center"/>
          </w:tcPr>
          <w:p>
            <w:pPr>
              <w:adjustRightInd w:val="0"/>
              <w:snapToGrid w:val="0"/>
              <w:spacing w:line="360" w:lineRule="exact"/>
              <w:jc w:val="center"/>
              <w:rPr>
                <w:rFonts w:hint="eastAsia" w:ascii="宋体" w:hAnsi="宋体" w:eastAsia="宋体" w:cs="宋体"/>
                <w:b w:val="0"/>
                <w:bCs/>
                <w:color w:val="000000" w:themeColor="text1"/>
                <w:sz w:val="21"/>
                <w:szCs w:val="21"/>
                <w:u w:val="single"/>
                <w14:textFill>
                  <w14:solidFill>
                    <w14:schemeClr w14:val="tx1"/>
                  </w14:solidFill>
                </w14:textFill>
              </w:rPr>
            </w:pPr>
            <w:r>
              <w:rPr>
                <w:rFonts w:hint="eastAsia" w:ascii="宋体" w:hAnsi="宋体" w:eastAsia="宋体" w:cs="宋体"/>
                <w:b w:val="0"/>
                <w:bCs/>
                <w:color w:val="000000" w:themeColor="text1"/>
                <w:sz w:val="21"/>
                <w:szCs w:val="21"/>
                <w:u w:val="single"/>
                <w14:textFill>
                  <w14:solidFill>
                    <w14:schemeClr w14:val="tx1"/>
                  </w14:solidFill>
                </w14:textFill>
              </w:rPr>
              <w:t>排放</w:t>
            </w:r>
          </w:p>
          <w:p>
            <w:pPr>
              <w:adjustRightInd w:val="0"/>
              <w:snapToGrid w:val="0"/>
              <w:spacing w:line="360" w:lineRule="exact"/>
              <w:jc w:val="center"/>
              <w:rPr>
                <w:rFonts w:hint="eastAsia" w:ascii="宋体" w:hAnsi="宋体" w:eastAsia="宋体" w:cs="宋体"/>
                <w:b w:val="0"/>
                <w:bCs/>
                <w:color w:val="000000" w:themeColor="text1"/>
                <w:sz w:val="21"/>
                <w:szCs w:val="21"/>
                <w:u w:val="single"/>
                <w14:textFill>
                  <w14:solidFill>
                    <w14:schemeClr w14:val="tx1"/>
                  </w14:solidFill>
                </w14:textFill>
              </w:rPr>
            </w:pPr>
            <w:r>
              <w:rPr>
                <w:rFonts w:hint="eastAsia" w:ascii="宋体" w:hAnsi="宋体" w:eastAsia="宋体" w:cs="宋体"/>
                <w:b w:val="0"/>
                <w:bCs/>
                <w:color w:val="000000" w:themeColor="text1"/>
                <w:sz w:val="21"/>
                <w:szCs w:val="21"/>
                <w:u w:val="single"/>
                <w14:textFill>
                  <w14:solidFill>
                    <w14:schemeClr w14:val="tx1"/>
                  </w14:solidFill>
                </w14:textFill>
              </w:rPr>
              <w:t>形式</w:t>
            </w:r>
          </w:p>
        </w:tc>
        <w:tc>
          <w:tcPr>
            <w:tcW w:w="1698" w:type="pct"/>
            <w:gridSpan w:val="2"/>
            <w:tcBorders>
              <w:tl2br w:val="nil"/>
              <w:tr2bl w:val="nil"/>
            </w:tcBorders>
            <w:noWrap w:val="0"/>
            <w:vAlign w:val="center"/>
          </w:tcPr>
          <w:p>
            <w:pPr>
              <w:adjustRightInd w:val="0"/>
              <w:snapToGrid w:val="0"/>
              <w:spacing w:line="360" w:lineRule="exact"/>
              <w:jc w:val="center"/>
              <w:rPr>
                <w:rFonts w:hint="eastAsia" w:ascii="宋体" w:hAnsi="宋体" w:eastAsia="宋体" w:cs="宋体"/>
                <w:b w:val="0"/>
                <w:bCs/>
                <w:color w:val="000000" w:themeColor="text1"/>
                <w:sz w:val="21"/>
                <w:szCs w:val="21"/>
                <w:u w:val="single"/>
                <w14:textFill>
                  <w14:solidFill>
                    <w14:schemeClr w14:val="tx1"/>
                  </w14:solidFill>
                </w14:textFill>
              </w:rPr>
            </w:pPr>
            <w:r>
              <w:rPr>
                <w:rFonts w:hint="eastAsia" w:ascii="宋体" w:hAnsi="宋体" w:eastAsia="宋体" w:cs="宋体"/>
                <w:b w:val="0"/>
                <w:bCs/>
                <w:color w:val="000000" w:themeColor="text1"/>
                <w:sz w:val="21"/>
                <w:szCs w:val="21"/>
                <w:u w:val="single"/>
                <w14:textFill>
                  <w14:solidFill>
                    <w14:schemeClr w14:val="tx1"/>
                  </w14:solidFill>
                </w14:textFill>
              </w:rPr>
              <w:t>污染治理设施</w:t>
            </w:r>
          </w:p>
        </w:tc>
        <w:tc>
          <w:tcPr>
            <w:tcW w:w="525" w:type="pct"/>
            <w:vMerge w:val="restart"/>
            <w:tcBorders>
              <w:tl2br w:val="nil"/>
              <w:tr2bl w:val="nil"/>
            </w:tcBorders>
            <w:noWrap w:val="0"/>
            <w:vAlign w:val="center"/>
          </w:tcPr>
          <w:p>
            <w:pPr>
              <w:adjustRightInd w:val="0"/>
              <w:snapToGrid w:val="0"/>
              <w:spacing w:line="360" w:lineRule="exact"/>
              <w:jc w:val="center"/>
              <w:rPr>
                <w:rFonts w:hint="eastAsia" w:ascii="宋体" w:hAnsi="宋体" w:eastAsia="宋体" w:cs="宋体"/>
                <w:b w:val="0"/>
                <w:bCs/>
                <w:color w:val="000000" w:themeColor="text1"/>
                <w:sz w:val="21"/>
                <w:szCs w:val="21"/>
                <w:u w:val="single"/>
                <w14:textFill>
                  <w14:solidFill>
                    <w14:schemeClr w14:val="tx1"/>
                  </w14:solidFill>
                </w14:textFill>
              </w:rPr>
            </w:pPr>
            <w:r>
              <w:rPr>
                <w:rFonts w:hint="eastAsia" w:ascii="宋体" w:hAnsi="宋体" w:eastAsia="宋体" w:cs="宋体"/>
                <w:b w:val="0"/>
                <w:bCs/>
                <w:color w:val="000000" w:themeColor="text1"/>
                <w:sz w:val="21"/>
                <w:szCs w:val="21"/>
                <w:u w:val="single"/>
                <w14:textFill>
                  <w14:solidFill>
                    <w14:schemeClr w14:val="tx1"/>
                  </w14:solidFill>
                </w14:textFill>
              </w:rPr>
              <w:t>排放口类型</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78" w:hRule="atLeast"/>
          <w:jc w:val="center"/>
        </w:trPr>
        <w:tc>
          <w:tcPr>
            <w:tcW w:w="347" w:type="pct"/>
            <w:vMerge w:val="continue"/>
            <w:tcBorders>
              <w:tl2br w:val="nil"/>
              <w:tr2bl w:val="nil"/>
            </w:tcBorders>
            <w:noWrap w:val="0"/>
            <w:vAlign w:val="center"/>
          </w:tcPr>
          <w:p>
            <w:pPr>
              <w:adjustRightInd w:val="0"/>
              <w:snapToGrid w:val="0"/>
              <w:spacing w:line="360" w:lineRule="exact"/>
              <w:ind w:left="-120" w:leftChars="-50" w:right="-120" w:rightChars="-50"/>
              <w:jc w:val="center"/>
              <w:rPr>
                <w:rFonts w:hint="eastAsia" w:ascii="宋体" w:hAnsi="宋体" w:eastAsia="宋体" w:cs="宋体"/>
                <w:b w:val="0"/>
                <w:bCs/>
                <w:color w:val="000000" w:themeColor="text1"/>
                <w:sz w:val="21"/>
                <w:szCs w:val="21"/>
                <w:u w:val="single"/>
                <w14:textFill>
                  <w14:solidFill>
                    <w14:schemeClr w14:val="tx1"/>
                  </w14:solidFill>
                </w14:textFill>
              </w:rPr>
            </w:pPr>
          </w:p>
        </w:tc>
        <w:tc>
          <w:tcPr>
            <w:tcW w:w="557" w:type="pct"/>
            <w:vMerge w:val="continue"/>
            <w:tcBorders>
              <w:tl2br w:val="nil"/>
              <w:tr2bl w:val="nil"/>
            </w:tcBorders>
            <w:noWrap w:val="0"/>
            <w:vAlign w:val="center"/>
          </w:tcPr>
          <w:p>
            <w:pPr>
              <w:adjustRightInd w:val="0"/>
              <w:snapToGrid w:val="0"/>
              <w:spacing w:line="360" w:lineRule="exact"/>
              <w:jc w:val="center"/>
              <w:rPr>
                <w:rFonts w:hint="eastAsia" w:ascii="宋体" w:hAnsi="宋体" w:eastAsia="宋体" w:cs="宋体"/>
                <w:b w:val="0"/>
                <w:bCs/>
                <w:color w:val="000000" w:themeColor="text1"/>
                <w:sz w:val="21"/>
                <w:szCs w:val="21"/>
                <w:u w:val="single"/>
                <w14:textFill>
                  <w14:solidFill>
                    <w14:schemeClr w14:val="tx1"/>
                  </w14:solidFill>
                </w14:textFill>
              </w:rPr>
            </w:pPr>
          </w:p>
        </w:tc>
        <w:tc>
          <w:tcPr>
            <w:tcW w:w="590" w:type="pct"/>
            <w:vMerge w:val="continue"/>
            <w:tcBorders>
              <w:tl2br w:val="nil"/>
              <w:tr2bl w:val="nil"/>
            </w:tcBorders>
            <w:noWrap w:val="0"/>
            <w:vAlign w:val="center"/>
          </w:tcPr>
          <w:p>
            <w:pPr>
              <w:adjustRightInd w:val="0"/>
              <w:snapToGrid w:val="0"/>
              <w:spacing w:line="360" w:lineRule="exact"/>
              <w:jc w:val="center"/>
              <w:rPr>
                <w:rFonts w:hint="eastAsia" w:ascii="宋体" w:hAnsi="宋体" w:eastAsia="宋体" w:cs="宋体"/>
                <w:b w:val="0"/>
                <w:bCs/>
                <w:color w:val="000000" w:themeColor="text1"/>
                <w:sz w:val="21"/>
                <w:szCs w:val="21"/>
                <w:u w:val="single"/>
                <w14:textFill>
                  <w14:solidFill>
                    <w14:schemeClr w14:val="tx1"/>
                  </w14:solidFill>
                </w14:textFill>
              </w:rPr>
            </w:pPr>
          </w:p>
        </w:tc>
        <w:tc>
          <w:tcPr>
            <w:tcW w:w="623" w:type="pct"/>
            <w:vMerge w:val="continue"/>
            <w:tcBorders>
              <w:tl2br w:val="nil"/>
              <w:tr2bl w:val="nil"/>
            </w:tcBorders>
            <w:noWrap w:val="0"/>
            <w:vAlign w:val="center"/>
          </w:tcPr>
          <w:p>
            <w:pPr>
              <w:adjustRightInd w:val="0"/>
              <w:snapToGrid w:val="0"/>
              <w:spacing w:line="360" w:lineRule="exact"/>
              <w:jc w:val="center"/>
              <w:rPr>
                <w:rFonts w:hint="eastAsia" w:ascii="宋体" w:hAnsi="宋体" w:eastAsia="宋体" w:cs="宋体"/>
                <w:b w:val="0"/>
                <w:bCs/>
                <w:color w:val="000000" w:themeColor="text1"/>
                <w:sz w:val="21"/>
                <w:szCs w:val="21"/>
                <w:u w:val="single"/>
                <w14:textFill>
                  <w14:solidFill>
                    <w14:schemeClr w14:val="tx1"/>
                  </w14:solidFill>
                </w14:textFill>
              </w:rPr>
            </w:pPr>
          </w:p>
        </w:tc>
        <w:tc>
          <w:tcPr>
            <w:tcW w:w="656" w:type="pct"/>
            <w:vMerge w:val="continue"/>
            <w:tcBorders>
              <w:tl2br w:val="nil"/>
              <w:tr2bl w:val="nil"/>
            </w:tcBorders>
            <w:noWrap w:val="0"/>
            <w:vAlign w:val="center"/>
          </w:tcPr>
          <w:p>
            <w:pPr>
              <w:adjustRightInd w:val="0"/>
              <w:snapToGrid w:val="0"/>
              <w:spacing w:line="360" w:lineRule="exact"/>
              <w:jc w:val="center"/>
              <w:rPr>
                <w:rFonts w:hint="eastAsia" w:ascii="宋体" w:hAnsi="宋体" w:eastAsia="宋体" w:cs="宋体"/>
                <w:b w:val="0"/>
                <w:bCs/>
                <w:color w:val="000000" w:themeColor="text1"/>
                <w:sz w:val="21"/>
                <w:szCs w:val="21"/>
                <w:u w:val="single"/>
                <w14:textFill>
                  <w14:solidFill>
                    <w14:schemeClr w14:val="tx1"/>
                  </w14:solidFill>
                </w14:textFill>
              </w:rPr>
            </w:pPr>
          </w:p>
        </w:tc>
        <w:tc>
          <w:tcPr>
            <w:tcW w:w="1116" w:type="pct"/>
            <w:tcBorders>
              <w:tl2br w:val="nil"/>
              <w:tr2bl w:val="nil"/>
            </w:tcBorders>
            <w:noWrap w:val="0"/>
            <w:vAlign w:val="center"/>
          </w:tcPr>
          <w:p>
            <w:pPr>
              <w:adjustRightInd w:val="0"/>
              <w:snapToGrid w:val="0"/>
              <w:spacing w:line="360" w:lineRule="exact"/>
              <w:jc w:val="center"/>
              <w:rPr>
                <w:rFonts w:hint="eastAsia" w:ascii="宋体" w:hAnsi="宋体" w:eastAsia="宋体" w:cs="宋体"/>
                <w:b w:val="0"/>
                <w:bCs/>
                <w:color w:val="000000" w:themeColor="text1"/>
                <w:sz w:val="21"/>
                <w:szCs w:val="21"/>
                <w:u w:val="single"/>
                <w14:textFill>
                  <w14:solidFill>
                    <w14:schemeClr w14:val="tx1"/>
                  </w14:solidFill>
                </w14:textFill>
              </w:rPr>
            </w:pPr>
            <w:r>
              <w:rPr>
                <w:rFonts w:hint="eastAsia" w:ascii="宋体" w:hAnsi="宋体" w:eastAsia="宋体" w:cs="宋体"/>
                <w:b w:val="0"/>
                <w:bCs/>
                <w:color w:val="000000" w:themeColor="text1"/>
                <w:sz w:val="21"/>
                <w:szCs w:val="21"/>
                <w:u w:val="single"/>
                <w14:textFill>
                  <w14:solidFill>
                    <w14:schemeClr w14:val="tx1"/>
                  </w14:solidFill>
                </w14:textFill>
              </w:rPr>
              <w:t>污染治理设施工艺</w:t>
            </w:r>
          </w:p>
        </w:tc>
        <w:tc>
          <w:tcPr>
            <w:tcW w:w="581" w:type="pct"/>
            <w:tcBorders>
              <w:tl2br w:val="nil"/>
              <w:tr2bl w:val="nil"/>
            </w:tcBorders>
            <w:noWrap w:val="0"/>
            <w:vAlign w:val="center"/>
          </w:tcPr>
          <w:p>
            <w:pPr>
              <w:adjustRightInd w:val="0"/>
              <w:snapToGrid w:val="0"/>
              <w:spacing w:line="360" w:lineRule="exact"/>
              <w:ind w:left="-120" w:leftChars="-50" w:right="-120" w:rightChars="-50"/>
              <w:jc w:val="center"/>
              <w:rPr>
                <w:rFonts w:hint="eastAsia" w:ascii="宋体" w:hAnsi="宋体" w:eastAsia="宋体" w:cs="宋体"/>
                <w:b w:val="0"/>
                <w:bCs/>
                <w:color w:val="000000" w:themeColor="text1"/>
                <w:sz w:val="21"/>
                <w:szCs w:val="21"/>
                <w:u w:val="single"/>
                <w14:textFill>
                  <w14:solidFill>
                    <w14:schemeClr w14:val="tx1"/>
                  </w14:solidFill>
                </w14:textFill>
              </w:rPr>
            </w:pPr>
            <w:r>
              <w:rPr>
                <w:rFonts w:hint="eastAsia" w:ascii="宋体" w:hAnsi="宋体" w:eastAsia="宋体" w:cs="宋体"/>
                <w:b w:val="0"/>
                <w:bCs/>
                <w:color w:val="000000" w:themeColor="text1"/>
                <w:sz w:val="21"/>
                <w:szCs w:val="21"/>
                <w:u w:val="single"/>
                <w14:textFill>
                  <w14:solidFill>
                    <w14:schemeClr w14:val="tx1"/>
                  </w14:solidFill>
                </w14:textFill>
              </w:rPr>
              <w:t>是否为可行技术</w:t>
            </w:r>
          </w:p>
        </w:tc>
        <w:tc>
          <w:tcPr>
            <w:tcW w:w="525" w:type="pct"/>
            <w:vMerge w:val="continue"/>
            <w:tcBorders>
              <w:tl2br w:val="nil"/>
              <w:tr2bl w:val="nil"/>
            </w:tcBorders>
            <w:noWrap w:val="0"/>
            <w:vAlign w:val="center"/>
          </w:tcPr>
          <w:p>
            <w:pPr>
              <w:adjustRightInd w:val="0"/>
              <w:snapToGrid w:val="0"/>
              <w:spacing w:line="360" w:lineRule="exact"/>
              <w:jc w:val="center"/>
              <w:rPr>
                <w:rFonts w:hint="eastAsia" w:ascii="宋体" w:hAnsi="宋体" w:eastAsia="宋体" w:cs="宋体"/>
                <w:b w:val="0"/>
                <w:bCs/>
                <w:color w:val="000000" w:themeColor="text1"/>
                <w:sz w:val="21"/>
                <w:szCs w:val="21"/>
                <w:u w:val="singl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6" w:hRule="atLeast"/>
          <w:jc w:val="center"/>
        </w:trPr>
        <w:tc>
          <w:tcPr>
            <w:tcW w:w="347" w:type="pct"/>
            <w:vMerge w:val="restart"/>
            <w:tcBorders>
              <w:tl2br w:val="nil"/>
              <w:tr2bl w:val="nil"/>
            </w:tcBorders>
            <w:noWrap w:val="0"/>
            <w:vAlign w:val="center"/>
          </w:tcPr>
          <w:p>
            <w:pPr>
              <w:adjustRightInd w:val="0"/>
              <w:snapToGrid w:val="0"/>
              <w:spacing w:line="360" w:lineRule="exact"/>
              <w:ind w:left="-120" w:leftChars="-50" w:right="-120" w:rightChars="-50"/>
              <w:jc w:val="center"/>
              <w:rPr>
                <w:rFonts w:hint="eastAsia" w:ascii="宋体" w:hAnsi="宋体" w:eastAsia="宋体" w:cs="宋体"/>
                <w:b w:val="0"/>
                <w:bCs/>
                <w:color w:val="000000" w:themeColor="text1"/>
                <w:sz w:val="21"/>
                <w:szCs w:val="21"/>
                <w:u w:val="single"/>
                <w14:textFill>
                  <w14:solidFill>
                    <w14:schemeClr w14:val="tx1"/>
                  </w14:solidFill>
                </w14:textFill>
              </w:rPr>
            </w:pPr>
            <w:r>
              <w:rPr>
                <w:rFonts w:hint="eastAsia" w:ascii="宋体" w:hAnsi="宋体" w:eastAsia="宋体" w:cs="宋体"/>
                <w:b w:val="0"/>
                <w:bCs/>
                <w:color w:val="000000" w:themeColor="text1"/>
                <w:sz w:val="21"/>
                <w:szCs w:val="21"/>
                <w:u w:val="single"/>
                <w14:textFill>
                  <w14:solidFill>
                    <w14:schemeClr w14:val="tx1"/>
                  </w14:solidFill>
                </w14:textFill>
              </w:rPr>
              <w:t>生产车间</w:t>
            </w:r>
          </w:p>
        </w:tc>
        <w:tc>
          <w:tcPr>
            <w:tcW w:w="557" w:type="pct"/>
            <w:tcBorders>
              <w:tl2br w:val="nil"/>
              <w:tr2bl w:val="nil"/>
            </w:tcBorders>
            <w:noWrap w:val="0"/>
            <w:vAlign w:val="center"/>
          </w:tcPr>
          <w:p>
            <w:pPr>
              <w:adjustRightInd w:val="0"/>
              <w:snapToGrid w:val="0"/>
              <w:spacing w:line="360" w:lineRule="exact"/>
              <w:jc w:val="center"/>
              <w:rPr>
                <w:rFonts w:hint="eastAsia" w:ascii="宋体" w:hAnsi="宋体" w:eastAsia="宋体" w:cs="宋体"/>
                <w:b w:val="0"/>
                <w:bCs/>
                <w:color w:val="000000" w:themeColor="text1"/>
                <w:sz w:val="21"/>
                <w:szCs w:val="21"/>
                <w:u w:val="single"/>
                <w:lang w:val="en-US" w:eastAsia="zh-CN" w:bidi="ar-SA"/>
                <w14:textFill>
                  <w14:solidFill>
                    <w14:schemeClr w14:val="tx1"/>
                  </w14:solidFill>
                </w14:textFill>
              </w:rPr>
            </w:pPr>
            <w:r>
              <w:rPr>
                <w:rFonts w:hint="eastAsia" w:ascii="宋体" w:hAnsi="宋体" w:eastAsia="宋体" w:cs="宋体"/>
                <w:b w:val="0"/>
                <w:bCs/>
                <w:color w:val="000000" w:themeColor="text1"/>
                <w:sz w:val="21"/>
                <w:szCs w:val="21"/>
                <w:u w:val="single"/>
                <w:lang w:val="en-US" w:eastAsia="zh-CN" w:bidi="ar-SA"/>
                <w14:textFill>
                  <w14:solidFill>
                    <w14:schemeClr w14:val="tx1"/>
                  </w14:solidFill>
                </w14:textFill>
              </w:rPr>
              <w:t>消泡</w:t>
            </w:r>
          </w:p>
        </w:tc>
        <w:tc>
          <w:tcPr>
            <w:tcW w:w="590" w:type="pct"/>
            <w:tcBorders>
              <w:tl2br w:val="nil"/>
              <w:tr2bl w:val="nil"/>
            </w:tcBorders>
            <w:noWrap w:val="0"/>
            <w:vAlign w:val="center"/>
          </w:tcPr>
          <w:p>
            <w:pPr>
              <w:adjustRightInd w:val="0"/>
              <w:snapToGrid w:val="0"/>
              <w:spacing w:line="360" w:lineRule="exact"/>
              <w:jc w:val="center"/>
              <w:rPr>
                <w:rFonts w:hint="eastAsia" w:ascii="宋体" w:hAnsi="宋体" w:eastAsia="宋体" w:cs="宋体"/>
                <w:b w:val="0"/>
                <w:bCs/>
                <w:color w:val="000000" w:themeColor="text1"/>
                <w:sz w:val="21"/>
                <w:szCs w:val="21"/>
                <w:u w:val="single"/>
                <w:lang w:val="en-US" w:eastAsia="zh-CN" w:bidi="ar-SA"/>
                <w14:textFill>
                  <w14:solidFill>
                    <w14:schemeClr w14:val="tx1"/>
                  </w14:solidFill>
                </w14:textFill>
              </w:rPr>
            </w:pPr>
            <w:r>
              <w:rPr>
                <w:rFonts w:hint="eastAsia" w:ascii="宋体" w:hAnsi="宋体" w:eastAsia="宋体" w:cs="宋体"/>
                <w:b w:val="0"/>
                <w:bCs/>
                <w:color w:val="000000" w:themeColor="text1"/>
                <w:sz w:val="21"/>
                <w:szCs w:val="21"/>
                <w:u w:val="single"/>
                <w:lang w:val="en-US" w:eastAsia="zh-CN" w:bidi="ar-SA"/>
                <w14:textFill>
                  <w14:solidFill>
                    <w14:schemeClr w14:val="tx1"/>
                  </w14:solidFill>
                </w14:textFill>
              </w:rPr>
              <w:t>消泡</w:t>
            </w:r>
          </w:p>
        </w:tc>
        <w:tc>
          <w:tcPr>
            <w:tcW w:w="623" w:type="pct"/>
            <w:tcBorders>
              <w:tl2br w:val="nil"/>
              <w:tr2bl w:val="nil"/>
            </w:tcBorders>
            <w:noWrap w:val="0"/>
            <w:vAlign w:val="center"/>
          </w:tcPr>
          <w:p>
            <w:pPr>
              <w:adjustRightInd w:val="0"/>
              <w:snapToGrid w:val="0"/>
              <w:spacing w:line="360" w:lineRule="exact"/>
              <w:jc w:val="center"/>
              <w:rPr>
                <w:rFonts w:hint="eastAsia" w:ascii="宋体" w:hAnsi="宋体" w:eastAsia="宋体" w:cs="宋体"/>
                <w:b w:val="0"/>
                <w:bCs/>
                <w:color w:val="000000" w:themeColor="text1"/>
                <w:sz w:val="21"/>
                <w:szCs w:val="21"/>
                <w:u w:val="single"/>
                <w:lang w:val="en-US" w:eastAsia="zh-CN" w:bidi="ar-SA"/>
                <w14:textFill>
                  <w14:solidFill>
                    <w14:schemeClr w14:val="tx1"/>
                  </w14:solidFill>
                </w14:textFill>
              </w:rPr>
            </w:pPr>
            <w:r>
              <w:rPr>
                <w:rFonts w:hint="eastAsia" w:ascii="宋体" w:hAnsi="宋体" w:eastAsia="宋体" w:cs="宋体"/>
                <w:b w:val="0"/>
                <w:bCs/>
                <w:color w:val="000000" w:themeColor="text1"/>
                <w:sz w:val="21"/>
                <w:szCs w:val="21"/>
                <w:u w:val="single"/>
                <w14:textFill>
                  <w14:solidFill>
                    <w14:schemeClr w14:val="tx1"/>
                  </w14:solidFill>
                </w14:textFill>
              </w:rPr>
              <w:t>非甲烷总烃</w:t>
            </w:r>
          </w:p>
        </w:tc>
        <w:tc>
          <w:tcPr>
            <w:tcW w:w="656" w:type="pct"/>
            <w:tcBorders>
              <w:tl2br w:val="nil"/>
              <w:tr2bl w:val="nil"/>
            </w:tcBorders>
            <w:noWrap w:val="0"/>
            <w:vAlign w:val="center"/>
          </w:tcPr>
          <w:p>
            <w:pPr>
              <w:adjustRightInd w:val="0"/>
              <w:snapToGrid w:val="0"/>
              <w:spacing w:line="360" w:lineRule="exact"/>
              <w:jc w:val="center"/>
              <w:rPr>
                <w:rFonts w:hint="eastAsia" w:ascii="宋体" w:hAnsi="宋体" w:eastAsia="宋体" w:cs="宋体"/>
                <w:b w:val="0"/>
                <w:bCs/>
                <w:color w:val="000000" w:themeColor="text1"/>
                <w:sz w:val="21"/>
                <w:szCs w:val="21"/>
                <w:u w:val="single"/>
                <w:lang w:val="en-US" w:eastAsia="zh-CN" w:bidi="ar-SA"/>
                <w14:textFill>
                  <w14:solidFill>
                    <w14:schemeClr w14:val="tx1"/>
                  </w14:solidFill>
                </w14:textFill>
              </w:rPr>
            </w:pPr>
            <w:r>
              <w:rPr>
                <w:rFonts w:hint="eastAsia" w:ascii="宋体" w:hAnsi="宋体" w:eastAsia="宋体" w:cs="宋体"/>
                <w:b w:val="0"/>
                <w:bCs/>
                <w:color w:val="000000" w:themeColor="text1"/>
                <w:sz w:val="21"/>
                <w:szCs w:val="21"/>
                <w:u w:val="single"/>
                <w:lang w:val="en-US" w:eastAsia="zh-CN" w:bidi="ar-SA"/>
                <w14:textFill>
                  <w14:solidFill>
                    <w14:schemeClr w14:val="tx1"/>
                  </w14:solidFill>
                </w14:textFill>
              </w:rPr>
              <w:t>有组织排放</w:t>
            </w:r>
          </w:p>
        </w:tc>
        <w:tc>
          <w:tcPr>
            <w:tcW w:w="1116" w:type="pct"/>
            <w:tcBorders>
              <w:tl2br w:val="nil"/>
              <w:tr2bl w:val="nil"/>
            </w:tcBorders>
            <w:noWrap w:val="0"/>
            <w:vAlign w:val="center"/>
          </w:tcPr>
          <w:p>
            <w:pPr>
              <w:tabs>
                <w:tab w:val="left" w:pos="4980"/>
              </w:tabs>
              <w:adjustRightInd w:val="0"/>
              <w:snapToGrid w:val="0"/>
              <w:spacing w:line="360" w:lineRule="exact"/>
              <w:jc w:val="center"/>
              <w:rPr>
                <w:rFonts w:hint="eastAsia" w:ascii="宋体" w:hAnsi="宋体" w:eastAsia="宋体" w:cs="宋体"/>
                <w:b w:val="0"/>
                <w:bCs/>
                <w:color w:val="000000" w:themeColor="text1"/>
                <w:sz w:val="21"/>
                <w:szCs w:val="21"/>
                <w:u w:val="single"/>
                <w:lang w:val="en-US" w:eastAsia="zh-CN" w:bidi="ar-SA"/>
                <w14:textFill>
                  <w14:solidFill>
                    <w14:schemeClr w14:val="tx1"/>
                  </w14:solidFill>
                </w14:textFill>
              </w:rPr>
            </w:pPr>
            <w:r>
              <w:rPr>
                <w:rFonts w:hint="eastAsia" w:ascii="宋体" w:hAnsi="宋体" w:eastAsia="宋体" w:cs="宋体"/>
                <w:b w:val="0"/>
                <w:bCs/>
                <w:color w:val="000000" w:themeColor="text1"/>
                <w:sz w:val="21"/>
                <w:szCs w:val="21"/>
                <w:u w:val="single"/>
                <w:lang w:val="en-US" w:eastAsia="zh-CN" w:bidi="ar-SA"/>
                <w14:textFill>
                  <w14:solidFill>
                    <w14:schemeClr w14:val="tx1"/>
                  </w14:solidFill>
                </w14:textFill>
              </w:rPr>
              <w:t>三级喷淋+湿电系统</w:t>
            </w:r>
          </w:p>
        </w:tc>
        <w:tc>
          <w:tcPr>
            <w:tcW w:w="581" w:type="pct"/>
            <w:tcBorders>
              <w:tl2br w:val="nil"/>
              <w:tr2bl w:val="nil"/>
            </w:tcBorders>
            <w:noWrap w:val="0"/>
            <w:vAlign w:val="center"/>
          </w:tcPr>
          <w:p>
            <w:pPr>
              <w:adjustRightInd w:val="0"/>
              <w:snapToGrid w:val="0"/>
              <w:spacing w:line="360" w:lineRule="exact"/>
              <w:jc w:val="center"/>
              <w:rPr>
                <w:rFonts w:hint="eastAsia" w:ascii="宋体" w:hAnsi="宋体" w:eastAsia="宋体" w:cs="宋体"/>
                <w:b w:val="0"/>
                <w:bCs/>
                <w:color w:val="000000" w:themeColor="text1"/>
                <w:sz w:val="21"/>
                <w:szCs w:val="21"/>
                <w:u w:val="single"/>
                <w:lang w:val="en-US" w:eastAsia="zh-CN" w:bidi="ar-SA"/>
                <w14:textFill>
                  <w14:solidFill>
                    <w14:schemeClr w14:val="tx1"/>
                  </w14:solidFill>
                </w14:textFill>
              </w:rPr>
            </w:pPr>
            <w:r>
              <w:rPr>
                <w:rFonts w:hint="eastAsia" w:ascii="宋体" w:hAnsi="宋体" w:eastAsia="宋体" w:cs="宋体"/>
                <w:b w:val="0"/>
                <w:bCs/>
                <w:color w:val="000000" w:themeColor="text1"/>
                <w:sz w:val="21"/>
                <w:szCs w:val="21"/>
                <w:u w:val="single"/>
                <w:lang w:val="en-US" w:eastAsia="zh-CN" w:bidi="ar-SA"/>
                <w14:textFill>
                  <w14:solidFill>
                    <w14:schemeClr w14:val="tx1"/>
                  </w14:solidFill>
                </w14:textFill>
              </w:rPr>
              <w:t>是</w:t>
            </w:r>
          </w:p>
        </w:tc>
        <w:tc>
          <w:tcPr>
            <w:tcW w:w="525" w:type="pct"/>
            <w:vMerge w:val="restart"/>
            <w:tcBorders>
              <w:tl2br w:val="nil"/>
              <w:tr2bl w:val="nil"/>
            </w:tcBorders>
            <w:noWrap w:val="0"/>
            <w:vAlign w:val="center"/>
          </w:tcPr>
          <w:p>
            <w:pPr>
              <w:adjustRightInd w:val="0"/>
              <w:snapToGrid w:val="0"/>
              <w:spacing w:line="360" w:lineRule="exact"/>
              <w:jc w:val="center"/>
              <w:rPr>
                <w:rFonts w:hint="eastAsia" w:ascii="宋体" w:hAnsi="宋体" w:eastAsia="宋体" w:cs="宋体"/>
                <w:b w:val="0"/>
                <w:bCs/>
                <w:color w:val="000000" w:themeColor="text1"/>
                <w:sz w:val="21"/>
                <w:szCs w:val="21"/>
                <w:u w:val="single"/>
                <w:lang w:val="en-US" w:eastAsia="zh-CN" w:bidi="ar-SA"/>
                <w14:textFill>
                  <w14:solidFill>
                    <w14:schemeClr w14:val="tx1"/>
                  </w14:solidFill>
                </w14:textFill>
              </w:rPr>
            </w:pPr>
            <w:r>
              <w:rPr>
                <w:rFonts w:hint="eastAsia" w:ascii="宋体" w:hAnsi="宋体" w:eastAsia="宋体" w:cs="宋体"/>
                <w:b w:val="0"/>
                <w:bCs/>
                <w:color w:val="000000" w:themeColor="text1"/>
                <w:sz w:val="21"/>
                <w:szCs w:val="21"/>
                <w:u w:val="single"/>
                <w14:textFill>
                  <w14:solidFill>
                    <w14:schemeClr w14:val="tx1"/>
                  </w14:solidFill>
                </w14:textFill>
              </w:rPr>
              <w:t>一般排放口</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6" w:hRule="atLeast"/>
          <w:jc w:val="center"/>
        </w:trPr>
        <w:tc>
          <w:tcPr>
            <w:tcW w:w="347" w:type="pct"/>
            <w:vMerge w:val="continue"/>
            <w:tcBorders>
              <w:tl2br w:val="nil"/>
              <w:tr2bl w:val="nil"/>
            </w:tcBorders>
            <w:noWrap w:val="0"/>
            <w:vAlign w:val="center"/>
          </w:tcPr>
          <w:p>
            <w:pPr>
              <w:adjustRightInd w:val="0"/>
              <w:snapToGrid w:val="0"/>
              <w:spacing w:line="360" w:lineRule="exact"/>
              <w:ind w:left="-120" w:leftChars="-50" w:right="-120" w:rightChars="-50"/>
              <w:jc w:val="center"/>
              <w:rPr>
                <w:rFonts w:hint="eastAsia" w:ascii="宋体" w:hAnsi="宋体" w:eastAsia="宋体" w:cs="宋体"/>
                <w:b w:val="0"/>
                <w:bCs/>
                <w:color w:val="000000" w:themeColor="text1"/>
                <w:sz w:val="21"/>
                <w:szCs w:val="21"/>
                <w:u w:val="single"/>
                <w14:textFill>
                  <w14:solidFill>
                    <w14:schemeClr w14:val="tx1"/>
                  </w14:solidFill>
                </w14:textFill>
              </w:rPr>
            </w:pPr>
          </w:p>
        </w:tc>
        <w:tc>
          <w:tcPr>
            <w:tcW w:w="557" w:type="pct"/>
            <w:tcBorders>
              <w:tl2br w:val="nil"/>
              <w:tr2bl w:val="nil"/>
            </w:tcBorders>
            <w:noWrap w:val="0"/>
            <w:vAlign w:val="center"/>
          </w:tcPr>
          <w:p>
            <w:pPr>
              <w:adjustRightInd w:val="0"/>
              <w:snapToGrid w:val="0"/>
              <w:spacing w:line="360" w:lineRule="exact"/>
              <w:jc w:val="center"/>
              <w:rPr>
                <w:rFonts w:hint="eastAsia" w:ascii="宋体" w:hAnsi="宋体" w:eastAsia="宋体" w:cs="宋体"/>
                <w:b w:val="0"/>
                <w:bCs/>
                <w:color w:val="000000" w:themeColor="text1"/>
                <w:sz w:val="21"/>
                <w:szCs w:val="21"/>
                <w:u w:val="single"/>
                <w:lang w:val="en-US" w:eastAsia="zh-CN" w:bidi="ar-SA"/>
                <w14:textFill>
                  <w14:solidFill>
                    <w14:schemeClr w14:val="tx1"/>
                  </w14:solidFill>
                </w14:textFill>
              </w:rPr>
            </w:pPr>
            <w:r>
              <w:rPr>
                <w:rFonts w:hint="eastAsia" w:ascii="宋体" w:hAnsi="宋体" w:eastAsia="宋体" w:cs="宋体"/>
                <w:b w:val="0"/>
                <w:bCs/>
                <w:color w:val="000000" w:themeColor="text1"/>
                <w:sz w:val="21"/>
                <w:szCs w:val="21"/>
                <w:u w:val="single"/>
                <w14:textFill>
                  <w14:solidFill>
                    <w14:schemeClr w14:val="tx1"/>
                  </w14:solidFill>
                </w14:textFill>
              </w:rPr>
              <w:t>流涎机</w:t>
            </w:r>
          </w:p>
        </w:tc>
        <w:tc>
          <w:tcPr>
            <w:tcW w:w="590" w:type="pct"/>
            <w:tcBorders>
              <w:tl2br w:val="nil"/>
              <w:tr2bl w:val="nil"/>
            </w:tcBorders>
            <w:noWrap w:val="0"/>
            <w:vAlign w:val="center"/>
          </w:tcPr>
          <w:p>
            <w:pPr>
              <w:adjustRightInd w:val="0"/>
              <w:snapToGrid w:val="0"/>
              <w:spacing w:line="360" w:lineRule="exact"/>
              <w:jc w:val="center"/>
              <w:rPr>
                <w:rFonts w:hint="eastAsia" w:ascii="宋体" w:hAnsi="宋体" w:eastAsia="宋体" w:cs="宋体"/>
                <w:b w:val="0"/>
                <w:bCs/>
                <w:color w:val="000000" w:themeColor="text1"/>
                <w:sz w:val="21"/>
                <w:szCs w:val="21"/>
                <w:u w:val="single"/>
                <w:lang w:val="en-US" w:eastAsia="zh-CN" w:bidi="ar-SA"/>
                <w14:textFill>
                  <w14:solidFill>
                    <w14:schemeClr w14:val="tx1"/>
                  </w14:solidFill>
                </w14:textFill>
              </w:rPr>
            </w:pPr>
            <w:r>
              <w:rPr>
                <w:rFonts w:hint="eastAsia" w:ascii="宋体" w:hAnsi="宋体" w:eastAsia="宋体" w:cs="宋体"/>
                <w:b w:val="0"/>
                <w:bCs/>
                <w:color w:val="000000" w:themeColor="text1"/>
                <w:sz w:val="21"/>
                <w:szCs w:val="21"/>
                <w:u w:val="single"/>
                <w14:textFill>
                  <w14:solidFill>
                    <w14:schemeClr w14:val="tx1"/>
                  </w14:solidFill>
                </w14:textFill>
              </w:rPr>
              <w:t>流涎</w:t>
            </w:r>
          </w:p>
        </w:tc>
        <w:tc>
          <w:tcPr>
            <w:tcW w:w="623" w:type="pct"/>
            <w:tcBorders>
              <w:tl2br w:val="nil"/>
              <w:tr2bl w:val="nil"/>
            </w:tcBorders>
            <w:noWrap w:val="0"/>
            <w:vAlign w:val="center"/>
          </w:tcPr>
          <w:p>
            <w:pPr>
              <w:adjustRightInd w:val="0"/>
              <w:snapToGrid w:val="0"/>
              <w:spacing w:line="360" w:lineRule="exact"/>
              <w:jc w:val="center"/>
              <w:rPr>
                <w:rFonts w:hint="eastAsia" w:ascii="宋体" w:hAnsi="宋体" w:eastAsia="宋体" w:cs="宋体"/>
                <w:b w:val="0"/>
                <w:bCs/>
                <w:color w:val="000000" w:themeColor="text1"/>
                <w:sz w:val="21"/>
                <w:szCs w:val="21"/>
                <w:u w:val="single"/>
                <w:lang w:val="en-US" w:eastAsia="zh-CN" w:bidi="ar-SA"/>
                <w14:textFill>
                  <w14:solidFill>
                    <w14:schemeClr w14:val="tx1"/>
                  </w14:solidFill>
                </w14:textFill>
              </w:rPr>
            </w:pPr>
            <w:r>
              <w:rPr>
                <w:rFonts w:hint="eastAsia" w:ascii="宋体" w:hAnsi="宋体" w:eastAsia="宋体" w:cs="宋体"/>
                <w:b w:val="0"/>
                <w:bCs/>
                <w:color w:val="000000" w:themeColor="text1"/>
                <w:sz w:val="21"/>
                <w:szCs w:val="21"/>
                <w:u w:val="single"/>
                <w14:textFill>
                  <w14:solidFill>
                    <w14:schemeClr w14:val="tx1"/>
                  </w14:solidFill>
                </w14:textFill>
              </w:rPr>
              <w:t>非甲烷总烃、氨</w:t>
            </w:r>
          </w:p>
        </w:tc>
        <w:tc>
          <w:tcPr>
            <w:tcW w:w="656" w:type="pct"/>
            <w:tcBorders>
              <w:tl2br w:val="nil"/>
              <w:tr2bl w:val="nil"/>
            </w:tcBorders>
            <w:noWrap w:val="0"/>
            <w:vAlign w:val="center"/>
          </w:tcPr>
          <w:p>
            <w:pPr>
              <w:adjustRightInd w:val="0"/>
              <w:snapToGrid w:val="0"/>
              <w:spacing w:line="360" w:lineRule="exact"/>
              <w:jc w:val="center"/>
              <w:rPr>
                <w:rFonts w:hint="eastAsia" w:ascii="宋体" w:hAnsi="宋体" w:eastAsia="宋体" w:cs="宋体"/>
                <w:b w:val="0"/>
                <w:bCs/>
                <w:color w:val="000000" w:themeColor="text1"/>
                <w:sz w:val="21"/>
                <w:szCs w:val="21"/>
                <w:u w:val="single"/>
                <w:lang w:val="en-US" w:eastAsia="zh-CN" w:bidi="ar-SA"/>
                <w14:textFill>
                  <w14:solidFill>
                    <w14:schemeClr w14:val="tx1"/>
                  </w14:solidFill>
                </w14:textFill>
              </w:rPr>
            </w:pPr>
            <w:r>
              <w:rPr>
                <w:rFonts w:hint="eastAsia" w:ascii="宋体" w:hAnsi="宋体" w:eastAsia="宋体" w:cs="宋体"/>
                <w:b w:val="0"/>
                <w:bCs/>
                <w:color w:val="000000" w:themeColor="text1"/>
                <w:sz w:val="21"/>
                <w:szCs w:val="21"/>
                <w:u w:val="single"/>
                <w14:textFill>
                  <w14:solidFill>
                    <w14:schemeClr w14:val="tx1"/>
                  </w14:solidFill>
                </w14:textFill>
              </w:rPr>
              <w:t>有组织排放</w:t>
            </w:r>
          </w:p>
        </w:tc>
        <w:tc>
          <w:tcPr>
            <w:tcW w:w="1116" w:type="pct"/>
            <w:tcBorders>
              <w:tl2br w:val="nil"/>
              <w:tr2bl w:val="nil"/>
            </w:tcBorders>
            <w:noWrap w:val="0"/>
            <w:vAlign w:val="center"/>
          </w:tcPr>
          <w:p>
            <w:pPr>
              <w:tabs>
                <w:tab w:val="left" w:pos="4980"/>
              </w:tabs>
              <w:adjustRightInd w:val="0"/>
              <w:snapToGrid w:val="0"/>
              <w:spacing w:line="360" w:lineRule="exact"/>
              <w:jc w:val="center"/>
              <w:rPr>
                <w:rFonts w:hint="eastAsia" w:ascii="宋体" w:hAnsi="宋体" w:eastAsia="宋体" w:cs="宋体"/>
                <w:b w:val="0"/>
                <w:bCs/>
                <w:color w:val="000000" w:themeColor="text1"/>
                <w:sz w:val="21"/>
                <w:szCs w:val="21"/>
                <w:u w:val="single"/>
                <w:lang w:val="en-US" w:eastAsia="zh-CN" w:bidi="ar-SA"/>
                <w14:textFill>
                  <w14:solidFill>
                    <w14:schemeClr w14:val="tx1"/>
                  </w14:solidFill>
                </w14:textFill>
              </w:rPr>
            </w:pPr>
            <w:r>
              <w:rPr>
                <w:rFonts w:hint="eastAsia" w:ascii="宋体" w:hAnsi="宋体" w:eastAsia="宋体" w:cs="宋体"/>
                <w:b w:val="0"/>
                <w:bCs/>
                <w:color w:val="000000" w:themeColor="text1"/>
                <w:sz w:val="21"/>
                <w:szCs w:val="21"/>
                <w:u w:val="single"/>
                <w14:textFill>
                  <w14:solidFill>
                    <w14:schemeClr w14:val="tx1"/>
                  </w14:solidFill>
                </w14:textFill>
              </w:rPr>
              <w:t>四级冷凝装置</w:t>
            </w:r>
            <w:r>
              <w:rPr>
                <w:rFonts w:hint="eastAsia" w:ascii="宋体" w:hAnsi="宋体" w:eastAsia="宋体" w:cs="宋体"/>
                <w:b w:val="0"/>
                <w:bCs/>
                <w:color w:val="000000" w:themeColor="text1"/>
                <w:sz w:val="21"/>
                <w:szCs w:val="21"/>
                <w:u w:val="single"/>
                <w:lang w:val="en-US" w:eastAsia="zh-CN"/>
                <w14:textFill>
                  <w14:solidFill>
                    <w14:schemeClr w14:val="tx1"/>
                  </w14:solidFill>
                </w14:textFill>
              </w:rPr>
              <w:t>+三级喷淋+湿电系统</w:t>
            </w:r>
          </w:p>
        </w:tc>
        <w:tc>
          <w:tcPr>
            <w:tcW w:w="581" w:type="pct"/>
            <w:tcBorders>
              <w:tl2br w:val="nil"/>
              <w:tr2bl w:val="nil"/>
            </w:tcBorders>
            <w:noWrap w:val="0"/>
            <w:vAlign w:val="center"/>
          </w:tcPr>
          <w:p>
            <w:pPr>
              <w:adjustRightInd w:val="0"/>
              <w:snapToGrid w:val="0"/>
              <w:spacing w:line="360" w:lineRule="exact"/>
              <w:jc w:val="center"/>
              <w:rPr>
                <w:rFonts w:hint="eastAsia" w:ascii="宋体" w:hAnsi="宋体" w:eastAsia="宋体" w:cs="宋体"/>
                <w:b w:val="0"/>
                <w:bCs/>
                <w:color w:val="000000" w:themeColor="text1"/>
                <w:sz w:val="21"/>
                <w:szCs w:val="21"/>
                <w:u w:val="single"/>
                <w:lang w:val="en-US" w:eastAsia="zh-CN" w:bidi="ar-SA"/>
                <w14:textFill>
                  <w14:solidFill>
                    <w14:schemeClr w14:val="tx1"/>
                  </w14:solidFill>
                </w14:textFill>
              </w:rPr>
            </w:pPr>
            <w:r>
              <w:rPr>
                <w:rFonts w:hint="eastAsia" w:ascii="宋体" w:hAnsi="宋体" w:eastAsia="宋体" w:cs="宋体"/>
                <w:b w:val="0"/>
                <w:bCs/>
                <w:color w:val="000000" w:themeColor="text1"/>
                <w:sz w:val="21"/>
                <w:szCs w:val="21"/>
                <w:u w:val="single"/>
                <w14:textFill>
                  <w14:solidFill>
                    <w14:schemeClr w14:val="tx1"/>
                  </w14:solidFill>
                </w14:textFill>
              </w:rPr>
              <w:t>是</w:t>
            </w:r>
          </w:p>
        </w:tc>
        <w:tc>
          <w:tcPr>
            <w:tcW w:w="525" w:type="pct"/>
            <w:vMerge w:val="continue"/>
            <w:tcBorders>
              <w:tl2br w:val="nil"/>
              <w:tr2bl w:val="nil"/>
            </w:tcBorders>
            <w:noWrap w:val="0"/>
            <w:vAlign w:val="center"/>
          </w:tcPr>
          <w:p>
            <w:pPr>
              <w:adjustRightInd w:val="0"/>
              <w:snapToGrid w:val="0"/>
              <w:spacing w:line="360" w:lineRule="exact"/>
              <w:jc w:val="center"/>
              <w:rPr>
                <w:rFonts w:hint="eastAsia" w:ascii="宋体" w:hAnsi="宋体" w:eastAsia="宋体" w:cs="宋体"/>
                <w:b w:val="0"/>
                <w:bCs/>
                <w:color w:val="000000" w:themeColor="text1"/>
                <w:sz w:val="21"/>
                <w:szCs w:val="21"/>
                <w:u w:val="single"/>
                <w:lang w:val="en-US" w:eastAsia="zh-CN" w:bidi="ar-SA"/>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6" w:hRule="atLeast"/>
          <w:jc w:val="center"/>
        </w:trPr>
        <w:tc>
          <w:tcPr>
            <w:tcW w:w="347" w:type="pct"/>
            <w:vMerge w:val="continue"/>
            <w:tcBorders>
              <w:tl2br w:val="nil"/>
              <w:tr2bl w:val="nil"/>
            </w:tcBorders>
            <w:noWrap w:val="0"/>
            <w:vAlign w:val="center"/>
          </w:tcPr>
          <w:p>
            <w:pPr>
              <w:adjustRightInd w:val="0"/>
              <w:snapToGrid w:val="0"/>
              <w:spacing w:line="360" w:lineRule="exact"/>
              <w:ind w:left="-120" w:leftChars="-50" w:right="-120" w:rightChars="-50"/>
              <w:jc w:val="center"/>
              <w:rPr>
                <w:rFonts w:hint="eastAsia" w:ascii="宋体" w:hAnsi="宋体" w:eastAsia="宋体" w:cs="宋体"/>
                <w:b w:val="0"/>
                <w:bCs/>
                <w:color w:val="000000" w:themeColor="text1"/>
                <w:sz w:val="21"/>
                <w:szCs w:val="21"/>
                <w:u w:val="single"/>
                <w14:textFill>
                  <w14:solidFill>
                    <w14:schemeClr w14:val="tx1"/>
                  </w14:solidFill>
                </w14:textFill>
              </w:rPr>
            </w:pPr>
          </w:p>
        </w:tc>
        <w:tc>
          <w:tcPr>
            <w:tcW w:w="557" w:type="pct"/>
            <w:tcBorders>
              <w:tl2br w:val="nil"/>
              <w:tr2bl w:val="nil"/>
            </w:tcBorders>
            <w:noWrap w:val="0"/>
            <w:vAlign w:val="center"/>
          </w:tcPr>
          <w:p>
            <w:pPr>
              <w:adjustRightInd w:val="0"/>
              <w:snapToGrid w:val="0"/>
              <w:spacing w:line="360" w:lineRule="exact"/>
              <w:jc w:val="center"/>
              <w:rPr>
                <w:rFonts w:hint="eastAsia" w:ascii="宋体" w:hAnsi="宋体" w:eastAsia="宋体" w:cs="宋体"/>
                <w:b w:val="0"/>
                <w:bCs/>
                <w:color w:val="000000" w:themeColor="text1"/>
                <w:sz w:val="21"/>
                <w:szCs w:val="21"/>
                <w:u w:val="single"/>
                <w:lang w:val="en-US" w:eastAsia="zh-CN"/>
                <w14:textFill>
                  <w14:solidFill>
                    <w14:schemeClr w14:val="tx1"/>
                  </w14:solidFill>
                </w14:textFill>
              </w:rPr>
            </w:pPr>
            <w:r>
              <w:rPr>
                <w:rFonts w:hint="eastAsia" w:ascii="宋体" w:hAnsi="宋体" w:eastAsia="宋体" w:cs="宋体"/>
                <w:b w:val="0"/>
                <w:bCs/>
                <w:color w:val="000000" w:themeColor="text1"/>
                <w:sz w:val="21"/>
                <w:szCs w:val="21"/>
                <w:u w:val="single"/>
                <w:lang w:val="en-US" w:eastAsia="zh-CN"/>
                <w14:textFill>
                  <w14:solidFill>
                    <w14:schemeClr w14:val="tx1"/>
                  </w14:solidFill>
                </w14:textFill>
              </w:rPr>
              <w:t>亚胺化炉</w:t>
            </w:r>
          </w:p>
        </w:tc>
        <w:tc>
          <w:tcPr>
            <w:tcW w:w="590" w:type="pct"/>
            <w:tcBorders>
              <w:tl2br w:val="nil"/>
              <w:tr2bl w:val="nil"/>
            </w:tcBorders>
            <w:noWrap w:val="0"/>
            <w:vAlign w:val="center"/>
          </w:tcPr>
          <w:p>
            <w:pPr>
              <w:adjustRightInd w:val="0"/>
              <w:snapToGrid w:val="0"/>
              <w:spacing w:line="360" w:lineRule="exact"/>
              <w:jc w:val="center"/>
              <w:rPr>
                <w:rFonts w:hint="eastAsia" w:ascii="宋体" w:hAnsi="宋体" w:eastAsia="宋体" w:cs="宋体"/>
                <w:b w:val="0"/>
                <w:bCs/>
                <w:color w:val="000000" w:themeColor="text1"/>
                <w:sz w:val="21"/>
                <w:szCs w:val="21"/>
                <w:u w:val="single"/>
                <w14:textFill>
                  <w14:solidFill>
                    <w14:schemeClr w14:val="tx1"/>
                  </w14:solidFill>
                </w14:textFill>
              </w:rPr>
            </w:pPr>
            <w:r>
              <w:rPr>
                <w:rFonts w:hint="eastAsia" w:ascii="宋体" w:hAnsi="宋体" w:eastAsia="宋体" w:cs="宋体"/>
                <w:b w:val="0"/>
                <w:bCs/>
                <w:color w:val="000000" w:themeColor="text1"/>
                <w:sz w:val="21"/>
                <w:szCs w:val="21"/>
                <w:u w:val="single"/>
                <w14:textFill>
                  <w14:solidFill>
                    <w14:schemeClr w14:val="tx1"/>
                  </w14:solidFill>
                </w14:textFill>
              </w:rPr>
              <w:t>亚胺化</w:t>
            </w:r>
          </w:p>
        </w:tc>
        <w:tc>
          <w:tcPr>
            <w:tcW w:w="623" w:type="pct"/>
            <w:tcBorders>
              <w:tl2br w:val="nil"/>
              <w:tr2bl w:val="nil"/>
            </w:tcBorders>
            <w:noWrap w:val="0"/>
            <w:vAlign w:val="center"/>
          </w:tcPr>
          <w:p>
            <w:pPr>
              <w:adjustRightInd w:val="0"/>
              <w:snapToGrid w:val="0"/>
              <w:spacing w:line="360" w:lineRule="exact"/>
              <w:jc w:val="center"/>
              <w:rPr>
                <w:rFonts w:hint="eastAsia" w:ascii="宋体" w:hAnsi="宋体" w:eastAsia="宋体" w:cs="宋体"/>
                <w:b w:val="0"/>
                <w:bCs/>
                <w:color w:val="000000" w:themeColor="text1"/>
                <w:sz w:val="21"/>
                <w:szCs w:val="21"/>
                <w:u w:val="single"/>
                <w14:textFill>
                  <w14:solidFill>
                    <w14:schemeClr w14:val="tx1"/>
                  </w14:solidFill>
                </w14:textFill>
              </w:rPr>
            </w:pPr>
            <w:r>
              <w:rPr>
                <w:rFonts w:hint="eastAsia" w:ascii="宋体" w:hAnsi="宋体" w:eastAsia="宋体" w:cs="宋体"/>
                <w:b w:val="0"/>
                <w:bCs/>
                <w:color w:val="000000" w:themeColor="text1"/>
                <w:sz w:val="21"/>
                <w:szCs w:val="21"/>
                <w:u w:val="single"/>
                <w14:textFill>
                  <w14:solidFill>
                    <w14:schemeClr w14:val="tx1"/>
                  </w14:solidFill>
                </w14:textFill>
              </w:rPr>
              <w:t>非甲烷总烃、氨</w:t>
            </w:r>
          </w:p>
        </w:tc>
        <w:tc>
          <w:tcPr>
            <w:tcW w:w="656" w:type="pct"/>
            <w:tcBorders>
              <w:tl2br w:val="nil"/>
              <w:tr2bl w:val="nil"/>
            </w:tcBorders>
            <w:noWrap w:val="0"/>
            <w:vAlign w:val="center"/>
          </w:tcPr>
          <w:p>
            <w:pPr>
              <w:adjustRightInd w:val="0"/>
              <w:snapToGrid w:val="0"/>
              <w:spacing w:line="360" w:lineRule="exact"/>
              <w:jc w:val="center"/>
              <w:rPr>
                <w:rFonts w:hint="eastAsia" w:ascii="宋体" w:hAnsi="宋体" w:eastAsia="宋体" w:cs="宋体"/>
                <w:b w:val="0"/>
                <w:bCs/>
                <w:color w:val="000000" w:themeColor="text1"/>
                <w:sz w:val="21"/>
                <w:szCs w:val="21"/>
                <w:u w:val="single"/>
                <w14:textFill>
                  <w14:solidFill>
                    <w14:schemeClr w14:val="tx1"/>
                  </w14:solidFill>
                </w14:textFill>
              </w:rPr>
            </w:pPr>
            <w:r>
              <w:rPr>
                <w:rFonts w:hint="eastAsia" w:ascii="宋体" w:hAnsi="宋体" w:eastAsia="宋体" w:cs="宋体"/>
                <w:b w:val="0"/>
                <w:bCs/>
                <w:color w:val="000000" w:themeColor="text1"/>
                <w:sz w:val="21"/>
                <w:szCs w:val="21"/>
                <w:u w:val="single"/>
                <w14:textFill>
                  <w14:solidFill>
                    <w14:schemeClr w14:val="tx1"/>
                  </w14:solidFill>
                </w14:textFill>
              </w:rPr>
              <w:t>有组织排放</w:t>
            </w:r>
          </w:p>
        </w:tc>
        <w:tc>
          <w:tcPr>
            <w:tcW w:w="1116" w:type="pct"/>
            <w:tcBorders>
              <w:tl2br w:val="nil"/>
              <w:tr2bl w:val="nil"/>
            </w:tcBorders>
            <w:noWrap w:val="0"/>
            <w:vAlign w:val="center"/>
          </w:tcPr>
          <w:p>
            <w:pPr>
              <w:tabs>
                <w:tab w:val="left" w:pos="4980"/>
              </w:tabs>
              <w:adjustRightInd w:val="0"/>
              <w:snapToGrid w:val="0"/>
              <w:spacing w:line="360" w:lineRule="exact"/>
              <w:jc w:val="center"/>
              <w:rPr>
                <w:rFonts w:hint="eastAsia" w:ascii="宋体" w:hAnsi="宋体" w:eastAsia="宋体" w:cs="宋体"/>
                <w:b w:val="0"/>
                <w:bCs/>
                <w:color w:val="000000" w:themeColor="text1"/>
                <w:sz w:val="21"/>
                <w:szCs w:val="21"/>
                <w:u w:val="single"/>
                <w14:textFill>
                  <w14:solidFill>
                    <w14:schemeClr w14:val="tx1"/>
                  </w14:solidFill>
                </w14:textFill>
              </w:rPr>
            </w:pPr>
            <w:r>
              <w:rPr>
                <w:rFonts w:hint="eastAsia" w:ascii="宋体" w:hAnsi="宋体" w:eastAsia="宋体" w:cs="宋体"/>
                <w:b w:val="0"/>
                <w:bCs/>
                <w:color w:val="000000" w:themeColor="text1"/>
                <w:sz w:val="21"/>
                <w:szCs w:val="21"/>
                <w:u w:val="single"/>
                <w:lang w:val="en-US" w:eastAsia="zh-CN"/>
                <w14:textFill>
                  <w14:solidFill>
                    <w14:schemeClr w14:val="tx1"/>
                  </w14:solidFill>
                </w14:textFill>
              </w:rPr>
              <w:t>一</w:t>
            </w:r>
            <w:r>
              <w:rPr>
                <w:rFonts w:hint="eastAsia" w:ascii="宋体" w:hAnsi="宋体" w:eastAsia="宋体" w:cs="宋体"/>
                <w:b w:val="0"/>
                <w:bCs/>
                <w:color w:val="000000" w:themeColor="text1"/>
                <w:sz w:val="21"/>
                <w:szCs w:val="21"/>
                <w:u w:val="single"/>
                <w14:textFill>
                  <w14:solidFill>
                    <w14:schemeClr w14:val="tx1"/>
                  </w14:solidFill>
                </w14:textFill>
              </w:rPr>
              <w:t>级冷凝装置</w:t>
            </w:r>
            <w:r>
              <w:rPr>
                <w:rFonts w:hint="eastAsia" w:ascii="宋体" w:hAnsi="宋体" w:eastAsia="宋体" w:cs="宋体"/>
                <w:b w:val="0"/>
                <w:bCs/>
                <w:color w:val="000000" w:themeColor="text1"/>
                <w:sz w:val="21"/>
                <w:szCs w:val="21"/>
                <w:u w:val="single"/>
                <w:lang w:val="en-US" w:eastAsia="zh-CN"/>
                <w14:textFill>
                  <w14:solidFill>
                    <w14:schemeClr w14:val="tx1"/>
                  </w14:solidFill>
                </w14:textFill>
              </w:rPr>
              <w:t>+二级喷淋+湿电系统</w:t>
            </w:r>
          </w:p>
        </w:tc>
        <w:tc>
          <w:tcPr>
            <w:tcW w:w="581" w:type="pct"/>
            <w:vMerge w:val="restart"/>
            <w:tcBorders>
              <w:tl2br w:val="nil"/>
              <w:tr2bl w:val="nil"/>
            </w:tcBorders>
            <w:noWrap w:val="0"/>
            <w:vAlign w:val="center"/>
          </w:tcPr>
          <w:p>
            <w:pPr>
              <w:adjustRightInd w:val="0"/>
              <w:snapToGrid w:val="0"/>
              <w:spacing w:line="360" w:lineRule="exact"/>
              <w:jc w:val="center"/>
              <w:rPr>
                <w:rFonts w:hint="eastAsia" w:ascii="宋体" w:hAnsi="宋体" w:eastAsia="宋体" w:cs="宋体"/>
                <w:b w:val="0"/>
                <w:bCs/>
                <w:color w:val="000000" w:themeColor="text1"/>
                <w:sz w:val="21"/>
                <w:szCs w:val="21"/>
                <w:u w:val="single"/>
                <w:lang w:eastAsia="zh-CN"/>
                <w14:textFill>
                  <w14:solidFill>
                    <w14:schemeClr w14:val="tx1"/>
                  </w14:solidFill>
                </w14:textFill>
              </w:rPr>
            </w:pPr>
            <w:r>
              <w:rPr>
                <w:rFonts w:hint="eastAsia" w:ascii="宋体" w:hAnsi="宋体" w:eastAsia="宋体" w:cs="宋体"/>
                <w:b w:val="0"/>
                <w:bCs/>
                <w:color w:val="000000" w:themeColor="text1"/>
                <w:sz w:val="21"/>
                <w:szCs w:val="21"/>
                <w:u w:val="single"/>
                <w:lang w:eastAsia="zh-CN"/>
                <w14:textFill>
                  <w14:solidFill>
                    <w14:schemeClr w14:val="tx1"/>
                  </w14:solidFill>
                </w14:textFill>
              </w:rPr>
              <w:t>是</w:t>
            </w:r>
          </w:p>
        </w:tc>
        <w:tc>
          <w:tcPr>
            <w:tcW w:w="525" w:type="pct"/>
            <w:vMerge w:val="restart"/>
            <w:tcBorders>
              <w:tl2br w:val="nil"/>
              <w:tr2bl w:val="nil"/>
            </w:tcBorders>
            <w:noWrap w:val="0"/>
            <w:vAlign w:val="center"/>
          </w:tcPr>
          <w:p>
            <w:pPr>
              <w:adjustRightInd w:val="0"/>
              <w:snapToGrid w:val="0"/>
              <w:spacing w:line="360" w:lineRule="exact"/>
              <w:jc w:val="center"/>
              <w:rPr>
                <w:rFonts w:hint="eastAsia" w:ascii="宋体" w:hAnsi="宋体" w:eastAsia="宋体" w:cs="宋体"/>
                <w:b w:val="0"/>
                <w:bCs/>
                <w:color w:val="000000" w:themeColor="text1"/>
                <w:sz w:val="21"/>
                <w:szCs w:val="21"/>
                <w:u w:val="single"/>
                <w:lang w:val="en-US" w:eastAsia="zh-CN"/>
                <w14:textFill>
                  <w14:solidFill>
                    <w14:schemeClr w14:val="tx1"/>
                  </w14:solidFill>
                </w14:textFill>
              </w:rPr>
            </w:pPr>
            <w:r>
              <w:rPr>
                <w:rFonts w:hint="eastAsia" w:ascii="宋体" w:hAnsi="宋体" w:eastAsia="宋体" w:cs="宋体"/>
                <w:b w:val="0"/>
                <w:bCs/>
                <w:color w:val="000000" w:themeColor="text1"/>
                <w:sz w:val="21"/>
                <w:szCs w:val="21"/>
                <w:u w:val="single"/>
                <w:lang w:val="en-US" w:eastAsia="zh-CN"/>
                <w14:textFill>
                  <w14:solidFill>
                    <w14:schemeClr w14:val="tx1"/>
                  </w14:solidFill>
                </w14:textFill>
              </w:rPr>
              <w:t>一般排放口</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6" w:hRule="atLeast"/>
          <w:jc w:val="center"/>
        </w:trPr>
        <w:tc>
          <w:tcPr>
            <w:tcW w:w="347" w:type="pct"/>
            <w:vMerge w:val="continue"/>
            <w:tcBorders>
              <w:tl2br w:val="nil"/>
              <w:tr2bl w:val="nil"/>
            </w:tcBorders>
            <w:noWrap w:val="0"/>
            <w:vAlign w:val="center"/>
          </w:tcPr>
          <w:p>
            <w:pPr>
              <w:adjustRightInd w:val="0"/>
              <w:snapToGrid w:val="0"/>
              <w:spacing w:line="360" w:lineRule="exact"/>
              <w:ind w:left="-120" w:leftChars="-50" w:right="-120" w:rightChars="-50"/>
              <w:jc w:val="center"/>
              <w:rPr>
                <w:rFonts w:hint="eastAsia" w:ascii="宋体" w:hAnsi="宋体" w:eastAsia="宋体" w:cs="宋体"/>
                <w:b w:val="0"/>
                <w:bCs/>
                <w:color w:val="000000" w:themeColor="text1"/>
                <w:sz w:val="21"/>
                <w:szCs w:val="21"/>
                <w:u w:val="single"/>
                <w14:textFill>
                  <w14:solidFill>
                    <w14:schemeClr w14:val="tx1"/>
                  </w14:solidFill>
                </w14:textFill>
              </w:rPr>
            </w:pPr>
          </w:p>
        </w:tc>
        <w:tc>
          <w:tcPr>
            <w:tcW w:w="557" w:type="pct"/>
            <w:tcBorders>
              <w:tl2br w:val="nil"/>
              <w:tr2bl w:val="nil"/>
            </w:tcBorders>
            <w:noWrap w:val="0"/>
            <w:vAlign w:val="center"/>
          </w:tcPr>
          <w:p>
            <w:pPr>
              <w:adjustRightInd w:val="0"/>
              <w:snapToGrid w:val="0"/>
              <w:spacing w:line="360" w:lineRule="exact"/>
              <w:jc w:val="center"/>
              <w:rPr>
                <w:rFonts w:hint="eastAsia" w:ascii="宋体" w:hAnsi="宋体" w:eastAsia="宋体" w:cs="宋体"/>
                <w:b w:val="0"/>
                <w:bCs/>
                <w:color w:val="000000" w:themeColor="text1"/>
                <w:sz w:val="21"/>
                <w:szCs w:val="21"/>
                <w:u w:val="single"/>
                <w:lang w:val="en-US" w:eastAsia="zh-CN"/>
                <w14:textFill>
                  <w14:solidFill>
                    <w14:schemeClr w14:val="tx1"/>
                  </w14:solidFill>
                </w14:textFill>
              </w:rPr>
            </w:pPr>
            <w:r>
              <w:rPr>
                <w:rFonts w:hint="eastAsia" w:ascii="宋体" w:hAnsi="宋体" w:eastAsia="宋体" w:cs="宋体"/>
                <w:b w:val="0"/>
                <w:bCs/>
                <w:color w:val="000000" w:themeColor="text1"/>
                <w:sz w:val="21"/>
                <w:szCs w:val="21"/>
                <w:u w:val="single"/>
                <w:lang w:val="en-US" w:eastAsia="zh-CN"/>
                <w14:textFill>
                  <w14:solidFill>
                    <w14:schemeClr w14:val="tx1"/>
                  </w14:solidFill>
                </w14:textFill>
              </w:rPr>
              <w:t>电晕机</w:t>
            </w:r>
          </w:p>
        </w:tc>
        <w:tc>
          <w:tcPr>
            <w:tcW w:w="590" w:type="pct"/>
            <w:tcBorders>
              <w:tl2br w:val="nil"/>
              <w:tr2bl w:val="nil"/>
            </w:tcBorders>
            <w:noWrap w:val="0"/>
            <w:vAlign w:val="center"/>
          </w:tcPr>
          <w:p>
            <w:pPr>
              <w:adjustRightInd w:val="0"/>
              <w:snapToGrid w:val="0"/>
              <w:spacing w:line="360" w:lineRule="exact"/>
              <w:jc w:val="center"/>
              <w:rPr>
                <w:rFonts w:hint="eastAsia" w:ascii="宋体" w:hAnsi="宋体" w:eastAsia="宋体" w:cs="宋体"/>
                <w:b w:val="0"/>
                <w:bCs/>
                <w:color w:val="000000" w:themeColor="text1"/>
                <w:sz w:val="21"/>
                <w:szCs w:val="21"/>
                <w:u w:val="single"/>
                <w:lang w:val="en-US" w:eastAsia="zh-CN"/>
                <w14:textFill>
                  <w14:solidFill>
                    <w14:schemeClr w14:val="tx1"/>
                  </w14:solidFill>
                </w14:textFill>
              </w:rPr>
            </w:pPr>
            <w:r>
              <w:rPr>
                <w:rFonts w:hint="eastAsia" w:ascii="宋体" w:hAnsi="宋体" w:eastAsia="宋体" w:cs="宋体"/>
                <w:b w:val="0"/>
                <w:bCs/>
                <w:color w:val="000000" w:themeColor="text1"/>
                <w:sz w:val="21"/>
                <w:szCs w:val="21"/>
                <w:u w:val="single"/>
                <w:lang w:val="en-US" w:eastAsia="zh-CN"/>
                <w14:textFill>
                  <w14:solidFill>
                    <w14:schemeClr w14:val="tx1"/>
                  </w14:solidFill>
                </w14:textFill>
              </w:rPr>
              <w:t>电晕</w:t>
            </w:r>
          </w:p>
        </w:tc>
        <w:tc>
          <w:tcPr>
            <w:tcW w:w="623" w:type="pct"/>
            <w:tcBorders>
              <w:tl2br w:val="nil"/>
              <w:tr2bl w:val="nil"/>
            </w:tcBorders>
            <w:noWrap w:val="0"/>
            <w:vAlign w:val="center"/>
          </w:tcPr>
          <w:p>
            <w:pPr>
              <w:adjustRightInd w:val="0"/>
              <w:snapToGrid w:val="0"/>
              <w:spacing w:line="360" w:lineRule="exact"/>
              <w:jc w:val="center"/>
              <w:rPr>
                <w:rFonts w:hint="eastAsia" w:ascii="宋体" w:hAnsi="宋体" w:eastAsia="宋体" w:cs="宋体"/>
                <w:b w:val="0"/>
                <w:bCs/>
                <w:color w:val="000000" w:themeColor="text1"/>
                <w:sz w:val="21"/>
                <w:szCs w:val="21"/>
                <w:u w:val="single"/>
                <w:lang w:val="en-US" w:eastAsia="zh-CN"/>
                <w14:textFill>
                  <w14:solidFill>
                    <w14:schemeClr w14:val="tx1"/>
                  </w14:solidFill>
                </w14:textFill>
              </w:rPr>
            </w:pPr>
            <w:r>
              <w:rPr>
                <w:rFonts w:hint="eastAsia" w:ascii="宋体" w:hAnsi="宋体" w:eastAsia="宋体" w:cs="宋体"/>
                <w:b w:val="0"/>
                <w:bCs/>
                <w:color w:val="000000" w:themeColor="text1"/>
                <w:sz w:val="21"/>
                <w:szCs w:val="21"/>
                <w:u w:val="single"/>
                <w:lang w:val="en-US" w:eastAsia="zh-CN"/>
                <w14:textFill>
                  <w14:solidFill>
                    <w14:schemeClr w14:val="tx1"/>
                  </w14:solidFill>
                </w14:textFill>
              </w:rPr>
              <w:t>臭氧</w:t>
            </w:r>
          </w:p>
        </w:tc>
        <w:tc>
          <w:tcPr>
            <w:tcW w:w="656" w:type="pct"/>
            <w:tcBorders>
              <w:tl2br w:val="nil"/>
              <w:tr2bl w:val="nil"/>
            </w:tcBorders>
            <w:noWrap w:val="0"/>
            <w:vAlign w:val="center"/>
          </w:tcPr>
          <w:p>
            <w:pPr>
              <w:adjustRightInd w:val="0"/>
              <w:snapToGrid w:val="0"/>
              <w:spacing w:line="360" w:lineRule="exact"/>
              <w:jc w:val="center"/>
              <w:rPr>
                <w:rFonts w:hint="eastAsia" w:ascii="宋体" w:hAnsi="宋体" w:eastAsia="宋体" w:cs="宋体"/>
                <w:b w:val="0"/>
                <w:bCs/>
                <w:color w:val="000000" w:themeColor="text1"/>
                <w:sz w:val="21"/>
                <w:szCs w:val="21"/>
                <w:u w:val="single"/>
                <w:lang w:val="en-US" w:eastAsia="zh-CN"/>
                <w14:textFill>
                  <w14:solidFill>
                    <w14:schemeClr w14:val="tx1"/>
                  </w14:solidFill>
                </w14:textFill>
              </w:rPr>
            </w:pPr>
            <w:r>
              <w:rPr>
                <w:rFonts w:hint="eastAsia" w:ascii="宋体" w:hAnsi="宋体" w:eastAsia="宋体" w:cs="宋体"/>
                <w:b w:val="0"/>
                <w:bCs/>
                <w:color w:val="000000" w:themeColor="text1"/>
                <w:sz w:val="21"/>
                <w:szCs w:val="21"/>
                <w:u w:val="single"/>
                <w:lang w:val="en-US" w:eastAsia="zh-CN"/>
                <w14:textFill>
                  <w14:solidFill>
                    <w14:schemeClr w14:val="tx1"/>
                  </w14:solidFill>
                </w14:textFill>
              </w:rPr>
              <w:t>有组织排放</w:t>
            </w:r>
          </w:p>
        </w:tc>
        <w:tc>
          <w:tcPr>
            <w:tcW w:w="1116" w:type="pct"/>
            <w:tcBorders>
              <w:tl2br w:val="nil"/>
              <w:tr2bl w:val="nil"/>
            </w:tcBorders>
            <w:noWrap w:val="0"/>
            <w:vAlign w:val="center"/>
          </w:tcPr>
          <w:p>
            <w:pPr>
              <w:tabs>
                <w:tab w:val="left" w:pos="4980"/>
              </w:tabs>
              <w:adjustRightInd w:val="0"/>
              <w:snapToGrid w:val="0"/>
              <w:spacing w:line="360" w:lineRule="exact"/>
              <w:jc w:val="center"/>
              <w:rPr>
                <w:rFonts w:hint="eastAsia" w:ascii="宋体" w:hAnsi="宋体" w:eastAsia="宋体" w:cs="宋体"/>
                <w:b w:val="0"/>
                <w:bCs/>
                <w:color w:val="000000" w:themeColor="text1"/>
                <w:sz w:val="21"/>
                <w:szCs w:val="21"/>
                <w:u w:val="single"/>
                <w:lang w:val="en-US" w:eastAsia="zh-CN"/>
                <w14:textFill>
                  <w14:solidFill>
                    <w14:schemeClr w14:val="tx1"/>
                  </w14:solidFill>
                </w14:textFill>
              </w:rPr>
            </w:pPr>
            <w:r>
              <w:rPr>
                <w:rFonts w:hint="eastAsia" w:ascii="宋体" w:hAnsi="宋体" w:eastAsia="宋体" w:cs="宋体"/>
                <w:b w:val="0"/>
                <w:bCs/>
                <w:color w:val="000000" w:themeColor="text1"/>
                <w:sz w:val="21"/>
                <w:szCs w:val="21"/>
                <w:u w:val="single"/>
                <w:lang w:val="en-US" w:eastAsia="zh-CN"/>
                <w14:textFill>
                  <w14:solidFill>
                    <w14:schemeClr w14:val="tx1"/>
                  </w14:solidFill>
                </w14:textFill>
              </w:rPr>
              <w:t>/</w:t>
            </w:r>
          </w:p>
        </w:tc>
        <w:tc>
          <w:tcPr>
            <w:tcW w:w="581" w:type="pct"/>
            <w:vMerge w:val="continue"/>
            <w:tcBorders>
              <w:tl2br w:val="nil"/>
              <w:tr2bl w:val="nil"/>
            </w:tcBorders>
            <w:noWrap w:val="0"/>
            <w:vAlign w:val="center"/>
          </w:tcPr>
          <w:p>
            <w:pPr>
              <w:adjustRightInd w:val="0"/>
              <w:snapToGrid w:val="0"/>
              <w:spacing w:line="360" w:lineRule="exact"/>
              <w:jc w:val="center"/>
              <w:rPr>
                <w:rFonts w:hint="eastAsia" w:ascii="宋体" w:hAnsi="宋体" w:eastAsia="宋体" w:cs="宋体"/>
                <w:b w:val="0"/>
                <w:bCs/>
                <w:color w:val="000000" w:themeColor="text1"/>
                <w:sz w:val="21"/>
                <w:szCs w:val="21"/>
                <w:u w:val="single"/>
                <w14:textFill>
                  <w14:solidFill>
                    <w14:schemeClr w14:val="tx1"/>
                  </w14:solidFill>
                </w14:textFill>
              </w:rPr>
            </w:pPr>
          </w:p>
        </w:tc>
        <w:tc>
          <w:tcPr>
            <w:tcW w:w="525" w:type="pct"/>
            <w:vMerge w:val="continue"/>
            <w:tcBorders>
              <w:tl2br w:val="nil"/>
              <w:tr2bl w:val="nil"/>
            </w:tcBorders>
            <w:noWrap w:val="0"/>
            <w:vAlign w:val="center"/>
          </w:tcPr>
          <w:p>
            <w:pPr>
              <w:adjustRightInd w:val="0"/>
              <w:snapToGrid w:val="0"/>
              <w:spacing w:line="360" w:lineRule="exact"/>
              <w:jc w:val="center"/>
              <w:rPr>
                <w:rFonts w:hint="eastAsia" w:ascii="宋体" w:hAnsi="宋体" w:eastAsia="宋体" w:cs="宋体"/>
                <w:b w:val="0"/>
                <w:bCs/>
                <w:color w:val="000000" w:themeColor="text1"/>
                <w:sz w:val="21"/>
                <w:szCs w:val="21"/>
                <w:u w:val="single"/>
                <w14:textFill>
                  <w14:solidFill>
                    <w14:schemeClr w14:val="tx1"/>
                  </w14:solidFill>
                </w14:textFill>
              </w:rPr>
            </w:pPr>
          </w:p>
        </w:tc>
      </w:tr>
    </w:tbl>
    <w:p>
      <w:pPr>
        <w:keepNext w:val="0"/>
        <w:keepLines w:val="0"/>
        <w:pageBreakBefore w:val="0"/>
        <w:widowControl/>
        <w:kinsoku/>
        <w:wordWrap/>
        <w:overflowPunct/>
        <w:topLinePunct w:val="0"/>
        <w:autoSpaceDE/>
        <w:autoSpaceDN/>
        <w:bidi w:val="0"/>
        <w:adjustRightInd/>
        <w:snapToGrid/>
        <w:spacing w:before="167" w:beforeLines="50" w:after="167" w:afterLines="50" w:line="360" w:lineRule="auto"/>
        <w:ind w:firstLine="0" w:firstLineChars="0"/>
        <w:jc w:val="center"/>
        <w:textAlignment w:val="auto"/>
        <w:rPr>
          <w:rFonts w:hint="eastAsia" w:ascii="宋体" w:hAnsi="宋体" w:eastAsia="宋体" w:cs="宋体"/>
          <w:b/>
          <w:bCs/>
          <w:color w:val="000000" w:themeColor="text1"/>
          <w:highlight w:val="none"/>
          <w:lang w:val="en-US" w:eastAsia="zh-CN"/>
          <w14:textFill>
            <w14:solidFill>
              <w14:schemeClr w14:val="tx1"/>
            </w14:solidFill>
          </w14:textFill>
        </w:rPr>
      </w:pPr>
      <w:r>
        <w:rPr>
          <w:rFonts w:hint="eastAsia" w:ascii="宋体" w:hAnsi="宋体" w:eastAsia="宋体" w:cs="宋体"/>
          <w:b/>
          <w:bCs/>
          <w:color w:val="000000" w:themeColor="text1"/>
          <w:highlight w:val="none"/>
          <w:lang w:val="en-US" w:eastAsia="zh-CN"/>
          <w14:textFill>
            <w14:solidFill>
              <w14:schemeClr w14:val="tx1"/>
            </w14:solidFill>
          </w14:textFill>
        </w:rPr>
        <w:t>表9.2.1-2 项目废水类别、污染物及污染治理设施信息表</w:t>
      </w:r>
    </w:p>
    <w:tbl>
      <w:tblPr>
        <w:tblStyle w:val="30"/>
        <w:tblW w:w="4996"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772"/>
        <w:gridCol w:w="2233"/>
        <w:gridCol w:w="3407"/>
        <w:gridCol w:w="1404"/>
        <w:gridCol w:w="1113"/>
        <w:gridCol w:w="91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392" w:type="pct"/>
            <w:vMerge w:val="restart"/>
            <w:tcBorders>
              <w:tl2br w:val="nil"/>
              <w:tr2bl w:val="nil"/>
            </w:tcBorders>
            <w:noWrap w:val="0"/>
            <w:vAlign w:val="center"/>
          </w:tcPr>
          <w:p>
            <w:pPr>
              <w:adjustRightInd w:val="0"/>
              <w:snapToGrid w:val="0"/>
              <w:spacing w:line="360" w:lineRule="exact"/>
              <w:ind w:left="-120" w:leftChars="-50" w:right="-120" w:rightChars="-50"/>
              <w:jc w:val="center"/>
              <w:rPr>
                <w:rFonts w:hint="eastAsia" w:ascii="宋体" w:hAnsi="宋体" w:eastAsia="宋体" w:cs="宋体"/>
                <w:b w:val="0"/>
                <w:bCs/>
                <w:color w:val="000000" w:themeColor="text1"/>
                <w:sz w:val="21"/>
                <w:szCs w:val="21"/>
                <w:u w:val="single"/>
                <w14:textFill>
                  <w14:solidFill>
                    <w14:schemeClr w14:val="tx1"/>
                  </w14:solidFill>
                </w14:textFill>
              </w:rPr>
            </w:pPr>
            <w:r>
              <w:rPr>
                <w:rFonts w:hint="eastAsia" w:ascii="宋体" w:hAnsi="宋体" w:eastAsia="宋体" w:cs="宋体"/>
                <w:b w:val="0"/>
                <w:bCs/>
                <w:color w:val="000000" w:themeColor="text1"/>
                <w:sz w:val="21"/>
                <w:szCs w:val="21"/>
                <w:u w:val="single"/>
                <w14:textFill>
                  <w14:solidFill>
                    <w14:schemeClr w14:val="tx1"/>
                  </w14:solidFill>
                </w14:textFill>
              </w:rPr>
              <w:t>废水类别</w:t>
            </w:r>
          </w:p>
        </w:tc>
        <w:tc>
          <w:tcPr>
            <w:tcW w:w="1134" w:type="pct"/>
            <w:vMerge w:val="restart"/>
            <w:tcBorders>
              <w:tl2br w:val="nil"/>
              <w:tr2bl w:val="nil"/>
            </w:tcBorders>
            <w:noWrap w:val="0"/>
            <w:vAlign w:val="center"/>
          </w:tcPr>
          <w:p>
            <w:pPr>
              <w:adjustRightInd w:val="0"/>
              <w:snapToGrid w:val="0"/>
              <w:spacing w:line="360" w:lineRule="exact"/>
              <w:ind w:left="-120" w:leftChars="-50" w:right="-120" w:rightChars="-50"/>
              <w:jc w:val="center"/>
              <w:rPr>
                <w:rFonts w:hint="eastAsia" w:ascii="宋体" w:hAnsi="宋体" w:eastAsia="宋体" w:cs="宋体"/>
                <w:b w:val="0"/>
                <w:bCs/>
                <w:color w:val="000000" w:themeColor="text1"/>
                <w:sz w:val="21"/>
                <w:szCs w:val="21"/>
                <w:u w:val="single"/>
                <w14:textFill>
                  <w14:solidFill>
                    <w14:schemeClr w14:val="tx1"/>
                  </w14:solidFill>
                </w14:textFill>
              </w:rPr>
            </w:pPr>
            <w:r>
              <w:rPr>
                <w:rFonts w:hint="eastAsia" w:ascii="宋体" w:hAnsi="宋体" w:eastAsia="宋体" w:cs="宋体"/>
                <w:b w:val="0"/>
                <w:bCs/>
                <w:color w:val="000000" w:themeColor="text1"/>
                <w:sz w:val="21"/>
                <w:szCs w:val="21"/>
                <w:u w:val="single"/>
                <w14:textFill>
                  <w14:solidFill>
                    <w14:schemeClr w14:val="tx1"/>
                  </w14:solidFill>
                </w14:textFill>
              </w:rPr>
              <w:t>污染物种类</w:t>
            </w:r>
          </w:p>
        </w:tc>
        <w:tc>
          <w:tcPr>
            <w:tcW w:w="2443" w:type="pct"/>
            <w:gridSpan w:val="2"/>
            <w:tcBorders>
              <w:tl2br w:val="nil"/>
              <w:tr2bl w:val="nil"/>
            </w:tcBorders>
            <w:noWrap w:val="0"/>
            <w:vAlign w:val="center"/>
          </w:tcPr>
          <w:p>
            <w:pPr>
              <w:adjustRightInd w:val="0"/>
              <w:snapToGrid w:val="0"/>
              <w:spacing w:line="360" w:lineRule="exact"/>
              <w:ind w:left="-120" w:leftChars="-50" w:right="-120" w:rightChars="-50"/>
              <w:jc w:val="center"/>
              <w:rPr>
                <w:rFonts w:hint="eastAsia" w:ascii="宋体" w:hAnsi="宋体" w:eastAsia="宋体" w:cs="宋体"/>
                <w:b w:val="0"/>
                <w:bCs/>
                <w:color w:val="000000" w:themeColor="text1"/>
                <w:sz w:val="21"/>
                <w:szCs w:val="21"/>
                <w:u w:val="single"/>
                <w14:textFill>
                  <w14:solidFill>
                    <w14:schemeClr w14:val="tx1"/>
                  </w14:solidFill>
                </w14:textFill>
              </w:rPr>
            </w:pPr>
            <w:r>
              <w:rPr>
                <w:rFonts w:hint="eastAsia" w:ascii="宋体" w:hAnsi="宋体" w:eastAsia="宋体" w:cs="宋体"/>
                <w:b w:val="0"/>
                <w:bCs/>
                <w:color w:val="000000" w:themeColor="text1"/>
                <w:sz w:val="21"/>
                <w:szCs w:val="21"/>
                <w:u w:val="single"/>
                <w14:textFill>
                  <w14:solidFill>
                    <w14:schemeClr w14:val="tx1"/>
                  </w14:solidFill>
                </w14:textFill>
              </w:rPr>
              <w:t>污染治理设施</w:t>
            </w:r>
          </w:p>
        </w:tc>
        <w:tc>
          <w:tcPr>
            <w:tcW w:w="565" w:type="pct"/>
            <w:vMerge w:val="restart"/>
            <w:tcBorders>
              <w:tl2br w:val="nil"/>
              <w:tr2bl w:val="nil"/>
            </w:tcBorders>
            <w:noWrap w:val="0"/>
            <w:vAlign w:val="center"/>
          </w:tcPr>
          <w:p>
            <w:pPr>
              <w:adjustRightInd w:val="0"/>
              <w:snapToGrid w:val="0"/>
              <w:spacing w:line="360" w:lineRule="exact"/>
              <w:ind w:left="-120" w:leftChars="-50" w:right="-120" w:rightChars="-50"/>
              <w:jc w:val="center"/>
              <w:rPr>
                <w:rFonts w:hint="eastAsia" w:ascii="宋体" w:hAnsi="宋体" w:eastAsia="宋体" w:cs="宋体"/>
                <w:b w:val="0"/>
                <w:bCs/>
                <w:color w:val="000000" w:themeColor="text1"/>
                <w:sz w:val="21"/>
                <w:szCs w:val="21"/>
                <w:u w:val="single"/>
                <w14:textFill>
                  <w14:solidFill>
                    <w14:schemeClr w14:val="tx1"/>
                  </w14:solidFill>
                </w14:textFill>
              </w:rPr>
            </w:pPr>
            <w:r>
              <w:rPr>
                <w:rFonts w:hint="eastAsia" w:ascii="宋体" w:hAnsi="宋体" w:eastAsia="宋体" w:cs="宋体"/>
                <w:b w:val="0"/>
                <w:bCs/>
                <w:color w:val="000000" w:themeColor="text1"/>
                <w:sz w:val="21"/>
                <w:szCs w:val="21"/>
                <w:u w:val="single"/>
                <w14:textFill>
                  <w14:solidFill>
                    <w14:schemeClr w14:val="tx1"/>
                  </w14:solidFill>
                </w14:textFill>
              </w:rPr>
              <w:t>排放去向</w:t>
            </w:r>
          </w:p>
        </w:tc>
        <w:tc>
          <w:tcPr>
            <w:tcW w:w="465" w:type="pct"/>
            <w:vMerge w:val="restart"/>
            <w:tcBorders>
              <w:tl2br w:val="nil"/>
              <w:tr2bl w:val="nil"/>
            </w:tcBorders>
            <w:noWrap w:val="0"/>
            <w:vAlign w:val="center"/>
          </w:tcPr>
          <w:p>
            <w:pPr>
              <w:adjustRightInd w:val="0"/>
              <w:snapToGrid w:val="0"/>
              <w:spacing w:line="360" w:lineRule="exact"/>
              <w:ind w:left="-120" w:leftChars="-50" w:right="-120" w:rightChars="-50"/>
              <w:jc w:val="center"/>
              <w:rPr>
                <w:rFonts w:hint="eastAsia" w:ascii="宋体" w:hAnsi="宋体" w:eastAsia="宋体" w:cs="宋体"/>
                <w:b w:val="0"/>
                <w:bCs/>
                <w:color w:val="000000" w:themeColor="text1"/>
                <w:sz w:val="21"/>
                <w:szCs w:val="21"/>
                <w:u w:val="single"/>
                <w14:textFill>
                  <w14:solidFill>
                    <w14:schemeClr w14:val="tx1"/>
                  </w14:solidFill>
                </w14:textFill>
              </w:rPr>
            </w:pPr>
            <w:r>
              <w:rPr>
                <w:rFonts w:hint="eastAsia" w:ascii="宋体" w:hAnsi="宋体" w:eastAsia="宋体" w:cs="宋体"/>
                <w:b w:val="0"/>
                <w:bCs/>
                <w:color w:val="000000" w:themeColor="text1"/>
                <w:sz w:val="21"/>
                <w:szCs w:val="21"/>
                <w:u w:val="single"/>
                <w14:textFill>
                  <w14:solidFill>
                    <w14:schemeClr w14:val="tx1"/>
                  </w14:solidFill>
                </w14:textFill>
              </w:rPr>
              <w:t>排放口类型</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392" w:type="pct"/>
            <w:vMerge w:val="continue"/>
            <w:tcBorders>
              <w:tl2br w:val="nil"/>
              <w:tr2bl w:val="nil"/>
            </w:tcBorders>
            <w:noWrap w:val="0"/>
            <w:vAlign w:val="center"/>
          </w:tcPr>
          <w:p>
            <w:pPr>
              <w:adjustRightInd w:val="0"/>
              <w:snapToGrid w:val="0"/>
              <w:spacing w:line="360" w:lineRule="exact"/>
              <w:ind w:left="-120" w:leftChars="-50" w:right="-120" w:rightChars="-50"/>
              <w:jc w:val="center"/>
              <w:rPr>
                <w:rFonts w:hint="eastAsia" w:ascii="宋体" w:hAnsi="宋体" w:eastAsia="宋体" w:cs="宋体"/>
                <w:b w:val="0"/>
                <w:bCs/>
                <w:color w:val="000000" w:themeColor="text1"/>
                <w:sz w:val="21"/>
                <w:szCs w:val="21"/>
                <w:u w:val="single"/>
                <w14:textFill>
                  <w14:solidFill>
                    <w14:schemeClr w14:val="tx1"/>
                  </w14:solidFill>
                </w14:textFill>
              </w:rPr>
            </w:pPr>
          </w:p>
        </w:tc>
        <w:tc>
          <w:tcPr>
            <w:tcW w:w="1134" w:type="pct"/>
            <w:vMerge w:val="continue"/>
            <w:tcBorders>
              <w:tl2br w:val="nil"/>
              <w:tr2bl w:val="nil"/>
            </w:tcBorders>
            <w:noWrap w:val="0"/>
            <w:vAlign w:val="center"/>
          </w:tcPr>
          <w:p>
            <w:pPr>
              <w:adjustRightInd w:val="0"/>
              <w:snapToGrid w:val="0"/>
              <w:spacing w:line="360" w:lineRule="exact"/>
              <w:ind w:left="-120" w:leftChars="-50" w:right="-120" w:rightChars="-50"/>
              <w:jc w:val="center"/>
              <w:rPr>
                <w:rFonts w:hint="eastAsia" w:ascii="宋体" w:hAnsi="宋体" w:eastAsia="宋体" w:cs="宋体"/>
                <w:b w:val="0"/>
                <w:bCs/>
                <w:color w:val="000000" w:themeColor="text1"/>
                <w:sz w:val="21"/>
                <w:szCs w:val="21"/>
                <w:u w:val="single"/>
                <w14:textFill>
                  <w14:solidFill>
                    <w14:schemeClr w14:val="tx1"/>
                  </w14:solidFill>
                </w14:textFill>
              </w:rPr>
            </w:pPr>
          </w:p>
        </w:tc>
        <w:tc>
          <w:tcPr>
            <w:tcW w:w="1730" w:type="pct"/>
            <w:tcBorders>
              <w:tl2br w:val="nil"/>
              <w:tr2bl w:val="nil"/>
            </w:tcBorders>
            <w:noWrap w:val="0"/>
            <w:vAlign w:val="center"/>
          </w:tcPr>
          <w:p>
            <w:pPr>
              <w:adjustRightInd w:val="0"/>
              <w:snapToGrid w:val="0"/>
              <w:spacing w:line="360" w:lineRule="exact"/>
              <w:ind w:left="-120" w:leftChars="-50" w:right="-120" w:rightChars="-50"/>
              <w:jc w:val="center"/>
              <w:rPr>
                <w:rFonts w:hint="eastAsia" w:ascii="宋体" w:hAnsi="宋体" w:eastAsia="宋体" w:cs="宋体"/>
                <w:b w:val="0"/>
                <w:bCs/>
                <w:color w:val="000000" w:themeColor="text1"/>
                <w:sz w:val="21"/>
                <w:szCs w:val="21"/>
                <w:u w:val="single"/>
                <w14:textFill>
                  <w14:solidFill>
                    <w14:schemeClr w14:val="tx1"/>
                  </w14:solidFill>
                </w14:textFill>
              </w:rPr>
            </w:pPr>
            <w:r>
              <w:rPr>
                <w:rFonts w:hint="eastAsia" w:ascii="宋体" w:hAnsi="宋体" w:eastAsia="宋体" w:cs="宋体"/>
                <w:b w:val="0"/>
                <w:bCs/>
                <w:color w:val="000000" w:themeColor="text1"/>
                <w:sz w:val="21"/>
                <w:szCs w:val="21"/>
                <w:u w:val="single"/>
                <w14:textFill>
                  <w14:solidFill>
                    <w14:schemeClr w14:val="tx1"/>
                  </w14:solidFill>
                </w14:textFill>
              </w:rPr>
              <w:t>污染治理设施工艺</w:t>
            </w:r>
          </w:p>
        </w:tc>
        <w:tc>
          <w:tcPr>
            <w:tcW w:w="712" w:type="pct"/>
            <w:tcBorders>
              <w:tl2br w:val="nil"/>
              <w:tr2bl w:val="nil"/>
            </w:tcBorders>
            <w:noWrap w:val="0"/>
            <w:vAlign w:val="center"/>
          </w:tcPr>
          <w:p>
            <w:pPr>
              <w:adjustRightInd w:val="0"/>
              <w:snapToGrid w:val="0"/>
              <w:spacing w:line="360" w:lineRule="exact"/>
              <w:ind w:left="-120" w:leftChars="-50" w:right="-120" w:rightChars="-50"/>
              <w:jc w:val="center"/>
              <w:rPr>
                <w:rFonts w:hint="eastAsia" w:ascii="宋体" w:hAnsi="宋体" w:eastAsia="宋体" w:cs="宋体"/>
                <w:b w:val="0"/>
                <w:bCs/>
                <w:color w:val="000000" w:themeColor="text1"/>
                <w:sz w:val="21"/>
                <w:szCs w:val="21"/>
                <w:u w:val="single"/>
                <w14:textFill>
                  <w14:solidFill>
                    <w14:schemeClr w14:val="tx1"/>
                  </w14:solidFill>
                </w14:textFill>
              </w:rPr>
            </w:pPr>
            <w:r>
              <w:rPr>
                <w:rFonts w:hint="eastAsia" w:ascii="宋体" w:hAnsi="宋体" w:eastAsia="宋体" w:cs="宋体"/>
                <w:b w:val="0"/>
                <w:bCs/>
                <w:color w:val="000000" w:themeColor="text1"/>
                <w:sz w:val="21"/>
                <w:szCs w:val="21"/>
                <w:u w:val="single"/>
                <w14:textFill>
                  <w14:solidFill>
                    <w14:schemeClr w14:val="tx1"/>
                  </w14:solidFill>
                </w14:textFill>
              </w:rPr>
              <w:t>是否为可行技术</w:t>
            </w:r>
          </w:p>
        </w:tc>
        <w:tc>
          <w:tcPr>
            <w:tcW w:w="565" w:type="pct"/>
            <w:vMerge w:val="continue"/>
            <w:tcBorders>
              <w:tl2br w:val="nil"/>
              <w:tr2bl w:val="nil"/>
            </w:tcBorders>
            <w:noWrap w:val="0"/>
            <w:vAlign w:val="center"/>
          </w:tcPr>
          <w:p>
            <w:pPr>
              <w:adjustRightInd w:val="0"/>
              <w:snapToGrid w:val="0"/>
              <w:spacing w:line="360" w:lineRule="exact"/>
              <w:ind w:left="-120" w:leftChars="-50" w:right="-120" w:rightChars="-50"/>
              <w:jc w:val="center"/>
              <w:rPr>
                <w:rFonts w:hint="eastAsia" w:ascii="宋体" w:hAnsi="宋体" w:eastAsia="宋体" w:cs="宋体"/>
                <w:b w:val="0"/>
                <w:bCs/>
                <w:color w:val="000000" w:themeColor="text1"/>
                <w:sz w:val="21"/>
                <w:szCs w:val="21"/>
                <w:u w:val="single"/>
                <w14:textFill>
                  <w14:solidFill>
                    <w14:schemeClr w14:val="tx1"/>
                  </w14:solidFill>
                </w14:textFill>
              </w:rPr>
            </w:pPr>
          </w:p>
        </w:tc>
        <w:tc>
          <w:tcPr>
            <w:tcW w:w="465" w:type="pct"/>
            <w:vMerge w:val="continue"/>
            <w:tcBorders>
              <w:tl2br w:val="nil"/>
              <w:tr2bl w:val="nil"/>
            </w:tcBorders>
            <w:noWrap w:val="0"/>
            <w:vAlign w:val="center"/>
          </w:tcPr>
          <w:p>
            <w:pPr>
              <w:adjustRightInd w:val="0"/>
              <w:snapToGrid w:val="0"/>
              <w:spacing w:line="360" w:lineRule="exact"/>
              <w:ind w:left="-120" w:leftChars="-50" w:right="-120" w:rightChars="-50"/>
              <w:jc w:val="center"/>
              <w:rPr>
                <w:rFonts w:hint="eastAsia" w:ascii="宋体" w:hAnsi="宋体" w:eastAsia="宋体" w:cs="宋体"/>
                <w:b w:val="0"/>
                <w:bCs/>
                <w:color w:val="000000" w:themeColor="text1"/>
                <w:sz w:val="21"/>
                <w:szCs w:val="21"/>
                <w:u w:val="singl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392" w:type="pct"/>
            <w:tcBorders>
              <w:tl2br w:val="nil"/>
              <w:tr2bl w:val="nil"/>
            </w:tcBorders>
            <w:noWrap w:val="0"/>
            <w:vAlign w:val="center"/>
          </w:tcPr>
          <w:p>
            <w:pPr>
              <w:adjustRightInd w:val="0"/>
              <w:snapToGrid w:val="0"/>
              <w:spacing w:line="360" w:lineRule="exact"/>
              <w:ind w:left="-120" w:leftChars="-50" w:right="-120" w:rightChars="-50"/>
              <w:jc w:val="center"/>
              <w:rPr>
                <w:rFonts w:hint="eastAsia" w:ascii="宋体" w:hAnsi="宋体" w:eastAsia="宋体" w:cs="宋体"/>
                <w:b w:val="0"/>
                <w:bCs/>
                <w:color w:val="000000" w:themeColor="text1"/>
                <w:sz w:val="21"/>
                <w:szCs w:val="21"/>
                <w:u w:val="single"/>
                <w:lang w:val="en-US" w:eastAsia="zh-CN"/>
                <w14:textFill>
                  <w14:solidFill>
                    <w14:schemeClr w14:val="tx1"/>
                  </w14:solidFill>
                </w14:textFill>
              </w:rPr>
            </w:pPr>
            <w:r>
              <w:rPr>
                <w:rFonts w:hint="eastAsia" w:ascii="宋体" w:hAnsi="宋体" w:eastAsia="宋体" w:cs="宋体"/>
                <w:b w:val="0"/>
                <w:bCs/>
                <w:color w:val="000000" w:themeColor="text1"/>
                <w:sz w:val="21"/>
                <w:szCs w:val="21"/>
                <w:u w:val="single"/>
                <w:lang w:val="en-US" w:eastAsia="zh-CN"/>
                <w14:textFill>
                  <w14:solidFill>
                    <w14:schemeClr w14:val="tx1"/>
                  </w14:solidFill>
                </w14:textFill>
              </w:rPr>
              <w:t>保洁废水</w:t>
            </w:r>
          </w:p>
        </w:tc>
        <w:tc>
          <w:tcPr>
            <w:tcW w:w="1134" w:type="pct"/>
            <w:tcBorders>
              <w:tl2br w:val="nil"/>
              <w:tr2bl w:val="nil"/>
            </w:tcBorders>
            <w:noWrap w:val="0"/>
            <w:vAlign w:val="center"/>
          </w:tcPr>
          <w:p>
            <w:pPr>
              <w:adjustRightInd w:val="0"/>
              <w:snapToGrid w:val="0"/>
              <w:spacing w:line="360" w:lineRule="exact"/>
              <w:ind w:left="-120" w:leftChars="-50" w:right="-120" w:rightChars="-50"/>
              <w:jc w:val="center"/>
              <w:rPr>
                <w:rFonts w:hint="eastAsia" w:ascii="宋体" w:hAnsi="宋体" w:eastAsia="宋体" w:cs="宋体"/>
                <w:b w:val="0"/>
                <w:bCs/>
                <w:color w:val="000000" w:themeColor="text1"/>
                <w:sz w:val="21"/>
                <w:szCs w:val="21"/>
                <w:u w:val="single"/>
                <w14:textFill>
                  <w14:solidFill>
                    <w14:schemeClr w14:val="tx1"/>
                  </w14:solidFill>
                </w14:textFill>
              </w:rPr>
            </w:pPr>
            <w:r>
              <w:rPr>
                <w:rFonts w:hint="eastAsia" w:ascii="宋体" w:hAnsi="宋体" w:eastAsia="宋体" w:cs="宋体"/>
                <w:b w:val="0"/>
                <w:bCs/>
                <w:color w:val="000000" w:themeColor="text1"/>
                <w:sz w:val="21"/>
                <w:szCs w:val="21"/>
                <w:u w:val="single"/>
                <w14:textFill>
                  <w14:solidFill>
                    <w14:schemeClr w14:val="tx1"/>
                  </w14:solidFill>
                </w14:textFill>
              </w:rPr>
              <w:t>COD、BOD5、氨氮、SS、动植物油</w:t>
            </w:r>
          </w:p>
        </w:tc>
        <w:tc>
          <w:tcPr>
            <w:tcW w:w="1730" w:type="pct"/>
            <w:tcBorders>
              <w:tl2br w:val="nil"/>
              <w:tr2bl w:val="nil"/>
            </w:tcBorders>
            <w:noWrap w:val="0"/>
            <w:vAlign w:val="center"/>
          </w:tcPr>
          <w:p>
            <w:pPr>
              <w:adjustRightInd w:val="0"/>
              <w:snapToGrid w:val="0"/>
              <w:spacing w:line="360" w:lineRule="exact"/>
              <w:ind w:left="-120" w:leftChars="-50" w:right="-120" w:rightChars="-50"/>
              <w:jc w:val="center"/>
              <w:rPr>
                <w:rFonts w:hint="eastAsia" w:ascii="宋体" w:hAnsi="宋体" w:eastAsia="宋体" w:cs="宋体"/>
                <w:b w:val="0"/>
                <w:bCs/>
                <w:color w:val="000000" w:themeColor="text1"/>
                <w:sz w:val="21"/>
                <w:szCs w:val="21"/>
                <w:u w:val="single"/>
                <w14:textFill>
                  <w14:solidFill>
                    <w14:schemeClr w14:val="tx1"/>
                  </w14:solidFill>
                </w14:textFill>
              </w:rPr>
            </w:pPr>
            <w:r>
              <w:rPr>
                <w:rFonts w:hint="eastAsia" w:ascii="宋体" w:hAnsi="宋体" w:eastAsia="宋体" w:cs="宋体"/>
                <w:b w:val="0"/>
                <w:bCs/>
                <w:color w:val="000000" w:themeColor="text1"/>
                <w:sz w:val="21"/>
                <w:szCs w:val="21"/>
                <w:u w:val="single"/>
                <w14:textFill>
                  <w14:solidFill>
                    <w14:schemeClr w14:val="tx1"/>
                  </w14:solidFill>
                </w14:textFill>
              </w:rPr>
              <w:t>化粪池</w:t>
            </w:r>
          </w:p>
        </w:tc>
        <w:tc>
          <w:tcPr>
            <w:tcW w:w="712" w:type="pct"/>
            <w:tcBorders>
              <w:tl2br w:val="nil"/>
              <w:tr2bl w:val="nil"/>
            </w:tcBorders>
            <w:noWrap w:val="0"/>
            <w:vAlign w:val="center"/>
          </w:tcPr>
          <w:p>
            <w:pPr>
              <w:adjustRightInd w:val="0"/>
              <w:snapToGrid w:val="0"/>
              <w:spacing w:line="360" w:lineRule="exact"/>
              <w:ind w:left="-120" w:leftChars="-50" w:right="-120" w:rightChars="-50"/>
              <w:jc w:val="center"/>
              <w:rPr>
                <w:rFonts w:hint="eastAsia" w:ascii="宋体" w:hAnsi="宋体" w:eastAsia="宋体" w:cs="宋体"/>
                <w:b w:val="0"/>
                <w:bCs/>
                <w:color w:val="000000" w:themeColor="text1"/>
                <w:sz w:val="21"/>
                <w:szCs w:val="21"/>
                <w:u w:val="single"/>
                <w14:textFill>
                  <w14:solidFill>
                    <w14:schemeClr w14:val="tx1"/>
                  </w14:solidFill>
                </w14:textFill>
              </w:rPr>
            </w:pPr>
            <w:r>
              <w:rPr>
                <w:rFonts w:hint="eastAsia" w:ascii="宋体" w:hAnsi="宋体" w:eastAsia="宋体" w:cs="宋体"/>
                <w:b w:val="0"/>
                <w:bCs/>
                <w:color w:val="000000" w:themeColor="text1"/>
                <w:sz w:val="21"/>
                <w:szCs w:val="21"/>
                <w:u w:val="single"/>
                <w14:textFill>
                  <w14:solidFill>
                    <w14:schemeClr w14:val="tx1"/>
                  </w14:solidFill>
                </w14:textFill>
              </w:rPr>
              <w:t>是</w:t>
            </w:r>
          </w:p>
        </w:tc>
        <w:tc>
          <w:tcPr>
            <w:tcW w:w="565" w:type="pct"/>
            <w:tcBorders>
              <w:tl2br w:val="nil"/>
              <w:tr2bl w:val="nil"/>
            </w:tcBorders>
            <w:noWrap w:val="0"/>
            <w:vAlign w:val="center"/>
          </w:tcPr>
          <w:p>
            <w:pPr>
              <w:adjustRightInd w:val="0"/>
              <w:snapToGrid w:val="0"/>
              <w:spacing w:line="360" w:lineRule="exact"/>
              <w:ind w:left="-120" w:leftChars="-50" w:right="-120" w:rightChars="-50"/>
              <w:jc w:val="center"/>
              <w:rPr>
                <w:rFonts w:hint="eastAsia" w:ascii="宋体" w:hAnsi="宋体" w:eastAsia="宋体" w:cs="宋体"/>
                <w:b w:val="0"/>
                <w:bCs/>
                <w:color w:val="000000" w:themeColor="text1"/>
                <w:sz w:val="21"/>
                <w:szCs w:val="21"/>
                <w:u w:val="single"/>
                <w14:textFill>
                  <w14:solidFill>
                    <w14:schemeClr w14:val="tx1"/>
                  </w14:solidFill>
                </w14:textFill>
              </w:rPr>
            </w:pPr>
            <w:r>
              <w:rPr>
                <w:rFonts w:hint="eastAsia" w:ascii="宋体" w:hAnsi="宋体" w:eastAsia="宋体" w:cs="宋体"/>
                <w:b w:val="0"/>
                <w:bCs/>
                <w:color w:val="000000" w:themeColor="text1"/>
                <w:sz w:val="21"/>
                <w:szCs w:val="21"/>
                <w:u w:val="single"/>
                <w:lang w:val="en-US" w:eastAsia="zh-CN"/>
                <w14:textFill>
                  <w14:solidFill>
                    <w14:schemeClr w14:val="tx1"/>
                  </w14:solidFill>
                </w14:textFill>
              </w:rPr>
              <w:t>河西</w:t>
            </w:r>
            <w:r>
              <w:rPr>
                <w:rFonts w:hint="eastAsia" w:ascii="宋体" w:hAnsi="宋体" w:eastAsia="宋体" w:cs="宋体"/>
                <w:b w:val="0"/>
                <w:bCs/>
                <w:color w:val="000000" w:themeColor="text1"/>
                <w:sz w:val="21"/>
                <w:szCs w:val="21"/>
                <w:u w:val="single"/>
                <w14:textFill>
                  <w14:solidFill>
                    <w14:schemeClr w14:val="tx1"/>
                  </w14:solidFill>
                </w14:textFill>
              </w:rPr>
              <w:t>污水处理厂</w:t>
            </w:r>
          </w:p>
        </w:tc>
        <w:tc>
          <w:tcPr>
            <w:tcW w:w="465" w:type="pct"/>
            <w:tcBorders>
              <w:tl2br w:val="nil"/>
              <w:tr2bl w:val="nil"/>
            </w:tcBorders>
            <w:noWrap w:val="0"/>
            <w:vAlign w:val="center"/>
          </w:tcPr>
          <w:p>
            <w:pPr>
              <w:adjustRightInd w:val="0"/>
              <w:snapToGrid w:val="0"/>
              <w:spacing w:line="360" w:lineRule="exact"/>
              <w:ind w:left="-120" w:leftChars="-50" w:right="-120" w:rightChars="-50"/>
              <w:jc w:val="center"/>
              <w:rPr>
                <w:rFonts w:hint="eastAsia" w:ascii="宋体" w:hAnsi="宋体" w:eastAsia="宋体" w:cs="宋体"/>
                <w:b w:val="0"/>
                <w:bCs/>
                <w:color w:val="000000" w:themeColor="text1"/>
                <w:sz w:val="21"/>
                <w:szCs w:val="21"/>
                <w:u w:val="single"/>
                <w14:textFill>
                  <w14:solidFill>
                    <w14:schemeClr w14:val="tx1"/>
                  </w14:solidFill>
                </w14:textFill>
              </w:rPr>
            </w:pPr>
            <w:r>
              <w:rPr>
                <w:rFonts w:hint="eastAsia" w:ascii="宋体" w:hAnsi="宋体" w:eastAsia="宋体" w:cs="宋体"/>
                <w:b w:val="0"/>
                <w:bCs/>
                <w:color w:val="000000" w:themeColor="text1"/>
                <w:sz w:val="21"/>
                <w:szCs w:val="21"/>
                <w:u w:val="single"/>
                <w14:textFill>
                  <w14:solidFill>
                    <w14:schemeClr w14:val="tx1"/>
                  </w14:solidFill>
                </w14:textFill>
              </w:rPr>
              <w:t>一般排放口</w:t>
            </w:r>
          </w:p>
        </w:tc>
      </w:tr>
    </w:tbl>
    <w:p>
      <w:pPr>
        <w:pStyle w:val="8"/>
        <w:keepNext w:val="0"/>
        <w:keepLines w:val="0"/>
        <w:pageBreakBefore w:val="0"/>
        <w:widowControl/>
        <w:kinsoku/>
        <w:wordWrap/>
        <w:overflowPunct/>
        <w:topLinePunct w:val="0"/>
        <w:bidi w:val="0"/>
        <w:adjustRightInd/>
        <w:snapToGrid/>
        <w:spacing w:line="360" w:lineRule="auto"/>
        <w:ind w:firstLine="482"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bookmarkStart w:id="757" w:name="_Toc14935"/>
      <w:r>
        <w:rPr>
          <w:rFonts w:hint="eastAsia" w:ascii="宋体" w:hAnsi="宋体" w:eastAsia="宋体" w:cs="宋体"/>
          <w:color w:val="000000" w:themeColor="text1"/>
          <w:sz w:val="24"/>
          <w:szCs w:val="24"/>
          <w:highlight w:val="none"/>
          <w:lang w:val="en-US" w:eastAsia="zh-CN"/>
          <w14:textFill>
            <w14:solidFill>
              <w14:schemeClr w14:val="tx1"/>
            </w14:solidFill>
          </w14:textFill>
        </w:rPr>
        <w:t>9.2.2排放清单</w:t>
      </w:r>
      <w:bookmarkEnd w:id="757"/>
    </w:p>
    <w:p>
      <w:pPr>
        <w:pStyle w:val="25"/>
        <w:keepNext w:val="0"/>
        <w:keepLines w:val="0"/>
        <w:pageBreakBefore w:val="0"/>
        <w:widowControl/>
        <w:kinsoku/>
        <w:wordWrap/>
        <w:overflowPunct/>
        <w:topLinePunct w:val="0"/>
        <w:bidi w:val="0"/>
        <w:adjustRightInd/>
        <w:snapToGrid/>
        <w:spacing w:line="360" w:lineRule="auto"/>
        <w:ind w:leftChars="0"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本项目实施后全厂污染物排放清单具体见下表9.2.2-1。</w:t>
      </w:r>
    </w:p>
    <w:p>
      <w:pPr>
        <w:keepNext w:val="0"/>
        <w:keepLines w:val="0"/>
        <w:pageBreakBefore w:val="0"/>
        <w:widowControl/>
        <w:kinsoku/>
        <w:wordWrap/>
        <w:overflowPunct/>
        <w:topLinePunct w:val="0"/>
        <w:autoSpaceDE/>
        <w:autoSpaceDN/>
        <w:bidi w:val="0"/>
        <w:adjustRightInd/>
        <w:snapToGrid/>
        <w:spacing w:before="167" w:beforeLines="50" w:after="167" w:afterLines="50" w:line="360" w:lineRule="auto"/>
        <w:ind w:firstLine="0" w:firstLineChars="0"/>
        <w:jc w:val="center"/>
        <w:textAlignment w:val="auto"/>
        <w:rPr>
          <w:rFonts w:hint="eastAsia" w:ascii="宋体" w:hAnsi="宋体" w:eastAsia="宋体" w:cs="宋体"/>
          <w:b/>
          <w:bCs/>
          <w:color w:val="000000" w:themeColor="text1"/>
          <w:highlight w:val="none"/>
          <w:lang w:val="en-US" w:eastAsia="zh-CN"/>
          <w14:textFill>
            <w14:solidFill>
              <w14:schemeClr w14:val="tx1"/>
            </w14:solidFill>
          </w14:textFill>
        </w:rPr>
      </w:pPr>
      <w:r>
        <w:rPr>
          <w:rFonts w:hint="eastAsia" w:ascii="宋体" w:hAnsi="宋体" w:eastAsia="宋体" w:cs="宋体"/>
          <w:b/>
          <w:bCs/>
          <w:color w:val="000000" w:themeColor="text1"/>
          <w:highlight w:val="none"/>
          <w:lang w:val="en-US" w:eastAsia="zh-CN"/>
          <w14:textFill>
            <w14:solidFill>
              <w14:schemeClr w14:val="tx1"/>
            </w14:solidFill>
          </w14:textFill>
        </w:rPr>
        <w:t>表9.2.2-1项目实施后全厂污染物排放清单</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5"/>
        <w:gridCol w:w="1546"/>
        <w:gridCol w:w="1272"/>
        <w:gridCol w:w="1254"/>
        <w:gridCol w:w="1090"/>
        <w:gridCol w:w="1755"/>
        <w:gridCol w:w="19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0" w:type="pct"/>
            <w:vAlign w:val="center"/>
          </w:tcPr>
          <w:p>
            <w:pPr>
              <w:widowControl w:val="0"/>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类别</w:t>
            </w:r>
          </w:p>
        </w:tc>
        <w:tc>
          <w:tcPr>
            <w:tcW w:w="1429" w:type="pct"/>
            <w:gridSpan w:val="2"/>
            <w:vAlign w:val="center"/>
          </w:tcPr>
          <w:p>
            <w:pPr>
              <w:widowControl w:val="0"/>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污染物种类</w:t>
            </w:r>
          </w:p>
        </w:tc>
        <w:tc>
          <w:tcPr>
            <w:tcW w:w="636" w:type="pct"/>
            <w:vAlign w:val="center"/>
          </w:tcPr>
          <w:p>
            <w:pPr>
              <w:widowControl w:val="0"/>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处理措施</w:t>
            </w:r>
          </w:p>
        </w:tc>
        <w:tc>
          <w:tcPr>
            <w:tcW w:w="553" w:type="pct"/>
            <w:vAlign w:val="center"/>
          </w:tcPr>
          <w:p>
            <w:pPr>
              <w:widowControl w:val="0"/>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排放量（t/a）</w:t>
            </w:r>
          </w:p>
        </w:tc>
        <w:tc>
          <w:tcPr>
            <w:tcW w:w="890" w:type="pct"/>
            <w:vAlign w:val="center"/>
          </w:tcPr>
          <w:p>
            <w:pPr>
              <w:widowControl w:val="0"/>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排放速率（kg/h）</w:t>
            </w:r>
          </w:p>
        </w:tc>
        <w:tc>
          <w:tcPr>
            <w:tcW w:w="1000" w:type="pct"/>
            <w:vAlign w:val="center"/>
          </w:tcPr>
          <w:p>
            <w:pPr>
              <w:widowControl w:val="0"/>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0" w:type="pct"/>
            <w:vMerge w:val="restart"/>
            <w:vAlign w:val="center"/>
          </w:tcPr>
          <w:p>
            <w:pPr>
              <w:widowControl w:val="0"/>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废气</w:t>
            </w:r>
          </w:p>
        </w:tc>
        <w:tc>
          <w:tcPr>
            <w:tcW w:w="784" w:type="pct"/>
            <w:vAlign w:val="center"/>
          </w:tcPr>
          <w:p>
            <w:pPr>
              <w:widowControl w:val="0"/>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消泡</w:t>
            </w:r>
          </w:p>
        </w:tc>
        <w:tc>
          <w:tcPr>
            <w:tcW w:w="644" w:type="pct"/>
            <w:vAlign w:val="center"/>
          </w:tcPr>
          <w:p>
            <w:pPr>
              <w:widowControl w:val="0"/>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非甲烷总烃</w:t>
            </w:r>
          </w:p>
        </w:tc>
        <w:tc>
          <w:tcPr>
            <w:tcW w:w="636" w:type="pct"/>
            <w:vAlign w:val="center"/>
          </w:tcPr>
          <w:p>
            <w:pPr>
              <w:widowControl w:val="0"/>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三级喷淋+湿电系统</w:t>
            </w:r>
          </w:p>
        </w:tc>
        <w:tc>
          <w:tcPr>
            <w:tcW w:w="553" w:type="pct"/>
            <w:vAlign w:val="center"/>
          </w:tcPr>
          <w:p>
            <w:pPr>
              <w:widowControl w:val="0"/>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0.0049</w:t>
            </w:r>
          </w:p>
        </w:tc>
        <w:tc>
          <w:tcPr>
            <w:tcW w:w="890" w:type="pct"/>
            <w:vAlign w:val="center"/>
          </w:tcPr>
          <w:p>
            <w:pPr>
              <w:widowControl w:val="0"/>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0.00068</w:t>
            </w:r>
          </w:p>
        </w:tc>
        <w:tc>
          <w:tcPr>
            <w:tcW w:w="1000" w:type="pct"/>
            <w:vMerge w:val="restart"/>
            <w:vAlign w:val="center"/>
          </w:tcPr>
          <w:p>
            <w:pPr>
              <w:widowControl w:val="0"/>
              <w:snapToGrid w:val="0"/>
              <w:jc w:val="center"/>
              <w:rPr>
                <w:rFonts w:hint="eastAsia" w:ascii="宋体" w:hAnsi="宋体" w:eastAsia="宋体" w:cs="宋体"/>
                <w:color w:val="000000" w:themeColor="text1"/>
                <w:sz w:val="21"/>
                <w:szCs w:val="21"/>
                <w:highlight w:val="none"/>
                <w:lang w:val="en-US"/>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《合成树脂工业污染物排放标准》（GB31572-2015）表</w:t>
            </w:r>
            <w:r>
              <w:rPr>
                <w:rFonts w:hint="eastAsia" w:cs="宋体"/>
                <w:color w:val="000000" w:themeColor="text1"/>
                <w:sz w:val="21"/>
                <w:szCs w:val="21"/>
                <w:highlight w:val="none"/>
                <w:lang w:val="en-US" w:eastAsia="zh-CN"/>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pPr>
              <w:widowControl w:val="0"/>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784" w:type="pct"/>
            <w:vMerge w:val="restart"/>
            <w:vAlign w:val="center"/>
          </w:tcPr>
          <w:p>
            <w:pPr>
              <w:widowControl w:val="0"/>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流延</w:t>
            </w:r>
          </w:p>
        </w:tc>
        <w:tc>
          <w:tcPr>
            <w:tcW w:w="644" w:type="pct"/>
            <w:vAlign w:val="center"/>
          </w:tcPr>
          <w:p>
            <w:pPr>
              <w:widowControl w:val="0"/>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非甲烷总烃</w:t>
            </w:r>
          </w:p>
        </w:tc>
        <w:tc>
          <w:tcPr>
            <w:tcW w:w="636" w:type="pct"/>
            <w:vMerge w:val="restart"/>
            <w:vAlign w:val="center"/>
          </w:tcPr>
          <w:p>
            <w:pPr>
              <w:widowControl w:val="0"/>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四级冷凝+三级喷淋+湿电系统</w:t>
            </w:r>
          </w:p>
        </w:tc>
        <w:tc>
          <w:tcPr>
            <w:tcW w:w="553" w:type="pct"/>
            <w:vAlign w:val="center"/>
          </w:tcPr>
          <w:p>
            <w:pPr>
              <w:widowControl w:val="0"/>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0.1119</w:t>
            </w:r>
          </w:p>
        </w:tc>
        <w:tc>
          <w:tcPr>
            <w:tcW w:w="890" w:type="pct"/>
            <w:vAlign w:val="center"/>
          </w:tcPr>
          <w:p>
            <w:pPr>
              <w:widowControl w:val="0"/>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0.0155</w:t>
            </w:r>
          </w:p>
        </w:tc>
        <w:tc>
          <w:tcPr>
            <w:tcW w:w="1000" w:type="pct"/>
            <w:vMerge w:val="continue"/>
            <w:vAlign w:val="center"/>
          </w:tcPr>
          <w:p>
            <w:pPr>
              <w:widowControl w:val="0"/>
              <w:snapToGrid w:val="0"/>
              <w:jc w:val="center"/>
              <w:rPr>
                <w:rFonts w:hint="eastAsia" w:ascii="宋体" w:hAnsi="宋体" w:eastAsia="宋体" w:cs="宋体"/>
                <w:color w:val="000000" w:themeColor="text1"/>
                <w:sz w:val="21"/>
                <w:szCs w:val="21"/>
                <w:highlight w:val="none"/>
                <w:lang w:val="en-US"/>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pPr>
              <w:widowControl w:val="0"/>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784" w:type="pct"/>
            <w:vMerge w:val="continue"/>
            <w:vAlign w:val="center"/>
          </w:tcPr>
          <w:p>
            <w:pPr>
              <w:widowControl w:val="0"/>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644" w:type="pct"/>
            <w:vAlign w:val="center"/>
          </w:tcPr>
          <w:p>
            <w:pPr>
              <w:widowControl w:val="0"/>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氨</w:t>
            </w:r>
          </w:p>
        </w:tc>
        <w:tc>
          <w:tcPr>
            <w:tcW w:w="636" w:type="pct"/>
            <w:vMerge w:val="continue"/>
            <w:vAlign w:val="center"/>
          </w:tcPr>
          <w:p>
            <w:pPr>
              <w:widowControl w:val="0"/>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553" w:type="pct"/>
            <w:vAlign w:val="center"/>
          </w:tcPr>
          <w:p>
            <w:pPr>
              <w:widowControl w:val="0"/>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0.0388</w:t>
            </w:r>
          </w:p>
        </w:tc>
        <w:tc>
          <w:tcPr>
            <w:tcW w:w="890" w:type="pct"/>
            <w:vAlign w:val="center"/>
          </w:tcPr>
          <w:p>
            <w:pPr>
              <w:widowControl w:val="0"/>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0.0054</w:t>
            </w:r>
          </w:p>
        </w:tc>
        <w:tc>
          <w:tcPr>
            <w:tcW w:w="1000" w:type="pct"/>
            <w:vMerge w:val="continue"/>
            <w:vAlign w:val="center"/>
          </w:tcPr>
          <w:p>
            <w:pPr>
              <w:widowControl w:val="0"/>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pPr>
              <w:widowControl w:val="0"/>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784" w:type="pct"/>
            <w:vMerge w:val="restart"/>
            <w:vAlign w:val="center"/>
          </w:tcPr>
          <w:p>
            <w:pPr>
              <w:widowControl w:val="0"/>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亚胺化</w:t>
            </w:r>
          </w:p>
        </w:tc>
        <w:tc>
          <w:tcPr>
            <w:tcW w:w="644" w:type="pct"/>
            <w:vAlign w:val="center"/>
          </w:tcPr>
          <w:p>
            <w:pPr>
              <w:widowControl w:val="0"/>
              <w:snapToGrid w:val="0"/>
              <w:jc w:val="center"/>
              <w:rPr>
                <w:rFonts w:hint="eastAsia" w:ascii="宋体" w:hAnsi="宋体" w:eastAsia="宋体" w:cs="宋体"/>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非甲烷总烃</w:t>
            </w:r>
          </w:p>
        </w:tc>
        <w:tc>
          <w:tcPr>
            <w:tcW w:w="636" w:type="pct"/>
            <w:vMerge w:val="restart"/>
            <w:vAlign w:val="center"/>
          </w:tcPr>
          <w:p>
            <w:pPr>
              <w:widowControl w:val="0"/>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一级冷凝+二级喷淋+湿电系统</w:t>
            </w:r>
          </w:p>
        </w:tc>
        <w:tc>
          <w:tcPr>
            <w:tcW w:w="553" w:type="pct"/>
            <w:vAlign w:val="center"/>
          </w:tcPr>
          <w:p>
            <w:pPr>
              <w:widowControl w:val="0"/>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0.646</w:t>
            </w:r>
          </w:p>
        </w:tc>
        <w:tc>
          <w:tcPr>
            <w:tcW w:w="890" w:type="pct"/>
            <w:vAlign w:val="center"/>
          </w:tcPr>
          <w:p>
            <w:pPr>
              <w:widowControl w:val="0"/>
              <w:snapToGrid w:val="0"/>
              <w:jc w:val="center"/>
              <w:rPr>
                <w:rFonts w:hint="eastAsia" w:ascii="宋体" w:hAnsi="宋体" w:eastAsia="宋体" w:cs="宋体"/>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bidi="ar-SA"/>
                <w14:textFill>
                  <w14:solidFill>
                    <w14:schemeClr w14:val="tx1"/>
                  </w14:solidFill>
                </w14:textFill>
              </w:rPr>
              <w:t>0.08982</w:t>
            </w:r>
          </w:p>
        </w:tc>
        <w:tc>
          <w:tcPr>
            <w:tcW w:w="1000" w:type="pct"/>
            <w:vMerge w:val="continue"/>
            <w:vAlign w:val="center"/>
          </w:tcPr>
          <w:p>
            <w:pPr>
              <w:widowControl w:val="0"/>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pPr>
              <w:widowControl w:val="0"/>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784" w:type="pct"/>
            <w:vMerge w:val="continue"/>
            <w:vAlign w:val="center"/>
          </w:tcPr>
          <w:p>
            <w:pPr>
              <w:widowControl w:val="0"/>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644" w:type="pct"/>
            <w:vAlign w:val="center"/>
          </w:tcPr>
          <w:p>
            <w:pPr>
              <w:widowControl w:val="0"/>
              <w:snapToGrid w:val="0"/>
              <w:jc w:val="center"/>
              <w:rPr>
                <w:rFonts w:hint="eastAsia" w:ascii="宋体" w:hAnsi="宋体" w:eastAsia="宋体" w:cs="宋体"/>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氨</w:t>
            </w:r>
          </w:p>
        </w:tc>
        <w:tc>
          <w:tcPr>
            <w:tcW w:w="636" w:type="pct"/>
            <w:vMerge w:val="continue"/>
            <w:vAlign w:val="center"/>
          </w:tcPr>
          <w:p>
            <w:pPr>
              <w:widowControl w:val="0"/>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553" w:type="pct"/>
            <w:vAlign w:val="center"/>
          </w:tcPr>
          <w:p>
            <w:pPr>
              <w:widowControl w:val="0"/>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0.0072</w:t>
            </w:r>
          </w:p>
        </w:tc>
        <w:tc>
          <w:tcPr>
            <w:tcW w:w="890" w:type="pct"/>
            <w:vAlign w:val="center"/>
          </w:tcPr>
          <w:p>
            <w:pPr>
              <w:widowControl w:val="0"/>
              <w:snapToGrid w:val="0"/>
              <w:jc w:val="center"/>
              <w:rPr>
                <w:rFonts w:hint="eastAsia" w:ascii="宋体" w:hAnsi="宋体" w:eastAsia="宋体" w:cs="宋体"/>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bidi="ar-SA"/>
                <w14:textFill>
                  <w14:solidFill>
                    <w14:schemeClr w14:val="tx1"/>
                  </w14:solidFill>
                </w14:textFill>
              </w:rPr>
              <w:t>0.001</w:t>
            </w:r>
          </w:p>
        </w:tc>
        <w:tc>
          <w:tcPr>
            <w:tcW w:w="1000" w:type="pct"/>
            <w:vMerge w:val="continue"/>
            <w:vAlign w:val="center"/>
          </w:tcPr>
          <w:p>
            <w:pPr>
              <w:widowControl w:val="0"/>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pPr>
              <w:widowControl w:val="0"/>
              <w:snapToGrid w:val="0"/>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784" w:type="pct"/>
            <w:vAlign w:val="center"/>
          </w:tcPr>
          <w:p>
            <w:pPr>
              <w:widowControl w:val="0"/>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厂界</w:t>
            </w:r>
          </w:p>
        </w:tc>
        <w:tc>
          <w:tcPr>
            <w:tcW w:w="644" w:type="pct"/>
            <w:vAlign w:val="center"/>
          </w:tcPr>
          <w:p>
            <w:pPr>
              <w:widowControl w:val="0"/>
              <w:snapToGrid w:val="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非甲烷总烃</w:t>
            </w:r>
          </w:p>
        </w:tc>
        <w:tc>
          <w:tcPr>
            <w:tcW w:w="636" w:type="pct"/>
            <w:vAlign w:val="center"/>
          </w:tcPr>
          <w:p>
            <w:pPr>
              <w:widowControl w:val="0"/>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储罐区密闭，生产区封闭</w:t>
            </w:r>
          </w:p>
        </w:tc>
        <w:tc>
          <w:tcPr>
            <w:tcW w:w="553" w:type="pct"/>
            <w:vAlign w:val="center"/>
          </w:tcPr>
          <w:p>
            <w:pPr>
              <w:widowControl w:val="0"/>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0.06</w:t>
            </w:r>
          </w:p>
        </w:tc>
        <w:tc>
          <w:tcPr>
            <w:tcW w:w="890" w:type="pct"/>
            <w:vAlign w:val="center"/>
          </w:tcPr>
          <w:p>
            <w:pPr>
              <w:widowControl w:val="0"/>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0.0083</w:t>
            </w:r>
          </w:p>
        </w:tc>
        <w:tc>
          <w:tcPr>
            <w:tcW w:w="1000" w:type="pct"/>
            <w:vAlign w:val="center"/>
          </w:tcPr>
          <w:p>
            <w:pPr>
              <w:widowControl w:val="0"/>
              <w:snapToGrid w:val="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《挥发性有机物无组织排放控制标准》（GB37822-2019）中表A.1特别排放限值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0" w:type="pct"/>
            <w:vMerge w:val="restart"/>
            <w:vAlign w:val="center"/>
          </w:tcPr>
          <w:p>
            <w:pPr>
              <w:widowControl w:val="0"/>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废水</w:t>
            </w:r>
          </w:p>
        </w:tc>
        <w:tc>
          <w:tcPr>
            <w:tcW w:w="1429" w:type="pct"/>
            <w:gridSpan w:val="2"/>
            <w:vAlign w:val="center"/>
          </w:tcPr>
          <w:p>
            <w:pPr>
              <w:widowControl w:val="0"/>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污水量</w:t>
            </w:r>
          </w:p>
        </w:tc>
        <w:tc>
          <w:tcPr>
            <w:tcW w:w="636" w:type="pct"/>
            <w:vMerge w:val="restart"/>
            <w:vAlign w:val="center"/>
          </w:tcPr>
          <w:p>
            <w:pPr>
              <w:widowControl w:val="0"/>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化粪池</w:t>
            </w:r>
          </w:p>
        </w:tc>
        <w:tc>
          <w:tcPr>
            <w:tcW w:w="553" w:type="pct"/>
            <w:vAlign w:val="center"/>
          </w:tcPr>
          <w:p>
            <w:pPr>
              <w:widowControl w:val="0"/>
              <w:snapToGrid w:val="0"/>
              <w:jc w:val="center"/>
              <w:rPr>
                <w:rFonts w:hint="eastAsia" w:ascii="宋体" w:hAnsi="宋体" w:eastAsia="宋体" w:cs="宋体"/>
                <w:color w:val="000000" w:themeColor="text1"/>
                <w:sz w:val="21"/>
                <w:szCs w:val="21"/>
                <w:highlight w:val="none"/>
                <w:lang w:val="en-US"/>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72</w:t>
            </w:r>
          </w:p>
        </w:tc>
        <w:tc>
          <w:tcPr>
            <w:tcW w:w="890" w:type="pct"/>
            <w:vAlign w:val="center"/>
          </w:tcPr>
          <w:p>
            <w:pPr>
              <w:widowControl w:val="0"/>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w:t>
            </w:r>
          </w:p>
        </w:tc>
        <w:tc>
          <w:tcPr>
            <w:tcW w:w="1000" w:type="pct"/>
            <w:vMerge w:val="restart"/>
            <w:vAlign w:val="center"/>
          </w:tcPr>
          <w:p>
            <w:pPr>
              <w:widowControl w:val="0"/>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《污水综合排放标准》（GB8978-1996）中的三级排放标准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pPr>
              <w:widowControl w:val="0"/>
              <w:snapToGrid w:val="0"/>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429" w:type="pct"/>
            <w:gridSpan w:val="2"/>
            <w:vAlign w:val="center"/>
          </w:tcPr>
          <w:p>
            <w:pPr>
              <w:widowControl w:val="0"/>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COD</w:t>
            </w:r>
          </w:p>
        </w:tc>
        <w:tc>
          <w:tcPr>
            <w:tcW w:w="636" w:type="pct"/>
            <w:vMerge w:val="continue"/>
            <w:vAlign w:val="center"/>
          </w:tcPr>
          <w:p>
            <w:pPr>
              <w:widowControl w:val="0"/>
              <w:snapToGrid w:val="0"/>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553" w:type="pct"/>
            <w:vAlign w:val="center"/>
          </w:tcPr>
          <w:p>
            <w:pPr>
              <w:widowControl w:val="0"/>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0.0173</w:t>
            </w:r>
          </w:p>
        </w:tc>
        <w:tc>
          <w:tcPr>
            <w:tcW w:w="890" w:type="pct"/>
            <w:vAlign w:val="center"/>
          </w:tcPr>
          <w:p>
            <w:pPr>
              <w:widowControl w:val="0"/>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w:t>
            </w:r>
          </w:p>
        </w:tc>
        <w:tc>
          <w:tcPr>
            <w:tcW w:w="1000" w:type="pct"/>
            <w:vMerge w:val="continue"/>
            <w:vAlign w:val="center"/>
          </w:tcPr>
          <w:p>
            <w:pPr>
              <w:widowControl w:val="0"/>
              <w:snapToGrid w:val="0"/>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pPr>
              <w:widowControl w:val="0"/>
              <w:snapToGrid w:val="0"/>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429" w:type="pct"/>
            <w:gridSpan w:val="2"/>
            <w:vAlign w:val="center"/>
          </w:tcPr>
          <w:p>
            <w:pPr>
              <w:widowControl w:val="0"/>
              <w:snapToGrid w:val="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NH</w:t>
            </w:r>
            <w:r>
              <w:rPr>
                <w:rFonts w:hint="eastAsia" w:ascii="宋体" w:hAnsi="宋体" w:eastAsia="宋体" w:cs="宋体"/>
                <w:color w:val="000000" w:themeColor="text1"/>
                <w:sz w:val="21"/>
                <w:szCs w:val="21"/>
                <w:highlight w:val="none"/>
                <w:vertAlign w:val="subscript"/>
                <w:lang w:val="en-US" w:eastAsia="zh-CN"/>
                <w14:textFill>
                  <w14:solidFill>
                    <w14:schemeClr w14:val="tx1"/>
                  </w14:solidFill>
                </w14:textFill>
              </w:rPr>
              <w:t>3</w:t>
            </w:r>
            <w:r>
              <w:rPr>
                <w:rFonts w:hint="eastAsia" w:ascii="宋体" w:hAnsi="宋体" w:eastAsia="宋体" w:cs="宋体"/>
                <w:color w:val="000000" w:themeColor="text1"/>
                <w:sz w:val="21"/>
                <w:szCs w:val="21"/>
                <w:highlight w:val="none"/>
                <w:lang w:val="en-US" w:eastAsia="zh-CN"/>
                <w14:textFill>
                  <w14:solidFill>
                    <w14:schemeClr w14:val="tx1"/>
                  </w14:solidFill>
                </w14:textFill>
              </w:rPr>
              <w:t>-N</w:t>
            </w:r>
          </w:p>
        </w:tc>
        <w:tc>
          <w:tcPr>
            <w:tcW w:w="636" w:type="pct"/>
            <w:vMerge w:val="continue"/>
            <w:vAlign w:val="center"/>
          </w:tcPr>
          <w:p>
            <w:pPr>
              <w:widowControl w:val="0"/>
              <w:snapToGrid w:val="0"/>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553" w:type="pct"/>
            <w:vAlign w:val="center"/>
          </w:tcPr>
          <w:p>
            <w:pPr>
              <w:widowControl w:val="0"/>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0.0018</w:t>
            </w:r>
          </w:p>
        </w:tc>
        <w:tc>
          <w:tcPr>
            <w:tcW w:w="890" w:type="pct"/>
            <w:vAlign w:val="center"/>
          </w:tcPr>
          <w:p>
            <w:pPr>
              <w:widowControl w:val="0"/>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w:t>
            </w:r>
          </w:p>
        </w:tc>
        <w:tc>
          <w:tcPr>
            <w:tcW w:w="1000" w:type="pct"/>
            <w:vMerge w:val="continue"/>
            <w:vAlign w:val="center"/>
          </w:tcPr>
          <w:p>
            <w:pPr>
              <w:widowControl w:val="0"/>
              <w:snapToGrid w:val="0"/>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0" w:type="pct"/>
            <w:vAlign w:val="center"/>
          </w:tcPr>
          <w:p>
            <w:pPr>
              <w:widowControl w:val="0"/>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噪声</w:t>
            </w:r>
          </w:p>
        </w:tc>
        <w:tc>
          <w:tcPr>
            <w:tcW w:w="1429" w:type="pct"/>
            <w:gridSpan w:val="2"/>
            <w:vAlign w:val="center"/>
          </w:tcPr>
          <w:p>
            <w:pPr>
              <w:widowControl w:val="0"/>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风机、配料罐等设备</w:t>
            </w:r>
          </w:p>
        </w:tc>
        <w:tc>
          <w:tcPr>
            <w:tcW w:w="636" w:type="pct"/>
            <w:vAlign w:val="center"/>
          </w:tcPr>
          <w:p>
            <w:pPr>
              <w:widowControl w:val="0"/>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基础减震、设隔音罩、消声等措施</w:t>
            </w:r>
          </w:p>
        </w:tc>
        <w:tc>
          <w:tcPr>
            <w:tcW w:w="553" w:type="pct"/>
            <w:vAlign w:val="center"/>
          </w:tcPr>
          <w:p>
            <w:pPr>
              <w:widowControl w:val="0"/>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w:t>
            </w:r>
          </w:p>
        </w:tc>
        <w:tc>
          <w:tcPr>
            <w:tcW w:w="890" w:type="pct"/>
            <w:vAlign w:val="center"/>
          </w:tcPr>
          <w:p>
            <w:pPr>
              <w:widowControl w:val="0"/>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w:t>
            </w:r>
          </w:p>
        </w:tc>
        <w:tc>
          <w:tcPr>
            <w:tcW w:w="1000" w:type="pct"/>
            <w:vAlign w:val="center"/>
          </w:tcPr>
          <w:p>
            <w:pPr>
              <w:widowControl w:val="0"/>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满足《工业企业厂界噪声排放标准》（GB12348-2008）3类标准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0" w:type="pct"/>
            <w:vMerge w:val="restart"/>
            <w:vAlign w:val="center"/>
          </w:tcPr>
          <w:p>
            <w:pPr>
              <w:widowControl w:val="0"/>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固体废物</w:t>
            </w:r>
          </w:p>
        </w:tc>
        <w:tc>
          <w:tcPr>
            <w:tcW w:w="784" w:type="pct"/>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废内包装材料</w:t>
            </w:r>
          </w:p>
        </w:tc>
        <w:tc>
          <w:tcPr>
            <w:tcW w:w="644" w:type="pct"/>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900-041-49</w:t>
            </w:r>
          </w:p>
        </w:tc>
        <w:tc>
          <w:tcPr>
            <w:tcW w:w="636" w:type="pct"/>
            <w:vMerge w:val="restart"/>
            <w:vAlign w:val="center"/>
          </w:tcPr>
          <w:p>
            <w:pPr>
              <w:widowControl w:val="0"/>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80m²危废暂存间</w:t>
            </w:r>
          </w:p>
        </w:tc>
        <w:tc>
          <w:tcPr>
            <w:tcW w:w="553" w:type="pct"/>
            <w:vAlign w:val="center"/>
          </w:tcPr>
          <w:p>
            <w:pPr>
              <w:widowControl w:val="0"/>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0.5</w:t>
            </w:r>
          </w:p>
        </w:tc>
        <w:tc>
          <w:tcPr>
            <w:tcW w:w="890" w:type="pct"/>
            <w:vMerge w:val="restart"/>
            <w:vAlign w:val="center"/>
          </w:tcPr>
          <w:p>
            <w:pPr>
              <w:widowControl w:val="0"/>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委托资质单位处置</w:t>
            </w:r>
          </w:p>
        </w:tc>
        <w:tc>
          <w:tcPr>
            <w:tcW w:w="1000" w:type="pct"/>
            <w:vMerge w:val="restart"/>
            <w:vAlign w:val="center"/>
          </w:tcPr>
          <w:p>
            <w:pPr>
              <w:widowControl w:val="0"/>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固废均得到综合利用或环保处理，不排放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pPr>
              <w:widowControl w:val="0"/>
              <w:snapToGrid w:val="0"/>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784" w:type="pct"/>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废润滑油</w:t>
            </w:r>
          </w:p>
        </w:tc>
        <w:tc>
          <w:tcPr>
            <w:tcW w:w="644" w:type="pct"/>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900-214-08</w:t>
            </w:r>
          </w:p>
        </w:tc>
        <w:tc>
          <w:tcPr>
            <w:tcW w:w="636" w:type="pct"/>
            <w:vMerge w:val="continue"/>
            <w:vAlign w:val="center"/>
          </w:tcPr>
          <w:p>
            <w:pPr>
              <w:widowControl w:val="0"/>
              <w:snapToGrid w:val="0"/>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553" w:type="pct"/>
            <w:vAlign w:val="center"/>
          </w:tcPr>
          <w:p>
            <w:pPr>
              <w:widowControl w:val="0"/>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0.02</w:t>
            </w:r>
          </w:p>
        </w:tc>
        <w:tc>
          <w:tcPr>
            <w:tcW w:w="890" w:type="pct"/>
            <w:vMerge w:val="continue"/>
            <w:vAlign w:val="center"/>
          </w:tcPr>
          <w:p>
            <w:pPr>
              <w:widowControl w:val="0"/>
              <w:snapToGrid w:val="0"/>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000" w:type="pct"/>
            <w:vMerge w:val="continue"/>
            <w:vAlign w:val="center"/>
          </w:tcPr>
          <w:p>
            <w:pPr>
              <w:widowControl w:val="0"/>
              <w:snapToGrid w:val="0"/>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pPr>
              <w:widowControl w:val="0"/>
              <w:snapToGrid w:val="0"/>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784" w:type="pct"/>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含油废抹布手套</w:t>
            </w:r>
          </w:p>
        </w:tc>
        <w:tc>
          <w:tcPr>
            <w:tcW w:w="644" w:type="pct"/>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900-041-49</w:t>
            </w:r>
          </w:p>
        </w:tc>
        <w:tc>
          <w:tcPr>
            <w:tcW w:w="636" w:type="pct"/>
            <w:vMerge w:val="continue"/>
            <w:vAlign w:val="center"/>
          </w:tcPr>
          <w:p>
            <w:pPr>
              <w:widowControl w:val="0"/>
              <w:snapToGrid w:val="0"/>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553" w:type="pct"/>
            <w:vAlign w:val="center"/>
          </w:tcPr>
          <w:p>
            <w:pPr>
              <w:widowControl w:val="0"/>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0.07</w:t>
            </w:r>
          </w:p>
        </w:tc>
        <w:tc>
          <w:tcPr>
            <w:tcW w:w="890" w:type="pct"/>
            <w:vMerge w:val="continue"/>
            <w:vAlign w:val="center"/>
          </w:tcPr>
          <w:p>
            <w:pPr>
              <w:widowControl w:val="0"/>
              <w:snapToGrid w:val="0"/>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000" w:type="pct"/>
            <w:vMerge w:val="continue"/>
            <w:vAlign w:val="center"/>
          </w:tcPr>
          <w:p>
            <w:pPr>
              <w:widowControl w:val="0"/>
              <w:snapToGrid w:val="0"/>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pPr>
              <w:widowControl w:val="0"/>
              <w:snapToGrid w:val="0"/>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784" w:type="pct"/>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各类残渣</w:t>
            </w:r>
          </w:p>
        </w:tc>
        <w:tc>
          <w:tcPr>
            <w:tcW w:w="644" w:type="pct"/>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265-103-13</w:t>
            </w:r>
          </w:p>
        </w:tc>
        <w:tc>
          <w:tcPr>
            <w:tcW w:w="636" w:type="pct"/>
            <w:vMerge w:val="continue"/>
            <w:vAlign w:val="center"/>
          </w:tcPr>
          <w:p>
            <w:pPr>
              <w:widowControl w:val="0"/>
              <w:snapToGrid w:val="0"/>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553" w:type="pct"/>
            <w:vAlign w:val="center"/>
          </w:tcPr>
          <w:p>
            <w:pPr>
              <w:widowControl w:val="0"/>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5.254</w:t>
            </w:r>
          </w:p>
        </w:tc>
        <w:tc>
          <w:tcPr>
            <w:tcW w:w="890" w:type="pct"/>
            <w:vMerge w:val="continue"/>
            <w:vAlign w:val="center"/>
          </w:tcPr>
          <w:p>
            <w:pPr>
              <w:widowControl w:val="0"/>
              <w:snapToGrid w:val="0"/>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000" w:type="pct"/>
            <w:vMerge w:val="continue"/>
            <w:vAlign w:val="center"/>
          </w:tcPr>
          <w:p>
            <w:pPr>
              <w:widowControl w:val="0"/>
              <w:snapToGrid w:val="0"/>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pPr>
              <w:widowControl w:val="0"/>
              <w:snapToGrid w:val="0"/>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784" w:type="pct"/>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不合格品</w:t>
            </w:r>
          </w:p>
        </w:tc>
        <w:tc>
          <w:tcPr>
            <w:tcW w:w="644" w:type="pct"/>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292-001-06</w:t>
            </w:r>
          </w:p>
        </w:tc>
        <w:tc>
          <w:tcPr>
            <w:tcW w:w="636" w:type="pct"/>
            <w:vMerge w:val="restart"/>
            <w:vAlign w:val="center"/>
          </w:tcPr>
          <w:p>
            <w:pPr>
              <w:widowControl w:val="0"/>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一般固废间</w:t>
            </w:r>
          </w:p>
        </w:tc>
        <w:tc>
          <w:tcPr>
            <w:tcW w:w="553" w:type="pct"/>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8.222</w:t>
            </w:r>
          </w:p>
        </w:tc>
        <w:tc>
          <w:tcPr>
            <w:tcW w:w="890" w:type="pct"/>
            <w:vMerge w:val="restart"/>
            <w:vAlign w:val="center"/>
          </w:tcPr>
          <w:p>
            <w:pPr>
              <w:widowControl w:val="0"/>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物资公司回收</w:t>
            </w:r>
          </w:p>
        </w:tc>
        <w:tc>
          <w:tcPr>
            <w:tcW w:w="1000" w:type="pct"/>
            <w:vMerge w:val="continue"/>
            <w:vAlign w:val="center"/>
          </w:tcPr>
          <w:p>
            <w:pPr>
              <w:widowControl w:val="0"/>
              <w:snapToGrid w:val="0"/>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pPr>
              <w:widowControl w:val="0"/>
              <w:snapToGrid w:val="0"/>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784" w:type="pct"/>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废边角料</w:t>
            </w:r>
          </w:p>
        </w:tc>
        <w:tc>
          <w:tcPr>
            <w:tcW w:w="644" w:type="pct"/>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292-001-06</w:t>
            </w:r>
          </w:p>
        </w:tc>
        <w:tc>
          <w:tcPr>
            <w:tcW w:w="636" w:type="pct"/>
            <w:vMerge w:val="continue"/>
            <w:vAlign w:val="center"/>
          </w:tcPr>
          <w:p>
            <w:pPr>
              <w:widowControl w:val="0"/>
              <w:snapToGrid w:val="0"/>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553" w:type="pct"/>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9.866</w:t>
            </w:r>
          </w:p>
        </w:tc>
        <w:tc>
          <w:tcPr>
            <w:tcW w:w="890" w:type="pct"/>
            <w:vMerge w:val="continue"/>
            <w:vAlign w:val="center"/>
          </w:tcPr>
          <w:p>
            <w:pPr>
              <w:widowControl w:val="0"/>
              <w:snapToGrid w:val="0"/>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000" w:type="pct"/>
            <w:vMerge w:val="continue"/>
            <w:vAlign w:val="center"/>
          </w:tcPr>
          <w:p>
            <w:pPr>
              <w:widowControl w:val="0"/>
              <w:snapToGrid w:val="0"/>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pPr>
              <w:widowControl w:val="0"/>
              <w:snapToGrid w:val="0"/>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784" w:type="pct"/>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废外包装材料</w:t>
            </w:r>
          </w:p>
        </w:tc>
        <w:tc>
          <w:tcPr>
            <w:tcW w:w="644" w:type="pct"/>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292-999-49</w:t>
            </w:r>
          </w:p>
        </w:tc>
        <w:tc>
          <w:tcPr>
            <w:tcW w:w="636" w:type="pct"/>
            <w:vMerge w:val="continue"/>
            <w:vAlign w:val="center"/>
          </w:tcPr>
          <w:p>
            <w:pPr>
              <w:widowControl w:val="0"/>
              <w:snapToGrid w:val="0"/>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553" w:type="pct"/>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w:t>
            </w:r>
          </w:p>
        </w:tc>
        <w:tc>
          <w:tcPr>
            <w:tcW w:w="890" w:type="pct"/>
            <w:vMerge w:val="continue"/>
            <w:vAlign w:val="center"/>
          </w:tcPr>
          <w:p>
            <w:pPr>
              <w:widowControl w:val="0"/>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000" w:type="pct"/>
            <w:vMerge w:val="continue"/>
            <w:vAlign w:val="center"/>
          </w:tcPr>
          <w:p>
            <w:pPr>
              <w:widowControl w:val="0"/>
              <w:snapToGrid w:val="0"/>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pPr>
              <w:widowControl w:val="0"/>
              <w:snapToGrid w:val="0"/>
              <w:jc w:val="center"/>
              <w:rPr>
                <w:rFonts w:hint="eastAsia" w:ascii="宋体" w:hAnsi="宋体" w:eastAsia="宋体" w:cs="宋体"/>
                <w:color w:val="000000" w:themeColor="text1"/>
                <w:sz w:val="21"/>
                <w:szCs w:val="21"/>
                <w:highlight w:val="none"/>
                <w14:textFill>
                  <w14:solidFill>
                    <w14:schemeClr w14:val="tx1"/>
                  </w14:solidFill>
                </w14:textFill>
              </w:rPr>
            </w:pPr>
            <w:bookmarkStart w:id="758" w:name="_Toc12627"/>
            <w:bookmarkStart w:id="759" w:name="_Toc32402"/>
            <w:bookmarkStart w:id="760" w:name="_Toc481758483"/>
            <w:bookmarkStart w:id="761" w:name="_Toc26459"/>
            <w:bookmarkStart w:id="762" w:name="_Toc26152"/>
            <w:bookmarkStart w:id="763" w:name="_Hlk495581591"/>
            <w:bookmarkStart w:id="764" w:name="_Toc410855347"/>
          </w:p>
        </w:tc>
        <w:tc>
          <w:tcPr>
            <w:tcW w:w="784" w:type="pct"/>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DMAC副产品</w:t>
            </w:r>
          </w:p>
        </w:tc>
        <w:tc>
          <w:tcPr>
            <w:tcW w:w="644" w:type="pct"/>
            <w:vAlign w:val="center"/>
          </w:tcPr>
          <w:p>
            <w:pPr>
              <w:widowControl w:val="0"/>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292-999-49</w:t>
            </w:r>
          </w:p>
        </w:tc>
        <w:tc>
          <w:tcPr>
            <w:tcW w:w="636" w:type="pct"/>
            <w:vAlign w:val="center"/>
          </w:tcPr>
          <w:p>
            <w:pPr>
              <w:widowControl w:val="0"/>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副产品储罐</w:t>
            </w:r>
          </w:p>
        </w:tc>
        <w:tc>
          <w:tcPr>
            <w:tcW w:w="553" w:type="pct"/>
            <w:vAlign w:val="center"/>
          </w:tcPr>
          <w:p>
            <w:pPr>
              <w:widowControl w:val="0"/>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662.218</w:t>
            </w:r>
          </w:p>
        </w:tc>
        <w:tc>
          <w:tcPr>
            <w:tcW w:w="890" w:type="pct"/>
            <w:vAlign w:val="center"/>
          </w:tcPr>
          <w:p>
            <w:pPr>
              <w:widowControl w:val="0"/>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70%定期外售和30%回用于精馏生产</w:t>
            </w:r>
          </w:p>
        </w:tc>
        <w:tc>
          <w:tcPr>
            <w:tcW w:w="1000" w:type="pct"/>
            <w:vMerge w:val="continue"/>
            <w:vAlign w:val="center"/>
          </w:tcPr>
          <w:p>
            <w:pPr>
              <w:widowControl w:val="0"/>
              <w:snapToGrid w:val="0"/>
              <w:jc w:val="center"/>
              <w:rPr>
                <w:rFonts w:hint="eastAsia" w:ascii="宋体" w:hAnsi="宋体" w:eastAsia="宋体" w:cs="宋体"/>
                <w:color w:val="000000" w:themeColor="text1"/>
                <w:sz w:val="21"/>
                <w:szCs w:val="21"/>
                <w:highlight w:val="none"/>
                <w14:textFill>
                  <w14:solidFill>
                    <w14:schemeClr w14:val="tx1"/>
                  </w14:solidFill>
                </w14:textFill>
              </w:rPr>
            </w:pPr>
          </w:p>
        </w:tc>
      </w:tr>
    </w:tbl>
    <w:p>
      <w:pPr>
        <w:pStyle w:val="8"/>
        <w:keepNext w:val="0"/>
        <w:keepLines w:val="0"/>
        <w:pageBreakBefore w:val="0"/>
        <w:widowControl/>
        <w:kinsoku/>
        <w:wordWrap/>
        <w:overflowPunct/>
        <w:topLinePunct w:val="0"/>
        <w:bidi w:val="0"/>
        <w:adjustRightInd/>
        <w:snapToGrid/>
        <w:spacing w:line="360" w:lineRule="auto"/>
        <w:ind w:firstLine="482"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bookmarkStart w:id="765" w:name="_Toc2212"/>
      <w:r>
        <w:rPr>
          <w:rFonts w:hint="eastAsia" w:ascii="宋体" w:hAnsi="宋体" w:eastAsia="宋体" w:cs="宋体"/>
          <w:color w:val="000000" w:themeColor="text1"/>
          <w:sz w:val="24"/>
          <w:szCs w:val="24"/>
          <w:highlight w:val="none"/>
          <w:lang w:val="en-US" w:eastAsia="zh-CN"/>
          <w14:textFill>
            <w14:solidFill>
              <w14:schemeClr w14:val="tx1"/>
            </w14:solidFill>
          </w14:textFill>
        </w:rPr>
        <w:t>9.2.3污染物排放的管理要求</w:t>
      </w:r>
      <w:bookmarkEnd w:id="765"/>
    </w:p>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（1）严格执行排放污染物许可证制度，按照国家和地方政府要求做好排放污染物申报登记工作，及时申领、换发排放污染物许可证。</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（2）规范设置排污口，废气、废水污染物浓度应符合国家和行业污染物排放标准，噪声达标排放。严禁超标排放污染物，坚决杜绝由于管理不善造成的污染事故。</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（3）严格进行总量控制，确保污染物排放总量控制在总量指标范围内。</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（4）应按时足额缴纳排污费。</w:t>
      </w:r>
    </w:p>
    <w:p>
      <w:pPr>
        <w:pStyle w:val="8"/>
        <w:keepNext w:val="0"/>
        <w:keepLines w:val="0"/>
        <w:pageBreakBefore w:val="0"/>
        <w:widowControl/>
        <w:kinsoku/>
        <w:wordWrap/>
        <w:overflowPunct/>
        <w:topLinePunct w:val="0"/>
        <w:bidi w:val="0"/>
        <w:adjustRightInd/>
        <w:snapToGrid/>
        <w:spacing w:line="360" w:lineRule="auto"/>
        <w:ind w:firstLine="482"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bookmarkStart w:id="766" w:name="_Toc1482"/>
      <w:r>
        <w:rPr>
          <w:rFonts w:hint="eastAsia" w:ascii="宋体" w:hAnsi="宋体" w:eastAsia="宋体" w:cs="宋体"/>
          <w:color w:val="000000" w:themeColor="text1"/>
          <w:sz w:val="24"/>
          <w:szCs w:val="24"/>
          <w:highlight w:val="none"/>
          <w:lang w:val="en-US" w:eastAsia="zh-CN"/>
          <w14:textFill>
            <w14:solidFill>
              <w14:schemeClr w14:val="tx1"/>
            </w14:solidFill>
          </w14:textFill>
        </w:rPr>
        <w:t>9.2.4信息公开</w:t>
      </w:r>
      <w:bookmarkEnd w:id="766"/>
    </w:p>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根据《企业事业单位环境信息公开办法》（环境保护部令第31号），建设单位需向社会公开以下信息：</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（1）基础信息，包括单位名称、组织机构代码、法定代表人、生产地址、联系方式，以及生产经营和管理服务的主要内容、产品及规模。</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 排污信息，包括主要污染物及特征污染物的名称、排放方式、排放口数量和分布情况、排放浓度和总量、超标情况，以及执行的污染物排放标准、核定的排放总量。</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（3）防治污染设施的建设和运行情况。</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（4） 建设项目环境影响评价及其他环境保护行政许可情况。</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（5）突发环境事件应急预案。</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（6）其他应当公开的环境信息。</w:t>
      </w:r>
    </w:p>
    <w:p>
      <w:pPr>
        <w:pStyle w:val="8"/>
        <w:keepNext w:val="0"/>
        <w:keepLines w:val="0"/>
        <w:pageBreakBefore w:val="0"/>
        <w:widowControl/>
        <w:kinsoku/>
        <w:wordWrap/>
        <w:overflowPunct/>
        <w:topLinePunct w:val="0"/>
        <w:bidi w:val="0"/>
        <w:adjustRightInd/>
        <w:snapToGrid/>
        <w:spacing w:line="360" w:lineRule="auto"/>
        <w:ind w:firstLine="482"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bookmarkStart w:id="767" w:name="_Toc24998"/>
      <w:r>
        <w:rPr>
          <w:rFonts w:hint="eastAsia" w:ascii="宋体" w:hAnsi="宋体" w:eastAsia="宋体" w:cs="宋体"/>
          <w:color w:val="000000" w:themeColor="text1"/>
          <w:sz w:val="24"/>
          <w:szCs w:val="24"/>
          <w:highlight w:val="none"/>
          <w:lang w:val="en-US" w:eastAsia="zh-CN"/>
          <w14:textFill>
            <w14:solidFill>
              <w14:schemeClr w14:val="tx1"/>
            </w14:solidFill>
          </w14:textFill>
        </w:rPr>
        <w:t>9.2.5排污许可申报</w:t>
      </w:r>
      <w:bookmarkEnd w:id="767"/>
    </w:p>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pP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根据《国务院办公厅关于印发控制污染物排放许可制实施方案的通知》 国发办[2016]81 号文和《固定污染源排污许可证分类管理名录（2019 年版）》。本项目建成后，企业必须在发生实际排污行为之前申领排污许可证，并将环境影响评价文件及批复中与污染物排放相关的主要内容应纳入排污许可证。</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pP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根据《固定污染源排污许可证分类管理名录（2019年版）》，本项目属于“三十四、计算机、通信和其他电子设备制造业89中的电子元件及电子专用材料制造398”，属于简化管理。本项目企业应在实际排污前完成排污许可证的申领。</w:t>
      </w:r>
    </w:p>
    <w:p>
      <w:pPr>
        <w:pStyle w:val="7"/>
        <w:keepNext w:val="0"/>
        <w:keepLines w:val="0"/>
        <w:pageBreakBefore w:val="0"/>
        <w:kinsoku/>
        <w:wordWrap/>
        <w:overflowPunct/>
        <w:topLinePunct w:val="0"/>
        <w:bidi w:val="0"/>
        <w:adjustRightInd/>
        <w:snapToGrid/>
        <w:spacing w:line="360" w:lineRule="auto"/>
        <w:ind w:firstLine="482" w:firstLineChars="20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bookmarkStart w:id="768" w:name="_Toc29150"/>
      <w:r>
        <w:rPr>
          <w:rFonts w:hint="eastAsia" w:ascii="宋体" w:hAnsi="宋体" w:eastAsia="宋体" w:cs="宋体"/>
          <w:color w:val="000000" w:themeColor="text1"/>
          <w:sz w:val="24"/>
          <w:szCs w:val="24"/>
          <w:highlight w:val="none"/>
          <w:lang w:eastAsia="zh-CN"/>
          <w14:textFill>
            <w14:solidFill>
              <w14:schemeClr w14:val="tx1"/>
            </w14:solidFill>
          </w14:textFill>
        </w:rPr>
        <w:t>9.3总量控制</w:t>
      </w:r>
      <w:bookmarkEnd w:id="758"/>
      <w:bookmarkEnd w:id="759"/>
      <w:bookmarkEnd w:id="760"/>
      <w:bookmarkEnd w:id="761"/>
      <w:bookmarkEnd w:id="762"/>
      <w:bookmarkEnd w:id="768"/>
    </w:p>
    <w:bookmarkEnd w:id="763"/>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bookmarkStart w:id="769" w:name="_Toc474779684"/>
      <w:bookmarkStart w:id="770" w:name="_Toc474779565"/>
      <w:r>
        <w:rPr>
          <w:rFonts w:hint="eastAsia" w:ascii="宋体" w:hAnsi="宋体" w:eastAsia="宋体" w:cs="宋体"/>
          <w:color w:val="000000" w:themeColor="text1"/>
          <w:sz w:val="24"/>
          <w:szCs w:val="24"/>
          <w:highlight w:val="none"/>
          <w:lang w:val="en-US" w:eastAsia="zh-CN"/>
          <w14:textFill>
            <w14:solidFill>
              <w14:schemeClr w14:val="tx1"/>
            </w14:solidFill>
          </w14:textFill>
        </w:rPr>
        <w:t>①废气：项目排放总量控制指标为：VOCs（以非甲烷总烃计）：0.8</w:t>
      </w:r>
      <w:r>
        <w:rPr>
          <w:rFonts w:hint="eastAsia" w:cs="宋体"/>
          <w:color w:val="000000" w:themeColor="text1"/>
          <w:sz w:val="24"/>
          <w:szCs w:val="24"/>
          <w:highlight w:val="none"/>
          <w:lang w:val="en-US" w:eastAsia="zh-CN"/>
          <w14:textFill>
            <w14:solidFill>
              <w14:schemeClr w14:val="tx1"/>
            </w14:solidFill>
          </w14:textFill>
        </w:rPr>
        <w:t>3</w:t>
      </w:r>
      <w:r>
        <w:rPr>
          <w:rFonts w:hint="eastAsia" w:ascii="宋体" w:hAnsi="宋体" w:eastAsia="宋体" w:cs="宋体"/>
          <w:color w:val="000000" w:themeColor="text1"/>
          <w:sz w:val="24"/>
          <w:szCs w:val="24"/>
          <w:highlight w:val="none"/>
          <w:lang w:val="en-US" w:eastAsia="zh-CN"/>
          <w14:textFill>
            <w14:solidFill>
              <w14:schemeClr w14:val="tx1"/>
            </w14:solidFill>
          </w14:textFill>
        </w:rPr>
        <w:t>t/a（有组织0.7628t/a，无组织0.06t/a）。</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②废水：项目废水排入河西污水处理厂，经河西污水处理厂处理后排放总量控制指标为：COD：0.0</w:t>
      </w:r>
      <w:r>
        <w:rPr>
          <w:rFonts w:hint="eastAsia" w:cs="宋体"/>
          <w:color w:val="000000" w:themeColor="text1"/>
          <w:sz w:val="24"/>
          <w:szCs w:val="24"/>
          <w:highlight w:val="none"/>
          <w:lang w:val="en-US" w:eastAsia="zh-CN"/>
          <w14:textFill>
            <w14:solidFill>
              <w14:schemeClr w14:val="tx1"/>
            </w14:solidFill>
          </w14:textFill>
        </w:rPr>
        <w:t>2</w:t>
      </w:r>
      <w:r>
        <w:rPr>
          <w:rFonts w:hint="eastAsia" w:ascii="宋体" w:hAnsi="宋体" w:eastAsia="宋体" w:cs="宋体"/>
          <w:color w:val="000000" w:themeColor="text1"/>
          <w:sz w:val="24"/>
          <w:szCs w:val="24"/>
          <w:highlight w:val="none"/>
          <w:lang w:val="en-US" w:eastAsia="zh-CN"/>
          <w14:textFill>
            <w14:solidFill>
              <w14:schemeClr w14:val="tx1"/>
            </w14:solidFill>
          </w14:textFill>
        </w:rPr>
        <w:t>t/a，NH3-N：0.0</w:t>
      </w:r>
      <w:r>
        <w:rPr>
          <w:rFonts w:hint="eastAsia" w:cs="宋体"/>
          <w:color w:val="000000" w:themeColor="text1"/>
          <w:sz w:val="24"/>
          <w:szCs w:val="24"/>
          <w:highlight w:val="none"/>
          <w:lang w:val="en-US" w:eastAsia="zh-CN"/>
          <w14:textFill>
            <w14:solidFill>
              <w14:schemeClr w14:val="tx1"/>
            </w14:solidFill>
          </w14:textFill>
        </w:rPr>
        <w:t>1</w:t>
      </w:r>
      <w:r>
        <w:rPr>
          <w:rFonts w:hint="eastAsia" w:ascii="宋体" w:hAnsi="宋体" w:eastAsia="宋体" w:cs="宋体"/>
          <w:color w:val="000000" w:themeColor="text1"/>
          <w:sz w:val="24"/>
          <w:szCs w:val="24"/>
          <w:highlight w:val="none"/>
          <w:lang w:val="en-US" w:eastAsia="zh-CN"/>
          <w14:textFill>
            <w14:solidFill>
              <w14:schemeClr w14:val="tx1"/>
            </w14:solidFill>
          </w14:textFill>
        </w:rPr>
        <w:t>t/a。</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COD和氨氮纳入河西东污水处理厂总量控制。</w:t>
      </w:r>
    </w:p>
    <w:bookmarkEnd w:id="769"/>
    <w:bookmarkEnd w:id="770"/>
    <w:p>
      <w:pPr>
        <w:pStyle w:val="7"/>
        <w:keepNext w:val="0"/>
        <w:keepLines w:val="0"/>
        <w:pageBreakBefore w:val="0"/>
        <w:kinsoku/>
        <w:wordWrap/>
        <w:overflowPunct/>
        <w:topLinePunct w:val="0"/>
        <w:bidi w:val="0"/>
        <w:adjustRightInd/>
        <w:snapToGrid/>
        <w:spacing w:line="360" w:lineRule="auto"/>
        <w:ind w:firstLine="482" w:firstLineChars="20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bookmarkStart w:id="771" w:name="_Toc279096830"/>
      <w:bookmarkStart w:id="772" w:name="_Toc13255"/>
      <w:bookmarkStart w:id="773" w:name="_Toc427782069"/>
      <w:bookmarkStart w:id="774" w:name="_Toc15550"/>
      <w:bookmarkStart w:id="775" w:name="_Toc635"/>
      <w:bookmarkStart w:id="776" w:name="_Toc15207"/>
      <w:bookmarkStart w:id="777" w:name="_Toc482289120"/>
      <w:bookmarkStart w:id="778" w:name="_Toc3186"/>
      <w:bookmarkStart w:id="779" w:name="_Toc470032394"/>
      <w:bookmarkStart w:id="780" w:name="_Toc2011_WPSOffice_Level2"/>
      <w:bookmarkStart w:id="781" w:name="_Toc11800"/>
      <w:bookmarkStart w:id="782" w:name="_Toc9121"/>
      <w:bookmarkStart w:id="783" w:name="_Toc20134_WPSOffice_Level2"/>
      <w:bookmarkStart w:id="784" w:name="_Toc385493115"/>
      <w:bookmarkStart w:id="785" w:name="_Toc5841_WPSOffice_Level2"/>
      <w:r>
        <w:rPr>
          <w:rFonts w:hint="eastAsia" w:ascii="宋体" w:hAnsi="宋体" w:eastAsia="宋体" w:cs="宋体"/>
          <w:color w:val="000000" w:themeColor="text1"/>
          <w:sz w:val="24"/>
          <w:szCs w:val="24"/>
          <w:highlight w:val="none"/>
          <w:lang w:eastAsia="zh-CN"/>
          <w14:textFill>
            <w14:solidFill>
              <w14:schemeClr w14:val="tx1"/>
            </w14:solidFill>
          </w14:textFill>
        </w:rPr>
        <w:t>9.</w:t>
      </w:r>
      <w:r>
        <w:rPr>
          <w:rFonts w:hint="eastAsia" w:ascii="宋体" w:hAnsi="宋体" w:eastAsia="宋体" w:cs="宋体"/>
          <w:color w:val="000000" w:themeColor="text1"/>
          <w:sz w:val="24"/>
          <w:szCs w:val="24"/>
          <w:highlight w:val="none"/>
          <w:lang w:val="en-US" w:eastAsia="zh-CN"/>
          <w14:textFill>
            <w14:solidFill>
              <w14:schemeClr w14:val="tx1"/>
            </w14:solidFill>
          </w14:textFill>
        </w:rPr>
        <w:t>4</w:t>
      </w:r>
      <w:r>
        <w:rPr>
          <w:rFonts w:hint="eastAsia" w:ascii="宋体" w:hAnsi="宋体" w:eastAsia="宋体" w:cs="宋体"/>
          <w:color w:val="000000" w:themeColor="text1"/>
          <w:sz w:val="24"/>
          <w:szCs w:val="24"/>
          <w:highlight w:val="none"/>
          <w:lang w:eastAsia="zh-CN"/>
          <w14:textFill>
            <w14:solidFill>
              <w14:schemeClr w14:val="tx1"/>
            </w14:solidFill>
          </w14:textFill>
        </w:rPr>
        <w:t>监测</w:t>
      </w:r>
      <w:bookmarkEnd w:id="771"/>
      <w:r>
        <w:rPr>
          <w:rFonts w:hint="eastAsia" w:ascii="宋体" w:hAnsi="宋体" w:eastAsia="宋体" w:cs="宋体"/>
          <w:color w:val="000000" w:themeColor="text1"/>
          <w:sz w:val="24"/>
          <w:szCs w:val="24"/>
          <w:highlight w:val="none"/>
          <w:lang w:eastAsia="zh-CN"/>
          <w14:textFill>
            <w14:solidFill>
              <w14:schemeClr w14:val="tx1"/>
            </w14:solidFill>
          </w14:textFill>
        </w:rPr>
        <w:t>计划</w:t>
      </w:r>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p>
    <w:p>
      <w:pPr>
        <w:keepNext w:val="0"/>
        <w:keepLines w:val="0"/>
        <w:pageBreakBefore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本项目属于</w:t>
      </w:r>
      <w:r>
        <w:rPr>
          <w:rFonts w:hint="eastAsia" w:ascii="宋体" w:hAnsi="宋体" w:eastAsia="宋体" w:cs="宋体"/>
          <w:color w:val="000000" w:themeColor="text1"/>
          <w:sz w:val="24"/>
          <w:szCs w:val="24"/>
          <w14:textFill>
            <w14:solidFill>
              <w14:schemeClr w14:val="tx1"/>
            </w14:solidFill>
          </w14:textFill>
        </w:rPr>
        <w:t>C3985电子专用材料制造</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属于简化管理行业</w:t>
      </w:r>
      <w:r>
        <w:rPr>
          <w:rFonts w:hint="eastAsia" w:ascii="宋体" w:hAnsi="宋体" w:eastAsia="宋体" w:cs="宋体"/>
          <w:color w:val="000000" w:themeColor="text1"/>
          <w:sz w:val="24"/>
          <w:szCs w:val="24"/>
          <w:highlight w:val="none"/>
          <w14:textFill>
            <w14:solidFill>
              <w14:schemeClr w14:val="tx1"/>
            </w14:solidFill>
          </w14:textFill>
        </w:rPr>
        <w:t>。本项目在生产过程中会有“三废”产生和排放，还可能有无组织排放和事故排放，使环境遭受到危害，影响生产的正常进行，危害职工的健康。因此建立环保机构专门负责对环境进行监测，及时发现环境污染问题，以便及时加以解决和控制是十分必要的。</w:t>
      </w:r>
    </w:p>
    <w:bookmarkEnd w:id="764"/>
    <w:p>
      <w:pPr>
        <w:keepNext w:val="0"/>
        <w:keepLines w:val="0"/>
        <w:pageBreakBefore w:val="0"/>
        <w:widowControl/>
        <w:kinsoku/>
        <w:wordWrap/>
        <w:overflowPunct/>
        <w:topLinePunct w:val="0"/>
        <w:autoSpaceDE/>
        <w:autoSpaceDN/>
        <w:bidi w:val="0"/>
        <w:adjustRightInd/>
        <w:snapToGrid/>
        <w:spacing w:before="167" w:beforeLines="50" w:after="167" w:afterLines="50" w:line="360" w:lineRule="auto"/>
        <w:ind w:firstLine="0" w:firstLineChars="0"/>
        <w:jc w:val="center"/>
        <w:textAlignment w:val="auto"/>
        <w:rPr>
          <w:rFonts w:hint="eastAsia" w:ascii="宋体" w:hAnsi="宋体" w:eastAsia="宋体" w:cs="宋体"/>
          <w:b/>
          <w:bCs/>
          <w:color w:val="000000" w:themeColor="text1"/>
          <w:highlight w:val="none"/>
          <w:lang w:val="en-US" w:eastAsia="zh-CN"/>
          <w14:textFill>
            <w14:solidFill>
              <w14:schemeClr w14:val="tx1"/>
            </w14:solidFill>
          </w14:textFill>
        </w:rPr>
      </w:pPr>
      <w:r>
        <w:rPr>
          <w:rFonts w:hint="eastAsia" w:ascii="宋体" w:hAnsi="宋体" w:eastAsia="宋体" w:cs="宋体"/>
          <w:b/>
          <w:bCs/>
          <w:color w:val="000000" w:themeColor="text1"/>
          <w:highlight w:val="none"/>
          <w:lang w:val="en-US" w:eastAsia="zh-CN"/>
          <w14:textFill>
            <w14:solidFill>
              <w14:schemeClr w14:val="tx1"/>
            </w14:solidFill>
          </w14:textFill>
        </w:rPr>
        <w:t>表9.3-3污染源监测计划一览表</w:t>
      </w:r>
    </w:p>
    <w:tbl>
      <w:tblPr>
        <w:tblStyle w:val="30"/>
        <w:tblW w:w="491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7"/>
        <w:gridCol w:w="1853"/>
        <w:gridCol w:w="5005"/>
        <w:gridCol w:w="14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726" w:type="pct"/>
            <w:noWrap w:val="0"/>
            <w:vAlign w:val="center"/>
          </w:tcPr>
          <w:p>
            <w:pPr>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类别</w:t>
            </w:r>
          </w:p>
        </w:tc>
        <w:tc>
          <w:tcPr>
            <w:tcW w:w="956" w:type="pct"/>
            <w:noWrap w:val="0"/>
            <w:vAlign w:val="center"/>
          </w:tcPr>
          <w:p>
            <w:pPr>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监测点位</w:t>
            </w:r>
          </w:p>
        </w:tc>
        <w:tc>
          <w:tcPr>
            <w:tcW w:w="2582" w:type="pct"/>
            <w:noWrap w:val="0"/>
            <w:vAlign w:val="center"/>
          </w:tcPr>
          <w:p>
            <w:pPr>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监测项目</w:t>
            </w:r>
          </w:p>
        </w:tc>
        <w:tc>
          <w:tcPr>
            <w:tcW w:w="735" w:type="pct"/>
            <w:noWrap w:val="0"/>
            <w:vAlign w:val="center"/>
          </w:tcPr>
          <w:p>
            <w:pPr>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26" w:type="pct"/>
            <w:vMerge w:val="restart"/>
            <w:noWrap w:val="0"/>
            <w:vAlign w:val="center"/>
          </w:tcPr>
          <w:p>
            <w:pPr>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废气</w:t>
            </w:r>
          </w:p>
          <w:p>
            <w:pPr>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956" w:type="pct"/>
            <w:noWrap w:val="0"/>
            <w:vAlign w:val="center"/>
          </w:tcPr>
          <w:p>
            <w:pPr>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DA001、DA002</w:t>
            </w:r>
          </w:p>
        </w:tc>
        <w:tc>
          <w:tcPr>
            <w:tcW w:w="2582" w:type="pct"/>
            <w:noWrap w:val="0"/>
            <w:vAlign w:val="center"/>
          </w:tcPr>
          <w:p>
            <w:pPr>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非甲烷总烃、氨</w:t>
            </w:r>
          </w:p>
        </w:tc>
        <w:tc>
          <w:tcPr>
            <w:tcW w:w="735" w:type="pct"/>
            <w:noWrap w:val="0"/>
            <w:vAlign w:val="center"/>
          </w:tcPr>
          <w:p>
            <w:pPr>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每年1次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26" w:type="pct"/>
            <w:vMerge w:val="continue"/>
            <w:noWrap w:val="0"/>
            <w:vAlign w:val="center"/>
          </w:tcPr>
          <w:p>
            <w:pPr>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956" w:type="pct"/>
            <w:noWrap w:val="0"/>
            <w:vAlign w:val="center"/>
          </w:tcPr>
          <w:p>
            <w:pPr>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上风向厂界布1个点，下风向呈扇形布2个点</w:t>
            </w:r>
          </w:p>
        </w:tc>
        <w:tc>
          <w:tcPr>
            <w:tcW w:w="2582" w:type="pct"/>
            <w:noWrap w:val="0"/>
            <w:vAlign w:val="center"/>
          </w:tcPr>
          <w:p>
            <w:pPr>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非甲烷总烃</w:t>
            </w:r>
          </w:p>
        </w:tc>
        <w:tc>
          <w:tcPr>
            <w:tcW w:w="735" w:type="pct"/>
            <w:noWrap w:val="0"/>
            <w:vAlign w:val="center"/>
          </w:tcPr>
          <w:p>
            <w:pPr>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每年1次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726" w:type="pct"/>
            <w:noWrap w:val="0"/>
            <w:vAlign w:val="center"/>
          </w:tcPr>
          <w:p>
            <w:pPr>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废水</w:t>
            </w:r>
          </w:p>
        </w:tc>
        <w:tc>
          <w:tcPr>
            <w:tcW w:w="956" w:type="pct"/>
            <w:noWrap w:val="0"/>
            <w:vAlign w:val="center"/>
          </w:tcPr>
          <w:p>
            <w:pPr>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厂区总排污口</w:t>
            </w:r>
          </w:p>
        </w:tc>
        <w:tc>
          <w:tcPr>
            <w:tcW w:w="2582" w:type="pct"/>
            <w:noWrap w:val="0"/>
            <w:vAlign w:val="center"/>
          </w:tcPr>
          <w:p>
            <w:pPr>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pH、COD、BOD5、SS、氨氮</w:t>
            </w:r>
          </w:p>
        </w:tc>
        <w:tc>
          <w:tcPr>
            <w:tcW w:w="735" w:type="pct"/>
            <w:noWrap w:val="0"/>
            <w:vAlign w:val="center"/>
          </w:tcPr>
          <w:p>
            <w:pPr>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每年1次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26" w:type="pct"/>
            <w:noWrap w:val="0"/>
            <w:vAlign w:val="center"/>
          </w:tcPr>
          <w:p>
            <w:pPr>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噪声</w:t>
            </w:r>
          </w:p>
        </w:tc>
        <w:tc>
          <w:tcPr>
            <w:tcW w:w="956" w:type="pct"/>
            <w:noWrap w:val="0"/>
            <w:vAlign w:val="center"/>
          </w:tcPr>
          <w:p>
            <w:pPr>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厂界四周</w:t>
            </w:r>
          </w:p>
        </w:tc>
        <w:tc>
          <w:tcPr>
            <w:tcW w:w="2582" w:type="pct"/>
            <w:noWrap w:val="0"/>
            <w:vAlign w:val="center"/>
          </w:tcPr>
          <w:p>
            <w:pPr>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等效A声级Leq(A)</w:t>
            </w:r>
          </w:p>
        </w:tc>
        <w:tc>
          <w:tcPr>
            <w:tcW w:w="735" w:type="pct"/>
            <w:noWrap w:val="0"/>
            <w:vAlign w:val="center"/>
          </w:tcPr>
          <w:p>
            <w:pPr>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每半年1次，每次1天（昼夜各一次）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26" w:type="pct"/>
            <w:noWrap w:val="0"/>
            <w:vAlign w:val="center"/>
          </w:tcPr>
          <w:p>
            <w:pPr>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bookmarkStart w:id="786" w:name="_Toc419479919"/>
            <w:bookmarkStart w:id="787" w:name="_Toc20436"/>
            <w:bookmarkStart w:id="788" w:name="_Toc188363832"/>
            <w:bookmarkStart w:id="789" w:name="_Toc147207405"/>
            <w:bookmarkStart w:id="790" w:name="_Toc367132363"/>
            <w:bookmarkStart w:id="791" w:name="_Toc233192394"/>
            <w:bookmarkStart w:id="792" w:name="_Toc120005971"/>
            <w:bookmarkStart w:id="793" w:name="_Toc231787573"/>
            <w:bookmarkStart w:id="794" w:name="_Toc490644483"/>
            <w:bookmarkStart w:id="795" w:name="_Toc518752297"/>
            <w:bookmarkStart w:id="796" w:name="_Toc176004479"/>
            <w:bookmarkStart w:id="797" w:name="_Toc461198607"/>
            <w:bookmarkStart w:id="798" w:name="_Toc143791213"/>
            <w:bookmarkStart w:id="799" w:name="_Toc10469"/>
            <w:bookmarkStart w:id="800" w:name="_Toc7000049"/>
            <w:bookmarkStart w:id="801" w:name="_Toc185975259"/>
            <w:bookmarkStart w:id="802" w:name="_Toc433539791"/>
            <w:bookmarkStart w:id="803" w:name="_Toc502070880"/>
            <w:bookmarkStart w:id="804" w:name="_Toc5372"/>
            <w:bookmarkStart w:id="805" w:name="_Toc15559699"/>
            <w:bookmarkStart w:id="806" w:name="_Toc22912"/>
            <w:bookmarkStart w:id="807" w:name="_Toc21672"/>
            <w:r>
              <w:rPr>
                <w:rFonts w:hint="eastAsia" w:ascii="宋体" w:hAnsi="宋体" w:eastAsia="宋体" w:cs="宋体"/>
                <w:color w:val="000000" w:themeColor="text1"/>
                <w:sz w:val="21"/>
                <w:szCs w:val="21"/>
                <w:highlight w:val="none"/>
                <w:lang w:val="en-US" w:eastAsia="zh-CN"/>
                <w14:textFill>
                  <w14:solidFill>
                    <w14:schemeClr w14:val="tx1"/>
                  </w14:solidFill>
                </w14:textFill>
              </w:rPr>
              <w:t>固废</w:t>
            </w:r>
          </w:p>
        </w:tc>
        <w:tc>
          <w:tcPr>
            <w:tcW w:w="4273" w:type="pct"/>
            <w:gridSpan w:val="3"/>
            <w:noWrap w:val="0"/>
            <w:vAlign w:val="center"/>
          </w:tcPr>
          <w:p>
            <w:pPr>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按日记录一般工业固体废物的产生量、综合利用量、处置量和贮存量等信息；按日记录危险废物的产生量、综合利用量、处置量、贮存量及其具体去向。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26" w:type="pct"/>
            <w:noWrap w:val="0"/>
            <w:vAlign w:val="center"/>
          </w:tcPr>
          <w:p>
            <w:pPr>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土壤</w:t>
            </w:r>
          </w:p>
        </w:tc>
        <w:tc>
          <w:tcPr>
            <w:tcW w:w="956" w:type="pct"/>
            <w:noWrap w:val="0"/>
            <w:vAlign w:val="center"/>
          </w:tcPr>
          <w:p>
            <w:pPr>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装置区外</w:t>
            </w:r>
          </w:p>
        </w:tc>
        <w:tc>
          <w:tcPr>
            <w:tcW w:w="2582" w:type="pct"/>
            <w:noWrap w:val="0"/>
            <w:vAlign w:val="center"/>
          </w:tcPr>
          <w:p>
            <w:pPr>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石油烃</w:t>
            </w:r>
          </w:p>
        </w:tc>
        <w:tc>
          <w:tcPr>
            <w:tcW w:w="735" w:type="pct"/>
            <w:noWrap w:val="0"/>
            <w:vAlign w:val="center"/>
          </w:tcPr>
          <w:p>
            <w:pPr>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每1年检测一次</w:t>
            </w:r>
          </w:p>
        </w:tc>
      </w:tr>
    </w:tbl>
    <w:p>
      <w:pPr>
        <w:pStyle w:val="7"/>
        <w:keepNext w:val="0"/>
        <w:keepLines w:val="0"/>
        <w:pageBreakBefore w:val="0"/>
        <w:widowControl/>
        <w:kinsoku/>
        <w:wordWrap/>
        <w:overflowPunct/>
        <w:topLinePunct w:val="0"/>
        <w:bidi w:val="0"/>
        <w:adjustRightInd/>
        <w:snapToGrid/>
        <w:spacing w:line="360" w:lineRule="auto"/>
        <w:ind w:firstLine="482" w:firstLineChars="20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bookmarkStart w:id="808" w:name="_Toc29875"/>
      <w:r>
        <w:rPr>
          <w:rFonts w:hint="eastAsia" w:ascii="宋体" w:hAnsi="宋体" w:eastAsia="宋体" w:cs="宋体"/>
          <w:color w:val="000000" w:themeColor="text1"/>
          <w:sz w:val="24"/>
          <w:szCs w:val="24"/>
          <w:highlight w:val="none"/>
          <w:lang w:eastAsia="zh-CN"/>
          <w14:textFill>
            <w14:solidFill>
              <w14:schemeClr w14:val="tx1"/>
            </w14:solidFill>
          </w14:textFill>
        </w:rPr>
        <w:t>9.</w:t>
      </w:r>
      <w:r>
        <w:rPr>
          <w:rFonts w:hint="eastAsia" w:ascii="宋体" w:hAnsi="宋体" w:eastAsia="宋体" w:cs="宋体"/>
          <w:color w:val="000000" w:themeColor="text1"/>
          <w:sz w:val="24"/>
          <w:szCs w:val="24"/>
          <w:highlight w:val="none"/>
          <w:lang w:val="en-US" w:eastAsia="zh-CN"/>
          <w14:textFill>
            <w14:solidFill>
              <w14:schemeClr w14:val="tx1"/>
            </w14:solidFill>
          </w14:textFill>
        </w:rPr>
        <w:t>5</w:t>
      </w:r>
      <w:r>
        <w:rPr>
          <w:rFonts w:hint="eastAsia" w:ascii="宋体" w:hAnsi="宋体" w:eastAsia="宋体" w:cs="宋体"/>
          <w:color w:val="000000" w:themeColor="text1"/>
          <w:sz w:val="24"/>
          <w:szCs w:val="24"/>
          <w:highlight w:val="none"/>
          <w:lang w:eastAsia="zh-CN"/>
          <w14:textFill>
            <w14:solidFill>
              <w14:schemeClr w14:val="tx1"/>
            </w14:solidFill>
          </w14:textFill>
        </w:rPr>
        <w:t>排污口规范化</w:t>
      </w:r>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p>
    <w:p>
      <w:pPr>
        <w:pStyle w:val="8"/>
        <w:keepNext w:val="0"/>
        <w:keepLines w:val="0"/>
        <w:pageBreakBefore w:val="0"/>
        <w:widowControl/>
        <w:kinsoku/>
        <w:wordWrap/>
        <w:overflowPunct/>
        <w:topLinePunct w:val="0"/>
        <w:bidi w:val="0"/>
        <w:adjustRightInd/>
        <w:snapToGrid/>
        <w:spacing w:line="360" w:lineRule="auto"/>
        <w:ind w:firstLine="482" w:firstLineChars="200"/>
        <w:textAlignment w:val="auto"/>
        <w:rPr>
          <w:rFonts w:hint="eastAsia" w:ascii="宋体" w:hAnsi="宋体" w:eastAsia="宋体" w:cs="宋体"/>
          <w:b w:val="0"/>
          <w:color w:val="000000" w:themeColor="text1"/>
          <w:sz w:val="24"/>
          <w:szCs w:val="24"/>
          <w:highlight w:val="none"/>
          <w:lang w:eastAsia="zh-CN"/>
          <w14:textFill>
            <w14:solidFill>
              <w14:schemeClr w14:val="tx1"/>
            </w14:solidFill>
          </w14:textFill>
        </w:rPr>
      </w:pPr>
      <w:bookmarkStart w:id="809" w:name="_Toc6315"/>
      <w:bookmarkStart w:id="810" w:name="_Toc490644484"/>
      <w:bookmarkStart w:id="811" w:name="_Toc453772992"/>
      <w:bookmarkStart w:id="812" w:name="_Toc8582"/>
      <w:bookmarkStart w:id="813" w:name="_Toc518752298"/>
      <w:bookmarkStart w:id="814" w:name="_Toc536433542"/>
      <w:bookmarkStart w:id="815" w:name="_Toc12687"/>
      <w:bookmarkStart w:id="816" w:name="_Toc6498178"/>
      <w:bookmarkStart w:id="817" w:name="_Toc12622141"/>
      <w:bookmarkStart w:id="818" w:name="_Toc15559700"/>
      <w:bookmarkStart w:id="819" w:name="_Toc491546780"/>
      <w:bookmarkStart w:id="820" w:name="_Toc20745"/>
      <w:bookmarkStart w:id="821" w:name="_Toc515367274"/>
      <w:bookmarkStart w:id="822" w:name="_Toc510599219"/>
      <w:bookmarkStart w:id="823" w:name="_Toc9941761"/>
      <w:bookmarkStart w:id="824" w:name="_Toc490040754"/>
      <w:bookmarkStart w:id="825" w:name="_Toc6655171"/>
      <w:bookmarkStart w:id="826" w:name="_Toc2247977"/>
      <w:bookmarkStart w:id="827" w:name="_Toc9861189"/>
      <w:bookmarkStart w:id="828" w:name="_Toc8894989"/>
      <w:bookmarkStart w:id="829" w:name="_Toc7000050"/>
      <w:bookmarkStart w:id="830" w:name="_Toc499306691"/>
      <w:bookmarkStart w:id="831" w:name="_Toc21999"/>
      <w:bookmarkStart w:id="832" w:name="_Toc502070881"/>
      <w:bookmarkStart w:id="833" w:name="_Toc490037792"/>
      <w:r>
        <w:rPr>
          <w:rFonts w:hint="eastAsia" w:ascii="宋体" w:hAnsi="宋体" w:eastAsia="宋体" w:cs="宋体"/>
          <w:color w:val="000000" w:themeColor="text1"/>
          <w:sz w:val="24"/>
          <w:szCs w:val="24"/>
          <w:highlight w:val="none"/>
          <w:lang w:eastAsia="zh-CN"/>
          <w14:textFill>
            <w14:solidFill>
              <w14:schemeClr w14:val="tx1"/>
            </w14:solidFill>
          </w14:textFill>
        </w:rPr>
        <w:t>9.</w:t>
      </w:r>
      <w:r>
        <w:rPr>
          <w:rFonts w:hint="eastAsia" w:ascii="宋体" w:hAnsi="宋体" w:eastAsia="宋体" w:cs="宋体"/>
          <w:color w:val="000000" w:themeColor="text1"/>
          <w:sz w:val="24"/>
          <w:szCs w:val="24"/>
          <w:highlight w:val="none"/>
          <w:lang w:val="en-US" w:eastAsia="zh-CN"/>
          <w14:textFill>
            <w14:solidFill>
              <w14:schemeClr w14:val="tx1"/>
            </w14:solidFill>
          </w14:textFill>
        </w:rPr>
        <w:t>5</w:t>
      </w:r>
      <w:r>
        <w:rPr>
          <w:rFonts w:hint="eastAsia" w:ascii="宋体" w:hAnsi="宋体" w:eastAsia="宋体" w:cs="宋体"/>
          <w:color w:val="000000" w:themeColor="text1"/>
          <w:sz w:val="24"/>
          <w:szCs w:val="24"/>
          <w:highlight w:val="none"/>
          <w:lang w:eastAsia="zh-CN"/>
          <w14:textFill>
            <w14:solidFill>
              <w14:schemeClr w14:val="tx1"/>
            </w14:solidFill>
          </w14:textFill>
        </w:rPr>
        <w:t>.1废气排放口</w:t>
      </w:r>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p>
    <w:p>
      <w:pPr>
        <w:keepNext w:val="0"/>
        <w:keepLines w:val="0"/>
        <w:pageBreakBefore w:val="0"/>
        <w:widowControl/>
        <w:kinsoku/>
        <w:wordWrap/>
        <w:overflowPunct/>
        <w:topLinePunct w:val="0"/>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在排气筒附近地面醒目处设置环保图形标志牌，标明排气筒高度、出口内径、排放污染物种类等。废气排放口必须符合规定的高度和按《固定源废气监测技术规范》（HJ/T397-2007）便于采样、监测的要求，各排气筒应设置永久采样孔，并安装采样监测平台，其采样口由授权的环境监察部门和环境监测站共同确认。</w:t>
      </w:r>
    </w:p>
    <w:p>
      <w:pPr>
        <w:pStyle w:val="8"/>
        <w:keepNext w:val="0"/>
        <w:keepLines w:val="0"/>
        <w:pageBreakBefore w:val="0"/>
        <w:widowControl/>
        <w:kinsoku/>
        <w:wordWrap/>
        <w:overflowPunct/>
        <w:topLinePunct w:val="0"/>
        <w:bidi w:val="0"/>
        <w:adjustRightInd/>
        <w:snapToGrid/>
        <w:spacing w:line="360" w:lineRule="auto"/>
        <w:ind w:firstLine="482" w:firstLineChars="200"/>
        <w:textAlignment w:val="auto"/>
        <w:rPr>
          <w:rFonts w:hint="eastAsia" w:ascii="宋体" w:hAnsi="宋体" w:eastAsia="宋体" w:cs="宋体"/>
          <w:b w:val="0"/>
          <w:color w:val="000000" w:themeColor="text1"/>
          <w:sz w:val="24"/>
          <w:szCs w:val="24"/>
          <w:highlight w:val="none"/>
          <w:lang w:eastAsia="zh-CN"/>
          <w14:textFill>
            <w14:solidFill>
              <w14:schemeClr w14:val="tx1"/>
            </w14:solidFill>
          </w14:textFill>
        </w:rPr>
      </w:pPr>
      <w:bookmarkStart w:id="834" w:name="_Toc499306692"/>
      <w:bookmarkStart w:id="835" w:name="_Toc490644485"/>
      <w:bookmarkStart w:id="836" w:name="_Toc491546781"/>
      <w:bookmarkStart w:id="837" w:name="_Toc12622142"/>
      <w:bookmarkStart w:id="838" w:name="_Toc510599220"/>
      <w:bookmarkStart w:id="839" w:name="_Toc6498179"/>
      <w:bookmarkStart w:id="840" w:name="_Toc502070882"/>
      <w:bookmarkStart w:id="841" w:name="_Toc8894990"/>
      <w:bookmarkStart w:id="842" w:name="_Toc1337"/>
      <w:bookmarkStart w:id="843" w:name="_Toc424"/>
      <w:bookmarkStart w:id="844" w:name="_Toc2247978"/>
      <w:bookmarkStart w:id="845" w:name="_Toc9941762"/>
      <w:bookmarkStart w:id="846" w:name="_Toc6655172"/>
      <w:bookmarkStart w:id="847" w:name="_Toc536433543"/>
      <w:bookmarkStart w:id="848" w:name="_Toc453772993"/>
      <w:bookmarkStart w:id="849" w:name="_Toc9861190"/>
      <w:bookmarkStart w:id="850" w:name="_Toc518752299"/>
      <w:bookmarkStart w:id="851" w:name="_Toc17198"/>
      <w:bookmarkStart w:id="852" w:name="_Toc19187"/>
      <w:bookmarkStart w:id="853" w:name="_Toc29054"/>
      <w:bookmarkStart w:id="854" w:name="_Toc490037793"/>
      <w:bookmarkStart w:id="855" w:name="_Toc7000051"/>
      <w:bookmarkStart w:id="856" w:name="_Toc490040755"/>
      <w:bookmarkStart w:id="857" w:name="_Toc515367275"/>
      <w:bookmarkStart w:id="858" w:name="_Toc15559701"/>
      <w:r>
        <w:rPr>
          <w:rFonts w:hint="eastAsia" w:ascii="宋体" w:hAnsi="宋体" w:eastAsia="宋体" w:cs="宋体"/>
          <w:color w:val="000000" w:themeColor="text1"/>
          <w:sz w:val="24"/>
          <w:szCs w:val="24"/>
          <w:highlight w:val="none"/>
          <w:lang w:eastAsia="zh-CN"/>
          <w14:textFill>
            <w14:solidFill>
              <w14:schemeClr w14:val="tx1"/>
            </w14:solidFill>
          </w14:textFill>
        </w:rPr>
        <w:t>9.</w:t>
      </w:r>
      <w:r>
        <w:rPr>
          <w:rFonts w:hint="eastAsia" w:ascii="宋体" w:hAnsi="宋体" w:eastAsia="宋体" w:cs="宋体"/>
          <w:color w:val="000000" w:themeColor="text1"/>
          <w:sz w:val="24"/>
          <w:szCs w:val="24"/>
          <w:highlight w:val="none"/>
          <w:lang w:val="en-US" w:eastAsia="zh-CN"/>
          <w14:textFill>
            <w14:solidFill>
              <w14:schemeClr w14:val="tx1"/>
            </w14:solidFill>
          </w14:textFill>
        </w:rPr>
        <w:t>5</w:t>
      </w:r>
      <w:r>
        <w:rPr>
          <w:rFonts w:hint="eastAsia" w:ascii="宋体" w:hAnsi="宋体" w:eastAsia="宋体" w:cs="宋体"/>
          <w:color w:val="000000" w:themeColor="text1"/>
          <w:sz w:val="24"/>
          <w:szCs w:val="24"/>
          <w:highlight w:val="none"/>
          <w:lang w:eastAsia="zh-CN"/>
          <w14:textFill>
            <w14:solidFill>
              <w14:schemeClr w14:val="tx1"/>
            </w14:solidFill>
          </w14:textFill>
        </w:rPr>
        <w:t>.2废水排放口</w:t>
      </w:r>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p>
    <w:p>
      <w:pPr>
        <w:keepNext w:val="0"/>
        <w:keepLines w:val="0"/>
        <w:pageBreakBefore w:val="0"/>
        <w:widowControl/>
        <w:kinsoku/>
        <w:wordWrap/>
        <w:overflowPunct/>
        <w:topLinePunct w:val="0"/>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厂区污水排放管道应做到可视化。事故废水应进行预处理，经检测满足接管要求，计量泵入园区污水管网，送</w:t>
      </w:r>
      <w:r>
        <w:rPr>
          <w:rFonts w:hint="eastAsia" w:ascii="宋体" w:hAnsi="宋体" w:eastAsia="宋体" w:cs="宋体"/>
          <w:color w:val="000000" w:themeColor="text1"/>
          <w:sz w:val="24"/>
          <w:szCs w:val="24"/>
          <w:highlight w:val="none"/>
          <w:lang w:eastAsia="zh-CN"/>
          <w14:textFill>
            <w14:solidFill>
              <w14:schemeClr w14:val="tx1"/>
            </w14:solidFill>
          </w14:textFill>
        </w:rPr>
        <w:t>河西</w:t>
      </w:r>
      <w:r>
        <w:rPr>
          <w:rFonts w:hint="eastAsia" w:ascii="宋体" w:hAnsi="宋体" w:eastAsia="宋体" w:cs="宋体"/>
          <w:color w:val="000000" w:themeColor="text1"/>
          <w:sz w:val="24"/>
          <w:szCs w:val="24"/>
          <w:highlight w:val="none"/>
          <w14:textFill>
            <w14:solidFill>
              <w14:schemeClr w14:val="tx1"/>
            </w14:solidFill>
          </w14:textFill>
        </w:rPr>
        <w:t>污水处理厂集中处理。泵房处应设置明显的标志牌，建议泵房双人双锁，分别由园区管委会和</w:t>
      </w:r>
      <w:r>
        <w:rPr>
          <w:rFonts w:hint="eastAsia" w:ascii="宋体" w:hAnsi="宋体" w:eastAsia="宋体" w:cs="宋体"/>
          <w:color w:val="000000" w:themeColor="text1"/>
          <w:sz w:val="24"/>
          <w:szCs w:val="24"/>
          <w:highlight w:val="none"/>
          <w:lang w:eastAsia="zh-CN"/>
          <w14:textFill>
            <w14:solidFill>
              <w14:schemeClr w14:val="tx1"/>
            </w14:solidFill>
          </w14:textFill>
        </w:rPr>
        <w:t>河西</w:t>
      </w:r>
      <w:r>
        <w:rPr>
          <w:rFonts w:hint="eastAsia" w:ascii="宋体" w:hAnsi="宋体" w:eastAsia="宋体" w:cs="宋体"/>
          <w:color w:val="000000" w:themeColor="text1"/>
          <w:sz w:val="24"/>
          <w:szCs w:val="24"/>
          <w:highlight w:val="none"/>
          <w14:textFill>
            <w14:solidFill>
              <w14:schemeClr w14:val="tx1"/>
            </w14:solidFill>
          </w14:textFill>
        </w:rPr>
        <w:t>污水处理厂掌管。</w:t>
      </w:r>
    </w:p>
    <w:p>
      <w:pPr>
        <w:pStyle w:val="8"/>
        <w:keepNext w:val="0"/>
        <w:keepLines w:val="0"/>
        <w:pageBreakBefore w:val="0"/>
        <w:widowControl/>
        <w:kinsoku/>
        <w:wordWrap/>
        <w:overflowPunct/>
        <w:topLinePunct w:val="0"/>
        <w:bidi w:val="0"/>
        <w:adjustRightInd/>
        <w:snapToGrid/>
        <w:spacing w:line="360" w:lineRule="auto"/>
        <w:ind w:firstLine="482" w:firstLineChars="200"/>
        <w:textAlignment w:val="auto"/>
        <w:rPr>
          <w:rFonts w:hint="eastAsia" w:ascii="宋体" w:hAnsi="宋体" w:eastAsia="宋体" w:cs="宋体"/>
          <w:b w:val="0"/>
          <w:color w:val="000000" w:themeColor="text1"/>
          <w:sz w:val="24"/>
          <w:szCs w:val="24"/>
          <w:highlight w:val="none"/>
          <w:lang w:eastAsia="zh-CN"/>
          <w14:textFill>
            <w14:solidFill>
              <w14:schemeClr w14:val="tx1"/>
            </w14:solidFill>
          </w14:textFill>
        </w:rPr>
      </w:pPr>
      <w:bookmarkStart w:id="859" w:name="_Toc499306693"/>
      <w:bookmarkStart w:id="860" w:name="_Toc6655173"/>
      <w:bookmarkStart w:id="861" w:name="_Toc7000052"/>
      <w:bookmarkStart w:id="862" w:name="_Toc510599221"/>
      <w:bookmarkStart w:id="863" w:name="_Toc6498180"/>
      <w:bookmarkStart w:id="864" w:name="_Toc490040756"/>
      <w:bookmarkStart w:id="865" w:name="_Toc19746"/>
      <w:bookmarkStart w:id="866" w:name="_Toc12622143"/>
      <w:bookmarkStart w:id="867" w:name="_Toc536433544"/>
      <w:bookmarkStart w:id="868" w:name="_Toc6393"/>
      <w:bookmarkStart w:id="869" w:name="_Toc491546782"/>
      <w:bookmarkStart w:id="870" w:name="_Toc518752300"/>
      <w:bookmarkStart w:id="871" w:name="_Toc10279"/>
      <w:bookmarkStart w:id="872" w:name="_Toc9861191"/>
      <w:bookmarkStart w:id="873" w:name="_Toc453772994"/>
      <w:bookmarkStart w:id="874" w:name="_Toc2247979"/>
      <w:bookmarkStart w:id="875" w:name="_Toc502070883"/>
      <w:bookmarkStart w:id="876" w:name="_Toc8894991"/>
      <w:bookmarkStart w:id="877" w:name="_Toc9941763"/>
      <w:bookmarkStart w:id="878" w:name="_Toc515367276"/>
      <w:bookmarkStart w:id="879" w:name="_Toc490037794"/>
      <w:bookmarkStart w:id="880" w:name="_Toc16222"/>
      <w:bookmarkStart w:id="881" w:name="_Toc15559702"/>
      <w:bookmarkStart w:id="882" w:name="_Toc490644486"/>
      <w:bookmarkStart w:id="883" w:name="_Toc3208"/>
      <w:r>
        <w:rPr>
          <w:rFonts w:hint="eastAsia" w:ascii="宋体" w:hAnsi="宋体" w:eastAsia="宋体" w:cs="宋体"/>
          <w:color w:val="000000" w:themeColor="text1"/>
          <w:sz w:val="24"/>
          <w:szCs w:val="24"/>
          <w:highlight w:val="none"/>
          <w:lang w:eastAsia="zh-CN"/>
          <w14:textFill>
            <w14:solidFill>
              <w14:schemeClr w14:val="tx1"/>
            </w14:solidFill>
          </w14:textFill>
        </w:rPr>
        <w:t>9.</w:t>
      </w:r>
      <w:r>
        <w:rPr>
          <w:rFonts w:hint="eastAsia" w:ascii="宋体" w:hAnsi="宋体" w:eastAsia="宋体" w:cs="宋体"/>
          <w:color w:val="000000" w:themeColor="text1"/>
          <w:sz w:val="24"/>
          <w:szCs w:val="24"/>
          <w:highlight w:val="none"/>
          <w:lang w:val="en-US" w:eastAsia="zh-CN"/>
          <w14:textFill>
            <w14:solidFill>
              <w14:schemeClr w14:val="tx1"/>
            </w14:solidFill>
          </w14:textFill>
        </w:rPr>
        <w:t>5</w:t>
      </w:r>
      <w:r>
        <w:rPr>
          <w:rFonts w:hint="eastAsia" w:ascii="宋体" w:hAnsi="宋体" w:eastAsia="宋体" w:cs="宋体"/>
          <w:color w:val="000000" w:themeColor="text1"/>
          <w:sz w:val="24"/>
          <w:szCs w:val="24"/>
          <w:highlight w:val="none"/>
          <w:lang w:eastAsia="zh-CN"/>
          <w14:textFill>
            <w14:solidFill>
              <w14:schemeClr w14:val="tx1"/>
            </w14:solidFill>
          </w14:textFill>
        </w:rPr>
        <w:t>.3噪声排放源</w:t>
      </w:r>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p>
    <w:p>
      <w:pPr>
        <w:keepNext w:val="0"/>
        <w:keepLines w:val="0"/>
        <w:pageBreakBefore w:val="0"/>
        <w:widowControl/>
        <w:kinsoku/>
        <w:wordWrap/>
        <w:overflowPunct/>
        <w:topLinePunct w:val="0"/>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按规定对固定噪声源进行治理，并在边界噪声敏感点、且对外界影响最大处设置标志牌。</w:t>
      </w:r>
    </w:p>
    <w:p>
      <w:pPr>
        <w:pStyle w:val="8"/>
        <w:keepNext w:val="0"/>
        <w:keepLines w:val="0"/>
        <w:pageBreakBefore w:val="0"/>
        <w:widowControl/>
        <w:kinsoku/>
        <w:wordWrap/>
        <w:overflowPunct/>
        <w:topLinePunct w:val="0"/>
        <w:bidi w:val="0"/>
        <w:adjustRightInd/>
        <w:snapToGrid/>
        <w:spacing w:line="360" w:lineRule="auto"/>
        <w:ind w:firstLine="482" w:firstLineChars="200"/>
        <w:textAlignment w:val="auto"/>
        <w:rPr>
          <w:rFonts w:hint="eastAsia" w:ascii="宋体" w:hAnsi="宋体" w:eastAsia="宋体" w:cs="宋体"/>
          <w:b w:val="0"/>
          <w:color w:val="000000" w:themeColor="text1"/>
          <w:sz w:val="24"/>
          <w:szCs w:val="24"/>
          <w:highlight w:val="none"/>
          <w:lang w:eastAsia="zh-CN"/>
          <w14:textFill>
            <w14:solidFill>
              <w14:schemeClr w14:val="tx1"/>
            </w14:solidFill>
          </w14:textFill>
        </w:rPr>
      </w:pPr>
      <w:bookmarkStart w:id="884" w:name="_Toc515367277"/>
      <w:bookmarkStart w:id="885" w:name="_Toc453772995"/>
      <w:bookmarkStart w:id="886" w:name="_Toc510599222"/>
      <w:bookmarkStart w:id="887" w:name="_Toc490644487"/>
      <w:bookmarkStart w:id="888" w:name="_Toc15559703"/>
      <w:bookmarkStart w:id="889" w:name="_Toc507"/>
      <w:bookmarkStart w:id="890" w:name="_Toc502070884"/>
      <w:bookmarkStart w:id="891" w:name="_Toc12622144"/>
      <w:bookmarkStart w:id="892" w:name="_Toc7000053"/>
      <w:bookmarkStart w:id="893" w:name="_Toc490037795"/>
      <w:bookmarkStart w:id="894" w:name="_Toc30231"/>
      <w:bookmarkStart w:id="895" w:name="_Toc518752301"/>
      <w:bookmarkStart w:id="896" w:name="_Toc536433545"/>
      <w:bookmarkStart w:id="897" w:name="_Toc491546783"/>
      <w:bookmarkStart w:id="898" w:name="_Toc8894992"/>
      <w:bookmarkStart w:id="899" w:name="_Toc490040757"/>
      <w:bookmarkStart w:id="900" w:name="_Toc9861192"/>
      <w:bookmarkStart w:id="901" w:name="_Toc9941764"/>
      <w:bookmarkStart w:id="902" w:name="_Toc2247980"/>
      <w:bookmarkStart w:id="903" w:name="_Toc6498181"/>
      <w:bookmarkStart w:id="904" w:name="_Toc6655174"/>
      <w:bookmarkStart w:id="905" w:name="_Toc18713"/>
      <w:bookmarkStart w:id="906" w:name="_Toc30100"/>
      <w:bookmarkStart w:id="907" w:name="_Toc499306694"/>
      <w:bookmarkStart w:id="908" w:name="_Toc29789"/>
      <w:r>
        <w:rPr>
          <w:rFonts w:hint="eastAsia" w:ascii="宋体" w:hAnsi="宋体" w:eastAsia="宋体" w:cs="宋体"/>
          <w:color w:val="000000" w:themeColor="text1"/>
          <w:sz w:val="24"/>
          <w:szCs w:val="24"/>
          <w:highlight w:val="none"/>
          <w:lang w:eastAsia="zh-CN"/>
          <w14:textFill>
            <w14:solidFill>
              <w14:schemeClr w14:val="tx1"/>
            </w14:solidFill>
          </w14:textFill>
        </w:rPr>
        <w:t>9.4.4固体废物贮存（处置）场</w:t>
      </w:r>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p>
    <w:p>
      <w:pPr>
        <w:keepNext w:val="0"/>
        <w:keepLines w:val="0"/>
        <w:pageBreakBefore w:val="0"/>
        <w:widowControl/>
        <w:kinsoku/>
        <w:wordWrap/>
        <w:overflowPunct/>
        <w:topLinePunct w:val="0"/>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对各种固体废物应分类收集﹑贮存和运输，设置专用危险废物临时贮存仓库，有防止雨淋﹑防扬散﹑防流失﹑防渗漏等措施，并设置标志牌。</w:t>
      </w:r>
    </w:p>
    <w:p>
      <w:pPr>
        <w:pStyle w:val="8"/>
        <w:keepNext w:val="0"/>
        <w:keepLines w:val="0"/>
        <w:pageBreakBefore w:val="0"/>
        <w:widowControl/>
        <w:kinsoku/>
        <w:wordWrap/>
        <w:overflowPunct/>
        <w:topLinePunct w:val="0"/>
        <w:bidi w:val="0"/>
        <w:adjustRightInd/>
        <w:snapToGrid/>
        <w:spacing w:line="360" w:lineRule="auto"/>
        <w:ind w:firstLine="482" w:firstLineChars="200"/>
        <w:textAlignment w:val="auto"/>
        <w:rPr>
          <w:rFonts w:hint="eastAsia" w:ascii="宋体" w:hAnsi="宋体" w:eastAsia="宋体" w:cs="宋体"/>
          <w:b w:val="0"/>
          <w:color w:val="000000" w:themeColor="text1"/>
          <w:sz w:val="24"/>
          <w:szCs w:val="24"/>
          <w:highlight w:val="none"/>
          <w:lang w:eastAsia="zh-CN"/>
          <w14:textFill>
            <w14:solidFill>
              <w14:schemeClr w14:val="tx1"/>
            </w14:solidFill>
          </w14:textFill>
        </w:rPr>
      </w:pPr>
      <w:bookmarkStart w:id="909" w:name="_Toc12622145"/>
      <w:bookmarkStart w:id="910" w:name="_Toc6655175"/>
      <w:bookmarkStart w:id="911" w:name="_Toc499306695"/>
      <w:bookmarkStart w:id="912" w:name="_Toc9941765"/>
      <w:bookmarkStart w:id="913" w:name="_Toc3071"/>
      <w:bookmarkStart w:id="914" w:name="_Toc490040758"/>
      <w:bookmarkStart w:id="915" w:name="_Toc515367278"/>
      <w:bookmarkStart w:id="916" w:name="_Toc7000054"/>
      <w:bookmarkStart w:id="917" w:name="_Toc23195"/>
      <w:bookmarkStart w:id="918" w:name="_Toc9167"/>
      <w:bookmarkStart w:id="919" w:name="_Toc15559704"/>
      <w:bookmarkStart w:id="920" w:name="_Toc536433546"/>
      <w:bookmarkStart w:id="921" w:name="_Toc23161"/>
      <w:bookmarkStart w:id="922" w:name="_Toc2247981"/>
      <w:bookmarkStart w:id="923" w:name="_Toc491546784"/>
      <w:bookmarkStart w:id="924" w:name="_Toc502070885"/>
      <w:bookmarkStart w:id="925" w:name="_Toc510599223"/>
      <w:bookmarkStart w:id="926" w:name="_Toc518752302"/>
      <w:bookmarkStart w:id="927" w:name="_Toc8894993"/>
      <w:bookmarkStart w:id="928" w:name="_Toc6498182"/>
      <w:bookmarkStart w:id="929" w:name="_Toc453772996"/>
      <w:bookmarkStart w:id="930" w:name="_Toc9861193"/>
      <w:bookmarkStart w:id="931" w:name="_Toc9421"/>
      <w:bookmarkStart w:id="932" w:name="_Toc490037796"/>
      <w:bookmarkStart w:id="933" w:name="_Toc490644488"/>
      <w:r>
        <w:rPr>
          <w:rFonts w:hint="eastAsia" w:ascii="宋体" w:hAnsi="宋体" w:eastAsia="宋体" w:cs="宋体"/>
          <w:color w:val="000000" w:themeColor="text1"/>
          <w:sz w:val="24"/>
          <w:szCs w:val="24"/>
          <w:highlight w:val="none"/>
          <w:lang w:eastAsia="zh-CN"/>
          <w14:textFill>
            <w14:solidFill>
              <w14:schemeClr w14:val="tx1"/>
            </w14:solidFill>
          </w14:textFill>
        </w:rPr>
        <w:t>9.</w:t>
      </w:r>
      <w:r>
        <w:rPr>
          <w:rFonts w:hint="eastAsia" w:ascii="宋体" w:hAnsi="宋体" w:eastAsia="宋体" w:cs="宋体"/>
          <w:color w:val="000000" w:themeColor="text1"/>
          <w:sz w:val="24"/>
          <w:szCs w:val="24"/>
          <w:highlight w:val="none"/>
          <w:lang w:val="en-US" w:eastAsia="zh-CN"/>
          <w14:textFill>
            <w14:solidFill>
              <w14:schemeClr w14:val="tx1"/>
            </w14:solidFill>
          </w14:textFill>
        </w:rPr>
        <w:t>5</w:t>
      </w:r>
      <w:r>
        <w:rPr>
          <w:rFonts w:hint="eastAsia" w:ascii="宋体" w:hAnsi="宋体" w:eastAsia="宋体" w:cs="宋体"/>
          <w:color w:val="000000" w:themeColor="text1"/>
          <w:sz w:val="24"/>
          <w:szCs w:val="24"/>
          <w:highlight w:val="none"/>
          <w:lang w:eastAsia="zh-CN"/>
          <w14:textFill>
            <w14:solidFill>
              <w14:schemeClr w14:val="tx1"/>
            </w14:solidFill>
          </w14:textFill>
        </w:rPr>
        <w:t>.5设置标志牌要求</w:t>
      </w:r>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p>
    <w:p>
      <w:pPr>
        <w:keepNext w:val="0"/>
        <w:keepLines w:val="0"/>
        <w:pageBreakBefore w:val="0"/>
        <w:widowControl/>
        <w:kinsoku/>
        <w:wordWrap/>
        <w:overflowPunct/>
        <w:topLinePunct w:val="0"/>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排放一般污染物口（源），设置提示式标志牌，排放有毒有害等污染物的设置警告标志牌。标志牌设置位置在排污口（采样口）附近且醒目处，高度为标志牌上端离地面2米。排污口附近1米范围内有建筑物的，设置平面式标志牌，无建筑物的设立式标志牌。</w:t>
      </w:r>
    </w:p>
    <w:p>
      <w:pPr>
        <w:keepNext w:val="0"/>
        <w:keepLines w:val="0"/>
        <w:pageBreakBefore w:val="0"/>
        <w:widowControl/>
        <w:kinsoku/>
        <w:wordWrap/>
        <w:overflowPunct/>
        <w:topLinePunct w:val="0"/>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规范化排污口的有关设置（如图形标志牌、计量装置、监控装置等）属环保设施，排污单位必须负责日常的维护保养，任何单位和个人不得擅自拆除。</w:t>
      </w:r>
    </w:p>
    <w:p>
      <w:pPr>
        <w:keepNext w:val="0"/>
        <w:keepLines w:val="0"/>
        <w:pageBreakBefore w:val="0"/>
        <w:widowControl/>
        <w:kinsoku/>
        <w:wordWrap/>
        <w:overflowPunct/>
        <w:topLinePunct w:val="0"/>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建设项目环保图形标志及形状颜色见表9.</w:t>
      </w:r>
      <w:r>
        <w:rPr>
          <w:rFonts w:hint="eastAsia" w:ascii="宋体" w:hAnsi="宋体" w:eastAsia="宋体" w:cs="宋体"/>
          <w:color w:val="000000" w:themeColor="text1"/>
          <w:sz w:val="24"/>
          <w:szCs w:val="24"/>
          <w:highlight w:val="none"/>
          <w:lang w:val="en-US" w:eastAsia="zh-CN"/>
          <w14:textFill>
            <w14:solidFill>
              <w14:schemeClr w14:val="tx1"/>
            </w14:solidFill>
          </w14:textFill>
        </w:rPr>
        <w:t>5</w:t>
      </w:r>
      <w:r>
        <w:rPr>
          <w:rFonts w:hint="eastAsia" w:ascii="宋体" w:hAnsi="宋体" w:eastAsia="宋体" w:cs="宋体"/>
          <w:color w:val="000000" w:themeColor="text1"/>
          <w:sz w:val="24"/>
          <w:szCs w:val="24"/>
          <w:highlight w:val="none"/>
          <w14:textFill>
            <w14:solidFill>
              <w14:schemeClr w14:val="tx1"/>
            </w14:solidFill>
          </w14:textFill>
        </w:rPr>
        <w:t>-1所示。</w:t>
      </w:r>
    </w:p>
    <w:p>
      <w:pPr>
        <w:keepNext w:val="0"/>
        <w:keepLines w:val="0"/>
        <w:pageBreakBefore w:val="0"/>
        <w:widowControl/>
        <w:kinsoku/>
        <w:wordWrap/>
        <w:overflowPunct/>
        <w:topLinePunct w:val="0"/>
        <w:autoSpaceDE/>
        <w:autoSpaceDN/>
        <w:bidi w:val="0"/>
        <w:adjustRightInd/>
        <w:snapToGrid/>
        <w:spacing w:before="167" w:beforeLines="50" w:after="167" w:afterLines="50" w:line="360" w:lineRule="auto"/>
        <w:ind w:firstLine="0" w:firstLineChars="0"/>
        <w:jc w:val="center"/>
        <w:textAlignment w:val="auto"/>
        <w:rPr>
          <w:rFonts w:hint="eastAsia" w:ascii="宋体" w:hAnsi="宋体" w:eastAsia="宋体" w:cs="宋体"/>
          <w:b/>
          <w:bCs/>
          <w:color w:val="000000" w:themeColor="text1"/>
          <w:highlight w:val="none"/>
          <w:lang w:val="en-US" w:eastAsia="zh-CN"/>
          <w14:textFill>
            <w14:solidFill>
              <w14:schemeClr w14:val="tx1"/>
            </w14:solidFill>
          </w14:textFill>
        </w:rPr>
      </w:pPr>
      <w:r>
        <w:rPr>
          <w:rFonts w:hint="eastAsia" w:ascii="宋体" w:hAnsi="宋体" w:eastAsia="宋体" w:cs="宋体"/>
          <w:b/>
          <w:bCs/>
          <w:color w:val="000000" w:themeColor="text1"/>
          <w:highlight w:val="none"/>
          <w:lang w:val="en-US" w:eastAsia="zh-CN"/>
          <w14:textFill>
            <w14:solidFill>
              <w14:schemeClr w14:val="tx1"/>
            </w14:solidFill>
          </w14:textFill>
        </w:rPr>
        <w:t>表9.5-1环保图形标志</w:t>
      </w:r>
    </w:p>
    <w:tbl>
      <w:tblPr>
        <w:tblStyle w:val="3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4"/>
        <w:gridCol w:w="3876"/>
        <w:gridCol w:w="3606"/>
        <w:gridCol w:w="1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4" w:type="pct"/>
            <w:noWrap w:val="0"/>
            <w:vAlign w:val="center"/>
          </w:tcPr>
          <w:p>
            <w:pPr>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序号</w:t>
            </w:r>
          </w:p>
        </w:tc>
        <w:tc>
          <w:tcPr>
            <w:tcW w:w="1730" w:type="pct"/>
            <w:noWrap w:val="0"/>
            <w:vAlign w:val="center"/>
          </w:tcPr>
          <w:p>
            <w:pPr>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提示性图形符号</w:t>
            </w:r>
          </w:p>
        </w:tc>
        <w:tc>
          <w:tcPr>
            <w:tcW w:w="1803" w:type="pct"/>
            <w:noWrap w:val="0"/>
            <w:vAlign w:val="center"/>
          </w:tcPr>
          <w:p>
            <w:pPr>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警告图形符号</w:t>
            </w:r>
          </w:p>
        </w:tc>
        <w:tc>
          <w:tcPr>
            <w:tcW w:w="980" w:type="pct"/>
            <w:noWrap w:val="0"/>
            <w:vAlign w:val="center"/>
          </w:tcPr>
          <w:p>
            <w:pPr>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排放口及堆场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7" w:hRule="atLeast"/>
        </w:trPr>
        <w:tc>
          <w:tcPr>
            <w:tcW w:w="484" w:type="pct"/>
            <w:noWrap w:val="0"/>
            <w:vAlign w:val="center"/>
          </w:tcPr>
          <w:p>
            <w:pPr>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p>
        </w:tc>
        <w:tc>
          <w:tcPr>
            <w:tcW w:w="1730" w:type="pct"/>
            <w:noWrap w:val="0"/>
            <w:vAlign w:val="center"/>
          </w:tcPr>
          <w:p>
            <w:pPr>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drawing>
                <wp:inline distT="0" distB="0" distL="114300" distR="114300">
                  <wp:extent cx="1257300" cy="1181100"/>
                  <wp:effectExtent l="0" t="0" r="0" b="0"/>
                  <wp:docPr id="196" name="图片 42" descr="污水排放口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42" descr="污水排放口1"/>
                          <pic:cNvPicPr>
                            <a:picLocks noChangeAspect="1"/>
                          </pic:cNvPicPr>
                        </pic:nvPicPr>
                        <pic:blipFill>
                          <a:blip r:embed="rId41"/>
                          <a:stretch>
                            <a:fillRect/>
                          </a:stretch>
                        </pic:blipFill>
                        <pic:spPr>
                          <a:xfrm>
                            <a:off x="0" y="0"/>
                            <a:ext cx="1257300" cy="1181100"/>
                          </a:xfrm>
                          <a:prstGeom prst="rect">
                            <a:avLst/>
                          </a:prstGeom>
                          <a:noFill/>
                          <a:ln>
                            <a:noFill/>
                          </a:ln>
                        </pic:spPr>
                      </pic:pic>
                    </a:graphicData>
                  </a:graphic>
                </wp:inline>
              </w:drawing>
            </w:r>
          </w:p>
        </w:tc>
        <w:tc>
          <w:tcPr>
            <w:tcW w:w="1803" w:type="pct"/>
            <w:noWrap w:val="0"/>
            <w:vAlign w:val="center"/>
          </w:tcPr>
          <w:p>
            <w:pPr>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drawing>
                <wp:inline distT="0" distB="0" distL="114300" distR="114300">
                  <wp:extent cx="1266825" cy="1085850"/>
                  <wp:effectExtent l="0" t="0" r="9525" b="0"/>
                  <wp:docPr id="193" name="图片 43" descr="污水排放口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43" descr="污水排放口2"/>
                          <pic:cNvPicPr>
                            <a:picLocks noChangeAspect="1"/>
                          </pic:cNvPicPr>
                        </pic:nvPicPr>
                        <pic:blipFill>
                          <a:blip r:embed="rId42"/>
                          <a:stretch>
                            <a:fillRect/>
                          </a:stretch>
                        </pic:blipFill>
                        <pic:spPr>
                          <a:xfrm>
                            <a:off x="0" y="0"/>
                            <a:ext cx="1266825" cy="1085850"/>
                          </a:xfrm>
                          <a:prstGeom prst="rect">
                            <a:avLst/>
                          </a:prstGeom>
                          <a:noFill/>
                          <a:ln>
                            <a:noFill/>
                          </a:ln>
                        </pic:spPr>
                      </pic:pic>
                    </a:graphicData>
                  </a:graphic>
                </wp:inline>
              </w:drawing>
            </w:r>
          </w:p>
        </w:tc>
        <w:tc>
          <w:tcPr>
            <w:tcW w:w="980" w:type="pct"/>
            <w:noWrap w:val="0"/>
            <w:vAlign w:val="center"/>
          </w:tcPr>
          <w:p>
            <w:pPr>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污水排放口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4" w:type="pct"/>
            <w:noWrap w:val="0"/>
            <w:vAlign w:val="center"/>
          </w:tcPr>
          <w:p>
            <w:pPr>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c>
          <w:tcPr>
            <w:tcW w:w="1730" w:type="pct"/>
            <w:noWrap w:val="0"/>
            <w:vAlign w:val="center"/>
          </w:tcPr>
          <w:p>
            <w:pPr>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drawing>
                <wp:inline distT="0" distB="0" distL="114300" distR="114300">
                  <wp:extent cx="1276350" cy="1114425"/>
                  <wp:effectExtent l="0" t="0" r="0" b="9525"/>
                  <wp:docPr id="194" name="图片 44" descr="废气排放口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44" descr="废气排放口1"/>
                          <pic:cNvPicPr>
                            <a:picLocks noChangeAspect="1"/>
                          </pic:cNvPicPr>
                        </pic:nvPicPr>
                        <pic:blipFill>
                          <a:blip r:embed="rId43"/>
                          <a:stretch>
                            <a:fillRect/>
                          </a:stretch>
                        </pic:blipFill>
                        <pic:spPr>
                          <a:xfrm>
                            <a:off x="0" y="0"/>
                            <a:ext cx="1276350" cy="1114425"/>
                          </a:xfrm>
                          <a:prstGeom prst="rect">
                            <a:avLst/>
                          </a:prstGeom>
                          <a:noFill/>
                          <a:ln>
                            <a:noFill/>
                          </a:ln>
                        </pic:spPr>
                      </pic:pic>
                    </a:graphicData>
                  </a:graphic>
                </wp:inline>
              </w:drawing>
            </w:r>
          </w:p>
        </w:tc>
        <w:tc>
          <w:tcPr>
            <w:tcW w:w="1803" w:type="pct"/>
            <w:noWrap w:val="0"/>
            <w:vAlign w:val="center"/>
          </w:tcPr>
          <w:p>
            <w:pPr>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drawing>
                <wp:inline distT="0" distB="0" distL="114300" distR="114300">
                  <wp:extent cx="1343025" cy="1152525"/>
                  <wp:effectExtent l="0" t="0" r="9525" b="9525"/>
                  <wp:docPr id="199" name="图片 45" descr="废气排放口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45" descr="废气排放口2"/>
                          <pic:cNvPicPr>
                            <a:picLocks noChangeAspect="1"/>
                          </pic:cNvPicPr>
                        </pic:nvPicPr>
                        <pic:blipFill>
                          <a:blip r:embed="rId44"/>
                          <a:stretch>
                            <a:fillRect/>
                          </a:stretch>
                        </pic:blipFill>
                        <pic:spPr>
                          <a:xfrm>
                            <a:off x="0" y="0"/>
                            <a:ext cx="1343025" cy="1152525"/>
                          </a:xfrm>
                          <a:prstGeom prst="rect">
                            <a:avLst/>
                          </a:prstGeom>
                          <a:noFill/>
                          <a:ln>
                            <a:noFill/>
                          </a:ln>
                        </pic:spPr>
                      </pic:pic>
                    </a:graphicData>
                  </a:graphic>
                </wp:inline>
              </w:drawing>
            </w:r>
          </w:p>
        </w:tc>
        <w:tc>
          <w:tcPr>
            <w:tcW w:w="980" w:type="pct"/>
            <w:noWrap w:val="0"/>
            <w:vAlign w:val="center"/>
          </w:tcPr>
          <w:p>
            <w:pPr>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废气排放口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4" w:type="pct"/>
            <w:noWrap w:val="0"/>
            <w:vAlign w:val="center"/>
          </w:tcPr>
          <w:p>
            <w:pPr>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p>
        </w:tc>
        <w:tc>
          <w:tcPr>
            <w:tcW w:w="1730" w:type="pct"/>
            <w:noWrap w:val="0"/>
            <w:vAlign w:val="center"/>
          </w:tcPr>
          <w:p>
            <w:pPr>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drawing>
                <wp:inline distT="0" distB="0" distL="114300" distR="114300">
                  <wp:extent cx="1266825" cy="1162050"/>
                  <wp:effectExtent l="0" t="0" r="9525" b="0"/>
                  <wp:docPr id="198" name="图片 46" descr="噪声排放源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46" descr="噪声排放源1"/>
                          <pic:cNvPicPr>
                            <a:picLocks noChangeAspect="1"/>
                          </pic:cNvPicPr>
                        </pic:nvPicPr>
                        <pic:blipFill>
                          <a:blip r:embed="rId45"/>
                          <a:stretch>
                            <a:fillRect/>
                          </a:stretch>
                        </pic:blipFill>
                        <pic:spPr>
                          <a:xfrm>
                            <a:off x="0" y="0"/>
                            <a:ext cx="1266825" cy="1162050"/>
                          </a:xfrm>
                          <a:prstGeom prst="rect">
                            <a:avLst/>
                          </a:prstGeom>
                          <a:noFill/>
                          <a:ln>
                            <a:noFill/>
                          </a:ln>
                        </pic:spPr>
                      </pic:pic>
                    </a:graphicData>
                  </a:graphic>
                </wp:inline>
              </w:drawing>
            </w:r>
          </w:p>
        </w:tc>
        <w:tc>
          <w:tcPr>
            <w:tcW w:w="1803" w:type="pct"/>
            <w:noWrap w:val="0"/>
            <w:vAlign w:val="center"/>
          </w:tcPr>
          <w:p>
            <w:pPr>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drawing>
                <wp:inline distT="0" distB="0" distL="114300" distR="114300">
                  <wp:extent cx="1219200" cy="1095375"/>
                  <wp:effectExtent l="0" t="0" r="0" b="9525"/>
                  <wp:docPr id="201" name="图片 47" descr="噪声排放源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47" descr="噪声排放源2"/>
                          <pic:cNvPicPr>
                            <a:picLocks noChangeAspect="1"/>
                          </pic:cNvPicPr>
                        </pic:nvPicPr>
                        <pic:blipFill>
                          <a:blip r:embed="rId46"/>
                          <a:stretch>
                            <a:fillRect/>
                          </a:stretch>
                        </pic:blipFill>
                        <pic:spPr>
                          <a:xfrm>
                            <a:off x="0" y="0"/>
                            <a:ext cx="1219200" cy="1095375"/>
                          </a:xfrm>
                          <a:prstGeom prst="rect">
                            <a:avLst/>
                          </a:prstGeom>
                          <a:noFill/>
                          <a:ln>
                            <a:noFill/>
                          </a:ln>
                        </pic:spPr>
                      </pic:pic>
                    </a:graphicData>
                  </a:graphic>
                </wp:inline>
              </w:drawing>
            </w:r>
          </w:p>
        </w:tc>
        <w:tc>
          <w:tcPr>
            <w:tcW w:w="980" w:type="pct"/>
            <w:noWrap w:val="0"/>
            <w:vAlign w:val="center"/>
          </w:tcPr>
          <w:p>
            <w:pPr>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噪声排放源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4" w:type="pct"/>
            <w:noWrap w:val="0"/>
            <w:vAlign w:val="center"/>
          </w:tcPr>
          <w:p>
            <w:pPr>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4</w:t>
            </w:r>
          </w:p>
        </w:tc>
        <w:tc>
          <w:tcPr>
            <w:tcW w:w="1730" w:type="pct"/>
            <w:noWrap w:val="0"/>
            <w:vAlign w:val="center"/>
          </w:tcPr>
          <w:p>
            <w:pPr>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drawing>
                <wp:inline distT="0" distB="0" distL="114300" distR="114300">
                  <wp:extent cx="1238250" cy="1133475"/>
                  <wp:effectExtent l="0" t="0" r="0" b="9525"/>
                  <wp:docPr id="203" name="图片 48" descr="一般固体废物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48" descr="一般固体废物1"/>
                          <pic:cNvPicPr>
                            <a:picLocks noChangeAspect="1"/>
                          </pic:cNvPicPr>
                        </pic:nvPicPr>
                        <pic:blipFill>
                          <a:blip r:embed="rId47"/>
                          <a:stretch>
                            <a:fillRect/>
                          </a:stretch>
                        </pic:blipFill>
                        <pic:spPr>
                          <a:xfrm>
                            <a:off x="0" y="0"/>
                            <a:ext cx="1238250" cy="1133475"/>
                          </a:xfrm>
                          <a:prstGeom prst="rect">
                            <a:avLst/>
                          </a:prstGeom>
                          <a:noFill/>
                          <a:ln>
                            <a:noFill/>
                          </a:ln>
                        </pic:spPr>
                      </pic:pic>
                    </a:graphicData>
                  </a:graphic>
                </wp:inline>
              </w:drawing>
            </w:r>
          </w:p>
        </w:tc>
        <w:tc>
          <w:tcPr>
            <w:tcW w:w="1803" w:type="pct"/>
            <w:noWrap w:val="0"/>
            <w:vAlign w:val="center"/>
          </w:tcPr>
          <w:p>
            <w:pPr>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drawing>
                <wp:inline distT="0" distB="0" distL="114300" distR="114300">
                  <wp:extent cx="1247775" cy="1162050"/>
                  <wp:effectExtent l="0" t="0" r="9525" b="0"/>
                  <wp:docPr id="202" name="图片 49" descr="一般固体废物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49" descr="一般固体废物2"/>
                          <pic:cNvPicPr>
                            <a:picLocks noChangeAspect="1"/>
                          </pic:cNvPicPr>
                        </pic:nvPicPr>
                        <pic:blipFill>
                          <a:blip r:embed="rId48"/>
                          <a:stretch>
                            <a:fillRect/>
                          </a:stretch>
                        </pic:blipFill>
                        <pic:spPr>
                          <a:xfrm>
                            <a:off x="0" y="0"/>
                            <a:ext cx="1247775" cy="1162050"/>
                          </a:xfrm>
                          <a:prstGeom prst="rect">
                            <a:avLst/>
                          </a:prstGeom>
                          <a:noFill/>
                          <a:ln>
                            <a:noFill/>
                          </a:ln>
                        </pic:spPr>
                      </pic:pic>
                    </a:graphicData>
                  </a:graphic>
                </wp:inline>
              </w:drawing>
            </w:r>
          </w:p>
        </w:tc>
        <w:tc>
          <w:tcPr>
            <w:tcW w:w="980" w:type="pct"/>
            <w:noWrap w:val="0"/>
            <w:vAlign w:val="center"/>
          </w:tcPr>
          <w:p>
            <w:pPr>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一般固体废物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4" w:type="pct"/>
            <w:noWrap w:val="0"/>
            <w:vAlign w:val="center"/>
          </w:tcPr>
          <w:p>
            <w:pPr>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5</w:t>
            </w:r>
          </w:p>
        </w:tc>
        <w:tc>
          <w:tcPr>
            <w:tcW w:w="1730" w:type="pct"/>
            <w:noWrap w:val="0"/>
            <w:vAlign w:val="center"/>
          </w:tcPr>
          <w:p>
            <w:pPr>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drawing>
                <wp:inline distT="0" distB="0" distL="114300" distR="114300">
                  <wp:extent cx="2322195" cy="1388745"/>
                  <wp:effectExtent l="0" t="0" r="1905" b="19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49"/>
                          <a:stretch>
                            <a:fillRect/>
                          </a:stretch>
                        </pic:blipFill>
                        <pic:spPr>
                          <a:xfrm>
                            <a:off x="0" y="0"/>
                            <a:ext cx="2322195" cy="1388745"/>
                          </a:xfrm>
                          <a:prstGeom prst="rect">
                            <a:avLst/>
                          </a:prstGeom>
                          <a:noFill/>
                          <a:ln>
                            <a:noFill/>
                          </a:ln>
                        </pic:spPr>
                      </pic:pic>
                    </a:graphicData>
                  </a:graphic>
                </wp:inline>
              </w:drawing>
            </w:r>
          </w:p>
        </w:tc>
        <w:tc>
          <w:tcPr>
            <w:tcW w:w="1803" w:type="pct"/>
            <w:noWrap w:val="0"/>
            <w:vAlign w:val="center"/>
          </w:tcPr>
          <w:p>
            <w:pPr>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drawing>
                <wp:inline distT="0" distB="0" distL="114300" distR="114300">
                  <wp:extent cx="2152650" cy="1420495"/>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0"/>
                          <a:stretch>
                            <a:fillRect/>
                          </a:stretch>
                        </pic:blipFill>
                        <pic:spPr>
                          <a:xfrm>
                            <a:off x="0" y="0"/>
                            <a:ext cx="2152650" cy="1420495"/>
                          </a:xfrm>
                          <a:prstGeom prst="rect">
                            <a:avLst/>
                          </a:prstGeom>
                          <a:noFill/>
                          <a:ln>
                            <a:noFill/>
                          </a:ln>
                        </pic:spPr>
                      </pic:pic>
                    </a:graphicData>
                  </a:graphic>
                </wp:inline>
              </w:drawing>
            </w:r>
          </w:p>
        </w:tc>
        <w:tc>
          <w:tcPr>
            <w:tcW w:w="980" w:type="pct"/>
            <w:noWrap w:val="0"/>
            <w:vAlign w:val="center"/>
          </w:tcPr>
          <w:p>
            <w:pPr>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危险废物</w:t>
            </w:r>
          </w:p>
        </w:tc>
      </w:tr>
    </w:tbl>
    <w:p>
      <w:pPr>
        <w:widowControl w:val="0"/>
        <w:jc w:val="both"/>
        <w:rPr>
          <w:rFonts w:hint="eastAsia" w:ascii="宋体" w:hAnsi="宋体" w:eastAsia="宋体" w:cs="宋体"/>
          <w:color w:val="000000" w:themeColor="text1"/>
          <w:highlight w:val="none"/>
          <w14:textFill>
            <w14:solidFill>
              <w14:schemeClr w14:val="tx1"/>
            </w14:solidFill>
          </w14:textFill>
        </w:rPr>
        <w:sectPr>
          <w:pgSz w:w="11905" w:h="16838"/>
          <w:pgMar w:top="1440" w:right="1134" w:bottom="1440" w:left="1134" w:header="850" w:footer="992" w:gutter="0"/>
          <w:pgBorders w:offsetFrom="page">
            <w:top w:val="none" w:sz="0" w:space="0"/>
            <w:left w:val="none" w:sz="0" w:space="0"/>
            <w:bottom w:val="none" w:sz="0" w:space="0"/>
            <w:right w:val="none" w:sz="0" w:space="0"/>
          </w:pgBorders>
          <w:pgNumType w:fmt="decimal"/>
          <w:cols w:space="0" w:num="1"/>
          <w:rtlGutter w:val="0"/>
          <w:docGrid w:type="lines" w:linePitch="332" w:charSpace="0"/>
        </w:sectPr>
      </w:pPr>
    </w:p>
    <w:p>
      <w:pPr>
        <w:pStyle w:val="6"/>
        <w:spacing w:after="120"/>
        <w:rPr>
          <w:rFonts w:hint="eastAsia" w:ascii="宋体" w:hAnsi="宋体" w:eastAsia="宋体" w:cs="宋体"/>
          <w:color w:val="000000" w:themeColor="text1"/>
          <w:highlight w:val="none"/>
          <w14:textFill>
            <w14:solidFill>
              <w14:schemeClr w14:val="tx1"/>
            </w14:solidFill>
          </w14:textFill>
        </w:rPr>
      </w:pPr>
      <w:bookmarkStart w:id="934" w:name="_Toc326604559"/>
      <w:bookmarkStart w:id="935" w:name="_Toc326606525"/>
      <w:bookmarkStart w:id="936" w:name="_Toc6860_WPSOffice_Level1"/>
      <w:bookmarkStart w:id="937" w:name="_Toc26631"/>
      <w:bookmarkStart w:id="938" w:name="_Toc252347714"/>
      <w:bookmarkStart w:id="939" w:name="_Toc326606291"/>
      <w:bookmarkStart w:id="940" w:name="_Toc31301"/>
      <w:bookmarkStart w:id="941" w:name="_Toc326605094"/>
      <w:bookmarkStart w:id="942" w:name="_Toc4642_WPSOffice_Level1"/>
      <w:bookmarkStart w:id="943" w:name="_Toc13555"/>
      <w:bookmarkStart w:id="944" w:name="_Toc12665"/>
      <w:bookmarkStart w:id="945" w:name="_Toc18108_WPSOffice_Level1"/>
      <w:bookmarkStart w:id="946" w:name="_Toc172"/>
      <w:bookmarkStart w:id="947" w:name="_Toc729"/>
      <w:bookmarkStart w:id="948" w:name="_Toc12332"/>
      <w:r>
        <w:rPr>
          <w:rFonts w:hint="eastAsia" w:ascii="宋体" w:hAnsi="宋体" w:eastAsia="宋体" w:cs="宋体"/>
          <w:color w:val="000000" w:themeColor="text1"/>
          <w:highlight w:val="none"/>
          <w:lang w:val="en-US" w:eastAsia="zh-CN"/>
          <w14:textFill>
            <w14:solidFill>
              <w14:schemeClr w14:val="tx1"/>
            </w14:solidFill>
          </w14:textFill>
        </w:rPr>
        <w:t>十、</w:t>
      </w:r>
      <w:r>
        <w:rPr>
          <w:rFonts w:hint="eastAsia" w:ascii="宋体" w:hAnsi="宋体" w:eastAsia="宋体" w:cs="宋体"/>
          <w:color w:val="000000" w:themeColor="text1"/>
          <w:highlight w:val="none"/>
          <w:lang w:eastAsia="zh-CN"/>
          <w14:textFill>
            <w14:solidFill>
              <w14:schemeClr w14:val="tx1"/>
            </w14:solidFill>
          </w14:textFill>
        </w:rPr>
        <w:t>环境影响评价</w:t>
      </w:r>
      <w:r>
        <w:rPr>
          <w:rFonts w:hint="eastAsia" w:ascii="宋体" w:hAnsi="宋体" w:eastAsia="宋体" w:cs="宋体"/>
          <w:color w:val="000000" w:themeColor="text1"/>
          <w:highlight w:val="none"/>
          <w14:textFill>
            <w14:solidFill>
              <w14:schemeClr w14:val="tx1"/>
            </w14:solidFill>
          </w14:textFill>
        </w:rPr>
        <w:t>结论</w:t>
      </w:r>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p>
    <w:p>
      <w:pPr>
        <w:pStyle w:val="7"/>
        <w:keepNext w:val="0"/>
        <w:keepLines w:val="0"/>
        <w:pageBreakBefore w:val="0"/>
        <w:widowControl/>
        <w:kinsoku/>
        <w:wordWrap/>
        <w:overflowPunct/>
        <w:topLinePunct w:val="0"/>
        <w:bidi w:val="0"/>
        <w:adjustRightInd/>
        <w:snapToGrid/>
        <w:spacing w:line="360" w:lineRule="auto"/>
        <w:ind w:leftChars="0" w:firstLine="482" w:firstLineChars="20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bookmarkStart w:id="949" w:name="_Toc175374434"/>
      <w:bookmarkStart w:id="950" w:name="_Toc32396"/>
      <w:bookmarkStart w:id="951" w:name="_Toc30120"/>
      <w:bookmarkStart w:id="952" w:name="_Toc6742"/>
      <w:bookmarkStart w:id="953" w:name="_Toc13671"/>
      <w:bookmarkStart w:id="954" w:name="_Toc17790"/>
      <w:bookmarkStart w:id="955" w:name="_Toc13438"/>
      <w:bookmarkStart w:id="956" w:name="_Toc25842"/>
      <w:r>
        <w:rPr>
          <w:rFonts w:hint="eastAsia" w:ascii="宋体" w:hAnsi="宋体" w:eastAsia="宋体" w:cs="宋体"/>
          <w:color w:val="000000" w:themeColor="text1"/>
          <w:sz w:val="24"/>
          <w:szCs w:val="24"/>
          <w:highlight w:val="none"/>
          <w:lang w:eastAsia="zh-CN"/>
          <w14:textFill>
            <w14:solidFill>
              <w14:schemeClr w14:val="tx1"/>
            </w14:solidFill>
          </w14:textFill>
        </w:rPr>
        <w:t>10.1</w:t>
      </w:r>
      <w:bookmarkEnd w:id="949"/>
      <w:r>
        <w:rPr>
          <w:rFonts w:hint="eastAsia" w:ascii="宋体" w:hAnsi="宋体" w:eastAsia="宋体" w:cs="宋体"/>
          <w:color w:val="000000" w:themeColor="text1"/>
          <w:sz w:val="24"/>
          <w:szCs w:val="24"/>
          <w:highlight w:val="none"/>
          <w:lang w:val="en-US" w:eastAsia="zh-CN"/>
          <w14:textFill>
            <w14:solidFill>
              <w14:schemeClr w14:val="tx1"/>
            </w14:solidFill>
          </w14:textFill>
        </w:rPr>
        <w:t>评价</w:t>
      </w:r>
      <w:r>
        <w:rPr>
          <w:rFonts w:hint="eastAsia" w:ascii="宋体" w:hAnsi="宋体" w:eastAsia="宋体" w:cs="宋体"/>
          <w:color w:val="000000" w:themeColor="text1"/>
          <w:sz w:val="24"/>
          <w:szCs w:val="24"/>
          <w:highlight w:val="none"/>
          <w:lang w:eastAsia="zh-CN"/>
          <w14:textFill>
            <w14:solidFill>
              <w14:schemeClr w14:val="tx1"/>
            </w14:solidFill>
          </w14:textFill>
        </w:rPr>
        <w:t>结论</w:t>
      </w:r>
      <w:bookmarkEnd w:id="950"/>
      <w:bookmarkEnd w:id="951"/>
      <w:bookmarkEnd w:id="952"/>
      <w:bookmarkEnd w:id="953"/>
      <w:bookmarkEnd w:id="954"/>
      <w:bookmarkEnd w:id="955"/>
      <w:bookmarkEnd w:id="956"/>
    </w:p>
    <w:p>
      <w:pPr>
        <w:pStyle w:val="8"/>
        <w:keepNext w:val="0"/>
        <w:keepLines w:val="0"/>
        <w:pageBreakBefore w:val="0"/>
        <w:widowControl/>
        <w:kinsoku/>
        <w:wordWrap/>
        <w:overflowPunct/>
        <w:topLinePunct w:val="0"/>
        <w:bidi w:val="0"/>
        <w:adjustRightInd/>
        <w:snapToGrid/>
        <w:spacing w:line="360" w:lineRule="auto"/>
        <w:ind w:leftChars="0" w:firstLine="482"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bookmarkStart w:id="957" w:name="_Toc188"/>
      <w:bookmarkStart w:id="958" w:name="_Toc22561362"/>
      <w:bookmarkStart w:id="959" w:name="_Toc28277"/>
      <w:bookmarkStart w:id="960" w:name="_Toc8064"/>
      <w:bookmarkStart w:id="961" w:name="_Toc14270"/>
      <w:bookmarkStart w:id="962" w:name="_Toc5915"/>
      <w:r>
        <w:rPr>
          <w:rFonts w:hint="eastAsia" w:ascii="宋体" w:hAnsi="宋体" w:eastAsia="宋体" w:cs="宋体"/>
          <w:color w:val="000000" w:themeColor="text1"/>
          <w:sz w:val="24"/>
          <w:szCs w:val="24"/>
          <w:highlight w:val="none"/>
          <w:lang w:val="en-US" w:eastAsia="zh-CN"/>
          <w14:textFill>
            <w14:solidFill>
              <w14:schemeClr w14:val="tx1"/>
            </w14:solidFill>
          </w14:textFill>
        </w:rPr>
        <w:t>10.1.1项目概况</w:t>
      </w:r>
      <w:bookmarkEnd w:id="957"/>
    </w:p>
    <w:p>
      <w:pPr>
        <w:keepNext w:val="0"/>
        <w:keepLines w:val="0"/>
        <w:pageBreakBefore w:val="0"/>
        <w:kinsoku/>
        <w:wordWrap/>
        <w:overflowPunct/>
        <w:topLinePunct w:val="0"/>
        <w:bidi w:val="0"/>
        <w:adjustRightInd/>
        <w:snapToGrid/>
        <w:spacing w:line="360" w:lineRule="auto"/>
        <w:ind w:lef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株洲市绝缘材料有限责任公司</w:t>
      </w:r>
      <w:r>
        <w:rPr>
          <w:rFonts w:hint="eastAsia" w:ascii="宋体" w:hAnsi="宋体" w:eastAsia="宋体" w:cs="宋体"/>
          <w:color w:val="000000" w:themeColor="text1"/>
          <w:sz w:val="24"/>
          <w:szCs w:val="24"/>
          <w:highlight w:val="none"/>
          <w:lang w:eastAsia="zh-CN"/>
          <w14:textFill>
            <w14:solidFill>
              <w14:schemeClr w14:val="tx1"/>
            </w14:solidFill>
          </w14:textFill>
        </w:rPr>
        <w:t>高性能电子级聚酰亚胺薄膜项目</w:t>
      </w:r>
      <w:r>
        <w:rPr>
          <w:rFonts w:hint="eastAsia" w:ascii="宋体" w:hAnsi="宋体" w:eastAsia="宋体" w:cs="宋体"/>
          <w:color w:val="000000" w:themeColor="text1"/>
          <w:sz w:val="24"/>
          <w:szCs w:val="24"/>
          <w:highlight w:val="none"/>
          <w:lang w:val="en-US" w:eastAsia="zh-CN"/>
          <w14:textFill>
            <w14:solidFill>
              <w14:schemeClr w14:val="tx1"/>
            </w14:solidFill>
          </w14:textFill>
        </w:rPr>
        <w:t>，于公司已建成5#厂房8644.29m²内实施，设计年产200吨高端柔性线路板用聚酰亚胺薄膜，并配套建设溶剂回收装置、废气处理设备、危废间等环保措施。项目总投资5000万元，其中环保投资总额约111万元，占项目计划投资总额的2.22%。</w:t>
      </w:r>
    </w:p>
    <w:p>
      <w:pPr>
        <w:pStyle w:val="8"/>
        <w:keepNext w:val="0"/>
        <w:keepLines w:val="0"/>
        <w:pageBreakBefore w:val="0"/>
        <w:widowControl/>
        <w:kinsoku/>
        <w:wordWrap/>
        <w:overflowPunct/>
        <w:topLinePunct w:val="0"/>
        <w:bidi w:val="0"/>
        <w:adjustRightInd/>
        <w:snapToGrid/>
        <w:spacing w:line="360" w:lineRule="auto"/>
        <w:ind w:leftChars="0" w:firstLine="482"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bookmarkStart w:id="963" w:name="_Toc26622"/>
      <w:bookmarkStart w:id="964" w:name="_Toc4817"/>
      <w:r>
        <w:rPr>
          <w:rFonts w:hint="eastAsia" w:ascii="宋体" w:hAnsi="宋体" w:eastAsia="宋体" w:cs="宋体"/>
          <w:color w:val="000000" w:themeColor="text1"/>
          <w:sz w:val="24"/>
          <w:szCs w:val="24"/>
          <w:highlight w:val="none"/>
          <w:lang w:val="en-US" w:eastAsia="zh-CN"/>
          <w14:textFill>
            <w14:solidFill>
              <w14:schemeClr w14:val="tx1"/>
            </w14:solidFill>
          </w14:textFill>
        </w:rPr>
        <w:t>10.1.2环境质量现状</w:t>
      </w:r>
      <w:bookmarkEnd w:id="963"/>
    </w:p>
    <w:p>
      <w:pPr>
        <w:keepNext w:val="0"/>
        <w:keepLines w:val="0"/>
        <w:pageBreakBefore w:val="0"/>
        <w:widowControl/>
        <w:suppressLineNumbers w:val="0"/>
        <w:kinsoku/>
        <w:wordWrap/>
        <w:overflowPunct/>
        <w:topLinePunct w:val="0"/>
        <w:autoSpaceDE/>
        <w:autoSpaceDN/>
        <w:bidi w:val="0"/>
        <w:adjustRightInd/>
        <w:snapToGrid/>
        <w:spacing w:line="360" w:lineRule="auto"/>
        <w:ind w:leftChars="0" w:firstLine="480" w:firstLineChars="200"/>
        <w:jc w:val="both"/>
        <w:textAlignment w:val="auto"/>
        <w:rPr>
          <w:rFonts w:hint="eastAsia" w:ascii="宋体" w:hAnsi="宋体" w:eastAsia="宋体" w:cs="宋体"/>
          <w:b w:val="0"/>
          <w:bCs w:val="0"/>
          <w:i w:val="0"/>
          <w:iCs w:val="0"/>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评价区地表水、声环境、土壤环境均能满足相应标准限值，所在区域大气环境</w:t>
      </w:r>
      <w:r>
        <w:rPr>
          <w:rFonts w:hint="eastAsia" w:ascii="宋体" w:hAnsi="宋体" w:eastAsia="宋体" w:cs="宋体"/>
          <w:color w:val="000000" w:themeColor="text1"/>
          <w:kern w:val="0"/>
          <w:sz w:val="24"/>
          <w:szCs w:val="24"/>
          <w:lang w:val="en-US" w:eastAsia="zh-CN" w:bidi="ar"/>
          <w14:textFill>
            <w14:solidFill>
              <w14:schemeClr w14:val="tx1"/>
            </w14:solidFill>
          </w14:textFill>
        </w:rPr>
        <w:t>Pm</w:t>
      </w:r>
      <w:r>
        <w:rPr>
          <w:rFonts w:hint="eastAsia" w:ascii="宋体" w:hAnsi="宋体" w:eastAsia="宋体" w:cs="宋体"/>
          <w:color w:val="000000" w:themeColor="text1"/>
          <w:kern w:val="0"/>
          <w:sz w:val="24"/>
          <w:szCs w:val="24"/>
          <w:vertAlign w:val="subscript"/>
          <w:lang w:val="en-US" w:eastAsia="zh-CN" w:bidi="ar"/>
          <w14:textFill>
            <w14:solidFill>
              <w14:schemeClr w14:val="tx1"/>
            </w14:solidFill>
          </w14:textFill>
        </w:rPr>
        <w:t>².5</w:t>
      </w:r>
      <w:r>
        <w:rPr>
          <w:rFonts w:hint="eastAsia" w:ascii="宋体" w:hAnsi="宋体" w:eastAsia="宋体" w:cs="宋体"/>
          <w:color w:val="000000" w:themeColor="text1"/>
          <w:kern w:val="0"/>
          <w:sz w:val="24"/>
          <w:szCs w:val="24"/>
          <w:lang w:val="en-US" w:eastAsia="zh-CN" w:bidi="ar"/>
          <w14:textFill>
            <w14:solidFill>
              <w14:schemeClr w14:val="tx1"/>
            </w14:solidFill>
          </w14:textFill>
        </w:rPr>
        <w:t>超出《环境空气质量标准》（GB3095-2012）中二级标准，主要受区内各企业生产以及区内大规模基础设施建设及各工地施工建设扬尘影响，株洲市大气环境特征和空气质量改善需求，从调整产业、能源结构，深化重点污染源减排及加强面源、扬尘污染治理的角度出发，对“十四五”、“十五五”开展分阶段管控，实施大气污染物控制战略。预计到2025年，中心城区PM2.5年均浓度不高于37μg/m3，到2027年，中心城区六项空气质量指标均达到国家二级标准。目前株洲市正大力开展蓝天保卫战工作，督促各工程项目落实环境保护相关措施，加强环境管理，区域的大气环境质量将得到进一步的改善。</w:t>
      </w:r>
      <w:r>
        <w:rPr>
          <w:rFonts w:hint="eastAsia" w:ascii="宋体" w:hAnsi="宋体" w:eastAsia="宋体" w:cs="宋体"/>
          <w:b w:val="0"/>
          <w:bCs w:val="0"/>
          <w:i w:val="0"/>
          <w:iCs w:val="0"/>
          <w:color w:val="000000" w:themeColor="text1"/>
          <w:sz w:val="24"/>
          <w:szCs w:val="24"/>
          <w14:textFill>
            <w14:solidFill>
              <w14:schemeClr w14:val="tx1"/>
            </w14:solidFill>
          </w14:textFill>
        </w:rPr>
        <w:t>项目所在区域TVOC满足《环境影响评价技术导则大气环境》（HJ2.2-2018）附录D“其他污染物空气质量浓度参考限值”要求</w:t>
      </w:r>
      <w:r>
        <w:rPr>
          <w:rFonts w:hint="eastAsia" w:ascii="宋体" w:hAnsi="宋体" w:eastAsia="宋体" w:cs="宋体"/>
          <w:b w:val="0"/>
          <w:bCs w:val="0"/>
          <w:i w:val="0"/>
          <w:iCs w:val="0"/>
          <w:color w:val="000000" w:themeColor="text1"/>
          <w:sz w:val="24"/>
          <w:szCs w:val="24"/>
          <w:lang w:eastAsia="zh-CN"/>
          <w14:textFill>
            <w14:solidFill>
              <w14:schemeClr w14:val="tx1"/>
            </w14:solidFill>
          </w14:textFill>
        </w:rPr>
        <w:t>。</w:t>
      </w:r>
    </w:p>
    <w:p>
      <w:pPr>
        <w:pStyle w:val="8"/>
        <w:keepNext w:val="0"/>
        <w:keepLines w:val="0"/>
        <w:pageBreakBefore w:val="0"/>
        <w:widowControl/>
        <w:kinsoku/>
        <w:wordWrap/>
        <w:overflowPunct/>
        <w:topLinePunct w:val="0"/>
        <w:bidi w:val="0"/>
        <w:adjustRightInd/>
        <w:snapToGrid/>
        <w:spacing w:line="360" w:lineRule="auto"/>
        <w:ind w:leftChars="0" w:firstLine="482"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bookmarkStart w:id="965" w:name="_Toc1287"/>
      <w:r>
        <w:rPr>
          <w:rFonts w:hint="eastAsia" w:ascii="宋体" w:hAnsi="宋体" w:eastAsia="宋体" w:cs="宋体"/>
          <w:color w:val="000000" w:themeColor="text1"/>
          <w:sz w:val="24"/>
          <w:szCs w:val="24"/>
          <w:highlight w:val="none"/>
          <w:lang w:val="en-US" w:eastAsia="zh-CN"/>
          <w14:textFill>
            <w14:solidFill>
              <w14:schemeClr w14:val="tx1"/>
            </w14:solidFill>
          </w14:textFill>
        </w:rPr>
        <w:t>10.1.3污染物排放情况</w:t>
      </w:r>
      <w:bookmarkEnd w:id="965"/>
    </w:p>
    <w:p>
      <w:pPr>
        <w:keepNext w:val="0"/>
        <w:keepLines w:val="0"/>
        <w:pageBreakBefore w:val="0"/>
        <w:widowControl/>
        <w:suppressLineNumbers w:val="0"/>
        <w:kinsoku/>
        <w:wordWrap/>
        <w:overflowPunct/>
        <w:topLinePunct w:val="0"/>
        <w:autoSpaceDE/>
        <w:autoSpaceDN/>
        <w:bidi w:val="0"/>
        <w:adjustRightInd/>
        <w:snapToGrid/>
        <w:spacing w:line="360" w:lineRule="auto"/>
        <w:ind w:leftChars="0" w:firstLine="480" w:firstLineChars="200"/>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1、废气</w:t>
      </w:r>
    </w:p>
    <w:p>
      <w:pPr>
        <w:keepNext w:val="0"/>
        <w:keepLines w:val="0"/>
        <w:pageBreakBefore w:val="0"/>
        <w:widowControl/>
        <w:suppressLineNumbers w:val="0"/>
        <w:kinsoku/>
        <w:wordWrap/>
        <w:overflowPunct/>
        <w:topLinePunct w:val="0"/>
        <w:autoSpaceDE/>
        <w:autoSpaceDN/>
        <w:bidi w:val="0"/>
        <w:adjustRightInd/>
        <w:snapToGrid/>
        <w:spacing w:line="360" w:lineRule="auto"/>
        <w:ind w:leftChars="0" w:firstLine="480" w:firstLineChars="200"/>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项目两条生产线产生的废气主要有投料废气、消泡废气、流涎废气、亚胺化废气，主要污染物为非甲烷总烃和氨。项目两条生产线流延工序均含有四级冷凝回收系统以及亚胺化工序均含有一级冷凝回收系统。两条生产线流延工序共用一套“三级喷淋+湿电系统”，经DA001排气筒高空排放；两条生产线的亚胺化工序，共用一套“二级喷淋+湿电系统”，经DA002排气筒高空排放，排放的废气满足标准中排放限值要求。</w:t>
      </w:r>
    </w:p>
    <w:p>
      <w:pPr>
        <w:keepNext w:val="0"/>
        <w:keepLines w:val="0"/>
        <w:pageBreakBefore w:val="0"/>
        <w:widowControl/>
        <w:suppressLineNumbers w:val="0"/>
        <w:kinsoku/>
        <w:wordWrap/>
        <w:overflowPunct/>
        <w:topLinePunct w:val="0"/>
        <w:autoSpaceDE/>
        <w:autoSpaceDN/>
        <w:bidi w:val="0"/>
        <w:adjustRightInd/>
        <w:snapToGrid/>
        <w:spacing w:line="360" w:lineRule="auto"/>
        <w:ind w:leftChars="0" w:firstLine="480" w:firstLineChars="200"/>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（1）根据估算结果来看，本项目建成实施后，全厂排放污染物非甲烷总烃最大落地浓度占标率仅为1.01%左右，排放的污染物的量很少，对周边的大气环境影响很小。</w:t>
      </w:r>
    </w:p>
    <w:p>
      <w:pPr>
        <w:keepNext w:val="0"/>
        <w:keepLines w:val="0"/>
        <w:pageBreakBefore w:val="0"/>
        <w:widowControl/>
        <w:suppressLineNumbers w:val="0"/>
        <w:kinsoku/>
        <w:wordWrap/>
        <w:overflowPunct/>
        <w:topLinePunct w:val="0"/>
        <w:autoSpaceDE/>
        <w:autoSpaceDN/>
        <w:bidi w:val="0"/>
        <w:adjustRightInd/>
        <w:snapToGrid/>
        <w:spacing w:line="360" w:lineRule="auto"/>
        <w:ind w:leftChars="0" w:firstLine="480" w:firstLineChars="200"/>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本项目所在区域虽属于不达标区域，但已加大对大气环境整治力度，通过严格执行国家政策，严格污染物排放总量控制，限制新建燃煤锅炉，严控高挥发性有机物排放项目等，通过上述一系列防治措施的相继实施，O</w:t>
      </w:r>
      <w:r>
        <w:rPr>
          <w:rFonts w:hint="eastAsia" w:ascii="宋体" w:hAnsi="宋体" w:eastAsia="宋体" w:cs="宋体"/>
          <w:color w:val="000000" w:themeColor="text1"/>
          <w:sz w:val="24"/>
          <w:szCs w:val="24"/>
          <w:highlight w:val="none"/>
          <w:vertAlign w:val="subscript"/>
          <w:lang w:val="en-US" w:eastAsia="zh-CN"/>
          <w14:textFill>
            <w14:solidFill>
              <w14:schemeClr w14:val="tx1"/>
            </w14:solidFill>
          </w14:textFill>
        </w:rPr>
        <w:t>3</w:t>
      </w:r>
      <w:r>
        <w:rPr>
          <w:rFonts w:hint="eastAsia" w:ascii="宋体" w:hAnsi="宋体" w:eastAsia="宋体" w:cs="宋体"/>
          <w:color w:val="000000" w:themeColor="text1"/>
          <w:sz w:val="24"/>
          <w:szCs w:val="24"/>
          <w:highlight w:val="none"/>
          <w:lang w:val="en-US" w:eastAsia="zh-CN"/>
          <w14:textFill>
            <w14:solidFill>
              <w14:schemeClr w14:val="tx1"/>
            </w14:solidFill>
          </w14:textFill>
        </w:rPr>
        <w:t>、Pm</w:t>
      </w:r>
      <w:r>
        <w:rPr>
          <w:rFonts w:hint="eastAsia" w:ascii="宋体" w:hAnsi="宋体" w:eastAsia="宋体" w:cs="宋体"/>
          <w:color w:val="000000" w:themeColor="text1"/>
          <w:sz w:val="24"/>
          <w:szCs w:val="24"/>
          <w:highlight w:val="none"/>
          <w:vertAlign w:val="subscript"/>
          <w:lang w:val="en-US" w:eastAsia="zh-CN"/>
          <w14:textFill>
            <w14:solidFill>
              <w14:schemeClr w14:val="tx1"/>
            </w14:solidFill>
          </w14:textFill>
        </w:rPr>
        <w:t>2.5</w:t>
      </w:r>
      <w:r>
        <w:rPr>
          <w:rFonts w:hint="eastAsia" w:ascii="宋体" w:hAnsi="宋体" w:eastAsia="宋体" w:cs="宋体"/>
          <w:color w:val="000000" w:themeColor="text1"/>
          <w:sz w:val="24"/>
          <w:szCs w:val="24"/>
          <w:highlight w:val="none"/>
          <w:lang w:val="en-US" w:eastAsia="zh-CN"/>
          <w14:textFill>
            <w14:solidFill>
              <w14:schemeClr w14:val="tx1"/>
            </w14:solidFill>
          </w14:textFill>
        </w:rPr>
        <w:t>等超标问题会得到逐步改善。</w:t>
      </w:r>
    </w:p>
    <w:p>
      <w:pPr>
        <w:keepNext w:val="0"/>
        <w:keepLines w:val="0"/>
        <w:pageBreakBefore w:val="0"/>
        <w:widowControl/>
        <w:suppressLineNumbers w:val="0"/>
        <w:kinsoku/>
        <w:wordWrap/>
        <w:overflowPunct/>
        <w:topLinePunct w:val="0"/>
        <w:autoSpaceDE/>
        <w:autoSpaceDN/>
        <w:bidi w:val="0"/>
        <w:adjustRightInd/>
        <w:snapToGrid/>
        <w:spacing w:line="360" w:lineRule="auto"/>
        <w:ind w:leftChars="0" w:firstLine="480" w:firstLineChars="200"/>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本项目实施后，全厂排放非甲烷总烃等污染物，根据估算结果，所有污染物因子正常排放，对周边大气环境的影响很小。</w:t>
      </w:r>
    </w:p>
    <w:p>
      <w:pPr>
        <w:keepNext w:val="0"/>
        <w:keepLines w:val="0"/>
        <w:pageBreakBefore w:val="0"/>
        <w:widowControl/>
        <w:suppressLineNumbers w:val="0"/>
        <w:kinsoku/>
        <w:wordWrap/>
        <w:overflowPunct/>
        <w:topLinePunct w:val="0"/>
        <w:autoSpaceDE/>
        <w:autoSpaceDN/>
        <w:bidi w:val="0"/>
        <w:adjustRightInd/>
        <w:snapToGrid/>
        <w:spacing w:line="360" w:lineRule="auto"/>
        <w:ind w:leftChars="0" w:firstLine="480" w:firstLineChars="200"/>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（3）本项目废气处理装置具备可行性，正常工况下，能够实现稳定达标排放。</w:t>
      </w:r>
    </w:p>
    <w:p>
      <w:pPr>
        <w:keepNext w:val="0"/>
        <w:keepLines w:val="0"/>
        <w:pageBreakBefore w:val="0"/>
        <w:widowControl/>
        <w:suppressLineNumbers w:val="0"/>
        <w:kinsoku/>
        <w:wordWrap/>
        <w:overflowPunct/>
        <w:topLinePunct w:val="0"/>
        <w:autoSpaceDE/>
        <w:autoSpaceDN/>
        <w:bidi w:val="0"/>
        <w:adjustRightInd/>
        <w:snapToGrid/>
        <w:spacing w:line="360" w:lineRule="auto"/>
        <w:ind w:leftChars="0" w:firstLine="480" w:firstLineChars="200"/>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综上所述，本项目大气环境影响属于可以接受。</w:t>
      </w:r>
    </w:p>
    <w:p>
      <w:pPr>
        <w:keepNext w:val="0"/>
        <w:keepLines w:val="0"/>
        <w:pageBreakBefore w:val="0"/>
        <w:widowControl/>
        <w:suppressLineNumbers w:val="0"/>
        <w:kinsoku/>
        <w:wordWrap/>
        <w:overflowPunct/>
        <w:topLinePunct w:val="0"/>
        <w:autoSpaceDE/>
        <w:autoSpaceDN/>
        <w:bidi w:val="0"/>
        <w:adjustRightInd/>
        <w:snapToGrid/>
        <w:spacing w:line="360" w:lineRule="auto"/>
        <w:ind w:leftChars="0" w:firstLine="480" w:firstLineChars="200"/>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2、废水</w:t>
      </w:r>
    </w:p>
    <w:p>
      <w:pPr>
        <w:keepNext w:val="0"/>
        <w:keepLines w:val="0"/>
        <w:pageBreakBefore w:val="0"/>
        <w:widowControl/>
        <w:suppressLineNumbers w:val="0"/>
        <w:kinsoku/>
        <w:wordWrap/>
        <w:overflowPunct/>
        <w:topLinePunct w:val="0"/>
        <w:autoSpaceDE/>
        <w:autoSpaceDN/>
        <w:bidi w:val="0"/>
        <w:adjustRightInd/>
        <w:snapToGrid/>
        <w:spacing w:line="360" w:lineRule="auto"/>
        <w:ind w:leftChars="0" w:firstLine="480" w:firstLineChars="200"/>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项目废水主要为地面保洁废水。本项目废水排量较小，水质较为简单，正常工况下，全厂污水可实现稳定达标排放，经化粪池预处理后的废水满足河西污水处理厂接管标准，总体来看，水质可以实现接管，对污水处理厂不会造成大的冲击负荷，不会影响污水处理厂正常运行。</w:t>
      </w:r>
    </w:p>
    <w:p>
      <w:pPr>
        <w:keepNext w:val="0"/>
        <w:keepLines w:val="0"/>
        <w:pageBreakBefore w:val="0"/>
        <w:widowControl/>
        <w:suppressLineNumbers w:val="0"/>
        <w:kinsoku/>
        <w:wordWrap/>
        <w:overflowPunct/>
        <w:topLinePunct w:val="0"/>
        <w:autoSpaceDE/>
        <w:autoSpaceDN/>
        <w:bidi w:val="0"/>
        <w:adjustRightInd/>
        <w:snapToGrid/>
        <w:spacing w:line="360" w:lineRule="auto"/>
        <w:ind w:leftChars="0" w:firstLine="480" w:firstLineChars="200"/>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综上，项目废水的排放不会对区域水环境产生影响。</w:t>
      </w:r>
    </w:p>
    <w:p>
      <w:pPr>
        <w:keepNext w:val="0"/>
        <w:keepLines w:val="0"/>
        <w:pageBreakBefore w:val="0"/>
        <w:widowControl/>
        <w:suppressLineNumbers w:val="0"/>
        <w:kinsoku/>
        <w:wordWrap/>
        <w:overflowPunct/>
        <w:topLinePunct w:val="0"/>
        <w:autoSpaceDE/>
        <w:autoSpaceDN/>
        <w:bidi w:val="0"/>
        <w:adjustRightInd/>
        <w:snapToGrid/>
        <w:spacing w:line="360" w:lineRule="auto"/>
        <w:ind w:leftChars="0" w:firstLine="480" w:firstLineChars="200"/>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3、噪声</w:t>
      </w:r>
    </w:p>
    <w:p>
      <w:pPr>
        <w:keepNext w:val="0"/>
        <w:keepLines w:val="0"/>
        <w:pageBreakBefore w:val="0"/>
        <w:widowControl/>
        <w:suppressLineNumbers w:val="0"/>
        <w:kinsoku/>
        <w:wordWrap/>
        <w:overflowPunct/>
        <w:topLinePunct w:val="0"/>
        <w:autoSpaceDE/>
        <w:autoSpaceDN/>
        <w:bidi w:val="0"/>
        <w:adjustRightInd/>
        <w:snapToGrid/>
        <w:spacing w:line="360" w:lineRule="auto"/>
        <w:ind w:leftChars="0" w:firstLine="480" w:firstLineChars="200"/>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本项目实施后，全厂噪声源主要来自泵类在运行过程中产生的设备噪声，其声级范围为75-85dB(A)，通过对机泵加装消音设施，基座设置减震等治理措施，通过选用低噪声设备，厂界噪声满足《工业企业厂界环境噪声排放标准》（GB12348-2008）3类标准。</w:t>
      </w:r>
    </w:p>
    <w:p>
      <w:pPr>
        <w:keepNext w:val="0"/>
        <w:keepLines w:val="0"/>
        <w:pageBreakBefore w:val="0"/>
        <w:widowControl/>
        <w:suppressLineNumbers w:val="0"/>
        <w:kinsoku/>
        <w:wordWrap/>
        <w:overflowPunct/>
        <w:topLinePunct w:val="0"/>
        <w:autoSpaceDE/>
        <w:autoSpaceDN/>
        <w:bidi w:val="0"/>
        <w:adjustRightInd/>
        <w:snapToGrid/>
        <w:spacing w:line="360" w:lineRule="auto"/>
        <w:ind w:leftChars="0" w:firstLine="480" w:firstLineChars="200"/>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综上，项目噪声对周边环境影响不大。</w:t>
      </w:r>
    </w:p>
    <w:p>
      <w:pPr>
        <w:keepNext w:val="0"/>
        <w:keepLines w:val="0"/>
        <w:pageBreakBefore w:val="0"/>
        <w:widowControl/>
        <w:suppressLineNumbers w:val="0"/>
        <w:kinsoku/>
        <w:wordWrap/>
        <w:overflowPunct/>
        <w:topLinePunct w:val="0"/>
        <w:autoSpaceDE/>
        <w:autoSpaceDN/>
        <w:bidi w:val="0"/>
        <w:adjustRightInd/>
        <w:snapToGrid/>
        <w:spacing w:line="360" w:lineRule="auto"/>
        <w:ind w:leftChars="0" w:firstLine="480" w:firstLineChars="200"/>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4、固体废物</w:t>
      </w:r>
    </w:p>
    <w:p>
      <w:pPr>
        <w:keepNext w:val="0"/>
        <w:keepLines w:val="0"/>
        <w:pageBreakBefore w:val="0"/>
        <w:widowControl/>
        <w:suppressLineNumbers w:val="0"/>
        <w:kinsoku/>
        <w:wordWrap/>
        <w:overflowPunct/>
        <w:topLinePunct w:val="0"/>
        <w:autoSpaceDE/>
        <w:autoSpaceDN/>
        <w:bidi w:val="0"/>
        <w:adjustRightInd/>
        <w:snapToGrid/>
        <w:spacing w:line="360" w:lineRule="auto"/>
        <w:ind w:leftChars="0" w:firstLine="480" w:firstLineChars="200"/>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本项目新增固体废物主要为废气处理装置产生的</w:t>
      </w:r>
      <w:r>
        <w:rPr>
          <w:rFonts w:hint="eastAsia" w:ascii="宋体" w:hAnsi="宋体" w:eastAsia="宋体" w:cs="宋体"/>
          <w:color w:val="000000" w:themeColor="text1"/>
          <w:highlight w:val="none"/>
          <w:lang w:val="en-US" w:eastAsia="zh-CN"/>
          <w14:textFill>
            <w14:solidFill>
              <w14:schemeClr w14:val="tx1"/>
            </w14:solidFill>
          </w14:textFill>
        </w:rPr>
        <w:t>不合格品、</w:t>
      </w:r>
      <w:r>
        <w:rPr>
          <w:rFonts w:hint="eastAsia" w:ascii="宋体" w:hAnsi="宋体" w:eastAsia="宋体" w:cs="宋体"/>
          <w:color w:val="000000" w:themeColor="text1"/>
          <w:highlight w:val="none"/>
          <w14:textFill>
            <w14:solidFill>
              <w14:schemeClr w14:val="tx1"/>
            </w14:solidFill>
          </w14:textFill>
        </w:rPr>
        <w:t>边</w:t>
      </w:r>
      <w:r>
        <w:rPr>
          <w:rFonts w:hint="eastAsia" w:ascii="宋体" w:hAnsi="宋体" w:eastAsia="宋体" w:cs="宋体"/>
          <w:color w:val="000000" w:themeColor="text1"/>
          <w:highlight w:val="none"/>
          <w:lang w:val="en-US" w:eastAsia="zh-CN"/>
          <w14:textFill>
            <w14:solidFill>
              <w14:schemeClr w14:val="tx1"/>
            </w14:solidFill>
          </w14:textFill>
        </w:rPr>
        <w:t>废</w:t>
      </w:r>
      <w:r>
        <w:rPr>
          <w:rFonts w:hint="eastAsia" w:ascii="宋体" w:hAnsi="宋体" w:eastAsia="宋体" w:cs="宋体"/>
          <w:color w:val="000000" w:themeColor="text1"/>
          <w:highlight w:val="none"/>
          <w14:textFill>
            <w14:solidFill>
              <w14:schemeClr w14:val="tx1"/>
            </w14:solidFill>
          </w14:textFill>
        </w:rPr>
        <w:t>角料</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废</w:t>
      </w:r>
      <w:r>
        <w:rPr>
          <w:rFonts w:hint="eastAsia" w:ascii="宋体" w:hAnsi="宋体" w:eastAsia="宋体" w:cs="宋体"/>
          <w:color w:val="000000" w:themeColor="text1"/>
          <w:highlight w:val="none"/>
          <w14:textFill>
            <w14:solidFill>
              <w14:schemeClr w14:val="tx1"/>
            </w14:solidFill>
          </w14:textFill>
        </w:rPr>
        <w:t>外包装</w:t>
      </w:r>
      <w:r>
        <w:rPr>
          <w:rFonts w:hint="eastAsia" w:ascii="宋体" w:hAnsi="宋体" w:eastAsia="宋体" w:cs="宋体"/>
          <w:color w:val="000000" w:themeColor="text1"/>
          <w:highlight w:val="none"/>
          <w:lang w:val="en-US" w:eastAsia="zh-CN"/>
          <w14:textFill>
            <w14:solidFill>
              <w14:schemeClr w14:val="tx1"/>
            </w14:solidFill>
          </w14:textFill>
        </w:rPr>
        <w:t>材料和DMAC副产品、</w:t>
      </w:r>
      <w:r>
        <w:rPr>
          <w:rFonts w:hint="eastAsia" w:ascii="宋体" w:hAnsi="宋体" w:eastAsia="宋体" w:cs="宋体"/>
          <w:color w:val="000000" w:themeColor="text1"/>
          <w:highlight w:val="none"/>
          <w14:textFill>
            <w14:solidFill>
              <w14:schemeClr w14:val="tx1"/>
            </w14:solidFill>
          </w14:textFill>
        </w:rPr>
        <w:t>废内包装材料、废润滑油、含油废抹布手套（分类收集的）</w:t>
      </w:r>
      <w:r>
        <w:rPr>
          <w:rFonts w:hint="eastAsia" w:ascii="宋体" w:hAnsi="宋体" w:eastAsia="宋体" w:cs="宋体"/>
          <w:color w:val="000000" w:themeColor="text1"/>
          <w:sz w:val="24"/>
          <w:szCs w:val="24"/>
          <w:highlight w:val="none"/>
          <w:lang w:val="en-US" w:eastAsia="zh-CN"/>
          <w14:textFill>
            <w14:solidFill>
              <w14:schemeClr w14:val="tx1"/>
            </w14:solidFill>
          </w14:textFill>
        </w:rPr>
        <w:t>等。</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项目产生的</w:t>
      </w:r>
      <w:r>
        <w:rPr>
          <w:rFonts w:hint="eastAsia" w:ascii="宋体" w:hAnsi="宋体" w:eastAsia="宋体" w:cs="宋体"/>
          <w:color w:val="000000" w:themeColor="text1"/>
          <w:highlight w:val="none"/>
          <w:lang w:val="en-US" w:eastAsia="zh-CN"/>
          <w14:textFill>
            <w14:solidFill>
              <w14:schemeClr w14:val="tx1"/>
            </w14:solidFill>
          </w14:textFill>
        </w:rPr>
        <w:t>不合格品、</w:t>
      </w:r>
      <w:r>
        <w:rPr>
          <w:rFonts w:hint="eastAsia" w:ascii="宋体" w:hAnsi="宋体" w:eastAsia="宋体" w:cs="宋体"/>
          <w:color w:val="000000" w:themeColor="text1"/>
          <w:highlight w:val="none"/>
          <w14:textFill>
            <w14:solidFill>
              <w14:schemeClr w14:val="tx1"/>
            </w14:solidFill>
          </w14:textFill>
        </w:rPr>
        <w:t>边</w:t>
      </w:r>
      <w:r>
        <w:rPr>
          <w:rFonts w:hint="eastAsia" w:ascii="宋体" w:hAnsi="宋体" w:eastAsia="宋体" w:cs="宋体"/>
          <w:color w:val="000000" w:themeColor="text1"/>
          <w:highlight w:val="none"/>
          <w:lang w:val="en-US" w:eastAsia="zh-CN"/>
          <w14:textFill>
            <w14:solidFill>
              <w14:schemeClr w14:val="tx1"/>
            </w14:solidFill>
          </w14:textFill>
        </w:rPr>
        <w:t>废</w:t>
      </w:r>
      <w:r>
        <w:rPr>
          <w:rFonts w:hint="eastAsia" w:ascii="宋体" w:hAnsi="宋体" w:eastAsia="宋体" w:cs="宋体"/>
          <w:color w:val="000000" w:themeColor="text1"/>
          <w:highlight w:val="none"/>
          <w14:textFill>
            <w14:solidFill>
              <w14:schemeClr w14:val="tx1"/>
            </w14:solidFill>
          </w14:textFill>
        </w:rPr>
        <w:t>角料</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废</w:t>
      </w:r>
      <w:r>
        <w:rPr>
          <w:rFonts w:hint="eastAsia" w:ascii="宋体" w:hAnsi="宋体" w:eastAsia="宋体" w:cs="宋体"/>
          <w:color w:val="000000" w:themeColor="text1"/>
          <w:highlight w:val="none"/>
          <w14:textFill>
            <w14:solidFill>
              <w14:schemeClr w14:val="tx1"/>
            </w14:solidFill>
          </w14:textFill>
        </w:rPr>
        <w:t>外包装</w:t>
      </w:r>
      <w:r>
        <w:rPr>
          <w:rFonts w:hint="eastAsia" w:ascii="宋体" w:hAnsi="宋体" w:eastAsia="宋体" w:cs="宋体"/>
          <w:color w:val="000000" w:themeColor="text1"/>
          <w:highlight w:val="none"/>
          <w:lang w:val="en-US" w:eastAsia="zh-CN"/>
          <w14:textFill>
            <w14:solidFill>
              <w14:schemeClr w14:val="tx1"/>
            </w14:solidFill>
          </w14:textFill>
        </w:rPr>
        <w:t>材料收集后由物资公司回收，DMAC副产品收集至副产品储罐，30%副产经精馏系统回用生产，70%外售</w:t>
      </w:r>
      <w:r>
        <w:rPr>
          <w:rFonts w:hint="eastAsia" w:ascii="宋体" w:hAnsi="宋体" w:eastAsia="宋体" w:cs="宋体"/>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废内包装材料、废润滑油、含油废抹布手套（分类收集的）</w:t>
      </w:r>
      <w:r>
        <w:rPr>
          <w:rFonts w:hint="eastAsia" w:ascii="宋体" w:hAnsi="宋体" w:eastAsia="宋体" w:cs="宋体"/>
          <w:color w:val="000000" w:themeColor="text1"/>
          <w:kern w:val="0"/>
          <w:sz w:val="24"/>
          <w:szCs w:val="24"/>
          <w:lang w:val="en-US" w:eastAsia="zh-CN" w:bidi="ar"/>
          <w14:textFill>
            <w14:solidFill>
              <w14:schemeClr w14:val="tx1"/>
            </w14:solidFill>
          </w14:textFill>
        </w:rPr>
        <w:t>临时贮存于厂区80m²危废间内，定期交由有危废处置资质的单位外运处置。</w:t>
      </w:r>
    </w:p>
    <w:p>
      <w:pPr>
        <w:keepNext w:val="0"/>
        <w:keepLines w:val="0"/>
        <w:pageBreakBefore w:val="0"/>
        <w:widowControl/>
        <w:suppressLineNumbers w:val="0"/>
        <w:kinsoku/>
        <w:wordWrap/>
        <w:overflowPunct/>
        <w:topLinePunct w:val="0"/>
        <w:autoSpaceDE/>
        <w:autoSpaceDN/>
        <w:bidi w:val="0"/>
        <w:adjustRightInd/>
        <w:snapToGrid/>
        <w:spacing w:line="360" w:lineRule="auto"/>
        <w:ind w:leftChars="0" w:firstLine="480" w:firstLineChars="200"/>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本项目实施后，全厂危废均能得到合理处置，不会对环境造成影响。</w:t>
      </w:r>
    </w:p>
    <w:p>
      <w:pPr>
        <w:keepNext w:val="0"/>
        <w:keepLines w:val="0"/>
        <w:pageBreakBefore w:val="0"/>
        <w:widowControl/>
        <w:suppressLineNumbers w:val="0"/>
        <w:kinsoku/>
        <w:wordWrap/>
        <w:overflowPunct/>
        <w:topLinePunct w:val="0"/>
        <w:autoSpaceDE/>
        <w:autoSpaceDN/>
        <w:bidi w:val="0"/>
        <w:adjustRightInd/>
        <w:snapToGrid/>
        <w:spacing w:line="360" w:lineRule="auto"/>
        <w:ind w:leftChars="0" w:firstLine="480" w:firstLineChars="200"/>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5、地下水及土壤</w:t>
      </w:r>
    </w:p>
    <w:p>
      <w:pPr>
        <w:keepNext w:val="0"/>
        <w:keepLines w:val="0"/>
        <w:pageBreakBefore w:val="0"/>
        <w:widowControl/>
        <w:suppressLineNumbers w:val="0"/>
        <w:kinsoku/>
        <w:wordWrap/>
        <w:overflowPunct/>
        <w:topLinePunct w:val="0"/>
        <w:autoSpaceDE/>
        <w:autoSpaceDN/>
        <w:bidi w:val="0"/>
        <w:adjustRightInd/>
        <w:snapToGrid/>
        <w:spacing w:line="360" w:lineRule="auto"/>
        <w:ind w:leftChars="0" w:firstLine="480" w:firstLineChars="200"/>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只要切实落实好废水集中收集工作，做好地面分区防渗，特别是危废暂存间、原料仓库、储罐区装置区等易污染区地面防渗工作，本项目的建设对地下水环境影响较小。</w:t>
      </w:r>
    </w:p>
    <w:p>
      <w:pPr>
        <w:keepNext w:val="0"/>
        <w:keepLines w:val="0"/>
        <w:pageBreakBefore w:val="0"/>
        <w:widowControl/>
        <w:suppressLineNumbers w:val="0"/>
        <w:kinsoku/>
        <w:wordWrap/>
        <w:overflowPunct/>
        <w:topLinePunct w:val="0"/>
        <w:autoSpaceDE/>
        <w:autoSpaceDN/>
        <w:bidi w:val="0"/>
        <w:adjustRightInd/>
        <w:snapToGrid/>
        <w:spacing w:line="360" w:lineRule="auto"/>
        <w:ind w:leftChars="0" w:firstLine="480" w:firstLineChars="200"/>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6、风险</w:t>
      </w:r>
    </w:p>
    <w:p>
      <w:pPr>
        <w:keepNext w:val="0"/>
        <w:keepLines w:val="0"/>
        <w:pageBreakBefore w:val="0"/>
        <w:widowControl/>
        <w:suppressLineNumbers w:val="0"/>
        <w:kinsoku/>
        <w:wordWrap/>
        <w:overflowPunct/>
        <w:topLinePunct w:val="0"/>
        <w:autoSpaceDE/>
        <w:autoSpaceDN/>
        <w:bidi w:val="0"/>
        <w:adjustRightInd/>
        <w:snapToGrid/>
        <w:spacing w:line="360" w:lineRule="auto"/>
        <w:ind w:leftChars="0" w:firstLine="480" w:firstLineChars="200"/>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本项目为电子专用材料制造项目，涉及的二甲基乙酰胺物质具有火灾爆炸危险性，总体上建设项目存在一定程度的火灾和爆炸风险。根据环境风险评价结果，项目物料泄露以及泄露后发生火灾时，影响范围均较小，项目位于工业区内，周边皆为生产企业，最近的敏感点为距离项目地701m处的恒大御景小区，不会对居民身体造成不可逆的健康危害。本环评认为本项目的泄漏风险是在可接受范围内。</w:t>
      </w:r>
    </w:p>
    <w:p>
      <w:pPr>
        <w:pStyle w:val="8"/>
        <w:keepNext w:val="0"/>
        <w:keepLines w:val="0"/>
        <w:pageBreakBefore w:val="0"/>
        <w:widowControl/>
        <w:kinsoku/>
        <w:wordWrap/>
        <w:overflowPunct/>
        <w:topLinePunct w:val="0"/>
        <w:bidi w:val="0"/>
        <w:adjustRightInd/>
        <w:snapToGrid/>
        <w:spacing w:line="360" w:lineRule="auto"/>
        <w:ind w:leftChars="0" w:firstLine="482"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bookmarkStart w:id="966" w:name="_Toc28020"/>
      <w:r>
        <w:rPr>
          <w:rFonts w:hint="eastAsia" w:ascii="宋体" w:hAnsi="宋体" w:eastAsia="宋体" w:cs="宋体"/>
          <w:color w:val="000000" w:themeColor="text1"/>
          <w:sz w:val="24"/>
          <w:szCs w:val="24"/>
          <w:highlight w:val="none"/>
          <w:lang w:val="en-US" w:eastAsia="zh-CN"/>
          <w14:textFill>
            <w14:solidFill>
              <w14:schemeClr w14:val="tx1"/>
            </w14:solidFill>
          </w14:textFill>
        </w:rPr>
        <w:t>10.1.4产业政策符合性</w:t>
      </w:r>
      <w:bookmarkEnd w:id="966"/>
    </w:p>
    <w:p>
      <w:pPr>
        <w:keepNext w:val="0"/>
        <w:keepLines w:val="0"/>
        <w:pageBreakBefore w:val="0"/>
        <w:kinsoku/>
        <w:wordWrap/>
        <w:overflowPunct/>
        <w:topLinePunct w:val="0"/>
        <w:bidi w:val="0"/>
        <w:adjustRightInd/>
        <w:snapToGrid/>
        <w:spacing w:line="360" w:lineRule="auto"/>
        <w:ind w:leftChars="0" w:firstLine="480" w:firstLineChars="200"/>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依据《国民经济行业分类》（GB/T4754-2017），该项目</w:t>
      </w:r>
      <w:r>
        <w:rPr>
          <w:rFonts w:hint="eastAsia" w:ascii="宋体" w:hAnsi="宋体" w:eastAsia="宋体" w:cs="宋体"/>
          <w:color w:val="000000" w:themeColor="text1"/>
          <w:sz w:val="24"/>
          <w:szCs w:val="24"/>
          <w:highlight w:val="none"/>
          <w:lang w:val="en-US" w:eastAsia="zh-CN"/>
          <w14:textFill>
            <w14:solidFill>
              <w14:schemeClr w14:val="tx1"/>
            </w14:solidFill>
          </w14:textFill>
        </w:rPr>
        <w:t>为</w:t>
      </w:r>
      <w:r>
        <w:rPr>
          <w:rFonts w:hint="eastAsia" w:ascii="宋体" w:hAnsi="宋体" w:eastAsia="宋体" w:cs="宋体"/>
          <w:color w:val="000000" w:themeColor="text1"/>
          <w:sz w:val="24"/>
          <w:szCs w:val="24"/>
          <w:highlight w:val="none"/>
          <w14:textFill>
            <w14:solidFill>
              <w14:schemeClr w14:val="tx1"/>
            </w14:solidFill>
          </w14:textFill>
        </w:rPr>
        <w:t>“电子专用材料制造（C-3985）”建设项目。</w:t>
      </w:r>
      <w:r>
        <w:rPr>
          <w:rFonts w:hint="eastAsia" w:ascii="宋体" w:hAnsi="宋体" w:eastAsia="宋体" w:cs="宋体"/>
          <w:bCs/>
          <w:color w:val="000000" w:themeColor="text1"/>
          <w:sz w:val="24"/>
          <w:szCs w:val="24"/>
          <w:highlight w:val="none"/>
          <w14:textFill>
            <w14:solidFill>
              <w14:schemeClr w14:val="tx1"/>
            </w14:solidFill>
          </w14:textFill>
        </w:rPr>
        <w:t>根据《产业结构调整指导目录》（20</w:t>
      </w:r>
      <w:r>
        <w:rPr>
          <w:rFonts w:hint="eastAsia" w:ascii="宋体" w:hAnsi="宋体" w:eastAsia="宋体" w:cs="宋体"/>
          <w:bCs/>
          <w:color w:val="000000" w:themeColor="text1"/>
          <w:sz w:val="24"/>
          <w:szCs w:val="24"/>
          <w:highlight w:val="none"/>
          <w:lang w:val="en-US" w:eastAsia="zh-CN"/>
          <w14:textFill>
            <w14:solidFill>
              <w14:schemeClr w14:val="tx1"/>
            </w14:solidFill>
          </w14:textFill>
        </w:rPr>
        <w:t>19</w:t>
      </w:r>
      <w:r>
        <w:rPr>
          <w:rFonts w:hint="eastAsia" w:ascii="宋体" w:hAnsi="宋体" w:eastAsia="宋体" w:cs="宋体"/>
          <w:bCs/>
          <w:color w:val="000000" w:themeColor="text1"/>
          <w:sz w:val="24"/>
          <w:szCs w:val="24"/>
          <w:highlight w:val="none"/>
          <w14:textFill>
            <w14:solidFill>
              <w14:schemeClr w14:val="tx1"/>
            </w14:solidFill>
          </w14:textFill>
        </w:rPr>
        <w:t>年），本项目聚酰亚胺薄膜属于鼓励类中第十一类第14项“纳米材料，功能性膜材料，超净高纯试剂、光刻胶、电子气、高性能液晶材料等新型精细化学品的开发与生产”，为国家产业政策鼓励发展的行业。</w:t>
      </w:r>
    </w:p>
    <w:p>
      <w:pPr>
        <w:pStyle w:val="8"/>
        <w:keepNext w:val="0"/>
        <w:keepLines w:val="0"/>
        <w:pageBreakBefore w:val="0"/>
        <w:widowControl/>
        <w:kinsoku/>
        <w:wordWrap/>
        <w:overflowPunct/>
        <w:topLinePunct w:val="0"/>
        <w:bidi w:val="0"/>
        <w:adjustRightInd/>
        <w:snapToGrid/>
        <w:spacing w:line="360" w:lineRule="auto"/>
        <w:ind w:leftChars="0" w:firstLine="482"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bookmarkStart w:id="967" w:name="_Toc3522"/>
      <w:r>
        <w:rPr>
          <w:rFonts w:hint="eastAsia" w:ascii="宋体" w:hAnsi="宋体" w:eastAsia="宋体" w:cs="宋体"/>
          <w:color w:val="000000" w:themeColor="text1"/>
          <w:sz w:val="24"/>
          <w:szCs w:val="24"/>
          <w:highlight w:val="none"/>
          <w:lang w:val="en-US" w:eastAsia="zh-CN"/>
          <w14:textFill>
            <w14:solidFill>
              <w14:schemeClr w14:val="tx1"/>
            </w14:solidFill>
          </w14:textFill>
        </w:rPr>
        <w:t>10.1.6公众参与</w:t>
      </w:r>
      <w:bookmarkEnd w:id="967"/>
    </w:p>
    <w:p>
      <w:pPr>
        <w:keepNext w:val="0"/>
        <w:keepLines w:val="0"/>
        <w:pageBreakBefore w:val="0"/>
        <w:widowControl/>
        <w:suppressLineNumbers w:val="0"/>
        <w:kinsoku/>
        <w:wordWrap/>
        <w:overflowPunct/>
        <w:topLinePunct w:val="0"/>
        <w:bidi w:val="0"/>
        <w:adjustRightInd/>
        <w:snapToGrid/>
        <w:spacing w:line="360" w:lineRule="auto"/>
        <w:ind w:leftChars="0" w:firstLine="480" w:firstLineChars="200"/>
        <w:jc w:val="lef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本次环评期间，建设单位根据《环境影响评价公众参与办法》（生态环境部令第4号）等法规文件要求，在政府网站以及当地报刊上对项目情况进行了公示，公示期间建设单位、环评单位及当地环保部门未收到公民和有关单位的来电、来函发表相关意见。</w:t>
      </w:r>
    </w:p>
    <w:p>
      <w:pPr>
        <w:pStyle w:val="8"/>
        <w:keepNext w:val="0"/>
        <w:keepLines w:val="0"/>
        <w:pageBreakBefore w:val="0"/>
        <w:widowControl/>
        <w:kinsoku/>
        <w:wordWrap/>
        <w:overflowPunct/>
        <w:topLinePunct w:val="0"/>
        <w:bidi w:val="0"/>
        <w:adjustRightInd/>
        <w:snapToGrid/>
        <w:spacing w:line="360" w:lineRule="auto"/>
        <w:ind w:leftChars="0" w:firstLine="482"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bookmarkStart w:id="968" w:name="_Toc6020"/>
      <w:r>
        <w:rPr>
          <w:rFonts w:hint="eastAsia" w:ascii="宋体" w:hAnsi="宋体" w:eastAsia="宋体" w:cs="宋体"/>
          <w:color w:val="000000" w:themeColor="text1"/>
          <w:sz w:val="24"/>
          <w:szCs w:val="24"/>
          <w:highlight w:val="none"/>
          <w:lang w:val="en-US" w:eastAsia="zh-CN"/>
          <w14:textFill>
            <w14:solidFill>
              <w14:schemeClr w14:val="tx1"/>
            </w14:solidFill>
          </w14:textFill>
        </w:rPr>
        <w:t>10.1.7结论</w:t>
      </w:r>
      <w:bookmarkEnd w:id="968"/>
    </w:p>
    <w:bookmarkEnd w:id="958"/>
    <w:bookmarkEnd w:id="959"/>
    <w:bookmarkEnd w:id="960"/>
    <w:bookmarkEnd w:id="961"/>
    <w:bookmarkEnd w:id="962"/>
    <w:bookmarkEnd w:id="964"/>
    <w:p>
      <w:pPr>
        <w:keepNext w:val="0"/>
        <w:keepLines w:val="0"/>
        <w:pageBreakBefore w:val="0"/>
        <w:widowControl w:val="0"/>
        <w:kinsoku/>
        <w:wordWrap/>
        <w:overflowPunct/>
        <w:topLinePunct w:val="0"/>
        <w:bidi w:val="0"/>
        <w:adjustRightInd/>
        <w:snapToGrid/>
        <w:spacing w:line="360" w:lineRule="auto"/>
        <w:ind w:leftChars="0" w:firstLine="480" w:firstLineChars="200"/>
        <w:jc w:val="both"/>
        <w:textAlignment w:val="auto"/>
        <w:rPr>
          <w:rFonts w:hint="eastAsia" w:ascii="宋体" w:hAnsi="宋体" w:eastAsia="宋体" w:cs="宋体"/>
          <w:color w:val="000000" w:themeColor="text1"/>
          <w:sz w:val="24"/>
          <w:szCs w:val="24"/>
          <w:highlight w:val="none"/>
          <w14:textFill>
            <w14:solidFill>
              <w14:schemeClr w14:val="tx1"/>
            </w14:solidFill>
          </w14:textFill>
        </w:rPr>
      </w:pPr>
      <w:bookmarkStart w:id="969" w:name="_Toc592"/>
      <w:bookmarkStart w:id="970" w:name="_Toc326606292"/>
      <w:bookmarkStart w:id="971" w:name="_Toc326605095"/>
      <w:bookmarkStart w:id="972" w:name="_Toc26696_WPSOffice_Level2"/>
      <w:bookmarkStart w:id="973" w:name="_Toc252347715"/>
      <w:bookmarkStart w:id="974" w:name="_Toc326606526"/>
      <w:bookmarkStart w:id="975" w:name="_Toc326604560"/>
      <w:bookmarkStart w:id="976" w:name="_Toc30021_WPSOffice_Level2"/>
      <w:r>
        <w:rPr>
          <w:rFonts w:hint="eastAsia" w:ascii="宋体" w:hAnsi="宋体" w:eastAsia="宋体" w:cs="宋体"/>
          <w:color w:val="000000" w:themeColor="text1"/>
          <w:kern w:val="0"/>
          <w:sz w:val="24"/>
          <w:szCs w:val="24"/>
          <w:lang w:val="en-US" w:eastAsia="zh-CN" w:bidi="ar"/>
          <w14:textFill>
            <w14:solidFill>
              <w14:schemeClr w14:val="tx1"/>
            </w14:solidFill>
          </w14:textFill>
        </w:rPr>
        <w:t>综上所述，</w:t>
      </w:r>
      <w:r>
        <w:rPr>
          <w:rFonts w:hint="eastAsia" w:ascii="宋体" w:hAnsi="宋体" w:eastAsia="宋体" w:cs="宋体"/>
          <w:color w:val="000000" w:themeColor="text1"/>
          <w:sz w:val="24"/>
          <w:szCs w:val="24"/>
          <w:highlight w:val="none"/>
          <w:lang w:eastAsia="zh-CN"/>
          <w14:textFill>
            <w14:solidFill>
              <w14:schemeClr w14:val="tx1"/>
            </w14:solidFill>
          </w14:textFill>
        </w:rPr>
        <w:t>株洲市绝缘材料有限责任公司</w:t>
      </w:r>
      <w:r>
        <w:rPr>
          <w:rFonts w:hint="eastAsia" w:ascii="宋体" w:hAnsi="宋体" w:eastAsia="宋体" w:cs="宋体"/>
          <w:color w:val="000000" w:themeColor="text1"/>
          <w:kern w:val="0"/>
          <w:sz w:val="24"/>
          <w:szCs w:val="24"/>
          <w:lang w:val="en-US" w:eastAsia="zh-CN" w:bidi="ar"/>
          <w14:textFill>
            <w14:solidFill>
              <w14:schemeClr w14:val="tx1"/>
            </w14:solidFill>
          </w14:textFill>
        </w:rPr>
        <w:t>高性能电子级聚酰亚胺薄膜项目</w:t>
      </w:r>
      <w:r>
        <w:rPr>
          <w:rFonts w:hint="eastAsia" w:ascii="宋体" w:hAnsi="宋体" w:eastAsia="宋体" w:cs="宋体"/>
          <w:color w:val="000000" w:themeColor="text1"/>
          <w:sz w:val="24"/>
          <w:szCs w:val="24"/>
          <w:highlight w:val="none"/>
          <w14:textFill>
            <w14:solidFill>
              <w14:schemeClr w14:val="tx1"/>
            </w14:solidFill>
          </w14:textFill>
        </w:rPr>
        <w:t>符合国家产业政策要求，选址符合总体规划。</w:t>
      </w:r>
    </w:p>
    <w:p>
      <w:pPr>
        <w:keepNext w:val="0"/>
        <w:keepLines w:val="0"/>
        <w:pageBreakBefore w:val="0"/>
        <w:widowControl w:val="0"/>
        <w:kinsoku/>
        <w:wordWrap/>
        <w:overflowPunct/>
        <w:topLinePunct w:val="0"/>
        <w:bidi w:val="0"/>
        <w:adjustRightInd/>
        <w:snapToGrid/>
        <w:spacing w:line="360" w:lineRule="auto"/>
        <w:ind w:leftChars="0" w:firstLine="480" w:firstLineChars="200"/>
        <w:jc w:val="both"/>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项目采用了先进的生产工艺，符合清洁生产要求。在采用相应污染防治措施的前提下，各项污染物可以做到达标排放，排放的主要污染物可以满足总量控制指标要求，不会降低区域环境质量的原有功能级别。通过网络公示及登报形式收集公众意见结果显示，无公众反馈意见。在采取相应环境风险防范措施后，环境风险可接受。</w:t>
      </w:r>
    </w:p>
    <w:p>
      <w:pPr>
        <w:keepNext w:val="0"/>
        <w:keepLines w:val="0"/>
        <w:pageBreakBefore w:val="0"/>
        <w:widowControl w:val="0"/>
        <w:kinsoku/>
        <w:wordWrap/>
        <w:overflowPunct/>
        <w:topLinePunct w:val="0"/>
        <w:bidi w:val="0"/>
        <w:adjustRightInd/>
        <w:snapToGrid/>
        <w:spacing w:line="360" w:lineRule="auto"/>
        <w:ind w:leftChars="0" w:firstLine="480" w:firstLineChars="200"/>
        <w:jc w:val="both"/>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评价认为，项目在建设和生产运行过程中，在严格执行“三同时”制度、落实环评报告中提出的各项污染防治措施的前提下，从环境影响角度，项目建设可行。</w:t>
      </w:r>
    </w:p>
    <w:p>
      <w:pPr>
        <w:pStyle w:val="8"/>
        <w:keepNext w:val="0"/>
        <w:keepLines w:val="0"/>
        <w:pageBreakBefore w:val="0"/>
        <w:widowControl/>
        <w:kinsoku/>
        <w:wordWrap/>
        <w:overflowPunct/>
        <w:topLinePunct w:val="0"/>
        <w:bidi w:val="0"/>
        <w:adjustRightInd/>
        <w:snapToGrid/>
        <w:spacing w:line="360" w:lineRule="auto"/>
        <w:ind w:leftChars="0" w:firstLine="482"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bookmarkStart w:id="977" w:name="_Toc5101"/>
      <w:r>
        <w:rPr>
          <w:rFonts w:hint="eastAsia" w:ascii="宋体" w:hAnsi="宋体" w:eastAsia="宋体" w:cs="宋体"/>
          <w:color w:val="000000" w:themeColor="text1"/>
          <w:sz w:val="24"/>
          <w:szCs w:val="24"/>
          <w:highlight w:val="none"/>
          <w:lang w:val="en-US" w:eastAsia="zh-CN"/>
          <w14:textFill>
            <w14:solidFill>
              <w14:schemeClr w14:val="tx1"/>
            </w14:solidFill>
          </w14:textFill>
        </w:rPr>
        <w:t>10.1.5总量控制</w:t>
      </w:r>
      <w:bookmarkEnd w:id="977"/>
    </w:p>
    <w:p>
      <w:pPr>
        <w:keepNext w:val="0"/>
        <w:keepLines w:val="0"/>
        <w:pageBreakBefore w:val="0"/>
        <w:widowControl w:val="0"/>
        <w:kinsoku/>
        <w:wordWrap/>
        <w:overflowPunct/>
        <w:topLinePunct w:val="0"/>
        <w:bidi w:val="0"/>
        <w:adjustRightInd/>
        <w:snapToGrid/>
        <w:spacing w:line="360" w:lineRule="auto"/>
        <w:ind w:lef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项目建成后，废气：本项目排放总量控制指标为：VOCs（以非甲烷总烃计）：0.8</w:t>
      </w:r>
      <w:r>
        <w:rPr>
          <w:rFonts w:hint="eastAsia" w:cs="宋体"/>
          <w:color w:val="000000" w:themeColor="text1"/>
          <w:sz w:val="24"/>
          <w:szCs w:val="24"/>
          <w:highlight w:val="none"/>
          <w:lang w:val="en-US" w:eastAsia="zh-CN"/>
          <w14:textFill>
            <w14:solidFill>
              <w14:schemeClr w14:val="tx1"/>
            </w14:solidFill>
          </w14:textFill>
        </w:rPr>
        <w:t>3</w:t>
      </w:r>
      <w:r>
        <w:rPr>
          <w:rFonts w:hint="eastAsia" w:ascii="宋体" w:hAnsi="宋体" w:eastAsia="宋体" w:cs="宋体"/>
          <w:color w:val="000000" w:themeColor="text1"/>
          <w:sz w:val="24"/>
          <w:szCs w:val="24"/>
          <w:highlight w:val="none"/>
          <w:lang w:val="en-US" w:eastAsia="zh-CN"/>
          <w14:textFill>
            <w14:solidFill>
              <w14:schemeClr w14:val="tx1"/>
            </w14:solidFill>
          </w14:textFill>
        </w:rPr>
        <w:t>t/a（有组织0.7628t/a，无组织0.06t/a）。</w:t>
      </w:r>
    </w:p>
    <w:p>
      <w:pPr>
        <w:pStyle w:val="25"/>
        <w:keepNext w:val="0"/>
        <w:keepLines w:val="0"/>
        <w:pageBreakBefore w:val="0"/>
        <w:kinsoku/>
        <w:wordWrap/>
        <w:overflowPunct/>
        <w:topLinePunct w:val="0"/>
        <w:bidi w:val="0"/>
        <w:adjustRightInd/>
        <w:snapToGrid/>
        <w:spacing w:line="360" w:lineRule="auto"/>
        <w:ind w:leftChars="0"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废水：项目废水排入河西污水处理厂，处理后排放总量控制指标为：COD：0.0</w:t>
      </w:r>
      <w:r>
        <w:rPr>
          <w:rFonts w:hint="eastAsia" w:cs="宋体"/>
          <w:color w:val="000000" w:themeColor="text1"/>
          <w:sz w:val="24"/>
          <w:szCs w:val="24"/>
          <w:highlight w:val="none"/>
          <w:lang w:val="en-US" w:eastAsia="zh-CN"/>
          <w14:textFill>
            <w14:solidFill>
              <w14:schemeClr w14:val="tx1"/>
            </w14:solidFill>
          </w14:textFill>
        </w:rPr>
        <w:t>2</w:t>
      </w:r>
      <w:r>
        <w:rPr>
          <w:rFonts w:hint="eastAsia" w:ascii="宋体" w:hAnsi="宋体" w:eastAsia="宋体" w:cs="宋体"/>
          <w:color w:val="000000" w:themeColor="text1"/>
          <w:sz w:val="24"/>
          <w:szCs w:val="24"/>
          <w:highlight w:val="none"/>
          <w:lang w:val="en-US" w:eastAsia="zh-CN"/>
          <w14:textFill>
            <w14:solidFill>
              <w14:schemeClr w14:val="tx1"/>
            </w14:solidFill>
          </w14:textFill>
        </w:rPr>
        <w:t>t/a，NH</w:t>
      </w:r>
      <w:r>
        <w:rPr>
          <w:rFonts w:hint="eastAsia" w:ascii="宋体" w:hAnsi="宋体" w:eastAsia="宋体" w:cs="宋体"/>
          <w:color w:val="000000" w:themeColor="text1"/>
          <w:sz w:val="24"/>
          <w:szCs w:val="24"/>
          <w:highlight w:val="none"/>
          <w:vertAlign w:val="subscript"/>
          <w:lang w:val="en-US" w:eastAsia="zh-CN"/>
          <w14:textFill>
            <w14:solidFill>
              <w14:schemeClr w14:val="tx1"/>
            </w14:solidFill>
          </w14:textFill>
        </w:rPr>
        <w:t>3</w:t>
      </w:r>
      <w:r>
        <w:rPr>
          <w:rFonts w:hint="eastAsia" w:ascii="宋体" w:hAnsi="宋体" w:eastAsia="宋体" w:cs="宋体"/>
          <w:color w:val="000000" w:themeColor="text1"/>
          <w:sz w:val="24"/>
          <w:szCs w:val="24"/>
          <w:highlight w:val="none"/>
          <w:lang w:val="en-US" w:eastAsia="zh-CN"/>
          <w14:textFill>
            <w14:solidFill>
              <w14:schemeClr w14:val="tx1"/>
            </w14:solidFill>
          </w14:textFill>
        </w:rPr>
        <w:t>-N：0.0</w:t>
      </w:r>
      <w:r>
        <w:rPr>
          <w:rFonts w:hint="eastAsia" w:cs="宋体"/>
          <w:color w:val="000000" w:themeColor="text1"/>
          <w:sz w:val="24"/>
          <w:szCs w:val="24"/>
          <w:highlight w:val="none"/>
          <w:lang w:val="en-US" w:eastAsia="zh-CN"/>
          <w14:textFill>
            <w14:solidFill>
              <w14:schemeClr w14:val="tx1"/>
            </w14:solidFill>
          </w14:textFill>
        </w:rPr>
        <w:t>1</w:t>
      </w:r>
      <w:r>
        <w:rPr>
          <w:rFonts w:hint="eastAsia" w:ascii="宋体" w:hAnsi="宋体" w:eastAsia="宋体" w:cs="宋体"/>
          <w:color w:val="000000" w:themeColor="text1"/>
          <w:sz w:val="24"/>
          <w:szCs w:val="24"/>
          <w:highlight w:val="none"/>
          <w:lang w:val="en-US" w:eastAsia="zh-CN"/>
          <w14:textFill>
            <w14:solidFill>
              <w14:schemeClr w14:val="tx1"/>
            </w14:solidFill>
          </w14:textFill>
        </w:rPr>
        <w:t>t/a。COD和氨氮纳入河西东污水处理厂总量控制。</w:t>
      </w:r>
    </w:p>
    <w:p>
      <w:pPr>
        <w:pStyle w:val="7"/>
        <w:keepNext w:val="0"/>
        <w:keepLines w:val="0"/>
        <w:pageBreakBefore w:val="0"/>
        <w:widowControl/>
        <w:kinsoku/>
        <w:wordWrap/>
        <w:overflowPunct/>
        <w:topLinePunct w:val="0"/>
        <w:bidi w:val="0"/>
        <w:adjustRightInd/>
        <w:snapToGrid/>
        <w:spacing w:line="360" w:lineRule="auto"/>
        <w:ind w:leftChars="0" w:firstLine="482"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bookmarkStart w:id="978" w:name="_Toc1170"/>
      <w:r>
        <w:rPr>
          <w:rFonts w:hint="eastAsia" w:ascii="宋体" w:hAnsi="宋体" w:eastAsia="宋体" w:cs="宋体"/>
          <w:color w:val="000000" w:themeColor="text1"/>
          <w:sz w:val="24"/>
          <w:szCs w:val="24"/>
          <w:highlight w:val="none"/>
          <w:lang w:val="en-US" w:eastAsia="zh-CN"/>
          <w14:textFill>
            <w14:solidFill>
              <w14:schemeClr w14:val="tx1"/>
            </w14:solidFill>
          </w14:textFill>
        </w:rPr>
        <w:t>10.2建议</w:t>
      </w:r>
      <w:bookmarkEnd w:id="978"/>
    </w:p>
    <w:p>
      <w:pPr>
        <w:keepNext w:val="0"/>
        <w:keepLines w:val="0"/>
        <w:pageBreakBefore w:val="0"/>
        <w:widowControl/>
        <w:suppressLineNumbers w:val="0"/>
        <w:kinsoku/>
        <w:wordWrap/>
        <w:overflowPunct/>
        <w:topLinePunct w:val="0"/>
        <w:autoSpaceDE/>
        <w:autoSpaceDN/>
        <w:bidi w:val="0"/>
        <w:adjustRightInd/>
        <w:snapToGrid/>
        <w:spacing w:line="360" w:lineRule="auto"/>
        <w:ind w:leftChars="0" w:firstLine="480" w:firstLineChars="200"/>
        <w:jc w:val="left"/>
        <w:textAlignment w:val="auto"/>
        <w:outlineLvl w:val="9"/>
        <w:rPr>
          <w:rFonts w:hint="eastAsia" w:ascii="宋体" w:hAnsi="宋体" w:eastAsia="宋体" w:cs="宋体"/>
          <w:color w:val="000000" w:themeColor="text1"/>
          <w:sz w:val="24"/>
          <w:szCs w:val="24"/>
          <w14:textFill>
            <w14:solidFill>
              <w14:schemeClr w14:val="tx1"/>
            </w14:solidFill>
          </w14:textFill>
        </w:rPr>
      </w:pPr>
      <w:bookmarkStart w:id="979" w:name="_Toc15026"/>
      <w:r>
        <w:rPr>
          <w:rFonts w:hint="eastAsia" w:ascii="宋体" w:hAnsi="宋体" w:eastAsia="宋体" w:cs="宋体"/>
          <w:color w:val="000000" w:themeColor="text1"/>
          <w:kern w:val="0"/>
          <w:sz w:val="24"/>
          <w:szCs w:val="24"/>
          <w:lang w:val="en-US" w:eastAsia="zh-CN" w:bidi="ar"/>
          <w14:textFill>
            <w14:solidFill>
              <w14:schemeClr w14:val="tx1"/>
            </w14:solidFill>
          </w14:textFill>
        </w:rPr>
        <w:t>1、严格执行配套建设的环保设施与主体工程同时设计、同时施工、同时投入使</w:t>
      </w:r>
      <w:bookmarkEnd w:id="979"/>
      <w:r>
        <w:rPr>
          <w:rFonts w:hint="eastAsia" w:ascii="宋体" w:hAnsi="宋体" w:eastAsia="宋体" w:cs="宋体"/>
          <w:color w:val="000000" w:themeColor="text1"/>
          <w:kern w:val="0"/>
          <w:sz w:val="24"/>
          <w:szCs w:val="24"/>
          <w:lang w:val="en-US" w:eastAsia="zh-CN" w:bidi="ar"/>
          <w14:textFill>
            <w14:solidFill>
              <w14:schemeClr w14:val="tx1"/>
            </w14:solidFill>
          </w14:textFill>
        </w:rPr>
        <w:t>用的“三同时”制度。工程竣工后按规定制度。工程竣后按规定程序申请环保验收，合格方可投入正式运行；</w:t>
      </w:r>
    </w:p>
    <w:p>
      <w:pPr>
        <w:keepNext w:val="0"/>
        <w:keepLines w:val="0"/>
        <w:pageBreakBefore w:val="0"/>
        <w:widowControl/>
        <w:suppressLineNumbers w:val="0"/>
        <w:kinsoku/>
        <w:wordWrap/>
        <w:overflowPunct/>
        <w:topLinePunct w:val="0"/>
        <w:autoSpaceDE/>
        <w:autoSpaceDN/>
        <w:bidi w:val="0"/>
        <w:adjustRightInd/>
        <w:snapToGrid/>
        <w:spacing w:line="360" w:lineRule="auto"/>
        <w:ind w:leftChars="0" w:firstLine="480" w:firstLineChars="200"/>
        <w:jc w:val="left"/>
        <w:textAlignment w:val="auto"/>
        <w:outlineLvl w:val="9"/>
        <w:rPr>
          <w:rFonts w:hint="eastAsia" w:ascii="宋体" w:hAnsi="宋体" w:eastAsia="宋体" w:cs="宋体"/>
          <w:color w:val="000000" w:themeColor="text1"/>
          <w:sz w:val="24"/>
          <w:szCs w:val="24"/>
          <w14:textFill>
            <w14:solidFill>
              <w14:schemeClr w14:val="tx1"/>
            </w14:solidFill>
          </w14:textFill>
        </w:rPr>
      </w:pPr>
      <w:bookmarkStart w:id="980" w:name="_Toc31416"/>
      <w:r>
        <w:rPr>
          <w:rFonts w:hint="eastAsia" w:ascii="宋体" w:hAnsi="宋体" w:eastAsia="宋体" w:cs="宋体"/>
          <w:color w:val="000000" w:themeColor="text1"/>
          <w:kern w:val="0"/>
          <w:sz w:val="24"/>
          <w:szCs w:val="24"/>
          <w:lang w:val="en-US" w:eastAsia="zh-CN" w:bidi="ar"/>
          <w14:textFill>
            <w14:solidFill>
              <w14:schemeClr w14:val="tx1"/>
            </w14:solidFill>
          </w14:textFill>
        </w:rPr>
        <w:t>2、严格落实废气治理措施，确保拟建装置产生的废气达标排放；</w:t>
      </w:r>
      <w:bookmarkEnd w:id="980"/>
    </w:p>
    <w:p>
      <w:pPr>
        <w:keepNext w:val="0"/>
        <w:keepLines w:val="0"/>
        <w:pageBreakBefore w:val="0"/>
        <w:widowControl/>
        <w:suppressLineNumbers w:val="0"/>
        <w:kinsoku/>
        <w:wordWrap/>
        <w:overflowPunct/>
        <w:topLinePunct w:val="0"/>
        <w:autoSpaceDE/>
        <w:autoSpaceDN/>
        <w:bidi w:val="0"/>
        <w:adjustRightInd/>
        <w:snapToGrid/>
        <w:spacing w:line="360" w:lineRule="auto"/>
        <w:ind w:leftChars="0" w:firstLine="480" w:firstLineChars="200"/>
        <w:jc w:val="left"/>
        <w:textAlignment w:val="auto"/>
        <w:outlineLvl w:val="9"/>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3、选用低噪声设备，对主要噪声源采取减振、隔声等措施确保厂界能够达标；</w:t>
      </w:r>
    </w:p>
    <w:p>
      <w:pPr>
        <w:keepNext w:val="0"/>
        <w:keepLines w:val="0"/>
        <w:pageBreakBefore w:val="0"/>
        <w:widowControl/>
        <w:suppressLineNumbers w:val="0"/>
        <w:kinsoku/>
        <w:wordWrap/>
        <w:overflowPunct/>
        <w:topLinePunct w:val="0"/>
        <w:autoSpaceDE/>
        <w:autoSpaceDN/>
        <w:bidi w:val="0"/>
        <w:adjustRightInd/>
        <w:snapToGrid/>
        <w:spacing w:line="360" w:lineRule="auto"/>
        <w:ind w:leftChars="0" w:firstLine="480" w:firstLineChars="200"/>
        <w:jc w:val="left"/>
        <w:textAlignment w:val="auto"/>
        <w:outlineLvl w:val="9"/>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4、按固体废物“资源化、减量化、无害化”处置原则，落实各类固体废物的收集、综合利用及处置等内容。</w:t>
      </w:r>
    </w:p>
    <w:bookmarkEnd w:id="969"/>
    <w:bookmarkEnd w:id="970"/>
    <w:bookmarkEnd w:id="971"/>
    <w:bookmarkEnd w:id="972"/>
    <w:bookmarkEnd w:id="973"/>
    <w:bookmarkEnd w:id="974"/>
    <w:bookmarkEnd w:id="975"/>
    <w:bookmarkEnd w:id="976"/>
    <w:p>
      <w:pPr>
        <w:widowControl w:val="0"/>
        <w:spacing w:line="360" w:lineRule="auto"/>
        <w:ind w:firstLine="480" w:firstLineChars="200"/>
        <w:jc w:val="both"/>
        <w:rPr>
          <w:rFonts w:hint="eastAsia" w:ascii="宋体" w:hAnsi="宋体" w:eastAsia="宋体" w:cs="宋体"/>
          <w:color w:val="000000" w:themeColor="text1"/>
          <w:lang w:val="en-US" w:eastAsia="zh-CN"/>
          <w14:textFill>
            <w14:solidFill>
              <w14:schemeClr w14:val="tx1"/>
            </w14:solidFill>
          </w14:textFill>
        </w:rPr>
      </w:pPr>
    </w:p>
    <w:sectPr>
      <w:pgSz w:w="11905" w:h="16838"/>
      <w:pgMar w:top="1440" w:right="1134" w:bottom="1440" w:left="1134" w:header="850" w:footer="992" w:gutter="0"/>
      <w:pgBorders w:offsetFrom="page">
        <w:top w:val="none" w:sz="0" w:space="0"/>
        <w:left w:val="none" w:sz="0" w:space="0"/>
        <w:bottom w:val="none" w:sz="0" w:space="0"/>
        <w:right w:val="none" w:sz="0" w:space="0"/>
      </w:pgBorders>
      <w:pgNumType w:fmt="decimal"/>
      <w:cols w:space="0" w:num="1"/>
      <w:rtlGutter w:val="0"/>
      <w:docGrid w:type="lines" w:linePitch="33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TimesNewRomanPSMT">
    <w:altName w:val="Times New Roman"/>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top w:val="none" w:color="auto" w:sz="0" w:space="1"/>
        <w:left w:val="none" w:color="auto" w:sz="0" w:space="0"/>
        <w:bottom w:val="none" w:color="auto" w:sz="0" w:space="0"/>
        <w:right w:val="none" w:color="auto" w:sz="0" w:space="0"/>
        <w:between w:val="none" w:color="auto" w:sz="0" w:space="0"/>
      </w:pBdr>
      <w:ind w:firstLine="0" w:firstLineChars="0"/>
      <w:rPr>
        <w:rFonts w:hint="eastAsia"/>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21"/>
                            <w:ind w:firstLine="360"/>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QJREJc0BAACpAwAADgAAAAAAAAABACAAAAAeAQAAZHJzL2Uy&#10;b0RvYy54bWxQSwUGAAAAAAYABgBZAQAAXQUAAAAA&#10;">
              <v:fill on="f" focussize="0,0"/>
              <v:stroke on="f"/>
              <v:imagedata o:title=""/>
              <o:lock v:ext="edit" aspectratio="f"/>
              <v:textbox inset="0mm,0mm,0mm,0mm" style="mso-fit-shape-to-text:t;">
                <w:txbxContent>
                  <w:p>
                    <w:pPr>
                      <w:pStyle w:val="21"/>
                      <w:ind w:firstLine="360"/>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top w:val="none" w:color="auto" w:sz="0" w:space="1"/>
        <w:left w:val="none" w:color="auto" w:sz="0" w:space="0"/>
        <w:bottom w:val="none" w:color="auto" w:sz="0" w:space="0"/>
        <w:right w:val="none" w:color="auto" w:sz="0" w:space="0"/>
        <w:between w:val="none" w:color="auto" w:sz="0" w:space="0"/>
      </w:pBdr>
      <w:tabs>
        <w:tab w:val="left" w:pos="5735"/>
        <w:tab w:val="clear" w:pos="4153"/>
      </w:tabs>
      <w:ind w:firstLine="0" w:firstLineChars="0"/>
      <w:rPr>
        <w:rFonts w:hint="eastAsia"/>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21"/>
                            <w:ind w:firstLine="360"/>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BS3tjc0BAACnAwAADgAAAAAAAAABACAAAAAeAQAAZHJzL2Uy&#10;b0RvYy54bWxQSwUGAAAAAAYABgBZAQAAXQUAAAAA&#10;">
              <v:fill on="f" focussize="0,0"/>
              <v:stroke on="f"/>
              <v:imagedata o:title=""/>
              <o:lock v:ext="edit" aspectratio="f"/>
              <v:textbox inset="0mm,0mm,0mm,0mm" style="mso-fit-shape-to-text:t;">
                <w:txbxContent>
                  <w:p>
                    <w:pPr>
                      <w:pStyle w:val="21"/>
                      <w:ind w:firstLine="360"/>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r>
      <w:rPr>
        <w:rFonts w:hint="eastAsia"/>
        <w:lang w:eastAsia="zh-CN"/>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top w:val="none" w:color="auto" w:sz="0" w:space="1"/>
        <w:left w:val="none" w:color="auto" w:sz="0" w:space="0"/>
        <w:bottom w:val="none" w:color="auto" w:sz="0" w:space="0"/>
        <w:right w:val="none" w:color="auto" w:sz="0" w:space="0"/>
        <w:between w:val="none" w:color="auto" w:sz="0" w:space="0"/>
      </w:pBdr>
      <w:ind w:firstLine="0" w:firstLineChars="0"/>
      <w:rPr>
        <w:rFonts w:hint="eastAsia"/>
      </w:rPr>
    </w:pPr>
    <w:r>
      <mc:AlternateContent>
        <mc:Choice Requires="wps">
          <w:drawing>
            <wp:anchor distT="0" distB="0" distL="114300" distR="114300" simplePos="0" relativeHeight="251665408" behindDoc="0" locked="0" layoutInCell="1" allowOverlap="1">
              <wp:simplePos x="0" y="0"/>
              <wp:positionH relativeFrom="margin">
                <wp:posOffset>2852420</wp:posOffset>
              </wp:positionH>
              <wp:positionV relativeFrom="paragraph">
                <wp:posOffset>0</wp:posOffset>
              </wp:positionV>
              <wp:extent cx="606425" cy="227965"/>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606425" cy="227965"/>
                      </a:xfrm>
                      <a:prstGeom prst="rect">
                        <a:avLst/>
                      </a:prstGeom>
                      <a:noFill/>
                      <a:ln>
                        <a:noFill/>
                      </a:ln>
                      <a:effectLst/>
                    </wps:spPr>
                    <wps:txbx>
                      <w:txbxContent>
                        <w:p>
                          <w:pPr>
                            <w:pStyle w:val="21"/>
                            <w:ind w:firstLine="360"/>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wrap="square" lIns="0" tIns="0" rIns="0" bIns="0" upright="0">
                      <a:noAutofit/>
                    </wps:bodyPr>
                  </wps:wsp>
                </a:graphicData>
              </a:graphic>
            </wp:anchor>
          </w:drawing>
        </mc:Choice>
        <mc:Fallback>
          <w:pict>
            <v:shape id="_x0000_s1026" o:spid="_x0000_s1026" o:spt="202" type="#_x0000_t202" style="position:absolute;left:0pt;margin-left:224.6pt;margin-top:0pt;height:17.95pt;width:47.75pt;mso-position-horizontal-relative:margin;z-index:251665408;mso-width-relative:page;mso-height-relative:page;" filled="f" stroked="f" coordsize="21600,21600" o:gfxdata="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sYpk61wAAAAcBAAAPAAAAAAAAAAEAIAAA&#10;ACIAAABkcnMvZG93bnJldi54bWxQSwECFAAUAAAACACHTuJAnzdFW9QBAACpAwAADgAAAAAAAAAB&#10;ACAAAAAmAQAAZHJzL2Uyb0RvYy54bWxQSwUGAAAAAAYABgBZAQAAbAUAAAAA&#10;">
              <v:fill on="f" focussize="0,0"/>
              <v:stroke on="f"/>
              <v:imagedata o:title=""/>
              <o:lock v:ext="edit" aspectratio="f"/>
              <v:textbox inset="0mm,0mm,0mm,0mm">
                <w:txbxContent>
                  <w:p>
                    <w:pPr>
                      <w:pStyle w:val="21"/>
                      <w:ind w:firstLine="360"/>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rPr>
        <w:sz w:val="20"/>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4" name="文本框 1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21"/>
                            <w:ind w:firstLine="360"/>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286</w:t>
                          </w:r>
                          <w:r>
                            <w:rPr>
                              <w:rFonts w:hint="eastAsia"/>
                            </w:rPr>
                            <w:fldChar w:fldCharType="end"/>
                          </w:r>
                        </w:p>
                      </w:txbxContent>
                    </wps:txbx>
                    <wps:bodyPr vert="horz" wrap="none" lIns="0" tIns="0" rIns="0" bIns="0" anchor="t"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OuXY87dAQAAwgMAAA4AAAAAAAAA&#10;AQAgAAAAHgEAAGRycy9lMm9Eb2MueG1sUEsFBgAAAAAGAAYAWQEAAG0FAAAAAA==&#10;">
              <v:fill on="f" focussize="0,0"/>
              <v:stroke on="f"/>
              <v:imagedata o:title=""/>
              <o:lock v:ext="edit" aspectratio="f"/>
              <v:textbox inset="0mm,0mm,0mm,0mm" style="mso-fit-shape-to-text:t;">
                <w:txbxContent>
                  <w:p>
                    <w:pPr>
                      <w:pStyle w:val="21"/>
                      <w:ind w:firstLine="360"/>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286</w:t>
                    </w:r>
                    <w:r>
                      <w:rPr>
                        <w:rFonts w:hint="eastAsia"/>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rPr>
        <w:sz w:val="20"/>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6" name="文本框 1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21"/>
                            <w:ind w:firstLine="360"/>
                            <w:rPr>
                              <w:rFonts w:hint="eastAsia"/>
                            </w:rPr>
                          </w:pPr>
                          <w:r>
                            <w:rPr>
                              <w:rFonts w:hint="eastAsia"/>
                            </w:rPr>
                            <w:t>第</w:t>
                          </w:r>
                          <w:r>
                            <w:rPr>
                              <w:rFonts w:hint="eastAsia"/>
                            </w:rPr>
                            <w:fldChar w:fldCharType="begin"/>
                          </w:r>
                          <w:r>
                            <w:rPr>
                              <w:rFonts w:hint="eastAsia"/>
                            </w:rPr>
                            <w:instrText xml:space="preserve"> PAGE  \* MERGEFORMAT </w:instrText>
                          </w:r>
                          <w:r>
                            <w:rPr>
                              <w:rFonts w:hint="eastAsia"/>
                            </w:rPr>
                            <w:fldChar w:fldCharType="separate"/>
                          </w:r>
                          <w:r>
                            <w:rPr>
                              <w:rFonts w:hint="eastAsia"/>
                            </w:rPr>
                            <w:t>312</w:t>
                          </w:r>
                          <w:r>
                            <w:rPr>
                              <w:rFonts w:hint="eastAsia"/>
                            </w:rPr>
                            <w:fldChar w:fldCharType="end"/>
                          </w:r>
                          <w:r>
                            <w:rPr>
                              <w:rFonts w:hint="eastAsia"/>
                            </w:rPr>
                            <w:t>页</w:t>
                          </w:r>
                        </w:p>
                      </w:txbxContent>
                    </wps:txbx>
                    <wps:bodyPr vert="horz" wrap="none" lIns="0" tIns="0" rIns="0" bIns="0" anchor="t"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A899G33gEAAMIDAAAOAAAAAAAA&#10;AAEAIAAAAB4BAABkcnMvZTJvRG9jLnhtbFBLBQYAAAAABgAGAFkBAABuBQAAAAA=&#10;">
              <v:fill on="f" focussize="0,0"/>
              <v:stroke on="f"/>
              <v:imagedata o:title=""/>
              <o:lock v:ext="edit" aspectratio="f"/>
              <v:textbox inset="0mm,0mm,0mm,0mm" style="mso-fit-shape-to-text:t;">
                <w:txbxContent>
                  <w:p>
                    <w:pPr>
                      <w:pStyle w:val="21"/>
                      <w:ind w:firstLine="360"/>
                      <w:rPr>
                        <w:rFonts w:hint="eastAsia"/>
                      </w:rPr>
                    </w:pPr>
                    <w:r>
                      <w:rPr>
                        <w:rFonts w:hint="eastAsia"/>
                      </w:rPr>
                      <w:t>第</w:t>
                    </w:r>
                    <w:r>
                      <w:rPr>
                        <w:rFonts w:hint="eastAsia"/>
                      </w:rPr>
                      <w:fldChar w:fldCharType="begin"/>
                    </w:r>
                    <w:r>
                      <w:rPr>
                        <w:rFonts w:hint="eastAsia"/>
                      </w:rPr>
                      <w:instrText xml:space="preserve"> PAGE  \* MERGEFORMAT </w:instrText>
                    </w:r>
                    <w:r>
                      <w:rPr>
                        <w:rFonts w:hint="eastAsia"/>
                      </w:rPr>
                      <w:fldChar w:fldCharType="separate"/>
                    </w:r>
                    <w:r>
                      <w:rPr>
                        <w:rFonts w:hint="eastAsia"/>
                      </w:rPr>
                      <w:t>312</w:t>
                    </w:r>
                    <w:r>
                      <w:rPr>
                        <w:rFonts w:hint="eastAsia"/>
                      </w:rPr>
                      <w:fldChar w:fldCharType="end"/>
                    </w:r>
                    <w:r>
                      <w:rPr>
                        <w:rFonts w:hint="eastAsia"/>
                      </w:rPr>
                      <w:t>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rPr>
        <w:sz w:val="20"/>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29" name="文本框 4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21"/>
                            <w:ind w:firstLine="360"/>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312</w:t>
                          </w:r>
                          <w:r>
                            <w:rPr>
                              <w:rFonts w:hint="eastAsia"/>
                            </w:rPr>
                            <w:fldChar w:fldCharType="end"/>
                          </w:r>
                        </w:p>
                      </w:txbxContent>
                    </wps:txbx>
                    <wps:bodyPr vert="horz" wrap="none" lIns="0" tIns="0" rIns="0" bIns="0" anchor="t"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PtdfI98BAADCAwAADgAAAAAA&#10;AAABACAAAAAeAQAAZHJzL2Uyb0RvYy54bWxQSwUGAAAAAAYABgBZAQAAbwUAAAAA&#10;">
              <v:fill on="f" focussize="0,0"/>
              <v:stroke on="f"/>
              <v:imagedata o:title=""/>
              <o:lock v:ext="edit" aspectratio="f"/>
              <v:textbox inset="0mm,0mm,0mm,0mm" style="mso-fit-shape-to-text:t;">
                <w:txbxContent>
                  <w:p>
                    <w:pPr>
                      <w:pStyle w:val="21"/>
                      <w:ind w:firstLine="360"/>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312</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top w:val="none" w:color="auto" w:sz="0" w:space="0"/>
        <w:left w:val="none" w:color="auto" w:sz="0" w:space="0"/>
        <w:bottom w:val="none" w:color="auto" w:sz="0" w:space="0"/>
        <w:right w:val="none" w:color="auto" w:sz="0" w:space="0"/>
        <w:between w:val="none" w:color="auto" w:sz="0" w:space="0"/>
      </w:pBdr>
      <w:spacing w:line="240" w:lineRule="auto"/>
      <w:jc w:val="center"/>
      <w:rPr>
        <w:rFonts w:hint="eastAsia" w:ascii="宋体" w:hAnsi="宋体" w:eastAsia="宋体" w:cs="宋体"/>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1714850"/>
    <w:multiLevelType w:val="singleLevel"/>
    <w:tmpl w:val="A1714850"/>
    <w:lvl w:ilvl="0" w:tentative="0">
      <w:start w:val="2"/>
      <w:numFmt w:val="decimal"/>
      <w:suff w:val="nothing"/>
      <w:lvlText w:val="（%1）"/>
      <w:lvlJc w:val="left"/>
      <w:pPr>
        <w:ind w:left="-2"/>
      </w:pPr>
    </w:lvl>
  </w:abstractNum>
  <w:abstractNum w:abstractNumId="1">
    <w:nsid w:val="0B57C76D"/>
    <w:multiLevelType w:val="singleLevel"/>
    <w:tmpl w:val="0B57C76D"/>
    <w:lvl w:ilvl="0" w:tentative="0">
      <w:start w:val="2"/>
      <w:numFmt w:val="chineseCounting"/>
      <w:suff w:val="nothing"/>
      <w:lvlText w:val="%1、"/>
      <w:lvlJc w:val="left"/>
      <w:pPr>
        <w:ind w:left="240"/>
      </w:pPr>
      <w:rPr>
        <w:rFonts w:hint="eastAsia"/>
      </w:rPr>
    </w:lvl>
  </w:abstractNum>
  <w:abstractNum w:abstractNumId="2">
    <w:nsid w:val="23F8391D"/>
    <w:multiLevelType w:val="singleLevel"/>
    <w:tmpl w:val="23F8391D"/>
    <w:lvl w:ilvl="0" w:tentative="0">
      <w:start w:val="1"/>
      <w:numFmt w:val="decimal"/>
      <w:suff w:val="nothing"/>
      <w:lvlText w:val="（%1）"/>
      <w:lvlJc w:val="left"/>
    </w:lvl>
  </w:abstractNum>
  <w:abstractNum w:abstractNumId="3">
    <w:nsid w:val="31F9611D"/>
    <w:multiLevelType w:val="multilevel"/>
    <w:tmpl w:val="31F9611D"/>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HorizontalSpacing w:val="240"/>
  <w:drawingGridVerticalSpacing w:val="16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NmYWI3NDBiMDZhYThiODhiMWQ4OGY3NmJiM2FlYzYifQ=="/>
    <w:docVar w:name="KSO_WPS_MARK_KEY" w:val="fe862d3b-ddc0-41f8-8915-b9af2a47872b"/>
  </w:docVars>
  <w:rsids>
    <w:rsidRoot w:val="00172A27"/>
    <w:rsid w:val="00D27ED1"/>
    <w:rsid w:val="00FF56BA"/>
    <w:rsid w:val="01361928"/>
    <w:rsid w:val="01B3097E"/>
    <w:rsid w:val="022C074F"/>
    <w:rsid w:val="02DD2F57"/>
    <w:rsid w:val="02FF7BF3"/>
    <w:rsid w:val="03960E19"/>
    <w:rsid w:val="03DC6F26"/>
    <w:rsid w:val="03FD0226"/>
    <w:rsid w:val="04082AD7"/>
    <w:rsid w:val="04270E6D"/>
    <w:rsid w:val="04415E68"/>
    <w:rsid w:val="04BC5D9C"/>
    <w:rsid w:val="04BF06C0"/>
    <w:rsid w:val="050D65F7"/>
    <w:rsid w:val="052102F4"/>
    <w:rsid w:val="05373674"/>
    <w:rsid w:val="055406CA"/>
    <w:rsid w:val="05665D07"/>
    <w:rsid w:val="05F652DD"/>
    <w:rsid w:val="060D2627"/>
    <w:rsid w:val="06257826"/>
    <w:rsid w:val="0659586C"/>
    <w:rsid w:val="069331D3"/>
    <w:rsid w:val="06B157A0"/>
    <w:rsid w:val="07740BAF"/>
    <w:rsid w:val="07B74F40"/>
    <w:rsid w:val="08033CE1"/>
    <w:rsid w:val="080D690E"/>
    <w:rsid w:val="08803584"/>
    <w:rsid w:val="08940DDD"/>
    <w:rsid w:val="089D7C92"/>
    <w:rsid w:val="08B668C7"/>
    <w:rsid w:val="093323A4"/>
    <w:rsid w:val="09C74C9D"/>
    <w:rsid w:val="09CB6A81"/>
    <w:rsid w:val="0A43602C"/>
    <w:rsid w:val="0A5B3CF2"/>
    <w:rsid w:val="0AA55524"/>
    <w:rsid w:val="0AE657A7"/>
    <w:rsid w:val="0B6B4077"/>
    <w:rsid w:val="0B9F01C5"/>
    <w:rsid w:val="0BE87CE9"/>
    <w:rsid w:val="0C2030B4"/>
    <w:rsid w:val="0C2A0A71"/>
    <w:rsid w:val="0C6A07D3"/>
    <w:rsid w:val="0C994259"/>
    <w:rsid w:val="0CA33098"/>
    <w:rsid w:val="0CC2416B"/>
    <w:rsid w:val="0CF12604"/>
    <w:rsid w:val="0D703BC7"/>
    <w:rsid w:val="0DE32AEC"/>
    <w:rsid w:val="0E511C4A"/>
    <w:rsid w:val="0EB83A78"/>
    <w:rsid w:val="0F16254C"/>
    <w:rsid w:val="0F501F02"/>
    <w:rsid w:val="0F661726"/>
    <w:rsid w:val="0FB57FB7"/>
    <w:rsid w:val="10392996"/>
    <w:rsid w:val="10596B94"/>
    <w:rsid w:val="10C61D50"/>
    <w:rsid w:val="11251BF9"/>
    <w:rsid w:val="1145536B"/>
    <w:rsid w:val="115E01DA"/>
    <w:rsid w:val="118E0A80"/>
    <w:rsid w:val="119C142F"/>
    <w:rsid w:val="11AB7E47"/>
    <w:rsid w:val="11E53C02"/>
    <w:rsid w:val="120B0362"/>
    <w:rsid w:val="122A30F4"/>
    <w:rsid w:val="123E2AB1"/>
    <w:rsid w:val="12681311"/>
    <w:rsid w:val="126A1BFD"/>
    <w:rsid w:val="12865C3B"/>
    <w:rsid w:val="12C7117B"/>
    <w:rsid w:val="132E255A"/>
    <w:rsid w:val="13433B2C"/>
    <w:rsid w:val="135D699C"/>
    <w:rsid w:val="13D03611"/>
    <w:rsid w:val="141F1EA3"/>
    <w:rsid w:val="15316332"/>
    <w:rsid w:val="1571672E"/>
    <w:rsid w:val="157F0556"/>
    <w:rsid w:val="15B30AF5"/>
    <w:rsid w:val="165878EE"/>
    <w:rsid w:val="167B2D02"/>
    <w:rsid w:val="16C83452"/>
    <w:rsid w:val="17734D63"/>
    <w:rsid w:val="17BD53AD"/>
    <w:rsid w:val="17D80170"/>
    <w:rsid w:val="17F35B20"/>
    <w:rsid w:val="18277578"/>
    <w:rsid w:val="1840559E"/>
    <w:rsid w:val="18B54B84"/>
    <w:rsid w:val="18EB67F8"/>
    <w:rsid w:val="18EE0096"/>
    <w:rsid w:val="19033B41"/>
    <w:rsid w:val="190B0C48"/>
    <w:rsid w:val="19181645"/>
    <w:rsid w:val="19420F24"/>
    <w:rsid w:val="19805192"/>
    <w:rsid w:val="199D21E8"/>
    <w:rsid w:val="1A4C32ED"/>
    <w:rsid w:val="1A554870"/>
    <w:rsid w:val="1A646862"/>
    <w:rsid w:val="1A8F1E90"/>
    <w:rsid w:val="1B416BA3"/>
    <w:rsid w:val="1B532371"/>
    <w:rsid w:val="1B570174"/>
    <w:rsid w:val="1B7C407F"/>
    <w:rsid w:val="1B8777FA"/>
    <w:rsid w:val="1BB97441"/>
    <w:rsid w:val="1BE25706"/>
    <w:rsid w:val="1BEF4851"/>
    <w:rsid w:val="1CD7789E"/>
    <w:rsid w:val="1D5864A2"/>
    <w:rsid w:val="1D7B2840"/>
    <w:rsid w:val="1E0345E3"/>
    <w:rsid w:val="1E4F15D7"/>
    <w:rsid w:val="1E73244B"/>
    <w:rsid w:val="1E993DDE"/>
    <w:rsid w:val="1EB53B30"/>
    <w:rsid w:val="1EC65D3D"/>
    <w:rsid w:val="1EDB10BC"/>
    <w:rsid w:val="1F3F5AEF"/>
    <w:rsid w:val="1F8B663F"/>
    <w:rsid w:val="20692E24"/>
    <w:rsid w:val="20E71F9A"/>
    <w:rsid w:val="210C7C53"/>
    <w:rsid w:val="21AB121A"/>
    <w:rsid w:val="21D73DBD"/>
    <w:rsid w:val="21FF50C2"/>
    <w:rsid w:val="223B7C89"/>
    <w:rsid w:val="22B97967"/>
    <w:rsid w:val="22BF72E4"/>
    <w:rsid w:val="22C465AB"/>
    <w:rsid w:val="22EF760A"/>
    <w:rsid w:val="232C73EC"/>
    <w:rsid w:val="23FA1FE5"/>
    <w:rsid w:val="2408641A"/>
    <w:rsid w:val="242B6642"/>
    <w:rsid w:val="248F6BD1"/>
    <w:rsid w:val="24A605D5"/>
    <w:rsid w:val="251A0B90"/>
    <w:rsid w:val="2536704D"/>
    <w:rsid w:val="254A2AF8"/>
    <w:rsid w:val="254C6870"/>
    <w:rsid w:val="25562C5A"/>
    <w:rsid w:val="255D0A7D"/>
    <w:rsid w:val="25897F82"/>
    <w:rsid w:val="26435EC5"/>
    <w:rsid w:val="265E7C14"/>
    <w:rsid w:val="267F67D1"/>
    <w:rsid w:val="26EB3E67"/>
    <w:rsid w:val="27483067"/>
    <w:rsid w:val="27702CEA"/>
    <w:rsid w:val="277F4CDB"/>
    <w:rsid w:val="278D19D7"/>
    <w:rsid w:val="27E15995"/>
    <w:rsid w:val="2802590C"/>
    <w:rsid w:val="288D3427"/>
    <w:rsid w:val="28973DD0"/>
    <w:rsid w:val="28EA087A"/>
    <w:rsid w:val="2918792F"/>
    <w:rsid w:val="293E2974"/>
    <w:rsid w:val="296028EA"/>
    <w:rsid w:val="299A22A0"/>
    <w:rsid w:val="29B13146"/>
    <w:rsid w:val="29C0782D"/>
    <w:rsid w:val="2A353D77"/>
    <w:rsid w:val="2AF94DA4"/>
    <w:rsid w:val="2AFC370A"/>
    <w:rsid w:val="2BCE6231"/>
    <w:rsid w:val="2BF51A0F"/>
    <w:rsid w:val="2C4B5AD3"/>
    <w:rsid w:val="2C7F39CF"/>
    <w:rsid w:val="2CC66F08"/>
    <w:rsid w:val="2CDE7E59"/>
    <w:rsid w:val="2D0F4D53"/>
    <w:rsid w:val="2D173C07"/>
    <w:rsid w:val="2D1F5B32"/>
    <w:rsid w:val="2D3447B9"/>
    <w:rsid w:val="2D733389"/>
    <w:rsid w:val="2DEE6A16"/>
    <w:rsid w:val="2DF4245B"/>
    <w:rsid w:val="2DF6381D"/>
    <w:rsid w:val="2E150801"/>
    <w:rsid w:val="2E5F7614"/>
    <w:rsid w:val="2E7806D6"/>
    <w:rsid w:val="2EF53AD4"/>
    <w:rsid w:val="2F087CAC"/>
    <w:rsid w:val="2F2A7C22"/>
    <w:rsid w:val="2F37233F"/>
    <w:rsid w:val="2F7B222C"/>
    <w:rsid w:val="2F9326C4"/>
    <w:rsid w:val="2F9C6646"/>
    <w:rsid w:val="2FA33530"/>
    <w:rsid w:val="309B2A0B"/>
    <w:rsid w:val="32232B37"/>
    <w:rsid w:val="322546D1"/>
    <w:rsid w:val="3234700A"/>
    <w:rsid w:val="326D1CBA"/>
    <w:rsid w:val="32D90FE4"/>
    <w:rsid w:val="32D95DFB"/>
    <w:rsid w:val="32F00F4B"/>
    <w:rsid w:val="3301191A"/>
    <w:rsid w:val="33094221"/>
    <w:rsid w:val="331306A8"/>
    <w:rsid w:val="334A4F87"/>
    <w:rsid w:val="336B0809"/>
    <w:rsid w:val="33D26ADA"/>
    <w:rsid w:val="341A202C"/>
    <w:rsid w:val="342E1F62"/>
    <w:rsid w:val="3442156A"/>
    <w:rsid w:val="35532D7B"/>
    <w:rsid w:val="35A63D7A"/>
    <w:rsid w:val="35D53F46"/>
    <w:rsid w:val="35DA11D5"/>
    <w:rsid w:val="36E42DAC"/>
    <w:rsid w:val="370C40B1"/>
    <w:rsid w:val="376423DE"/>
    <w:rsid w:val="37983B97"/>
    <w:rsid w:val="37BE35FD"/>
    <w:rsid w:val="38052925"/>
    <w:rsid w:val="387758F7"/>
    <w:rsid w:val="38AD71CE"/>
    <w:rsid w:val="38C57279"/>
    <w:rsid w:val="38FD1F03"/>
    <w:rsid w:val="397C551E"/>
    <w:rsid w:val="3986639D"/>
    <w:rsid w:val="39AB7BB1"/>
    <w:rsid w:val="39C173D5"/>
    <w:rsid w:val="39C944DB"/>
    <w:rsid w:val="39DE785B"/>
    <w:rsid w:val="39EA25BC"/>
    <w:rsid w:val="3A586263"/>
    <w:rsid w:val="3A605A49"/>
    <w:rsid w:val="3A7C32FC"/>
    <w:rsid w:val="3AC727C9"/>
    <w:rsid w:val="3B726AD7"/>
    <w:rsid w:val="3BC71CF3"/>
    <w:rsid w:val="3BD3519D"/>
    <w:rsid w:val="3C3E2F5F"/>
    <w:rsid w:val="3C5207B8"/>
    <w:rsid w:val="3C6127A9"/>
    <w:rsid w:val="3C6F3118"/>
    <w:rsid w:val="3CBF7604"/>
    <w:rsid w:val="3CDA3C42"/>
    <w:rsid w:val="3D22668C"/>
    <w:rsid w:val="3D583BAC"/>
    <w:rsid w:val="3D91567A"/>
    <w:rsid w:val="3D9F17DB"/>
    <w:rsid w:val="3DB8289D"/>
    <w:rsid w:val="3DE6740A"/>
    <w:rsid w:val="3DFC1DB1"/>
    <w:rsid w:val="3E1706F9"/>
    <w:rsid w:val="3E693B97"/>
    <w:rsid w:val="3E6F05A1"/>
    <w:rsid w:val="3EA17886"/>
    <w:rsid w:val="3ED96F6F"/>
    <w:rsid w:val="3EFD41FF"/>
    <w:rsid w:val="3F1044F8"/>
    <w:rsid w:val="3F7A2500"/>
    <w:rsid w:val="3FB46A93"/>
    <w:rsid w:val="3FCE5298"/>
    <w:rsid w:val="40624D42"/>
    <w:rsid w:val="427F1BDB"/>
    <w:rsid w:val="42A47894"/>
    <w:rsid w:val="42C631FB"/>
    <w:rsid w:val="42F9198D"/>
    <w:rsid w:val="430420E0"/>
    <w:rsid w:val="430D5439"/>
    <w:rsid w:val="43217136"/>
    <w:rsid w:val="43C25818"/>
    <w:rsid w:val="43E91A02"/>
    <w:rsid w:val="43F65ECD"/>
    <w:rsid w:val="445A46AE"/>
    <w:rsid w:val="44670B79"/>
    <w:rsid w:val="450B1E4C"/>
    <w:rsid w:val="45B778DE"/>
    <w:rsid w:val="45C142B9"/>
    <w:rsid w:val="45CA7611"/>
    <w:rsid w:val="45CB6E47"/>
    <w:rsid w:val="46603AD2"/>
    <w:rsid w:val="46827EEC"/>
    <w:rsid w:val="473650F5"/>
    <w:rsid w:val="474156B1"/>
    <w:rsid w:val="479D6B55"/>
    <w:rsid w:val="479E6FA7"/>
    <w:rsid w:val="47DE73A4"/>
    <w:rsid w:val="484A2C8B"/>
    <w:rsid w:val="48895562"/>
    <w:rsid w:val="489B5295"/>
    <w:rsid w:val="493E3B2F"/>
    <w:rsid w:val="49423046"/>
    <w:rsid w:val="49634005"/>
    <w:rsid w:val="498A77E3"/>
    <w:rsid w:val="499248EA"/>
    <w:rsid w:val="4A0A0924"/>
    <w:rsid w:val="4A614603"/>
    <w:rsid w:val="4A993A56"/>
    <w:rsid w:val="4AD45479"/>
    <w:rsid w:val="4BEF78E5"/>
    <w:rsid w:val="4BF030C3"/>
    <w:rsid w:val="4C1B0BC7"/>
    <w:rsid w:val="4C324162"/>
    <w:rsid w:val="4CA566E2"/>
    <w:rsid w:val="4CAE339D"/>
    <w:rsid w:val="4CBD1C7E"/>
    <w:rsid w:val="4CC64C74"/>
    <w:rsid w:val="4CE0596C"/>
    <w:rsid w:val="4D002860"/>
    <w:rsid w:val="4D4203D5"/>
    <w:rsid w:val="4D6640C3"/>
    <w:rsid w:val="4DC25072"/>
    <w:rsid w:val="4EDC51F3"/>
    <w:rsid w:val="4EF77DB9"/>
    <w:rsid w:val="4F10078B"/>
    <w:rsid w:val="50245B70"/>
    <w:rsid w:val="505B3C87"/>
    <w:rsid w:val="50B415EA"/>
    <w:rsid w:val="50BF36BD"/>
    <w:rsid w:val="50CD1257"/>
    <w:rsid w:val="50E34850"/>
    <w:rsid w:val="5100482F"/>
    <w:rsid w:val="514B1ED3"/>
    <w:rsid w:val="51917235"/>
    <w:rsid w:val="519F7BA4"/>
    <w:rsid w:val="52034D35"/>
    <w:rsid w:val="525F4F8F"/>
    <w:rsid w:val="52873D3D"/>
    <w:rsid w:val="52AA6800"/>
    <w:rsid w:val="5322283B"/>
    <w:rsid w:val="53654E1D"/>
    <w:rsid w:val="53B92A73"/>
    <w:rsid w:val="544475CB"/>
    <w:rsid w:val="5455279C"/>
    <w:rsid w:val="54556C40"/>
    <w:rsid w:val="54570E53"/>
    <w:rsid w:val="54791F17"/>
    <w:rsid w:val="547A0454"/>
    <w:rsid w:val="54C85664"/>
    <w:rsid w:val="55866CCE"/>
    <w:rsid w:val="55AE2AAB"/>
    <w:rsid w:val="55B55BE8"/>
    <w:rsid w:val="55E25E88"/>
    <w:rsid w:val="56694C24"/>
    <w:rsid w:val="568630E0"/>
    <w:rsid w:val="56F20776"/>
    <w:rsid w:val="57211F6D"/>
    <w:rsid w:val="575675B3"/>
    <w:rsid w:val="5765719A"/>
    <w:rsid w:val="57AA3B63"/>
    <w:rsid w:val="57BD5228"/>
    <w:rsid w:val="58382B00"/>
    <w:rsid w:val="58D72319"/>
    <w:rsid w:val="593A6404"/>
    <w:rsid w:val="595576AD"/>
    <w:rsid w:val="596A6CE9"/>
    <w:rsid w:val="59967ADE"/>
    <w:rsid w:val="59B85CA7"/>
    <w:rsid w:val="59C211B2"/>
    <w:rsid w:val="5A5F48DF"/>
    <w:rsid w:val="5A790362"/>
    <w:rsid w:val="5AA61FA3"/>
    <w:rsid w:val="5AD34A66"/>
    <w:rsid w:val="5AEC372E"/>
    <w:rsid w:val="5AFF7905"/>
    <w:rsid w:val="5BC51364"/>
    <w:rsid w:val="5BC621D1"/>
    <w:rsid w:val="5C5D0D87"/>
    <w:rsid w:val="5C700ABB"/>
    <w:rsid w:val="5D940097"/>
    <w:rsid w:val="5DFE2053"/>
    <w:rsid w:val="5E2F0501"/>
    <w:rsid w:val="5EDA5F5F"/>
    <w:rsid w:val="5EFC6636"/>
    <w:rsid w:val="5F2D4A41"/>
    <w:rsid w:val="5F697A43"/>
    <w:rsid w:val="5F6B37BB"/>
    <w:rsid w:val="5F8469DA"/>
    <w:rsid w:val="5FF27A39"/>
    <w:rsid w:val="60575AEE"/>
    <w:rsid w:val="608763D3"/>
    <w:rsid w:val="609E371C"/>
    <w:rsid w:val="60B13450"/>
    <w:rsid w:val="60DD4063"/>
    <w:rsid w:val="60F5158E"/>
    <w:rsid w:val="6105554A"/>
    <w:rsid w:val="61FC694D"/>
    <w:rsid w:val="622814F0"/>
    <w:rsid w:val="62614A02"/>
    <w:rsid w:val="6279254B"/>
    <w:rsid w:val="640F6E0B"/>
    <w:rsid w:val="64CA0F84"/>
    <w:rsid w:val="64E57B6C"/>
    <w:rsid w:val="651559BF"/>
    <w:rsid w:val="65CE0A7B"/>
    <w:rsid w:val="65FF07B9"/>
    <w:rsid w:val="66067D9A"/>
    <w:rsid w:val="66304E17"/>
    <w:rsid w:val="66501015"/>
    <w:rsid w:val="665168DE"/>
    <w:rsid w:val="67E81E4D"/>
    <w:rsid w:val="68334CF4"/>
    <w:rsid w:val="683A1F7D"/>
    <w:rsid w:val="68476448"/>
    <w:rsid w:val="688356D2"/>
    <w:rsid w:val="688D47A2"/>
    <w:rsid w:val="68D60D70"/>
    <w:rsid w:val="68EA5751"/>
    <w:rsid w:val="69404ABC"/>
    <w:rsid w:val="69AC6EAA"/>
    <w:rsid w:val="69C441F4"/>
    <w:rsid w:val="6A822FFB"/>
    <w:rsid w:val="6AB04778"/>
    <w:rsid w:val="6AB10381"/>
    <w:rsid w:val="6AB44268"/>
    <w:rsid w:val="6AC02C0D"/>
    <w:rsid w:val="6ADF0BB9"/>
    <w:rsid w:val="6B030D4C"/>
    <w:rsid w:val="6B1C3BBC"/>
    <w:rsid w:val="6B461E36"/>
    <w:rsid w:val="6B8A7577"/>
    <w:rsid w:val="6BEC0D1C"/>
    <w:rsid w:val="6C270A6A"/>
    <w:rsid w:val="6C4C227F"/>
    <w:rsid w:val="6C6F1BBC"/>
    <w:rsid w:val="6C702411"/>
    <w:rsid w:val="6C705F6D"/>
    <w:rsid w:val="6CF46B9E"/>
    <w:rsid w:val="6D57333F"/>
    <w:rsid w:val="6E0E1EE1"/>
    <w:rsid w:val="6E6B2E90"/>
    <w:rsid w:val="6EF56AD0"/>
    <w:rsid w:val="6F086931"/>
    <w:rsid w:val="6F0D03EB"/>
    <w:rsid w:val="6F15104E"/>
    <w:rsid w:val="6F2621B5"/>
    <w:rsid w:val="6F486E65"/>
    <w:rsid w:val="6F5222A2"/>
    <w:rsid w:val="6F997ED1"/>
    <w:rsid w:val="6FB74754"/>
    <w:rsid w:val="6FDD0D13"/>
    <w:rsid w:val="701D541F"/>
    <w:rsid w:val="703E4A04"/>
    <w:rsid w:val="70B906E9"/>
    <w:rsid w:val="7126662C"/>
    <w:rsid w:val="7164544A"/>
    <w:rsid w:val="71793B16"/>
    <w:rsid w:val="71922E29"/>
    <w:rsid w:val="719A3A8C"/>
    <w:rsid w:val="71A05546"/>
    <w:rsid w:val="71AA7CBF"/>
    <w:rsid w:val="71AC3EEB"/>
    <w:rsid w:val="722742DF"/>
    <w:rsid w:val="727F769B"/>
    <w:rsid w:val="72BD51DB"/>
    <w:rsid w:val="72E57143"/>
    <w:rsid w:val="73306456"/>
    <w:rsid w:val="7355410F"/>
    <w:rsid w:val="73591E51"/>
    <w:rsid w:val="73B13A3B"/>
    <w:rsid w:val="741B2C62"/>
    <w:rsid w:val="742D26BF"/>
    <w:rsid w:val="746565D3"/>
    <w:rsid w:val="74E377E1"/>
    <w:rsid w:val="74F73C31"/>
    <w:rsid w:val="75284153"/>
    <w:rsid w:val="75287D2D"/>
    <w:rsid w:val="760C3B45"/>
    <w:rsid w:val="76197675"/>
    <w:rsid w:val="764D19B8"/>
    <w:rsid w:val="76B663A6"/>
    <w:rsid w:val="76F16531"/>
    <w:rsid w:val="774E15A1"/>
    <w:rsid w:val="7782283F"/>
    <w:rsid w:val="77DE2925"/>
    <w:rsid w:val="77F6472F"/>
    <w:rsid w:val="78C0027C"/>
    <w:rsid w:val="78FB7506"/>
    <w:rsid w:val="791660EE"/>
    <w:rsid w:val="792272B7"/>
    <w:rsid w:val="793B6839"/>
    <w:rsid w:val="79584BAC"/>
    <w:rsid w:val="799D1CF3"/>
    <w:rsid w:val="79F20909"/>
    <w:rsid w:val="7A067465"/>
    <w:rsid w:val="7AC06311"/>
    <w:rsid w:val="7AE85868"/>
    <w:rsid w:val="7B024C2C"/>
    <w:rsid w:val="7B513C0D"/>
    <w:rsid w:val="7B767CF9"/>
    <w:rsid w:val="7B90695F"/>
    <w:rsid w:val="7BA50A03"/>
    <w:rsid w:val="7BAB6FC2"/>
    <w:rsid w:val="7C2D3E7B"/>
    <w:rsid w:val="7D012C11"/>
    <w:rsid w:val="7D5A0C9F"/>
    <w:rsid w:val="7DC51E91"/>
    <w:rsid w:val="7DCA5560"/>
    <w:rsid w:val="7E4B05E8"/>
    <w:rsid w:val="7E955D07"/>
    <w:rsid w:val="7EAC2A2F"/>
    <w:rsid w:val="7F3472CE"/>
    <w:rsid w:val="7F601E71"/>
    <w:rsid w:val="7FD36AE7"/>
    <w:rsid w:val="7FE213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39" w:semiHidden="0" w:name="toc 2"/>
    <w:lsdException w:qFormat="1"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unhideWhenUsed="0" w:uiPriority="0" w:semiHidden="0" w:name="Date"/>
    <w:lsdException w:qFormat="1" w:unhideWhenUsed="0" w:uiPriority="0" w:semiHidden="0" w:name="Body Text First Indent"/>
    <w:lsdException w:qFormat="1"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宋体" w:hAnsi="宋体" w:eastAsia="宋体" w:cs="宋体"/>
      <w:sz w:val="24"/>
      <w:szCs w:val="24"/>
      <w:lang w:val="en-US" w:eastAsia="zh-CN" w:bidi="ar-SA"/>
    </w:rPr>
  </w:style>
  <w:style w:type="paragraph" w:styleId="6">
    <w:name w:val="heading 1"/>
    <w:basedOn w:val="1"/>
    <w:next w:val="7"/>
    <w:qFormat/>
    <w:uiPriority w:val="0"/>
    <w:pPr>
      <w:keepNext/>
      <w:keepLines/>
      <w:spacing w:beforeLines="0" w:beforeAutospacing="0" w:after="40" w:afterLines="0" w:afterAutospacing="0" w:line="360" w:lineRule="auto"/>
      <w:jc w:val="center"/>
      <w:outlineLvl w:val="0"/>
    </w:pPr>
    <w:rPr>
      <w:rFonts w:ascii="宋体" w:hAnsi="宋体" w:eastAsia="宋体" w:cs="黑体"/>
      <w:b/>
      <w:kern w:val="44"/>
      <w:sz w:val="30"/>
    </w:rPr>
  </w:style>
  <w:style w:type="paragraph" w:styleId="7">
    <w:name w:val="heading 2"/>
    <w:basedOn w:val="1"/>
    <w:next w:val="1"/>
    <w:qFormat/>
    <w:uiPriority w:val="0"/>
    <w:pPr>
      <w:autoSpaceDE w:val="0"/>
      <w:autoSpaceDN w:val="0"/>
      <w:spacing w:line="360" w:lineRule="auto"/>
      <w:ind w:left="0" w:firstLine="0"/>
      <w:jc w:val="left"/>
      <w:outlineLvl w:val="1"/>
    </w:pPr>
    <w:rPr>
      <w:rFonts w:ascii="Times New Roman" w:hAnsi="Times New Roman" w:eastAsia="宋体" w:cs="黑体"/>
      <w:b/>
      <w:kern w:val="0"/>
      <w:sz w:val="28"/>
      <w:szCs w:val="28"/>
      <w:lang w:eastAsia="en-US"/>
    </w:rPr>
  </w:style>
  <w:style w:type="paragraph" w:styleId="8">
    <w:name w:val="heading 3"/>
    <w:basedOn w:val="1"/>
    <w:next w:val="1"/>
    <w:qFormat/>
    <w:uiPriority w:val="0"/>
    <w:pPr>
      <w:autoSpaceDE w:val="0"/>
      <w:autoSpaceDN w:val="0"/>
      <w:spacing w:line="360" w:lineRule="auto"/>
      <w:ind w:left="0"/>
      <w:jc w:val="left"/>
      <w:outlineLvl w:val="2"/>
    </w:pPr>
    <w:rPr>
      <w:rFonts w:ascii="Times New Roman" w:hAnsi="Times New Roman" w:eastAsia="宋体" w:cs="Symbol"/>
      <w:b/>
      <w:kern w:val="0"/>
      <w:sz w:val="24"/>
      <w:szCs w:val="26"/>
      <w:lang w:eastAsia="en-US"/>
    </w:rPr>
  </w:style>
  <w:style w:type="paragraph" w:styleId="9">
    <w:name w:val="heading 4"/>
    <w:basedOn w:val="1"/>
    <w:next w:val="1"/>
    <w:link w:val="35"/>
    <w:qFormat/>
    <w:uiPriority w:val="0"/>
    <w:pPr>
      <w:autoSpaceDE w:val="0"/>
      <w:autoSpaceDN w:val="0"/>
      <w:spacing w:line="360" w:lineRule="auto"/>
      <w:ind w:left="0"/>
      <w:jc w:val="left"/>
      <w:outlineLvl w:val="3"/>
    </w:pPr>
    <w:rPr>
      <w:rFonts w:ascii="Times New Roman" w:hAnsi="Times New Roman" w:eastAsia="宋体" w:cs="宋体"/>
      <w:b/>
      <w:bCs/>
      <w:kern w:val="0"/>
      <w:sz w:val="24"/>
      <w:szCs w:val="24"/>
      <w:lang w:eastAsia="en-US"/>
    </w:rPr>
  </w:style>
  <w:style w:type="paragraph" w:styleId="10">
    <w:name w:val="heading 6"/>
    <w:basedOn w:val="1"/>
    <w:next w:val="1"/>
    <w:qFormat/>
    <w:uiPriority w:val="0"/>
    <w:pPr>
      <w:keepNext/>
      <w:keepLines/>
      <w:overflowPunct w:val="0"/>
      <w:spacing w:line="360" w:lineRule="auto"/>
      <w:jc w:val="center"/>
      <w:textAlignment w:val="baseline"/>
      <w:outlineLvl w:val="5"/>
    </w:pPr>
    <w:rPr>
      <w:rFonts w:ascii="Times New Roman" w:hAnsi="Times New Roman" w:eastAsia="宋体"/>
      <w:b/>
      <w:color w:val="000000"/>
      <w:kern w:val="20"/>
      <w:sz w:val="24"/>
      <w:szCs w:val="21"/>
    </w:rPr>
  </w:style>
  <w:style w:type="character" w:default="1" w:styleId="32">
    <w:name w:val="Default Paragraph Font"/>
    <w:semiHidden/>
    <w:qFormat/>
    <w:uiPriority w:val="0"/>
  </w:style>
  <w:style w:type="table" w:default="1" w:styleId="30">
    <w:name w:val="Normal Table"/>
    <w:semiHidden/>
    <w:qFormat/>
    <w:uiPriority w:val="0"/>
    <w:tblPr>
      <w:tblCellMar>
        <w:top w:w="0" w:type="dxa"/>
        <w:left w:w="108" w:type="dxa"/>
        <w:bottom w:w="0" w:type="dxa"/>
        <w:right w:w="108" w:type="dxa"/>
      </w:tblCellMar>
    </w:tblPr>
  </w:style>
  <w:style w:type="paragraph" w:styleId="2">
    <w:name w:val="Body Text First Indent"/>
    <w:basedOn w:val="3"/>
    <w:next w:val="1"/>
    <w:qFormat/>
    <w:uiPriority w:val="0"/>
    <w:pPr>
      <w:ind w:firstLine="420" w:firstLineChars="100"/>
    </w:pPr>
  </w:style>
  <w:style w:type="paragraph" w:styleId="3">
    <w:name w:val="Body Text"/>
    <w:basedOn w:val="1"/>
    <w:next w:val="4"/>
    <w:qFormat/>
    <w:uiPriority w:val="0"/>
    <w:pPr>
      <w:keepNext w:val="0"/>
      <w:keepLines w:val="0"/>
      <w:widowControl w:val="0"/>
      <w:suppressLineNumbers w:val="0"/>
      <w:spacing w:after="120" w:afterAutospacing="0" w:line="360" w:lineRule="auto"/>
      <w:ind w:firstLine="482" w:firstLineChars="200"/>
      <w:jc w:val="both"/>
    </w:pPr>
    <w:rPr>
      <w:rFonts w:hint="default" w:ascii="Times New Roman" w:hAnsi="Times New Roman" w:eastAsia="宋体" w:cs="Times New Roman"/>
      <w:kern w:val="2"/>
      <w:sz w:val="24"/>
      <w:szCs w:val="24"/>
      <w:lang w:val="en-US" w:eastAsia="zh-CN" w:bidi="ar"/>
    </w:rPr>
  </w:style>
  <w:style w:type="paragraph" w:customStyle="1" w:styleId="4">
    <w:name w:val="xl27"/>
    <w:basedOn w:val="1"/>
    <w:next w:val="5"/>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5">
    <w:name w:val="A正文"/>
    <w:qFormat/>
    <w:uiPriority w:val="0"/>
    <w:pPr>
      <w:overflowPunct w:val="0"/>
      <w:autoSpaceDE w:val="0"/>
      <w:autoSpaceDN w:val="0"/>
      <w:adjustRightInd w:val="0"/>
      <w:snapToGrid w:val="0"/>
      <w:spacing w:line="360" w:lineRule="auto"/>
      <w:ind w:firstLine="200" w:firstLineChars="200"/>
      <w:textAlignment w:val="baseline"/>
    </w:pPr>
    <w:rPr>
      <w:rFonts w:ascii="Times New Roman" w:hAnsi="Times New Roman" w:eastAsia="宋体" w:cs="Times New Roman"/>
      <w:color w:val="000000"/>
      <w:kern w:val="2"/>
      <w:sz w:val="24"/>
      <w:szCs w:val="22"/>
      <w:lang w:val="en-US" w:eastAsia="zh-CN" w:bidi="ar-SA"/>
    </w:rPr>
  </w:style>
  <w:style w:type="paragraph" w:styleId="11">
    <w:name w:val="Normal Indent"/>
    <w:basedOn w:val="1"/>
    <w:qFormat/>
    <w:uiPriority w:val="0"/>
    <w:pPr>
      <w:spacing w:line="360" w:lineRule="exact"/>
      <w:ind w:firstLine="420" w:firstLineChars="200"/>
    </w:pPr>
    <w:rPr>
      <w:rFonts w:ascii="Times New Roman" w:hAnsi="Times New Roman" w:cs="Times New Roman"/>
      <w:kern w:val="2"/>
      <w:szCs w:val="20"/>
    </w:rPr>
  </w:style>
  <w:style w:type="paragraph" w:styleId="12">
    <w:name w:val="caption"/>
    <w:basedOn w:val="1"/>
    <w:next w:val="2"/>
    <w:qFormat/>
    <w:uiPriority w:val="0"/>
    <w:rPr>
      <w:rFonts w:ascii="Arial" w:hAnsi="Arial" w:eastAsia="黑体" w:cs="Arial"/>
      <w:sz w:val="20"/>
      <w:szCs w:val="20"/>
    </w:rPr>
  </w:style>
  <w:style w:type="paragraph" w:styleId="13">
    <w:name w:val="annotation text"/>
    <w:basedOn w:val="1"/>
    <w:qFormat/>
    <w:uiPriority w:val="0"/>
    <w:pPr>
      <w:spacing w:line="360" w:lineRule="auto"/>
      <w:ind w:firstLine="200" w:firstLineChars="200"/>
      <w:jc w:val="left"/>
    </w:pPr>
    <w:rPr>
      <w:rFonts w:ascii="Times New Roman" w:hAnsi="Times New Roman" w:cs="Times New Roman"/>
      <w:kern w:val="2"/>
    </w:rPr>
  </w:style>
  <w:style w:type="paragraph" w:styleId="14">
    <w:name w:val="Salutation"/>
    <w:basedOn w:val="1"/>
    <w:next w:val="1"/>
    <w:qFormat/>
    <w:uiPriority w:val="0"/>
  </w:style>
  <w:style w:type="paragraph" w:styleId="15">
    <w:name w:val="Body Text Indent"/>
    <w:basedOn w:val="1"/>
    <w:next w:val="16"/>
    <w:qFormat/>
    <w:uiPriority w:val="0"/>
    <w:pPr>
      <w:spacing w:line="440" w:lineRule="exact"/>
      <w:ind w:firstLine="570" w:firstLineChars="200"/>
    </w:pPr>
    <w:rPr>
      <w:rFonts w:ascii="Times New Roman" w:hAnsi="Times New Roman" w:cs="Times New Roman"/>
      <w:kern w:val="2"/>
      <w:sz w:val="28"/>
    </w:rPr>
  </w:style>
  <w:style w:type="paragraph" w:styleId="16">
    <w:name w:val="toc 4"/>
    <w:basedOn w:val="1"/>
    <w:next w:val="1"/>
    <w:qFormat/>
    <w:uiPriority w:val="0"/>
    <w:pPr>
      <w:ind w:left="630"/>
      <w:jc w:val="left"/>
    </w:pPr>
    <w:rPr>
      <w:sz w:val="18"/>
      <w:szCs w:val="18"/>
    </w:rPr>
  </w:style>
  <w:style w:type="paragraph" w:styleId="17">
    <w:name w:val="toc 3"/>
    <w:basedOn w:val="1"/>
    <w:next w:val="1"/>
    <w:qFormat/>
    <w:uiPriority w:val="0"/>
    <w:pPr>
      <w:ind w:left="840" w:leftChars="400"/>
    </w:pPr>
  </w:style>
  <w:style w:type="paragraph" w:styleId="18">
    <w:name w:val="Plain Text"/>
    <w:basedOn w:val="1"/>
    <w:qFormat/>
    <w:uiPriority w:val="0"/>
    <w:pPr>
      <w:spacing w:line="360" w:lineRule="auto"/>
      <w:ind w:firstLine="200" w:firstLineChars="200"/>
    </w:pPr>
    <w:rPr>
      <w:rFonts w:hAnsi="Courier New" w:cs="Times New Roman"/>
      <w:kern w:val="2"/>
      <w:szCs w:val="21"/>
    </w:rPr>
  </w:style>
  <w:style w:type="paragraph" w:styleId="19">
    <w:name w:val="Body Text Indent 2"/>
    <w:basedOn w:val="1"/>
    <w:next w:val="20"/>
    <w:qFormat/>
    <w:uiPriority w:val="0"/>
    <w:pPr>
      <w:ind w:firstLine="640" w:firstLineChars="200"/>
    </w:pPr>
    <w:rPr>
      <w:sz w:val="32"/>
    </w:rPr>
  </w:style>
  <w:style w:type="paragraph" w:styleId="20">
    <w:name w:val="Body Text First Indent 2"/>
    <w:basedOn w:val="15"/>
    <w:next w:val="1"/>
    <w:unhideWhenUsed/>
    <w:qFormat/>
    <w:uiPriority w:val="0"/>
    <w:pPr>
      <w:spacing w:after="120" w:line="240" w:lineRule="auto"/>
      <w:ind w:left="420" w:leftChars="200" w:firstLine="420"/>
    </w:pPr>
    <w:rPr>
      <w:sz w:val="21"/>
    </w:rPr>
  </w:style>
  <w:style w:type="paragraph" w:styleId="21">
    <w:name w:val="footer"/>
    <w:basedOn w:val="1"/>
    <w:qFormat/>
    <w:uiPriority w:val="0"/>
    <w:pPr>
      <w:tabs>
        <w:tab w:val="center" w:pos="4153"/>
        <w:tab w:val="right" w:pos="8306"/>
      </w:tabs>
      <w:snapToGrid w:val="0"/>
      <w:spacing w:line="360" w:lineRule="auto"/>
      <w:ind w:firstLine="200" w:firstLineChars="200"/>
      <w:jc w:val="left"/>
    </w:pPr>
    <w:rPr>
      <w:rFonts w:ascii="Times New Roman" w:hAnsi="Times New Roman" w:cs="Times New Roman"/>
      <w:kern w:val="2"/>
      <w:sz w:val="18"/>
      <w:szCs w:val="18"/>
    </w:rPr>
  </w:style>
  <w:style w:type="paragraph" w:styleId="22">
    <w:name w:val="header"/>
    <w:basedOn w:val="1"/>
    <w:next w:val="1"/>
    <w:qFormat/>
    <w:uiPriority w:val="99"/>
    <w:pPr>
      <w:pBdr>
        <w:bottom w:val="single" w:color="auto" w:sz="6" w:space="1"/>
      </w:pBdr>
      <w:tabs>
        <w:tab w:val="center" w:pos="4153"/>
        <w:tab w:val="right" w:pos="8306"/>
      </w:tabs>
      <w:snapToGrid w:val="0"/>
      <w:spacing w:line="360" w:lineRule="auto"/>
      <w:ind w:firstLine="200" w:firstLineChars="200"/>
      <w:jc w:val="center"/>
    </w:pPr>
    <w:rPr>
      <w:rFonts w:ascii="Times New Roman" w:hAnsi="Times New Roman" w:cs="Times New Roman"/>
      <w:kern w:val="2"/>
      <w:sz w:val="18"/>
      <w:szCs w:val="20"/>
    </w:rPr>
  </w:style>
  <w:style w:type="paragraph" w:styleId="23">
    <w:name w:val="toc 1"/>
    <w:basedOn w:val="1"/>
    <w:next w:val="1"/>
    <w:qFormat/>
    <w:uiPriority w:val="0"/>
  </w:style>
  <w:style w:type="paragraph" w:styleId="24">
    <w:name w:val="Subtitle"/>
    <w:basedOn w:val="1"/>
    <w:next w:val="1"/>
    <w:qFormat/>
    <w:uiPriority w:val="0"/>
    <w:pPr>
      <w:spacing w:before="240" w:after="60" w:line="312" w:lineRule="auto"/>
      <w:ind w:firstLine="200" w:firstLineChars="200"/>
      <w:jc w:val="center"/>
      <w:outlineLvl w:val="1"/>
    </w:pPr>
    <w:rPr>
      <w:rFonts w:ascii="Cambria" w:hAnsi="Cambria" w:cs="Times New Roman"/>
      <w:b/>
      <w:bCs/>
      <w:kern w:val="28"/>
      <w:sz w:val="32"/>
      <w:szCs w:val="32"/>
    </w:rPr>
  </w:style>
  <w:style w:type="paragraph" w:styleId="25">
    <w:name w:val="table of figures"/>
    <w:basedOn w:val="1"/>
    <w:next w:val="1"/>
    <w:qFormat/>
    <w:uiPriority w:val="0"/>
    <w:pPr>
      <w:ind w:leftChars="200" w:hanging="200" w:hangingChars="200"/>
    </w:pPr>
    <w:rPr>
      <w:szCs w:val="24"/>
    </w:rPr>
  </w:style>
  <w:style w:type="paragraph" w:styleId="26">
    <w:name w:val="toc 2"/>
    <w:basedOn w:val="1"/>
    <w:next w:val="1"/>
    <w:qFormat/>
    <w:uiPriority w:val="39"/>
    <w:pPr>
      <w:tabs>
        <w:tab w:val="right" w:leader="dot" w:pos="9072"/>
      </w:tabs>
      <w:spacing w:line="360" w:lineRule="auto"/>
    </w:pPr>
    <w:rPr>
      <w:rFonts w:cs="Calibri"/>
      <w:smallCaps/>
      <w:sz w:val="20"/>
      <w:szCs w:val="20"/>
    </w:rPr>
  </w:style>
  <w:style w:type="paragraph" w:styleId="27">
    <w:name w:val="toc 9"/>
    <w:basedOn w:val="1"/>
    <w:next w:val="1"/>
    <w:qFormat/>
    <w:uiPriority w:val="0"/>
    <w:pPr>
      <w:wordWrap w:val="0"/>
      <w:ind w:left="2975"/>
      <w:jc w:val="both"/>
    </w:pPr>
    <w:rPr>
      <w:rFonts w:ascii="Times New Roman" w:hAnsi="Times New Roman" w:eastAsia="宋体" w:cs="Times New Roman"/>
      <w:sz w:val="21"/>
      <w:szCs w:val="22"/>
      <w:lang w:val="en-US" w:eastAsia="zh-CN" w:bidi="ar-SA"/>
    </w:rPr>
  </w:style>
  <w:style w:type="paragraph" w:styleId="28">
    <w:name w:val="Body Text 2"/>
    <w:basedOn w:val="1"/>
    <w:next w:val="1"/>
    <w:qFormat/>
    <w:uiPriority w:val="0"/>
    <w:rPr>
      <w:b/>
      <w:bCs/>
      <w:sz w:val="24"/>
    </w:rPr>
  </w:style>
  <w:style w:type="paragraph" w:styleId="29">
    <w:name w:val="Normal (Web)"/>
    <w:basedOn w:val="1"/>
    <w:qFormat/>
    <w:uiPriority w:val="0"/>
    <w:pPr>
      <w:spacing w:before="0" w:beforeAutospacing="1" w:after="0" w:afterAutospacing="1"/>
      <w:ind w:left="0" w:right="0"/>
      <w:jc w:val="left"/>
    </w:pPr>
    <w:rPr>
      <w:kern w:val="0"/>
      <w:sz w:val="24"/>
      <w:lang w:val="en-US" w:eastAsia="zh-CN" w:bidi="ar"/>
    </w:r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3">
    <w:name w:val="正文."/>
    <w:qFormat/>
    <w:uiPriority w:val="0"/>
    <w:pPr>
      <w:widowControl w:val="0"/>
      <w:autoSpaceDE w:val="0"/>
      <w:autoSpaceDN w:val="0"/>
      <w:adjustRightInd w:val="0"/>
      <w:spacing w:line="480" w:lineRule="exact"/>
      <w:jc w:val="both"/>
    </w:pPr>
    <w:rPr>
      <w:rFonts w:ascii="Times New Roman" w:hAnsi="Times New Roman" w:eastAsia="宋体" w:cs="Times New Roman"/>
      <w:sz w:val="21"/>
      <w:szCs w:val="21"/>
      <w:lang w:val="en-US" w:eastAsia="zh-CN" w:bidi="ar-SA"/>
    </w:rPr>
  </w:style>
  <w:style w:type="paragraph" w:customStyle="1" w:styleId="34">
    <w:name w:val="标准正文"/>
    <w:basedOn w:val="1"/>
    <w:qFormat/>
    <w:uiPriority w:val="0"/>
    <w:pPr>
      <w:spacing w:line="440" w:lineRule="exact"/>
      <w:ind w:firstLine="200" w:firstLineChars="200"/>
    </w:pPr>
    <w:rPr>
      <w:spacing w:val="0"/>
      <w:sz w:val="24"/>
      <w:szCs w:val="24"/>
    </w:rPr>
  </w:style>
  <w:style w:type="character" w:customStyle="1" w:styleId="35">
    <w:name w:val="标题 4 字符"/>
    <w:link w:val="9"/>
    <w:qFormat/>
    <w:uiPriority w:val="0"/>
    <w:rPr>
      <w:rFonts w:ascii="Times New Roman" w:hAnsi="Times New Roman" w:eastAsia="宋体" w:cs="宋体"/>
      <w:b/>
      <w:bCs/>
      <w:kern w:val="0"/>
      <w:sz w:val="24"/>
      <w:szCs w:val="24"/>
      <w:lang w:eastAsia="en-US"/>
    </w:rPr>
  </w:style>
  <w:style w:type="paragraph" w:styleId="36">
    <w:name w:val="List Paragraph"/>
    <w:basedOn w:val="1"/>
    <w:qFormat/>
    <w:uiPriority w:val="34"/>
    <w:pPr>
      <w:spacing w:line="360" w:lineRule="auto"/>
      <w:ind w:firstLine="420" w:firstLineChars="200"/>
    </w:pPr>
    <w:rPr>
      <w:rFonts w:ascii="Times New Roman" w:hAnsi="Times New Roman"/>
      <w:sz w:val="24"/>
      <w:szCs w:val="24"/>
    </w:rPr>
  </w:style>
  <w:style w:type="paragraph" w:customStyle="1" w:styleId="37">
    <w:name w:val="表标题"/>
    <w:basedOn w:val="3"/>
    <w:next w:val="3"/>
    <w:qFormat/>
    <w:uiPriority w:val="0"/>
    <w:pPr>
      <w:numPr>
        <w:ilvl w:val="0"/>
        <w:numId w:val="0"/>
      </w:numPr>
      <w:tabs>
        <w:tab w:val="left" w:pos="360"/>
      </w:tabs>
      <w:jc w:val="center"/>
    </w:pPr>
    <w:rPr>
      <w:szCs w:val="20"/>
    </w:rPr>
  </w:style>
  <w:style w:type="paragraph" w:customStyle="1" w:styleId="38">
    <w:name w:val="表格正文"/>
    <w:basedOn w:val="11"/>
    <w:qFormat/>
    <w:uiPriority w:val="0"/>
    <w:pPr>
      <w:autoSpaceDE w:val="0"/>
      <w:autoSpaceDN w:val="0"/>
      <w:ind w:firstLine="0" w:firstLineChars="0"/>
      <w:textAlignment w:val="bottom"/>
    </w:pPr>
    <w:rPr>
      <w:rFonts w:ascii="宋体"/>
      <w:kern w:val="0"/>
    </w:rPr>
  </w:style>
  <w:style w:type="paragraph" w:customStyle="1" w:styleId="39">
    <w:name w:val="表格--叶子"/>
    <w:basedOn w:val="1"/>
    <w:qFormat/>
    <w:uiPriority w:val="0"/>
    <w:pPr>
      <w:spacing w:line="240" w:lineRule="auto"/>
      <w:ind w:firstLine="0" w:firstLineChars="0"/>
      <w:jc w:val="center"/>
    </w:pPr>
    <w:rPr>
      <w:kern w:val="0"/>
      <w:sz w:val="21"/>
      <w:szCs w:val="21"/>
    </w:rPr>
  </w:style>
  <w:style w:type="paragraph" w:customStyle="1" w:styleId="40">
    <w:name w:val="表格内容"/>
    <w:basedOn w:val="41"/>
    <w:next w:val="1"/>
    <w:qFormat/>
    <w:uiPriority w:val="0"/>
    <w:pPr>
      <w:overflowPunct w:val="0"/>
      <w:spacing w:before="40" w:after="60" w:line="200" w:lineRule="atLeast"/>
      <w:textAlignment w:val="baseline"/>
    </w:pPr>
    <w:rPr>
      <w:rFonts w:ascii="Arial" w:hAnsi="Arial"/>
    </w:rPr>
  </w:style>
  <w:style w:type="paragraph" w:customStyle="1" w:styleId="41">
    <w:name w:val="表格标题"/>
    <w:basedOn w:val="1"/>
    <w:next w:val="40"/>
    <w:qFormat/>
    <w:uiPriority w:val="0"/>
    <w:pPr>
      <w:spacing w:line="240" w:lineRule="auto"/>
    </w:pPr>
    <w:rPr>
      <w:rFonts w:ascii="Times New Roman" w:hAnsi="Times New Roman" w:eastAsia="仿宋_GB2312"/>
      <w:b/>
      <w:sz w:val="24"/>
      <w:szCs w:val="24"/>
    </w:rPr>
  </w:style>
  <w:style w:type="paragraph" w:customStyle="1" w:styleId="42">
    <w:name w:val="样式 楷体_GB2312 居中"/>
    <w:basedOn w:val="1"/>
    <w:qFormat/>
    <w:uiPriority w:val="0"/>
    <w:pPr>
      <w:adjustRightInd/>
      <w:spacing w:line="360" w:lineRule="auto"/>
      <w:ind w:firstLine="0"/>
      <w:jc w:val="center"/>
      <w:textAlignment w:val="auto"/>
    </w:pPr>
    <w:rPr>
      <w:rFonts w:ascii="楷体_GB2312" w:eastAsia="楷体_GB2312"/>
      <w:spacing w:val="0"/>
      <w:sz w:val="21"/>
    </w:rPr>
  </w:style>
  <w:style w:type="paragraph" w:customStyle="1" w:styleId="43">
    <w:name w:val="表内文字"/>
    <w:basedOn w:val="1"/>
    <w:next w:val="1"/>
    <w:qFormat/>
    <w:uiPriority w:val="0"/>
    <w:pPr>
      <w:ind w:firstLine="0"/>
      <w:jc w:val="center"/>
    </w:pPr>
    <w:rPr>
      <w:spacing w:val="0"/>
      <w:sz w:val="24"/>
    </w:rPr>
  </w:style>
  <w:style w:type="paragraph" w:customStyle="1" w:styleId="44">
    <w:name w:val="一般表格格式"/>
    <w:basedOn w:val="42"/>
    <w:qFormat/>
    <w:uiPriority w:val="0"/>
    <w:pPr>
      <w:spacing w:line="360" w:lineRule="exact"/>
    </w:pPr>
    <w:rPr>
      <w:rFonts w:ascii="Times New Roman" w:eastAsia="宋体"/>
    </w:rPr>
  </w:style>
  <w:style w:type="paragraph" w:customStyle="1" w:styleId="45">
    <w:name w:val="1表格文字"/>
    <w:qFormat/>
    <w:uiPriority w:val="0"/>
    <w:pPr>
      <w:jc w:val="center"/>
    </w:pPr>
    <w:rPr>
      <w:rFonts w:ascii="Times New Roman" w:hAnsi="Times New Roman" w:eastAsia="宋体" w:cs="Times New Roman"/>
      <w:sz w:val="21"/>
      <w:szCs w:val="24"/>
      <w:lang w:val="en-US" w:eastAsia="zh-CN" w:bidi="en-US"/>
    </w:rPr>
  </w:style>
  <w:style w:type="paragraph" w:customStyle="1" w:styleId="46">
    <w:name w:val="Table Paragraph"/>
    <w:basedOn w:val="1"/>
    <w:qFormat/>
    <w:uiPriority w:val="1"/>
    <w:pPr>
      <w:jc w:val="center"/>
    </w:pPr>
    <w:rPr>
      <w:rFonts w:ascii="宋体" w:hAnsi="宋体" w:eastAsia="宋体" w:cs="宋体"/>
      <w:lang w:val="zh-CN" w:eastAsia="zh-CN" w:bidi="zh-CN"/>
    </w:rPr>
  </w:style>
  <w:style w:type="paragraph" w:customStyle="1" w:styleId="47">
    <w:name w:val="Body text|1"/>
    <w:basedOn w:val="1"/>
    <w:qFormat/>
    <w:uiPriority w:val="0"/>
    <w:pPr>
      <w:widowControl w:val="0"/>
      <w:shd w:val="clear" w:color="auto" w:fill="auto"/>
      <w:spacing w:line="425" w:lineRule="auto"/>
      <w:ind w:firstLine="400"/>
    </w:pPr>
    <w:rPr>
      <w:rFonts w:ascii="宋体" w:hAnsi="宋体" w:eastAsia="宋体" w:cs="宋体"/>
      <w:sz w:val="30"/>
      <w:szCs w:val="30"/>
      <w:u w:val="none"/>
      <w:shd w:val="clear" w:color="auto" w:fill="auto"/>
      <w:lang w:val="zh-TW" w:eastAsia="zh-TW" w:bidi="zh-TW"/>
    </w:rPr>
  </w:style>
  <w:style w:type="paragraph" w:customStyle="1" w:styleId="48">
    <w:name w:val="24磅正文"/>
    <w:basedOn w:val="1"/>
    <w:qFormat/>
    <w:uiPriority w:val="0"/>
    <w:pPr>
      <w:topLinePunct/>
      <w:autoSpaceDE w:val="0"/>
      <w:spacing w:line="480" w:lineRule="exact"/>
      <w:ind w:firstLine="480" w:firstLineChars="200"/>
    </w:pPr>
    <w:rPr>
      <w:rFonts w:ascii="Times New Roman" w:hAnsi="Times New Roman" w:eastAsia="宋体" w:cs="Times New Roman"/>
      <w:sz w:val="24"/>
    </w:rPr>
  </w:style>
  <w:style w:type="paragraph" w:customStyle="1" w:styleId="49">
    <w:name w:val="表格居中lq"/>
    <w:qFormat/>
    <w:uiPriority w:val="0"/>
    <w:pPr>
      <w:spacing w:before="120"/>
      <w:jc w:val="center"/>
    </w:pPr>
    <w:rPr>
      <w:rFonts w:ascii="Times New Roman" w:hAnsi="Times New Roman" w:eastAsia="宋体" w:cs="Times New Roman"/>
      <w:bCs/>
      <w:sz w:val="18"/>
      <w:szCs w:val="22"/>
      <w:lang w:val="en-US" w:eastAsia="zh-CN" w:bidi="ar-SA"/>
    </w:rPr>
  </w:style>
  <w:style w:type="paragraph" w:customStyle="1" w:styleId="50">
    <w:name w:val="二级标题"/>
    <w:basedOn w:val="24"/>
    <w:qFormat/>
    <w:uiPriority w:val="0"/>
    <w:pPr>
      <w:jc w:val="left"/>
    </w:pPr>
  </w:style>
  <w:style w:type="paragraph" w:customStyle="1" w:styleId="51">
    <w:name w:val="Default"/>
    <w:basedOn w:val="52"/>
    <w:next w:val="27"/>
    <w:qFormat/>
    <w:uiPriority w:val="0"/>
    <w:pPr>
      <w:widowControl w:val="0"/>
      <w:autoSpaceDE w:val="0"/>
      <w:autoSpaceDN w:val="0"/>
      <w:adjustRightInd w:val="0"/>
    </w:pPr>
    <w:rPr>
      <w:rFonts w:ascii="黑体" w:hAnsi="Times New Roman" w:eastAsia="黑体" w:cs="Times New Roman"/>
      <w:color w:val="000000"/>
      <w:sz w:val="24"/>
      <w:szCs w:val="24"/>
      <w:lang w:val="en-US" w:eastAsia="zh-CN" w:bidi="ar-SA"/>
    </w:rPr>
  </w:style>
  <w:style w:type="paragraph" w:customStyle="1" w:styleId="52">
    <w:name w:val="标题2"/>
    <w:basedOn w:val="7"/>
    <w:qFormat/>
    <w:uiPriority w:val="0"/>
    <w:pPr>
      <w:keepLines w:val="0"/>
      <w:adjustRightInd w:val="0"/>
      <w:snapToGrid w:val="0"/>
      <w:spacing w:before="0" w:after="0" w:line="360" w:lineRule="auto"/>
    </w:pPr>
    <w:rPr>
      <w:rFonts w:ascii="黑体" w:hAnsi="Times New Roman"/>
      <w:snapToGrid w:val="0"/>
      <w:kern w:val="0"/>
      <w:sz w:val="24"/>
      <w:szCs w:val="20"/>
    </w:rPr>
  </w:style>
  <w:style w:type="paragraph" w:customStyle="1" w:styleId="53">
    <w:name w:val="样式3"/>
    <w:basedOn w:val="23"/>
    <w:next w:val="54"/>
    <w:qFormat/>
    <w:uiPriority w:val="0"/>
    <w:pPr>
      <w:autoSpaceDE w:val="0"/>
      <w:autoSpaceDN w:val="0"/>
      <w:snapToGrid w:val="0"/>
      <w:spacing w:before="120" w:line="460" w:lineRule="atLeast"/>
      <w:jc w:val="center"/>
    </w:pPr>
    <w:rPr>
      <w:rFonts w:eastAsia="黑体"/>
      <w:sz w:val="28"/>
    </w:rPr>
  </w:style>
  <w:style w:type="paragraph" w:customStyle="1" w:styleId="54">
    <w:name w:val="目录 53"/>
    <w:basedOn w:val="1"/>
    <w:next w:val="1"/>
    <w:qFormat/>
    <w:uiPriority w:val="0"/>
    <w:pPr>
      <w:ind w:left="840"/>
    </w:pPr>
    <w:rPr>
      <w:rFonts w:cs="宋体"/>
      <w:color w:val="000000"/>
    </w:rPr>
  </w:style>
  <w:style w:type="paragraph" w:customStyle="1" w:styleId="55">
    <w:name w:val="正文01"/>
    <w:basedOn w:val="1"/>
    <w:qFormat/>
    <w:uiPriority w:val="0"/>
    <w:pPr>
      <w:spacing w:before="60" w:line="460" w:lineRule="exact"/>
      <w:ind w:firstLine="200" w:firstLineChars="200"/>
    </w:pPr>
    <w:rPr>
      <w:sz w:val="24"/>
    </w:rPr>
  </w:style>
  <w:style w:type="paragraph" w:customStyle="1" w:styleId="56">
    <w:name w:val="表格文字"/>
    <w:basedOn w:val="1"/>
    <w:qFormat/>
    <w:uiPriority w:val="0"/>
    <w:pPr>
      <w:spacing w:line="360" w:lineRule="atLeast"/>
      <w:jc w:val="center"/>
    </w:pPr>
  </w:style>
  <w:style w:type="character" w:customStyle="1" w:styleId="57">
    <w:name w:val="font01"/>
    <w:basedOn w:val="32"/>
    <w:qFormat/>
    <w:uiPriority w:val="0"/>
    <w:rPr>
      <w:rFonts w:hint="default" w:ascii="Times New Roman" w:hAnsi="Times New Roman" w:cs="Times New Roman"/>
      <w:color w:val="000000"/>
      <w:sz w:val="21"/>
      <w:szCs w:val="21"/>
      <w:u w:val="none"/>
    </w:rPr>
  </w:style>
  <w:style w:type="character" w:customStyle="1" w:styleId="58">
    <w:name w:val="font21"/>
    <w:basedOn w:val="32"/>
    <w:qFormat/>
    <w:uiPriority w:val="0"/>
    <w:rPr>
      <w:rFonts w:hint="eastAsia" w:ascii="宋体" w:hAnsi="宋体" w:eastAsia="宋体" w:cs="宋体"/>
      <w:color w:val="000000"/>
      <w:sz w:val="21"/>
      <w:szCs w:val="21"/>
      <w:u w:val="none"/>
    </w:rPr>
  </w:style>
  <w:style w:type="character" w:customStyle="1" w:styleId="59">
    <w:name w:val="font11"/>
    <w:basedOn w:val="32"/>
    <w:qFormat/>
    <w:uiPriority w:val="0"/>
    <w:rPr>
      <w:rFonts w:hint="default" w:ascii="Times New Roman" w:hAnsi="Times New Roman" w:cs="Times New Roman"/>
      <w:color w:val="000000"/>
      <w:sz w:val="21"/>
      <w:szCs w:val="21"/>
      <w:u w:val="none"/>
    </w:rPr>
  </w:style>
  <w:style w:type="character" w:customStyle="1" w:styleId="60">
    <w:name w:val="font31"/>
    <w:basedOn w:val="32"/>
    <w:qFormat/>
    <w:uiPriority w:val="0"/>
    <w:rPr>
      <w:rFonts w:hint="default" w:ascii="Times New Roman" w:hAnsi="Times New Roman" w:cs="Times New Roman"/>
      <w:color w:val="000000"/>
      <w:sz w:val="21"/>
      <w:szCs w:val="21"/>
      <w:u w:val="none"/>
      <w:vertAlign w:val="superscript"/>
    </w:rPr>
  </w:style>
  <w:style w:type="paragraph" w:customStyle="1" w:styleId="61">
    <w:name w:val="报告正文-连续目录"/>
    <w:basedOn w:val="1"/>
    <w:qFormat/>
    <w:uiPriority w:val="0"/>
    <w:pPr>
      <w:spacing w:line="440" w:lineRule="exact"/>
      <w:ind w:firstLine="200" w:firstLineChars="200"/>
    </w:pPr>
    <w:rPr>
      <w:rFonts w:ascii="Arial" w:hAnsi="Arial"/>
      <w:snapToGrid w:val="0"/>
      <w:kern w:val="0"/>
      <w:szCs w:val="24"/>
    </w:rPr>
  </w:style>
  <w:style w:type="character" w:customStyle="1" w:styleId="62">
    <w:name w:val="font41"/>
    <w:basedOn w:val="32"/>
    <w:qFormat/>
    <w:uiPriority w:val="0"/>
    <w:rPr>
      <w:rFonts w:hint="default" w:ascii="Times New Roman" w:hAnsi="Times New Roman" w:cs="Times New Roman"/>
      <w:color w:val="000000"/>
      <w:sz w:val="21"/>
      <w:szCs w:val="21"/>
      <w:u w:val="none"/>
      <w:vertAlign w:val="subscript"/>
    </w:rPr>
  </w:style>
  <w:style w:type="paragraph" w:customStyle="1" w:styleId="63">
    <w:name w:val="正文（首行缩进2字）"/>
    <w:qFormat/>
    <w:uiPriority w:val="0"/>
    <w:pPr>
      <w:widowControl w:val="0"/>
      <w:spacing w:line="440" w:lineRule="exact"/>
      <w:ind w:firstLine="480" w:firstLineChars="200"/>
      <w:jc w:val="both"/>
    </w:pPr>
    <w:rPr>
      <w:rFonts w:ascii="Times New Roman" w:hAnsi="Times New Roman" w:eastAsia="宋体" w:cs="Times New Roman"/>
      <w:sz w:val="24"/>
      <w:szCs w:val="24"/>
      <w:lang w:val="en-US" w:eastAsia="zh-CN" w:bidi="ar-SA"/>
    </w:rPr>
  </w:style>
  <w:style w:type="paragraph" w:customStyle="1" w:styleId="64">
    <w:name w:val="T正文"/>
    <w:qFormat/>
    <w:uiPriority w:val="0"/>
    <w:pPr>
      <w:widowControl w:val="0"/>
      <w:adjustRightInd w:val="0"/>
      <w:snapToGrid w:val="0"/>
      <w:spacing w:line="360" w:lineRule="auto"/>
      <w:ind w:firstLine="200" w:firstLineChars="200"/>
      <w:jc w:val="both"/>
    </w:pPr>
    <w:rPr>
      <w:rFonts w:ascii="Times New Roman" w:hAnsi="Times New Roman" w:eastAsia="仿宋_GB2312" w:cs="Times New Roman"/>
      <w:sz w:val="28"/>
      <w:lang w:val="en-US" w:eastAsia="zh-CN" w:bidi="ar-SA"/>
    </w:rPr>
  </w:style>
  <w:style w:type="paragraph" w:customStyle="1" w:styleId="65">
    <w:name w:val="正式（1）"/>
    <w:basedOn w:val="1"/>
    <w:qFormat/>
    <w:uiPriority w:val="0"/>
    <w:pPr>
      <w:spacing w:line="360" w:lineRule="auto"/>
      <w:ind w:firstLine="200"/>
    </w:pPr>
    <w:rPr>
      <w:spacing w:val="10"/>
      <w:kern w:val="1"/>
    </w:rPr>
  </w:style>
  <w:style w:type="paragraph" w:customStyle="1" w:styleId="66">
    <w:name w:val="样式4"/>
    <w:basedOn w:val="1"/>
    <w:qFormat/>
    <w:uiPriority w:val="0"/>
    <w:pPr>
      <w:spacing w:line="360" w:lineRule="auto"/>
      <w:ind w:firstLine="200" w:firstLineChars="200"/>
    </w:pPr>
    <w:rPr>
      <w:rFonts w:ascii="Times New Roman" w:hAnsi="Times New Roman" w:cs="Times New Roman"/>
      <w:kern w:val="2"/>
    </w:rPr>
  </w:style>
  <w:style w:type="table" w:customStyle="1" w:styleId="67">
    <w:name w:val="网格型6"/>
    <w:basedOn w:val="30"/>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68">
    <w:name w:val="标头"/>
    <w:basedOn w:val="1"/>
    <w:qFormat/>
    <w:uiPriority w:val="0"/>
    <w:pPr>
      <w:ind w:firstLine="0" w:firstLineChars="0"/>
      <w:jc w:val="center"/>
    </w:pPr>
    <w:rPr>
      <w:b/>
      <w:bCs/>
    </w:rPr>
  </w:style>
  <w:style w:type="paragraph" w:customStyle="1" w:styleId="69">
    <w:name w:val="我的2"/>
    <w:qFormat/>
    <w:uiPriority w:val="99"/>
    <w:pPr>
      <w:spacing w:line="440" w:lineRule="exact"/>
      <w:ind w:firstLine="496" w:firstLineChars="206"/>
    </w:pPr>
    <w:rPr>
      <w:rFonts w:ascii="宋体" w:hAnsi="宋体" w:eastAsia="宋体" w:cs="宋体"/>
      <w:b/>
      <w:bCs/>
      <w:sz w:val="24"/>
      <w:szCs w:val="24"/>
      <w:lang w:val="en-US" w:eastAsia="zh-CN" w:bidi="ar-SA"/>
    </w:rPr>
  </w:style>
  <w:style w:type="paragraph" w:customStyle="1" w:styleId="70">
    <w:name w:val="[正文格式]"/>
    <w:basedOn w:val="1"/>
    <w:qFormat/>
    <w:uiPriority w:val="0"/>
    <w:pPr>
      <w:spacing w:line="440" w:lineRule="exact"/>
      <w:ind w:firstLine="500" w:firstLineChars="200"/>
    </w:pPr>
    <w:rPr>
      <w:rFonts w:ascii="Times New Roman" w:hAnsi="Times New Roman" w:eastAsia="宋体" w:cs="宋体"/>
      <w:sz w:val="25"/>
      <w:szCs w:val="20"/>
    </w:rPr>
  </w:style>
  <w:style w:type="paragraph" w:customStyle="1" w:styleId="71">
    <w:name w:val="样式 [正文格式] + 小四 首行缩进:  2 字符 行距: 固定值 23 磅"/>
    <w:basedOn w:val="1"/>
    <w:qFormat/>
    <w:uiPriority w:val="0"/>
    <w:pPr>
      <w:spacing w:line="460" w:lineRule="exact"/>
      <w:ind w:firstLine="480" w:firstLineChars="200"/>
    </w:pPr>
    <w:rPr>
      <w:rFonts w:ascii="Times New Roman" w:hAnsi="Times New Roman" w:eastAsia="宋体" w:cs="宋体"/>
      <w:sz w:val="24"/>
      <w:szCs w:val="20"/>
    </w:rPr>
  </w:style>
  <w:style w:type="paragraph" w:customStyle="1" w:styleId="72">
    <w:name w:val="列出段落1"/>
    <w:basedOn w:val="1"/>
    <w:qFormat/>
    <w:uiPriority w:val="34"/>
    <w:pPr>
      <w:ind w:firstLine="420" w:firstLineChars="200"/>
    </w:pPr>
    <w:rPr>
      <w:rFonts w:ascii="Times New Roman" w:hAnsi="Times New Roman" w:cs="黑体"/>
      <w:sz w:val="24"/>
    </w:rPr>
  </w:style>
  <w:style w:type="paragraph" w:customStyle="1" w:styleId="73">
    <w:name w:val="Y-正文"/>
    <w:basedOn w:val="1"/>
    <w:qFormat/>
    <w:uiPriority w:val="0"/>
    <w:pPr>
      <w:spacing w:line="360" w:lineRule="auto"/>
      <w:ind w:firstLine="723"/>
    </w:pPr>
    <w:rPr>
      <w:rFonts w:ascii="Times New Roman" w:hAnsi="Times New Roman"/>
    </w:rPr>
  </w:style>
  <w:style w:type="character" w:customStyle="1" w:styleId="74">
    <w:name w:val="fontstyle01"/>
    <w:basedOn w:val="32"/>
    <w:qFormat/>
    <w:uiPriority w:val="0"/>
    <w:rPr>
      <w:rFonts w:ascii="TimesNewRomanPSMT" w:hAnsi="TimesNewRomanPSMT" w:eastAsia="TimesNewRomanPSMT" w:cs="TimesNewRomanPSMT"/>
      <w:color w:val="000000"/>
      <w:sz w:val="24"/>
      <w:szCs w:val="24"/>
    </w:rPr>
  </w:style>
  <w:style w:type="character" w:customStyle="1" w:styleId="75">
    <w:name w:val="fontstyle11"/>
    <w:basedOn w:val="32"/>
    <w:qFormat/>
    <w:uiPriority w:val="0"/>
    <w:rPr>
      <w:rFonts w:ascii="宋体" w:hAnsi="宋体" w:eastAsia="宋体" w:cs="宋体"/>
      <w:color w:val="000000"/>
      <w:sz w:val="24"/>
      <w:szCs w:val="24"/>
    </w:rPr>
  </w:style>
  <w:style w:type="character" w:customStyle="1" w:styleId="76">
    <w:name w:val="fontstyle21"/>
    <w:basedOn w:val="32"/>
    <w:qFormat/>
    <w:uiPriority w:val="0"/>
    <w:rPr>
      <w:rFonts w:ascii="TimesNewRomanPSMT" w:hAnsi="TimesNewRomanPSMT" w:eastAsia="TimesNewRomanPSMT" w:cs="TimesNewRomanPSMT"/>
      <w:color w:val="000000"/>
      <w:sz w:val="24"/>
      <w:szCs w:val="24"/>
    </w:rPr>
  </w:style>
  <w:style w:type="table" w:customStyle="1" w:styleId="77">
    <w:name w:val="Table Normal"/>
    <w:semiHidden/>
    <w:unhideWhenUsed/>
    <w:qFormat/>
    <w:uiPriority w:val="0"/>
    <w:tblPr>
      <w:tblCellMar>
        <w:top w:w="0" w:type="dxa"/>
        <w:left w:w="0" w:type="dxa"/>
        <w:bottom w:w="0" w:type="dxa"/>
        <w:right w:w="0" w:type="dxa"/>
      </w:tblCellMar>
    </w:tblPr>
  </w:style>
  <w:style w:type="paragraph" w:customStyle="1" w:styleId="78">
    <w:name w:val="样式 首行缩进:  2 字符"/>
    <w:basedOn w:val="1"/>
    <w:qFormat/>
    <w:uiPriority w:val="0"/>
    <w:pPr>
      <w:overflowPunct w:val="0"/>
      <w:adjustRightInd w:val="0"/>
      <w:snapToGrid w:val="0"/>
      <w:spacing w:line="480" w:lineRule="exact"/>
      <w:ind w:firstLine="560" w:firstLineChars="200"/>
    </w:pPr>
    <w:rPr>
      <w:sz w:val="28"/>
      <w:szCs w:val="28"/>
    </w:rPr>
  </w:style>
  <w:style w:type="character" w:customStyle="1" w:styleId="79">
    <w:name w:val="fontstyle31"/>
    <w:basedOn w:val="32"/>
    <w:qFormat/>
    <w:uiPriority w:val="0"/>
    <w:rPr>
      <w:rFonts w:ascii="TimesNewRomanPSMT" w:hAnsi="TimesNewRomanPSMT" w:eastAsia="TimesNewRomanPSMT" w:cs="TimesNewRomanPSMT"/>
      <w:color w:val="000000"/>
      <w:sz w:val="24"/>
      <w:szCs w:val="24"/>
    </w:rPr>
  </w:style>
  <w:style w:type="paragraph" w:customStyle="1" w:styleId="80">
    <w:name w:val="WPSOffice手动目录 1"/>
    <w:qFormat/>
    <w:uiPriority w:val="0"/>
    <w:pPr>
      <w:ind w:leftChars="0"/>
    </w:pPr>
    <w:rPr>
      <w:rFonts w:ascii="Times New Roman" w:hAnsi="Times New Roman" w:eastAsia="宋体" w:cs="Times New Roman"/>
      <w:sz w:val="20"/>
      <w:szCs w:val="20"/>
    </w:rPr>
  </w:style>
  <w:style w:type="paragraph" w:customStyle="1" w:styleId="81">
    <w:name w:val="WPSOffice手动目录 2"/>
    <w:qFormat/>
    <w:uiPriority w:val="0"/>
    <w:pPr>
      <w:ind w:leftChars="200"/>
    </w:pPr>
    <w:rPr>
      <w:rFonts w:ascii="Times New Roman" w:hAnsi="Times New Roman" w:eastAsia="宋体" w:cs="Times New Roman"/>
      <w:sz w:val="20"/>
      <w:szCs w:val="20"/>
    </w:rPr>
  </w:style>
  <w:style w:type="paragraph" w:customStyle="1" w:styleId="82">
    <w:name w:val="WPSOffice手动目录 3"/>
    <w:qFormat/>
    <w:uiPriority w:val="0"/>
    <w:pPr>
      <w:ind w:leftChars="400"/>
    </w:pPr>
    <w:rPr>
      <w:rFonts w:ascii="Times New Roman" w:hAnsi="Times New Roman" w:eastAsia="宋体" w:cs="Times New Roman"/>
      <w:sz w:val="20"/>
      <w:szCs w:val="20"/>
    </w:rPr>
  </w:style>
  <w:style w:type="paragraph" w:customStyle="1" w:styleId="83">
    <w:name w:val="表格内容自定"/>
    <w:basedOn w:val="1"/>
    <w:qFormat/>
    <w:uiPriority w:val="0"/>
    <w:pPr>
      <w:spacing w:line="280" w:lineRule="exact"/>
      <w:jc w:val="center"/>
    </w:pPr>
    <w:rPr>
      <w:kern w:val="0"/>
      <w:sz w:val="18"/>
      <w:szCs w:val="21"/>
    </w:rPr>
  </w:style>
  <w:style w:type="paragraph" w:customStyle="1" w:styleId="84">
    <w:name w:val="报告正文文字"/>
    <w:basedOn w:val="1"/>
    <w:qFormat/>
    <w:uiPriority w:val="0"/>
    <w:pPr>
      <w:widowControl/>
      <w:autoSpaceDE w:val="0"/>
      <w:autoSpaceDN w:val="0"/>
      <w:spacing w:line="360" w:lineRule="auto"/>
      <w:ind w:firstLine="480" w:firstLineChars="200"/>
    </w:pPr>
    <w:rPr>
      <w:rFonts w:ascii="宋体" w:hAnsi="宋体"/>
      <w:color w:val="000000"/>
      <w:spacing w:val="4"/>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3" Type="http://schemas.openxmlformats.org/officeDocument/2006/relationships/fontTable" Target="fontTable.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38.png"/><Relationship Id="rId5" Type="http://schemas.openxmlformats.org/officeDocument/2006/relationships/footer" Target="footer2.xml"/><Relationship Id="rId49" Type="http://schemas.openxmlformats.org/officeDocument/2006/relationships/image" Target="media/image37.png"/><Relationship Id="rId48" Type="http://schemas.openxmlformats.org/officeDocument/2006/relationships/image" Target="media/image36.png"/><Relationship Id="rId47" Type="http://schemas.openxmlformats.org/officeDocument/2006/relationships/image" Target="media/image35.png"/><Relationship Id="rId46" Type="http://schemas.openxmlformats.org/officeDocument/2006/relationships/image" Target="media/image34.png"/><Relationship Id="rId45" Type="http://schemas.openxmlformats.org/officeDocument/2006/relationships/image" Target="media/image33.png"/><Relationship Id="rId44" Type="http://schemas.openxmlformats.org/officeDocument/2006/relationships/image" Target="media/image32.png"/><Relationship Id="rId43" Type="http://schemas.openxmlformats.org/officeDocument/2006/relationships/image" Target="media/image31.png"/><Relationship Id="rId42" Type="http://schemas.openxmlformats.org/officeDocument/2006/relationships/image" Target="media/image30.png"/><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footer" Target="footer1.xml"/><Relationship Id="rId39" Type="http://schemas.openxmlformats.org/officeDocument/2006/relationships/image" Target="media/image27.png"/><Relationship Id="rId38" Type="http://schemas.openxmlformats.org/officeDocument/2006/relationships/image" Target="media/image26.wmf"/><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wmf"/><Relationship Id="rId32" Type="http://schemas.openxmlformats.org/officeDocument/2006/relationships/image" Target="media/image20.wmf"/><Relationship Id="rId31" Type="http://schemas.openxmlformats.org/officeDocument/2006/relationships/image" Target="media/image19.wmf"/><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emf"/><Relationship Id="rId25" Type="http://schemas.openxmlformats.org/officeDocument/2006/relationships/oleObject" Target="embeddings/oleObject1.bin"/><Relationship Id="rId24" Type="http://schemas.openxmlformats.org/officeDocument/2006/relationships/image" Target="media/image13.jpeg"/><Relationship Id="rId23" Type="http://schemas.openxmlformats.org/officeDocument/2006/relationships/image" Target="media/image12.jpe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jpe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jpeg"/><Relationship Id="rId12" Type="http://schemas.openxmlformats.org/officeDocument/2006/relationships/image" Target="media/image1.wmf"/><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136</Pages>
  <Words>83099</Words>
  <Characters>97483</Characters>
  <Lines>0</Lines>
  <Paragraphs>0</Paragraphs>
  <TotalTime>1</TotalTime>
  <ScaleCrop>false</ScaleCrop>
  <LinksUpToDate>false</LinksUpToDate>
  <CharactersWithSpaces>98683</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2022-06-12T15:37:00Z</dcterms:created>
  <dc:creator>江厚兵</dc:creator>
  <cp:lastModifiedBy>sa</cp:lastModifiedBy>
  <dcterms:modified xsi:type="dcterms:W3CDTF">2023-08-22T10:03:12Z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0033CA34DB984FD7A88C60921F7157B2</vt:lpwstr>
  </property>
</Properties>
</file>