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部门整体支出绩效自评表</w:t>
      </w:r>
    </w:p>
    <w:tbl>
      <w:tblPr>
        <w:tblStyle w:val="5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35"/>
        <w:gridCol w:w="908"/>
        <w:gridCol w:w="935"/>
        <w:gridCol w:w="777"/>
        <w:gridCol w:w="102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株洲市渌口区古岳峰镇人民政府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972.54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3852.54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3852.54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3777.82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3852.54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74.72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完成镇党委、镇人民政府交办的各项财政工作，确保预算和各项财政工作任务全面完成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基本完成了镇党委、镇人民政府交办的各项财政工作，确保了预算和各项财政工作任务全面完成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保障村居运转数量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11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个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11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个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15"/>
                <w:szCs w:val="15"/>
              </w:rPr>
              <w:t>各行业部门各项重点工作绩效考评得分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各行业部门的工作还有待精细化，争取更高得分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收支及时，保障运转保持时间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年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年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偶尔出现收支不及时的情况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严格控制成本不大于预算数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≤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972.54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lang w:val="en-US" w:eastAsia="zh-CN"/>
              </w:rPr>
              <w:t>3852.54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超过年初预算，要加强成本的控制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  <w:lang w:val="en-US" w:eastAsia="zh-CN"/>
              </w:rPr>
              <w:t>税收收入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highlight w:val="none"/>
              </w:rPr>
              <w:t>　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  <w:highlight w:val="none"/>
              </w:rPr>
              <w:t>1000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highlight w:val="none"/>
              </w:rPr>
              <w:t>万元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  <w:highlight w:val="none"/>
                <w:lang w:val="en-US" w:eastAsia="zh-CN"/>
              </w:rPr>
              <w:t>1836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促进农村经济发展稳步增加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10%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10%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村级自身经经济发展能力有待加强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保护农村生态环境，保障生态可持续发展率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生态环境保护是永恒的话题，不可停滞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经济生态可持续发展率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可持续发展效率有待加强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社会公众及服务对象满意度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95%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还需进一步解决群众需求，提高满意度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00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预算单位基本情况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渌口区古岳峰镇人民政府是区人民政府主管的正科级行政机关，内设机构</w:t>
      </w:r>
      <w:r>
        <w:rPr>
          <w:rFonts w:ascii="Times New Roman" w:hAnsi="仿宋" w:eastAsia="仿宋"/>
          <w:color w:val="000000"/>
          <w:sz w:val="32"/>
          <w:szCs w:val="32"/>
        </w:rPr>
        <w:t>7</w:t>
      </w:r>
      <w:r>
        <w:rPr>
          <w:rFonts w:hint="eastAsia" w:ascii="Times New Roman" w:hAnsi="仿宋" w:eastAsia="仿宋"/>
          <w:color w:val="000000"/>
          <w:sz w:val="32"/>
          <w:szCs w:val="32"/>
        </w:rPr>
        <w:t>个，均为股级机构（含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个副科级单位），分别为：党政办公室、党建办公室、经济发展办公室（农业农村工作办公室、扶贫开发办公室）、民政办公室（卫生健康办公室）、生态环境办公室、社会治安办公室、应急管理办公室。在职人员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51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人，离休人员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人，退休人员</w:t>
      </w:r>
      <w:r>
        <w:rPr>
          <w:rFonts w:ascii="Times New Roman" w:hAnsi="仿宋" w:eastAsia="仿宋"/>
          <w:color w:val="000000"/>
          <w:sz w:val="32"/>
          <w:szCs w:val="32"/>
        </w:rPr>
        <w:t>1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人，属区一级预算单位。</w:t>
      </w:r>
    </w:p>
    <w:p>
      <w:pPr>
        <w:pStyle w:val="9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>
      <w:pPr>
        <w:pStyle w:val="9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1.工资福利支出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769.41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万元，比上年增加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302.16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/>
          <w:color w:val="000000"/>
          <w:sz w:val="32"/>
          <w:szCs w:val="32"/>
        </w:rPr>
        <w:t>原因是人员的增多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及标准的提高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2.一般商品和服务支出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3073.65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万元，比上年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增加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832.36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万元，原因是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财源建设资金的增加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3.对个人和家庭补助支出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9.48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万元，比上年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8.61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/>
          <w:color w:val="000000"/>
          <w:sz w:val="32"/>
          <w:szCs w:val="32"/>
        </w:rPr>
        <w:t>原因是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遗属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人员的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>
      <w:pPr>
        <w:pStyle w:val="9"/>
        <w:widowControl/>
        <w:spacing w:line="600" w:lineRule="exact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>
      <w:pPr>
        <w:pStyle w:val="9"/>
        <w:widowControl/>
        <w:spacing w:line="600" w:lineRule="exact"/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本部门职责为：1.贯彻落实党和国家在农村的各项方针政策和法律法规，对村民进行思想政治教育和社会主义法制教育，依法保障村民合法权益。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2.负责基层组织建设工作。指导村民自治，推动农村社区建设，促进社会组织健康发展，增强社会自治功能。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3.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4.负责日常社会事务管理工作。加强农村基础教育、科学技术、文化体育、公共卫生体系和社会主义精神文明建设；加强农村社会保障、民政、优抚、计划生育和劳动力素质培训和新型农村服务体系建设等工作。加强农村环境综合治理等工作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5.负责社会治安综合治理工作。维护社会稳定，妥善处理社会性、群体性事件，调节和处理好各种利益矛盾和纠纷。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6.负责本镇规划建设、城镇管理工作。贯彻执行城乡规划建设有关的法律、法规，加强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instrText xml:space="preserve"> HYPERLINK "http://baike.baidu.com/view/1280549.htm" </w:instrTex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镇村规划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建设管理，协调镇村空间布局，改善人居环境。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7.抓好征兵工作，组织民兵训练，开展国防教育等工作。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8.完成区委、区政府交办的其他工作任务。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根据本单位职责，我镇2022年度应极力保障11个村居的运转，收支及时、严格控制成本、招商引资增加收入、促进村级自身经济发展、保障农村生态环境促进可持续发展、提高群众满意度。2022年度我镇及时保障了11个村居正常运转，严格控制成本，招商引资增加了收入，农村生态可持续发展也已初见成效，群众满意度稳步提升，部门整体及核心业务实施达成既定目标。</w:t>
      </w:r>
    </w:p>
    <w:p>
      <w:pPr>
        <w:pStyle w:val="9"/>
        <w:widowControl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2022年绩效目标执行主要存在的问题有：各行业部门各项重点工作还需进一步精细化，偶尔出现收支不及时的情况，村级自身经济发展速度较慢，可持续发展效率有待加强等。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下一步改进措施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各行业部门各项重点工作还需进一步精细化，要加强村级自身经济发展能力，继续保持农村生态环境保护可持续发展，进一步提升群众满意度。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60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绩效自评结果拟应用和公开情况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通过绩效评价，我镇进一步掌握了预算执行情况和取得的效果，为下一年提高资金的使用效益，加强财政支出的规范管理、健全等工作提供了重要的参考依据。</w:t>
      </w:r>
    </w:p>
    <w:p>
      <w:p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绩效自评报告完成后将在政府信息公开门户网及时公开，接受社会监督。</w:t>
      </w:r>
    </w:p>
    <w:p>
      <w:pPr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          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3BF493"/>
    <w:multiLevelType w:val="singleLevel"/>
    <w:tmpl w:val="933BF4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048510"/>
    <w:multiLevelType w:val="singleLevel"/>
    <w:tmpl w:val="4104851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NjZlMzYyOGFjMzgwOWMwNDU5MGFmNWEyYTAyNmMifQ=="/>
  </w:docVars>
  <w:rsids>
    <w:rsidRoot w:val="00000000"/>
    <w:rsid w:val="028E6298"/>
    <w:rsid w:val="03EA40BA"/>
    <w:rsid w:val="041E2B1C"/>
    <w:rsid w:val="05436869"/>
    <w:rsid w:val="06F31DDB"/>
    <w:rsid w:val="081E1F38"/>
    <w:rsid w:val="0858521F"/>
    <w:rsid w:val="0D564DFD"/>
    <w:rsid w:val="0D613984"/>
    <w:rsid w:val="0DB57CB4"/>
    <w:rsid w:val="0E8845BE"/>
    <w:rsid w:val="11C94077"/>
    <w:rsid w:val="12C404C4"/>
    <w:rsid w:val="14274190"/>
    <w:rsid w:val="1723661F"/>
    <w:rsid w:val="1B151DBA"/>
    <w:rsid w:val="1C9A5481"/>
    <w:rsid w:val="1E704B67"/>
    <w:rsid w:val="20221513"/>
    <w:rsid w:val="21B65A5D"/>
    <w:rsid w:val="21C276E9"/>
    <w:rsid w:val="21F63CED"/>
    <w:rsid w:val="237C3988"/>
    <w:rsid w:val="24A0025B"/>
    <w:rsid w:val="26B73A67"/>
    <w:rsid w:val="288B50C2"/>
    <w:rsid w:val="297B478B"/>
    <w:rsid w:val="2A4B359A"/>
    <w:rsid w:val="2B95569E"/>
    <w:rsid w:val="2BDC01BB"/>
    <w:rsid w:val="2CA64316"/>
    <w:rsid w:val="2EFFB905"/>
    <w:rsid w:val="30006BD5"/>
    <w:rsid w:val="30362AA2"/>
    <w:rsid w:val="33E72631"/>
    <w:rsid w:val="35141C57"/>
    <w:rsid w:val="36311CEE"/>
    <w:rsid w:val="37A570FA"/>
    <w:rsid w:val="37D7693E"/>
    <w:rsid w:val="39E15381"/>
    <w:rsid w:val="3A6B7FF5"/>
    <w:rsid w:val="3C6B3628"/>
    <w:rsid w:val="3E6A6D4F"/>
    <w:rsid w:val="3FE693AD"/>
    <w:rsid w:val="408413F6"/>
    <w:rsid w:val="41072EB4"/>
    <w:rsid w:val="44B50A8E"/>
    <w:rsid w:val="455137CA"/>
    <w:rsid w:val="45A11CC6"/>
    <w:rsid w:val="49524257"/>
    <w:rsid w:val="4A9A5B32"/>
    <w:rsid w:val="4AF01932"/>
    <w:rsid w:val="4BD82BF6"/>
    <w:rsid w:val="4CA60D73"/>
    <w:rsid w:val="4CBF1587"/>
    <w:rsid w:val="4D0C050D"/>
    <w:rsid w:val="4DD57ADF"/>
    <w:rsid w:val="4E9E61F2"/>
    <w:rsid w:val="4F3BD62E"/>
    <w:rsid w:val="500656EA"/>
    <w:rsid w:val="50C42ADF"/>
    <w:rsid w:val="51CB53C8"/>
    <w:rsid w:val="520F3D7A"/>
    <w:rsid w:val="524C14DA"/>
    <w:rsid w:val="536974C6"/>
    <w:rsid w:val="53CB15B5"/>
    <w:rsid w:val="557B477C"/>
    <w:rsid w:val="571724B5"/>
    <w:rsid w:val="572169AF"/>
    <w:rsid w:val="573F7D14"/>
    <w:rsid w:val="577C6C0C"/>
    <w:rsid w:val="578A7521"/>
    <w:rsid w:val="590F614C"/>
    <w:rsid w:val="5A4F5B69"/>
    <w:rsid w:val="5C7754F0"/>
    <w:rsid w:val="5D1E1FD0"/>
    <w:rsid w:val="5D720862"/>
    <w:rsid w:val="5E426969"/>
    <w:rsid w:val="5E5A7849"/>
    <w:rsid w:val="5EC5533A"/>
    <w:rsid w:val="6129636D"/>
    <w:rsid w:val="6186789B"/>
    <w:rsid w:val="63647CB3"/>
    <w:rsid w:val="63B32BC4"/>
    <w:rsid w:val="64CB5136"/>
    <w:rsid w:val="66204F0F"/>
    <w:rsid w:val="662721F2"/>
    <w:rsid w:val="67681B5E"/>
    <w:rsid w:val="69EC54F9"/>
    <w:rsid w:val="6B0851D1"/>
    <w:rsid w:val="6B7C5143"/>
    <w:rsid w:val="6D806684"/>
    <w:rsid w:val="6D9D7236"/>
    <w:rsid w:val="70253512"/>
    <w:rsid w:val="72452340"/>
    <w:rsid w:val="745175AA"/>
    <w:rsid w:val="74884B7D"/>
    <w:rsid w:val="77B909F0"/>
    <w:rsid w:val="77D92976"/>
    <w:rsid w:val="78540864"/>
    <w:rsid w:val="7F092224"/>
    <w:rsid w:val="7F4D52D0"/>
    <w:rsid w:val="7F55F449"/>
    <w:rsid w:val="BB96D3B8"/>
    <w:rsid w:val="BEB6EF53"/>
    <w:rsid w:val="DFFB7864"/>
    <w:rsid w:val="E7FFF3A3"/>
    <w:rsid w:val="FE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0">
    <w:name w:val="正文文本 Char"/>
    <w:basedOn w:val="6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3178</Words>
  <Characters>3439</Characters>
  <Lines>0</Lines>
  <Paragraphs>0</Paragraphs>
  <TotalTime>16</TotalTime>
  <ScaleCrop>false</ScaleCrop>
  <LinksUpToDate>false</LinksUpToDate>
  <CharactersWithSpaces>3681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2021-03-23T07:15:00Z</dcterms:created>
  <dc:creator>Administrator</dc:creator>
  <cp:lastModifiedBy>LD</cp:lastModifiedBy>
  <cp:lastPrinted>2023-03-31T03:20:00Z</cp:lastPrinted>
  <dcterms:modified xsi:type="dcterms:W3CDTF">2023-08-30T07:49:13Z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18882BEBA2524CD2AF3B4BB460CBD695</vt:lpwstr>
  </property>
</Properties>
</file>