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附件3             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项目支出绩效自评表</w:t>
      </w:r>
    </w:p>
    <w:p>
      <w:pPr>
        <w:widowControl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村级运转经费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淦田镇人民政府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淦田镇16个村居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项目  资金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656.32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656.32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656.32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656.32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656.32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预期目标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村级、居委会转移支付准确拨付、退职村干部补贴按时发放、村级服务群众经费准确拨付。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村居干部工资及绩效及时发放，淦田镇14个村级组织服务群众保持良好运转，为老常委生活提供困难补助，退职村干部待遇及时准确发放。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(50分)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及时发放人数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81人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86人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及时拨付村、居委会数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16个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16个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 w:val="15"/>
                <w:szCs w:val="15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每月按时发放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每月15号左右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每月15号左右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偶尔出现资金拨付不及时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656.32万元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严格按预算拨付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严格按预算拨付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带动当地经济，政府保运转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≥95%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9.5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村集体经济发展有提升空间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维持良好的社会秩序，确保人民生活安定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≥95%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9.5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需减少上访现象，提高维稳成效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保护生态环境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≥95%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4.75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人居环境整治工作取得一定成效，仍需进一步推动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在当年及以后年度持续形成良性循环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≥95%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4.75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继续保持可持续发展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社会公众、服务对象满意度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≥95%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95%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9.5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工作还有待精细化，争取更高的服务对象满意度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widowControl/>
        <w:rPr>
          <w:rFonts w:ascii="Times New Roman" w:hAnsi="Times New Roman" w:eastAsia="仿宋_GB2312" w:cs="Times New Roman"/>
          <w:kern w:val="0"/>
          <w:szCs w:val="21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/>
          <w:bCs/>
          <w:sz w:val="44"/>
          <w:szCs w:val="44"/>
        </w:rPr>
      </w:pPr>
      <w:r>
        <w:rPr>
          <w:rFonts w:hint="default" w:ascii="Times New Roman" w:hAnsi="Times New Roman" w:eastAsia="方正小标宋简体"/>
          <w:bCs/>
          <w:w w:val="95"/>
          <w:sz w:val="44"/>
          <w:szCs w:val="44"/>
        </w:rPr>
        <w:t>项目支出绩效自评报告</w:t>
      </w: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仿宋"/>
          <w:w w:val="80"/>
          <w:sz w:val="32"/>
          <w:szCs w:val="32"/>
        </w:rPr>
      </w:pPr>
      <w:r>
        <w:rPr>
          <w:rFonts w:hint="default" w:ascii="Times New Roman" w:hAnsi="Times New Roman" w:eastAsia="仿宋"/>
          <w:w w:val="80"/>
          <w:sz w:val="32"/>
          <w:szCs w:val="32"/>
        </w:rPr>
        <w:t>（参考格式）</w:t>
      </w:r>
    </w:p>
    <w:p>
      <w:pPr>
        <w:pStyle w:val="8"/>
        <w:widowControl/>
        <w:spacing w:line="600" w:lineRule="exact"/>
        <w:ind w:left="0" w:firstLine="0"/>
        <w:rPr>
          <w:rFonts w:hint="default" w:ascii="Times New Roman" w:hAnsi="Times New Roman" w:eastAsia="仿宋"/>
          <w:bCs/>
          <w:sz w:val="32"/>
          <w:szCs w:val="32"/>
        </w:rPr>
      </w:pP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/>
          <w:sz w:val="32"/>
          <w:szCs w:val="32"/>
        </w:rPr>
      </w:pPr>
      <w:r>
        <w:rPr>
          <w:rFonts w:hint="default" w:ascii="Times New Roman" w:hAnsi="Times New Roman" w:eastAsia="方正黑体_GBK"/>
          <w:sz w:val="32"/>
          <w:szCs w:val="32"/>
        </w:rPr>
        <w:t>一、绩效自评工作开展情况</w:t>
      </w:r>
    </w:p>
    <w:p>
      <w:pPr>
        <w:pStyle w:val="2"/>
        <w:widowControl/>
        <w:spacing w:line="600" w:lineRule="exact"/>
        <w:ind w:firstLine="576" w:firstLineChars="200"/>
        <w:rPr>
          <w:rFonts w:hint="default" w:ascii="Times New Roman" w:hAnsi="Times New Roman" w:eastAsia="仿宋_GB2312"/>
          <w:w w:val="90"/>
          <w:sz w:val="32"/>
          <w:szCs w:val="32"/>
        </w:rPr>
      </w:pPr>
      <w:r>
        <w:rPr>
          <w:rFonts w:ascii="Times New Roman" w:hAnsi="Times New Roman" w:eastAsia="仿宋_GB2312"/>
          <w:w w:val="90"/>
          <w:sz w:val="32"/>
          <w:szCs w:val="32"/>
        </w:rPr>
        <w:t>本次项目支出绩效自评工作针对2022年淦田镇人民政府村级运转经费展开，通过2022年淦田镇的村级运转经费拨付情况及下辖16个村居的工作考评结果，对2022年淦田镇人民政府村级运转经费支出绩效进行自评</w:t>
      </w:r>
      <w:r>
        <w:rPr>
          <w:rFonts w:hint="default" w:ascii="Times New Roman" w:hAnsi="Times New Roman" w:eastAsia="仿宋_GB2312"/>
          <w:w w:val="90"/>
          <w:sz w:val="32"/>
          <w:szCs w:val="32"/>
        </w:rPr>
        <w:t>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方正黑体_GBK"/>
          <w:sz w:val="32"/>
          <w:szCs w:val="32"/>
        </w:rPr>
        <w:t>二、绩效目标自评完成情况分析</w:t>
      </w:r>
    </w:p>
    <w:p>
      <w:pPr>
        <w:pStyle w:val="8"/>
        <w:widowControl/>
        <w:spacing w:line="600" w:lineRule="exact"/>
        <w:ind w:left="0" w:firstLine="608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方正楷体_GBK"/>
          <w:w w:val="95"/>
          <w:sz w:val="32"/>
          <w:szCs w:val="32"/>
        </w:rPr>
        <w:t>（一）资金投入情况分析。</w:t>
      </w:r>
    </w:p>
    <w:p>
      <w:pPr>
        <w:pStyle w:val="2"/>
        <w:widowControl/>
        <w:spacing w:line="600" w:lineRule="exact"/>
        <w:ind w:firstLine="576" w:firstLineChars="200"/>
        <w:rPr>
          <w:rFonts w:hint="default" w:ascii="Times New Roman" w:hAnsi="Times New Roman" w:eastAsia="仿宋_GB2312"/>
          <w:w w:val="90"/>
          <w:sz w:val="32"/>
          <w:szCs w:val="32"/>
        </w:rPr>
      </w:pPr>
      <w:r>
        <w:rPr>
          <w:rFonts w:ascii="Times New Roman" w:hAnsi="Times New Roman" w:eastAsia="仿宋_GB2312"/>
          <w:w w:val="90"/>
          <w:sz w:val="32"/>
          <w:szCs w:val="32"/>
        </w:rPr>
        <w:t>2022年淦田镇人民政府村级运转经费已全部拨付到位，用于村居干部工资及绩效考核的发放、村级组织服务群众工作推进、老常委生活困难补助发放、退职村干部补助发放。</w:t>
      </w:r>
    </w:p>
    <w:p>
      <w:pPr>
        <w:pStyle w:val="2"/>
        <w:widowControl/>
        <w:spacing w:line="600" w:lineRule="exact"/>
        <w:ind w:firstLine="608" w:firstLineChars="200"/>
        <w:rPr>
          <w:rFonts w:hint="default" w:ascii="Times New Roman" w:hAnsi="Times New Roman" w:eastAsia="楷体"/>
          <w:w w:val="95"/>
          <w:sz w:val="32"/>
          <w:szCs w:val="32"/>
        </w:rPr>
      </w:pPr>
      <w:r>
        <w:rPr>
          <w:rFonts w:hint="default" w:ascii="Times New Roman" w:hAnsi="Times New Roman" w:eastAsia="方正楷体_GBK"/>
          <w:w w:val="95"/>
          <w:sz w:val="32"/>
          <w:szCs w:val="32"/>
        </w:rPr>
        <w:t>（二）绩效目标完成情况分析。</w:t>
      </w:r>
    </w:p>
    <w:p>
      <w:pPr>
        <w:pStyle w:val="8"/>
        <w:widowControl/>
        <w:numPr>
          <w:ilvl w:val="0"/>
          <w:numId w:val="1"/>
        </w:numPr>
        <w:tabs>
          <w:tab w:val="left" w:pos="1085"/>
        </w:tabs>
        <w:spacing w:line="600" w:lineRule="exact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产出指标完成情况分析。</w:t>
      </w:r>
    </w:p>
    <w:p>
      <w:pPr>
        <w:pStyle w:val="2"/>
        <w:widowControl/>
        <w:spacing w:line="600" w:lineRule="exact"/>
        <w:ind w:firstLine="576" w:firstLineChars="200"/>
        <w:rPr>
          <w:rFonts w:hint="default" w:ascii="Times New Roman" w:hAnsi="Times New Roman" w:eastAsia="仿宋_GB2312"/>
          <w:w w:val="90"/>
          <w:sz w:val="32"/>
          <w:szCs w:val="32"/>
        </w:rPr>
      </w:pPr>
      <w:r>
        <w:rPr>
          <w:rFonts w:ascii="Times New Roman" w:hAnsi="Times New Roman" w:eastAsia="仿宋_GB2312"/>
          <w:w w:val="90"/>
          <w:sz w:val="32"/>
          <w:szCs w:val="32"/>
        </w:rPr>
        <w:t>按要求拨付到16个村居，保障86名干部工资及绩效待遇发放，每月15号左右工资拨付到位，严格按预算进行资金拨付</w:t>
      </w:r>
      <w:r>
        <w:rPr>
          <w:rFonts w:hint="default" w:ascii="Times New Roman" w:hAnsi="Times New Roman" w:eastAsia="仿宋_GB2312"/>
          <w:w w:val="90"/>
          <w:sz w:val="32"/>
          <w:szCs w:val="32"/>
        </w:rPr>
        <w:t>。</w:t>
      </w:r>
    </w:p>
    <w:p>
      <w:pPr>
        <w:pStyle w:val="8"/>
        <w:widowControl/>
        <w:numPr>
          <w:ilvl w:val="0"/>
          <w:numId w:val="1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效益指标完成情况分析。</w:t>
      </w:r>
    </w:p>
    <w:p>
      <w:pPr>
        <w:pStyle w:val="2"/>
        <w:widowControl/>
        <w:spacing w:line="600" w:lineRule="exact"/>
        <w:ind w:firstLine="576" w:firstLineChars="200"/>
        <w:rPr>
          <w:rFonts w:hint="default" w:ascii="Times New Roman" w:hAnsi="Times New Roman" w:eastAsia="仿宋_GB2312"/>
          <w:w w:val="90"/>
          <w:sz w:val="32"/>
          <w:szCs w:val="32"/>
        </w:rPr>
      </w:pPr>
      <w:r>
        <w:rPr>
          <w:rFonts w:hint="default" w:ascii="Times New Roman" w:hAnsi="Times New Roman" w:eastAsia="仿宋_GB2312"/>
          <w:w w:val="90"/>
          <w:sz w:val="32"/>
          <w:szCs w:val="32"/>
        </w:rPr>
        <w:t>村集体经济建设扎实推进，14个村均实现村集体经济收入5万元以上，其中收入40万元以上的村达3个，收入10万元以上的村2个</w:t>
      </w:r>
      <w:r>
        <w:rPr>
          <w:rFonts w:ascii="Times New Roman" w:hAnsi="Times New Roman" w:eastAsia="仿宋_GB2312"/>
          <w:w w:val="90"/>
          <w:sz w:val="32"/>
          <w:szCs w:val="32"/>
        </w:rPr>
        <w:t>。</w:t>
      </w:r>
      <w:r>
        <w:rPr>
          <w:rFonts w:hint="default" w:ascii="Times New Roman" w:hAnsi="Times New Roman" w:eastAsia="仿宋_GB2312"/>
          <w:w w:val="90"/>
          <w:sz w:val="32"/>
          <w:szCs w:val="32"/>
        </w:rPr>
        <w:t>落实社会治理风险防控“N合一”机制，积极化解矛盾纠纷，深入开展安全生产大检查</w:t>
      </w:r>
      <w:r>
        <w:rPr>
          <w:rFonts w:ascii="Times New Roman" w:hAnsi="Times New Roman" w:eastAsia="仿宋_GB2312"/>
          <w:w w:val="90"/>
          <w:sz w:val="32"/>
          <w:szCs w:val="32"/>
        </w:rPr>
        <w:t>。</w:t>
      </w:r>
      <w:r>
        <w:rPr>
          <w:rFonts w:hint="default" w:ascii="Times New Roman" w:hAnsi="Times New Roman" w:eastAsia="仿宋_GB2312"/>
          <w:w w:val="90"/>
          <w:sz w:val="32"/>
          <w:szCs w:val="32"/>
        </w:rPr>
        <w:t>深入落实环卫制度改革，加强保洁工作管理考核</w:t>
      </w:r>
      <w:r>
        <w:rPr>
          <w:rFonts w:ascii="Times New Roman" w:hAnsi="Times New Roman" w:eastAsia="仿宋_GB2312"/>
          <w:w w:val="90"/>
          <w:sz w:val="32"/>
          <w:szCs w:val="32"/>
        </w:rPr>
        <w:t>；</w:t>
      </w:r>
      <w:r>
        <w:rPr>
          <w:rFonts w:hint="default" w:ascii="Times New Roman" w:hAnsi="Times New Roman" w:eastAsia="仿宋_GB2312"/>
          <w:w w:val="90"/>
          <w:sz w:val="32"/>
          <w:szCs w:val="32"/>
        </w:rPr>
        <w:t>全面完成350户的年度改厕任务，做好2021年度1000户农户改厕后续问题排查整改，农村改厕成效显著</w:t>
      </w:r>
      <w:r>
        <w:rPr>
          <w:rFonts w:ascii="Times New Roman" w:hAnsi="Times New Roman" w:eastAsia="仿宋_GB2312"/>
          <w:w w:val="90"/>
          <w:sz w:val="32"/>
          <w:szCs w:val="32"/>
        </w:rPr>
        <w:t>；</w:t>
      </w:r>
      <w:r>
        <w:rPr>
          <w:rFonts w:hint="default" w:ascii="Times New Roman" w:hAnsi="Times New Roman" w:eastAsia="仿宋_GB2312"/>
          <w:w w:val="90"/>
          <w:sz w:val="32"/>
          <w:szCs w:val="32"/>
        </w:rPr>
        <w:t>创建官塘村、清溪村2处幸福屋场。</w:t>
      </w:r>
    </w:p>
    <w:p>
      <w:pPr>
        <w:pStyle w:val="8"/>
        <w:widowControl/>
        <w:numPr>
          <w:ilvl w:val="0"/>
          <w:numId w:val="1"/>
        </w:numPr>
        <w:tabs>
          <w:tab w:val="left" w:pos="1164"/>
        </w:tabs>
        <w:spacing w:line="600" w:lineRule="exact"/>
        <w:ind w:left="1163" w:hanging="303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满意度指标完成情况分析。</w:t>
      </w:r>
    </w:p>
    <w:p>
      <w:pPr>
        <w:pStyle w:val="2"/>
        <w:widowControl/>
        <w:spacing w:line="600" w:lineRule="exact"/>
        <w:ind w:firstLine="576" w:firstLineChars="200"/>
        <w:rPr>
          <w:rFonts w:hint="default" w:ascii="Times New Roman" w:hAnsi="Times New Roman" w:eastAsia="仿宋_GB2312"/>
          <w:w w:val="90"/>
          <w:sz w:val="32"/>
          <w:szCs w:val="32"/>
        </w:rPr>
      </w:pPr>
      <w:r>
        <w:rPr>
          <w:rFonts w:ascii="Times New Roman" w:hAnsi="Times New Roman" w:eastAsia="仿宋_GB2312"/>
          <w:w w:val="90"/>
          <w:sz w:val="32"/>
          <w:szCs w:val="32"/>
        </w:rPr>
        <w:t>对社会公众、服务对象进行满意度测评，满意度达95%，</w:t>
      </w:r>
      <w:r>
        <w:rPr>
          <w:rFonts w:hint="default" w:ascii="Times New Roman" w:hAnsi="Times New Roman" w:eastAsia="仿宋_GB2312"/>
          <w:w w:val="90"/>
          <w:sz w:val="32"/>
          <w:szCs w:val="32"/>
        </w:rPr>
        <w:t>持续打造群众有感受度的优质政治生态。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/>
          <w:sz w:val="32"/>
          <w:szCs w:val="32"/>
        </w:rPr>
      </w:pPr>
      <w:r>
        <w:rPr>
          <w:rFonts w:hint="default" w:ascii="Times New Roman" w:hAnsi="Times New Roman" w:eastAsia="方正黑体_GBK"/>
          <w:sz w:val="32"/>
          <w:szCs w:val="32"/>
        </w:rPr>
        <w:t>三、偏离绩效目标的原因和下一步改进措施。</w:t>
      </w:r>
    </w:p>
    <w:p>
      <w:pPr>
        <w:pStyle w:val="2"/>
        <w:widowControl/>
        <w:spacing w:line="600" w:lineRule="exact"/>
        <w:ind w:firstLine="576" w:firstLineChars="200"/>
        <w:rPr>
          <w:rFonts w:hint="default" w:ascii="Times New Roman" w:hAnsi="Times New Roman" w:eastAsia="仿宋_GB2312"/>
          <w:w w:val="90"/>
          <w:sz w:val="32"/>
          <w:szCs w:val="32"/>
        </w:rPr>
      </w:pPr>
      <w:r>
        <w:rPr>
          <w:rFonts w:ascii="Times New Roman" w:hAnsi="Times New Roman" w:eastAsia="仿宋_GB2312"/>
          <w:w w:val="90"/>
          <w:sz w:val="32"/>
          <w:szCs w:val="32"/>
        </w:rPr>
        <w:t>资金拨付要更加及时；村集体经济发展还有很大的提升空间；需减少上访现象，提高维稳成效；人居环境整治工作取得一定成效，仍需进一步推动；继续保持可持续发展；工作还有待精细化，争取更高的服务对象满意度。</w:t>
      </w:r>
    </w:p>
    <w:p>
      <w:pPr>
        <w:pStyle w:val="8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/>
          <w:sz w:val="32"/>
          <w:szCs w:val="32"/>
        </w:rPr>
      </w:pPr>
      <w:r>
        <w:rPr>
          <w:rFonts w:hint="default" w:ascii="Times New Roman" w:hAnsi="Times New Roman" w:eastAsia="方正黑体_GBK"/>
          <w:sz w:val="32"/>
          <w:szCs w:val="32"/>
        </w:rPr>
        <w:t>四、绩效自评结果拟应用和公开情况</w:t>
      </w:r>
    </w:p>
    <w:p>
      <w:pPr>
        <w:pStyle w:val="2"/>
        <w:widowControl/>
        <w:spacing w:line="600" w:lineRule="exact"/>
        <w:ind w:firstLine="576" w:firstLineChars="200"/>
        <w:rPr>
          <w:rFonts w:hint="default" w:ascii="Times New Roman" w:hAnsi="Times New Roman" w:eastAsia="仿宋_GB2312"/>
          <w:w w:val="90"/>
          <w:sz w:val="32"/>
          <w:szCs w:val="32"/>
        </w:rPr>
      </w:pPr>
      <w:r>
        <w:rPr>
          <w:rFonts w:ascii="Times New Roman" w:hAnsi="Times New Roman" w:eastAsia="仿宋_GB2312"/>
          <w:w w:val="90"/>
          <w:sz w:val="32"/>
          <w:szCs w:val="32"/>
        </w:rPr>
        <w:t>通过绩效评价，我镇进一步掌握了预算执行情况和取得的效果，为下一年提高资金的使用效益，加强财政支出的规范管理、健全等工作提供了重要的参考依据。</w:t>
      </w:r>
    </w:p>
    <w:p>
      <w:pPr>
        <w:pStyle w:val="2"/>
        <w:widowControl/>
        <w:spacing w:line="600" w:lineRule="exact"/>
        <w:ind w:firstLine="576" w:firstLineChars="200"/>
        <w:rPr>
          <w:rFonts w:hint="default" w:ascii="Times New Roman" w:hAnsi="Times New Roman" w:eastAsia="仿宋_GB2312"/>
          <w:w w:val="90"/>
          <w:sz w:val="32"/>
          <w:szCs w:val="32"/>
        </w:rPr>
      </w:pPr>
      <w:r>
        <w:rPr>
          <w:rFonts w:ascii="Times New Roman" w:hAnsi="Times New Roman" w:eastAsia="仿宋_GB2312"/>
          <w:w w:val="90"/>
          <w:sz w:val="32"/>
          <w:szCs w:val="32"/>
        </w:rPr>
        <w:t>绩效自评报告完成后将在政府信息公开门户网及时公开，接收社会监督。</w:t>
      </w:r>
    </w:p>
    <w:p>
      <w:pPr>
        <w:pStyle w:val="8"/>
        <w:widowControl/>
        <w:spacing w:line="600" w:lineRule="exact"/>
        <w:ind w:left="307" w:hanging="307" w:hangingChars="96"/>
        <w:rPr>
          <w:rFonts w:hint="default" w:ascii="Times New Roman" w:hAnsi="Times New Roman" w:eastAsia="方正黑体_GBK"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MjAzOTlkZTIyYTBlNmMxM2JhM2M2MGRlNzlmZWMifQ=="/>
  </w:docVars>
  <w:rsids>
    <w:rsidRoot w:val="001B38F2"/>
    <w:rsid w:val="00060AD5"/>
    <w:rsid w:val="00093BAA"/>
    <w:rsid w:val="001135C0"/>
    <w:rsid w:val="001B38F2"/>
    <w:rsid w:val="001B4054"/>
    <w:rsid w:val="0025782C"/>
    <w:rsid w:val="00284CA7"/>
    <w:rsid w:val="002D2EBB"/>
    <w:rsid w:val="002F28A4"/>
    <w:rsid w:val="005708CF"/>
    <w:rsid w:val="00664FAC"/>
    <w:rsid w:val="007A3794"/>
    <w:rsid w:val="00943304"/>
    <w:rsid w:val="009665E4"/>
    <w:rsid w:val="009A6C8B"/>
    <w:rsid w:val="00CB6DB0"/>
    <w:rsid w:val="00D47947"/>
    <w:rsid w:val="00D7052F"/>
    <w:rsid w:val="00DF1AE7"/>
    <w:rsid w:val="00E52803"/>
    <w:rsid w:val="00E6192D"/>
    <w:rsid w:val="00F16756"/>
    <w:rsid w:val="00F479B7"/>
    <w:rsid w:val="00FD418B"/>
    <w:rsid w:val="2D0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hint="eastAsia" w:ascii="宋体" w:hAnsi="宋体" w:eastAsia="宋体" w:cs="Times New Roman"/>
      <w:sz w:val="33"/>
      <w:szCs w:val="33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宋体" w:hAnsi="宋体" w:eastAsia="宋体" w:cs="Times New Roman"/>
      <w:sz w:val="33"/>
      <w:szCs w:val="33"/>
    </w:rPr>
  </w:style>
  <w:style w:type="paragraph" w:customStyle="1" w:styleId="8">
    <w:name w:val="msolistparagraph"/>
    <w:basedOn w:val="1"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1400</Words>
  <Characters>1524</Characters>
  <Lines>13</Lines>
  <Paragraphs>3</Paragraphs>
  <TotalTime>125</TotalTime>
  <ScaleCrop>false</ScaleCrop>
  <LinksUpToDate>false</LinksUpToDate>
  <CharactersWithSpaces>1621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2023-04-11T07:18:00Z</dcterms:created>
  <dc:creator>Administrator</dc:creator>
  <cp:lastModifiedBy>曲水流觞</cp:lastModifiedBy>
  <dcterms:modified xsi:type="dcterms:W3CDTF">2023-08-28T08:39:05Z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3822D7A7D5BC44588712C9BC62E3D451_12</vt:lpwstr>
  </property>
</Properties>
</file>