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95" w:tblpY="644"/>
        <w:tblOverlap w:val="never"/>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944"/>
        <w:gridCol w:w="652"/>
        <w:gridCol w:w="1169"/>
        <w:gridCol w:w="1535"/>
        <w:gridCol w:w="1169"/>
        <w:gridCol w:w="941"/>
        <w:gridCol w:w="1008"/>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920" w:type="dxa"/>
            <w:gridSpan w:val="9"/>
            <w:tcBorders>
              <w:top w:val="nil"/>
              <w:left w:val="nil"/>
              <w:bottom w:val="nil"/>
              <w:right w:val="nil"/>
            </w:tcBorders>
            <w:shd w:val="clear" w:color="auto" w:fill="auto"/>
            <w:noWrap/>
            <w:vAlign w:val="center"/>
          </w:tcPr>
          <w:p>
            <w:pPr>
              <w:spacing w:line="3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widowControl/>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部门整体支出绩效自评表</w:t>
            </w:r>
          </w:p>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3"/>
            <w:tcBorders>
              <w:top w:val="nil"/>
              <w:left w:val="nil"/>
              <w:bottom w:val="nil"/>
              <w:right w:val="nil"/>
            </w:tcBorders>
            <w:shd w:val="clear" w:color="auto" w:fill="auto"/>
            <w:noWrap/>
            <w:vAlign w:val="center"/>
          </w:tcPr>
          <w:p>
            <w:pPr>
              <w:rPr>
                <w:rFonts w:hint="eastAsia"/>
              </w:rPr>
            </w:pPr>
            <w:r>
              <w:rPr>
                <w:rFonts w:hint="eastAsia"/>
                <w:lang w:val="en-US" w:eastAsia="zh-CN"/>
              </w:rPr>
              <w:t>填报单位:（盖章）</w:t>
            </w:r>
          </w:p>
        </w:tc>
        <w:tc>
          <w:tcPr>
            <w:tcW w:w="0" w:type="auto"/>
            <w:tcBorders>
              <w:top w:val="nil"/>
              <w:left w:val="nil"/>
              <w:bottom w:val="nil"/>
              <w:right w:val="nil"/>
            </w:tcBorders>
            <w:shd w:val="clear" w:color="auto" w:fill="auto"/>
            <w:noWrap/>
            <w:vAlign w:val="center"/>
          </w:tcPr>
          <w:p>
            <w:pPr>
              <w:rPr>
                <w:rFonts w:hint="eastAsia"/>
              </w:rPr>
            </w:pPr>
          </w:p>
        </w:tc>
        <w:tc>
          <w:tcPr>
            <w:tcW w:w="0" w:type="auto"/>
            <w:tcBorders>
              <w:top w:val="nil"/>
              <w:left w:val="nil"/>
              <w:bottom w:val="nil"/>
              <w:right w:val="nil"/>
            </w:tcBorders>
            <w:shd w:val="clear" w:color="auto" w:fill="auto"/>
            <w:noWrap/>
            <w:vAlign w:val="center"/>
          </w:tcPr>
          <w:p>
            <w:pPr>
              <w:rPr>
                <w:rFonts w:hint="eastAsia"/>
              </w:rPr>
            </w:pPr>
            <w:r>
              <w:rPr>
                <w:rFonts w:hint="eastAsia"/>
                <w:lang w:val="en-US" w:eastAsia="zh-CN"/>
              </w:rPr>
              <w:t>（2022年度）</w:t>
            </w:r>
          </w:p>
        </w:tc>
        <w:tc>
          <w:tcPr>
            <w:tcW w:w="0" w:type="auto"/>
            <w:tcBorders>
              <w:top w:val="nil"/>
              <w:left w:val="nil"/>
              <w:bottom w:val="nil"/>
              <w:right w:val="nil"/>
            </w:tcBorders>
            <w:shd w:val="clear" w:color="auto" w:fill="auto"/>
            <w:noWrap/>
            <w:vAlign w:val="center"/>
          </w:tcPr>
          <w:p>
            <w:pPr>
              <w:rPr>
                <w:rFonts w:hint="eastAsia"/>
              </w:rPr>
            </w:pPr>
          </w:p>
        </w:tc>
        <w:tc>
          <w:tcPr>
            <w:tcW w:w="0" w:type="auto"/>
            <w:tcBorders>
              <w:top w:val="nil"/>
              <w:left w:val="nil"/>
              <w:bottom w:val="nil"/>
              <w:right w:val="nil"/>
            </w:tcBorders>
            <w:shd w:val="clear" w:color="auto" w:fill="auto"/>
            <w:noWrap/>
            <w:vAlign w:val="center"/>
          </w:tcPr>
          <w:p>
            <w:pPr>
              <w:rPr>
                <w:rFonts w:hint="eastAsia"/>
              </w:rPr>
            </w:pPr>
          </w:p>
        </w:tc>
        <w:tc>
          <w:tcPr>
            <w:tcW w:w="0" w:type="auto"/>
            <w:tcBorders>
              <w:top w:val="nil"/>
              <w:left w:val="nil"/>
              <w:bottom w:val="nil"/>
              <w:right w:val="nil"/>
            </w:tcBorders>
            <w:shd w:val="clear" w:color="auto" w:fill="auto"/>
            <w:noWrap/>
            <w:vAlign w:val="center"/>
          </w:tcPr>
          <w:p>
            <w:pPr>
              <w:rPr>
                <w:rFonts w:hint="eastAsia"/>
              </w:rPr>
            </w:pPr>
          </w:p>
        </w:tc>
        <w:tc>
          <w:tcPr>
            <w:tcW w:w="0" w:type="auto"/>
            <w:tcBorders>
              <w:top w:val="nil"/>
              <w:left w:val="nil"/>
              <w:bottom w:val="nil"/>
              <w:right w:val="nil"/>
            </w:tcBorders>
            <w:shd w:val="clear" w:color="auto" w:fill="auto"/>
            <w:noWrap/>
            <w:vAlign w:val="center"/>
          </w:tcPr>
          <w:p>
            <w:pPr>
              <w:rPr>
                <w:rFonts w:hint="eastAsia"/>
              </w:rPr>
            </w:pPr>
            <w:r>
              <w:rPr>
                <w:rFonts w:hint="eastAsia"/>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预算部门名称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株洲市渌口区城市管理和综合执法局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项目</w:t>
            </w:r>
            <w:r>
              <w:rPr>
                <w:rFonts w:hint="eastAsia"/>
                <w:lang w:val="en-US" w:eastAsia="zh-CN"/>
              </w:rPr>
              <w:br w:type="textWrapping"/>
            </w:r>
            <w:r>
              <w:rPr>
                <w:rFonts w:hint="eastAsia"/>
                <w:lang w:val="en-US" w:eastAsia="zh-CN"/>
              </w:rPr>
              <w:t>资金</w:t>
            </w:r>
            <w:r>
              <w:rPr>
                <w:rFonts w:hint="eastAsia"/>
                <w:lang w:val="en-US" w:eastAsia="zh-CN"/>
              </w:rPr>
              <w:br w:type="textWrapping"/>
            </w:r>
            <w:r>
              <w:rPr>
                <w:rFonts w:hint="eastAsia"/>
                <w:lang w:val="en-US" w:eastAsia="zh-CN"/>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年初</w:t>
            </w:r>
            <w:r>
              <w:rPr>
                <w:rFonts w:hint="eastAsia"/>
                <w:lang w:val="en-US" w:eastAsia="zh-CN"/>
              </w:rPr>
              <w:br w:type="textWrapping"/>
            </w:r>
            <w:r>
              <w:rPr>
                <w:rFonts w:hint="eastAsia"/>
                <w:lang w:val="en-US" w:eastAsia="zh-CN"/>
              </w:rPr>
              <w:t>预算数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全年</w:t>
            </w:r>
            <w:r>
              <w:rPr>
                <w:rFonts w:hint="eastAsia"/>
                <w:lang w:val="en-US" w:eastAsia="zh-CN"/>
              </w:rPr>
              <w:br w:type="textWrapping"/>
            </w:r>
            <w:r>
              <w:rPr>
                <w:rFonts w:hint="eastAsia"/>
                <w:lang w:val="en-US" w:eastAsia="zh-CN"/>
              </w:rPr>
              <w:t>预算数</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全年</w:t>
            </w:r>
            <w:r>
              <w:rPr>
                <w:rFonts w:hint="eastAsia"/>
                <w:lang w:val="en-US" w:eastAsia="zh-CN"/>
              </w:rPr>
              <w:br w:type="textWrapping"/>
            </w:r>
            <w:r>
              <w:rPr>
                <w:rFonts w:hint="eastAsia"/>
                <w:lang w:val="en-US" w:eastAsia="zh-CN"/>
              </w:rPr>
              <w:t>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3387.55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2835.23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2835.23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lang w:val="en-US"/>
              </w:rPr>
            </w:pPr>
            <w:r>
              <w:rPr>
                <w:rFonts w:hint="eastAsia"/>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lang w:val="en-US"/>
              </w:rPr>
            </w:pPr>
            <w:r>
              <w:rPr>
                <w:rFonts w:hint="eastAsia"/>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按收入性质分：2835.23</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按支出性质分：2835.23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  其中：  一般公共预算：2687.02</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其中：基本支出：1510.91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        政府性基金拨款：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      项目支出：1324.32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  纳入专户管理的非税收入拨款：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             其他资金：148.21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lang w:val="en-US" w:eastAsia="zh-CN"/>
              </w:rPr>
            </w:pPr>
            <w:r>
              <w:rPr>
                <w:rFonts w:hint="eastAsia"/>
                <w:lang w:val="en-US" w:eastAsia="zh-CN"/>
              </w:rPr>
              <w:t>年</w:t>
            </w:r>
          </w:p>
          <w:p>
            <w:pPr>
              <w:jc w:val="center"/>
              <w:rPr>
                <w:rFonts w:hint="eastAsia"/>
                <w:lang w:val="en-US" w:eastAsia="zh-CN"/>
              </w:rPr>
            </w:pPr>
            <w:r>
              <w:rPr>
                <w:rFonts w:hint="eastAsia"/>
                <w:lang w:val="en-US" w:eastAsia="zh-CN"/>
              </w:rPr>
              <w:t>度</w:t>
            </w:r>
          </w:p>
          <w:p>
            <w:pPr>
              <w:jc w:val="center"/>
              <w:rPr>
                <w:rFonts w:hint="eastAsia"/>
                <w:lang w:val="en-US" w:eastAsia="zh-CN"/>
              </w:rPr>
            </w:pPr>
            <w:r>
              <w:rPr>
                <w:rFonts w:hint="eastAsia"/>
                <w:lang w:val="en-US" w:eastAsia="zh-CN"/>
              </w:rPr>
              <w:t>总</w:t>
            </w:r>
          </w:p>
          <w:p>
            <w:pPr>
              <w:jc w:val="center"/>
              <w:rPr>
                <w:rFonts w:hint="eastAsia"/>
                <w:lang w:val="en-US" w:eastAsia="zh-CN"/>
              </w:rPr>
            </w:pPr>
            <w:r>
              <w:rPr>
                <w:rFonts w:hint="eastAsia"/>
                <w:lang w:val="en-US" w:eastAsia="zh-CN"/>
              </w:rPr>
              <w:t>体</w:t>
            </w:r>
          </w:p>
          <w:p>
            <w:pPr>
              <w:jc w:val="center"/>
              <w:rPr>
                <w:rFonts w:hint="eastAsia"/>
                <w:lang w:val="en-US" w:eastAsia="zh-CN"/>
              </w:rPr>
            </w:pPr>
            <w:r>
              <w:rPr>
                <w:rFonts w:hint="eastAsia"/>
                <w:lang w:val="en-US" w:eastAsia="zh-CN"/>
              </w:rPr>
              <w:t>目</w:t>
            </w:r>
          </w:p>
          <w:p>
            <w:pPr>
              <w:jc w:val="center"/>
              <w:rPr>
                <w:rFonts w:hint="eastAsia"/>
              </w:rPr>
            </w:pPr>
            <w:r>
              <w:rPr>
                <w:rFonts w:hint="eastAsia"/>
                <w:lang w:val="en-US" w:eastAsia="zh-CN"/>
              </w:rPr>
              <w:t>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4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进一步提升市容环卫管理，进一步增强违建打击力度，进一步规范农贸市场管理，进一步推进城区“厕所革命”工作，进一步推动生活垃圾分类工作，进一步提升城市功能承载能力。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百分百完成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rPr>
            </w:pPr>
            <w:r>
              <w:rPr>
                <w:rFonts w:hint="eastAsia"/>
                <w:lang w:val="en-US" w:eastAsia="zh-CN"/>
              </w:rPr>
              <w:t>绩效指标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一级指标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二级指标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三级指标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年度</w:t>
            </w:r>
            <w:r>
              <w:rPr>
                <w:rFonts w:hint="eastAsia"/>
                <w:lang w:val="en-US" w:eastAsia="zh-CN"/>
              </w:rPr>
              <w:br w:type="textWrapping"/>
            </w:r>
            <w:r>
              <w:rPr>
                <w:rFonts w:hint="eastAsia"/>
                <w:lang w:val="en-US" w:eastAsia="zh-CN"/>
              </w:rPr>
              <w:t>指标值</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实际</w:t>
            </w:r>
            <w:r>
              <w:rPr>
                <w:rFonts w:hint="eastAsia"/>
                <w:lang w:val="en-US" w:eastAsia="zh-CN"/>
              </w:rPr>
              <w:br w:type="textWrapping"/>
            </w:r>
            <w:r>
              <w:rPr>
                <w:rFonts w:hint="eastAsia"/>
                <w:lang w:val="en-US" w:eastAsia="zh-CN"/>
              </w:rPr>
              <w:t>完成值</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分值</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偏差原因分析</w:t>
            </w:r>
            <w:r>
              <w:rPr>
                <w:rFonts w:hint="eastAsia"/>
                <w:lang w:val="en-US" w:eastAsia="zh-CN"/>
              </w:rPr>
              <w:br w:type="textWrapping"/>
            </w:r>
            <w:r>
              <w:rPr>
                <w:rFonts w:hint="eastAsia"/>
                <w:lang w:val="en-US" w:eastAsia="zh-CN"/>
              </w:rPr>
              <w:t>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产出指标（50分）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数量指标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单位预算资金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3387.55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 xml:space="preserve">2687.02 </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lang w:val="en-US"/>
              </w:rPr>
            </w:pPr>
            <w:r>
              <w:rPr>
                <w:rFonts w:hint="eastAsia"/>
                <w:lang w:val="en-US" w:eastAsia="zh-CN"/>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年中指标调减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质量指标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保工作正常运转，保项目顺利实施</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12</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restar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时效指标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任务按时完成率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Theme="minorEastAsia"/>
                <w:lang w:val="en-US" w:eastAsia="zh-CN"/>
              </w:rPr>
            </w:pPr>
            <w:r>
              <w:rPr>
                <w:rFonts w:hint="eastAsia"/>
                <w:lang w:val="en-US" w:eastAsia="zh-CN"/>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至2022年底重大项目年度任务进度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成本指标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投资控制在批复概算或财评等结果内比率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费用控制在预算内比例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6</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效益指标（30分）</w:t>
            </w:r>
          </w:p>
        </w:tc>
        <w:tc>
          <w:tcPr>
            <w:tcW w:w="763" w:type="dxa"/>
            <w:vMerge w:val="restart"/>
            <w:tcBorders>
              <w:top w:val="single" w:color="000000" w:sz="4" w:space="0"/>
              <w:left w:val="single" w:color="000000" w:sz="4" w:space="0"/>
              <w:bottom w:val="nil"/>
              <w:right w:val="single" w:color="000000" w:sz="4" w:space="0"/>
            </w:tcBorders>
            <w:shd w:val="clear" w:color="auto" w:fill="auto"/>
            <w:vAlign w:val="center"/>
          </w:tcPr>
          <w:p>
            <w:pPr>
              <w:rPr>
                <w:rFonts w:hint="eastAsia"/>
              </w:rPr>
            </w:pPr>
            <w:r>
              <w:rPr>
                <w:rFonts w:hint="eastAsia"/>
                <w:lang w:val="en-US" w:eastAsia="zh-CN"/>
              </w:rPr>
              <w:t>经济效益指标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人员经费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1104.03万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1104.03万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continue"/>
            <w:tcBorders>
              <w:top w:val="single" w:color="000000" w:sz="4" w:space="0"/>
              <w:left w:val="single" w:color="000000" w:sz="4" w:space="0"/>
              <w:bottom w:val="nil"/>
              <w:right w:val="single" w:color="000000" w:sz="4" w:space="0"/>
            </w:tcBorders>
            <w:shd w:val="clear" w:color="auto" w:fill="auto"/>
            <w:vAlign w:val="center"/>
          </w:tcPr>
          <w:p>
            <w:pPr>
              <w:rPr>
                <w:rFonts w:hint="eastAsia"/>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公用经费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406.88万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406.88万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lang w:val="en-US"/>
              </w:rPr>
            </w:pPr>
            <w:r>
              <w:rPr>
                <w:rFonts w:hint="eastAsia"/>
                <w:lang w:val="en-US" w:eastAsia="zh-CN"/>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2</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社会效益指标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城市形象提升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违章建筑控制率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达标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达标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4</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生态效益指标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城市绿化率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达标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达标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节能率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达标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达标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3</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可持续影响指标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项目完成后良性运行率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8</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rPr>
                <w:rFonts w:hint="eastAsia"/>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满意度</w:t>
            </w:r>
            <w:r>
              <w:rPr>
                <w:rFonts w:hint="eastAsia"/>
                <w:lang w:val="en-US" w:eastAsia="zh-CN"/>
              </w:rPr>
              <w:br w:type="textWrapping"/>
            </w:r>
            <w:r>
              <w:rPr>
                <w:rFonts w:hint="eastAsia"/>
                <w:lang w:val="en-US" w:eastAsia="zh-CN"/>
              </w:rPr>
              <w:t>指标</w:t>
            </w:r>
            <w:r>
              <w:rPr>
                <w:rFonts w:hint="eastAsia"/>
                <w:lang w:val="en-US" w:eastAsia="zh-CN"/>
              </w:rPr>
              <w:br w:type="textWrapping"/>
            </w:r>
            <w:r>
              <w:rPr>
                <w:rFonts w:hint="eastAsia"/>
                <w:lang w:val="en-US" w:eastAsia="zh-CN"/>
              </w:rPr>
              <w:t>（10分）</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服务对象满意度指标</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群众满意度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≥70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r>
              <w:rPr>
                <w:rFonts w:hint="eastAsia"/>
                <w:lang w:val="en-US" w:eastAsia="zh-CN"/>
              </w:rPr>
              <w:t>10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r>
              <w:rPr>
                <w:rFonts w:hint="eastAsia"/>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9"/>
            <w:tcBorders>
              <w:top w:val="nil"/>
              <w:left w:val="nil"/>
              <w:bottom w:val="nil"/>
              <w:right w:val="nil"/>
            </w:tcBorders>
            <w:shd w:val="clear" w:color="auto" w:fill="auto"/>
            <w:noWrap/>
            <w:vAlign w:val="center"/>
          </w:tcPr>
          <w:p>
            <w:pPr>
              <w:rPr>
                <w:rFonts w:hint="eastAsia"/>
              </w:rPr>
            </w:pPr>
            <w:r>
              <w:rPr>
                <w:rFonts w:hint="eastAsia"/>
                <w:lang w:val="en-US" w:eastAsia="zh-CN"/>
              </w:rPr>
              <w:t xml:space="preserve">填报人：李干  联系电话：15873388778  填报日期：2023年4月17日   单位负责人签字：   </w:t>
            </w:r>
          </w:p>
        </w:tc>
      </w:tr>
    </w:tbl>
    <w:p/>
    <w:p/>
    <w:p/>
    <w:p/>
    <w:p/>
    <w:p/>
    <w:p/>
    <w:p/>
    <w:p/>
    <w:p/>
    <w:p/>
    <w:p/>
    <w:p/>
    <w:p>
      <w:pPr>
        <w:spacing w:line="360" w:lineRule="exact"/>
        <w:rPr>
          <w:rFonts w:ascii="Times New Roman" w:hAnsi="Times New Roman" w:eastAsia="方正小标宋简体" w:cs="Times New Roman"/>
          <w:sz w:val="44"/>
          <w:szCs w:val="44"/>
        </w:rPr>
      </w:pPr>
      <w:r>
        <w:rPr>
          <w:rFonts w:ascii="Times New Roman" w:hAnsi="Times New Roman" w:eastAsia="黑体" w:cs="Times New Roman"/>
          <w:sz w:val="32"/>
          <w:szCs w:val="32"/>
        </w:rPr>
        <w:t>附件2</w:t>
      </w:r>
    </w:p>
    <w:p>
      <w:pPr>
        <w:keepNext w:val="0"/>
        <w:keepLines w:val="0"/>
        <w:widowControl w:val="0"/>
        <w:suppressLineNumbers w:val="0"/>
        <w:spacing w:before="0" w:beforeAutospacing="0" w:after="0" w:afterAutospacing="0" w:line="660" w:lineRule="exact"/>
        <w:ind w:left="0" w:right="0"/>
        <w:jc w:val="center"/>
        <w:rPr>
          <w:rFonts w:eastAsia="方正小标宋简体"/>
          <w:sz w:val="44"/>
          <w:szCs w:val="44"/>
          <w:lang w:val="en-US"/>
        </w:rPr>
      </w:pPr>
      <w:r>
        <w:rPr>
          <w:rFonts w:hint="eastAsia" w:ascii="Times New Roman" w:hAnsi="方正小标宋简体" w:eastAsia="方正小标宋简体" w:cs="方正小标宋简体"/>
          <w:kern w:val="2"/>
          <w:sz w:val="44"/>
          <w:szCs w:val="44"/>
          <w:lang w:val="en-US" w:eastAsia="zh-CN" w:bidi="ar"/>
        </w:rPr>
        <w:t>部门整体支出绩效自评报告</w:t>
      </w:r>
    </w:p>
    <w:p>
      <w:pPr>
        <w:keepNext w:val="0"/>
        <w:keepLines w:val="0"/>
        <w:widowControl w:val="0"/>
        <w:suppressLineNumbers w:val="0"/>
        <w:spacing w:before="0" w:beforeAutospacing="0" w:after="0" w:afterAutospacing="0" w:line="660" w:lineRule="exact"/>
        <w:ind w:left="0" w:right="0"/>
        <w:jc w:val="center"/>
        <w:rPr>
          <w:rFonts w:eastAsia="仿宋"/>
          <w:sz w:val="32"/>
          <w:szCs w:val="32"/>
          <w:lang w:val="en-US"/>
        </w:rPr>
      </w:pPr>
    </w:p>
    <w:p>
      <w:pPr>
        <w:pStyle w:val="7"/>
        <w:widowControl/>
        <w:spacing w:line="600" w:lineRule="exact"/>
        <w:ind w:left="0" w:firstLine="640" w:firstLineChars="20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一、预算单位基本情况</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36" w:firstLineChars="199"/>
        <w:jc w:val="both"/>
        <w:rPr>
          <w:rFonts w:hint="default" w:ascii="Times New Roman" w:hAnsi="Times New Roman" w:eastAsia="仿宋_GB2312" w:cs="仿宋_GB2312"/>
          <w:kern w:val="2"/>
          <w:sz w:val="32"/>
          <w:szCs w:val="32"/>
          <w:lang w:val="en-US" w:eastAsia="zh-CN" w:bidi="ar"/>
        </w:rPr>
      </w:pPr>
      <w:r>
        <w:rPr>
          <w:rFonts w:hint="eastAsia" w:ascii="仿宋" w:hAnsi="仿宋" w:eastAsia="仿宋" w:cs="仿宋"/>
          <w:sz w:val="32"/>
          <w:szCs w:val="32"/>
          <w:lang w:val="en-US" w:eastAsia="zh-CN"/>
        </w:rPr>
        <w:t xml:space="preserve"> </w:t>
      </w:r>
      <w:r>
        <w:rPr>
          <w:rFonts w:hint="eastAsia" w:ascii="Times New Roman" w:hAnsi="Times New Roman" w:eastAsia="仿宋_GB2312" w:cs="仿宋_GB2312"/>
          <w:kern w:val="2"/>
          <w:sz w:val="32"/>
          <w:szCs w:val="32"/>
          <w:lang w:val="en-US" w:eastAsia="zh-CN" w:bidi="ar"/>
        </w:rPr>
        <w:t>2022年年初我单位根据渌口区财政局绩效评价科的相关规定，对照区委、区政府下达的目标任务，科学合理地设定了年度绩效目标和指标，并按要求申报了2022年绩效目标及绩效评估的相关资料。本部门整体支出和项目支出实行绩效目标管理，纳入2022年部门整体支出绩效目标的金额2835.23万元。</w:t>
      </w:r>
    </w:p>
    <w:p>
      <w:pPr>
        <w:pStyle w:val="7"/>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二、一般公共预算支出情况</w:t>
      </w:r>
    </w:p>
    <w:p>
      <w:pPr>
        <w:pStyle w:val="7"/>
        <w:widowControl/>
        <w:spacing w:line="600" w:lineRule="exac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（一）基本支出情况</w:t>
      </w:r>
    </w:p>
    <w:p>
      <w:pPr>
        <w:pStyle w:val="7"/>
        <w:widowControl/>
        <w:spacing w:line="600" w:lineRule="exact"/>
        <w:ind w:left="0" w:leftChars="0" w:firstLine="640" w:firstLineChars="0"/>
        <w:rPr>
          <w:rFonts w:hint="default" w:ascii="Times New Roman" w:hAnsi="Times New Roman" w:eastAsia="楷体_GB2312" w:cs="Times New Roman"/>
          <w:sz w:val="32"/>
          <w:szCs w:val="32"/>
          <w:lang w:val="en-US" w:eastAsia="zh-CN"/>
        </w:rPr>
      </w:pPr>
      <w:r>
        <w:rPr>
          <w:rFonts w:hint="eastAsia" w:ascii="Times New Roman" w:hAnsi="Times New Roman" w:eastAsia="仿宋_GB2312" w:cs="仿宋_GB2312"/>
          <w:kern w:val="2"/>
          <w:sz w:val="32"/>
          <w:szCs w:val="32"/>
          <w:lang w:val="en-US" w:eastAsia="zh-CN" w:bidi="ar"/>
        </w:rPr>
        <w:t>2022年基本支出1510.91万元，其中人员经费1104.03万元，公用经费406.88万元。</w:t>
      </w:r>
    </w:p>
    <w:p>
      <w:pPr>
        <w:pStyle w:val="7"/>
        <w:widowControl/>
        <w:spacing w:line="600" w:lineRule="exact"/>
        <w:rPr>
          <w:rFonts w:hint="default" w:ascii="Times New Roman" w:hAnsi="Times New Roman" w:eastAsia="楷体_GB2312" w:cs="Times New Roman"/>
          <w:sz w:val="32"/>
          <w:szCs w:val="32"/>
          <w:lang w:val="en-US"/>
        </w:rPr>
      </w:pPr>
      <w:r>
        <w:rPr>
          <w:rFonts w:hint="eastAsia" w:ascii="Times New Roman" w:hAnsi="Times New Roman" w:eastAsia="楷体_GB2312" w:cs="Times New Roman"/>
          <w:sz w:val="32"/>
          <w:szCs w:val="32"/>
          <w:lang w:eastAsia="zh-CN"/>
        </w:rPr>
        <w:t>（二）项目支出情况</w:t>
      </w:r>
    </w:p>
    <w:p>
      <w:pPr>
        <w:pStyle w:val="8"/>
        <w:numPr>
          <w:ilvl w:val="0"/>
          <w:numId w:val="0"/>
        </w:numPr>
        <w:tabs>
          <w:tab w:val="left" w:pos="1080"/>
        </w:tabs>
        <w:spacing w:line="600" w:lineRule="exact"/>
        <w:ind w:left="13" w:leftChars="0" w:firstLine="757" w:firstLineChars="263"/>
        <w:jc w:val="left"/>
        <w:rPr>
          <w:rFonts w:ascii="Times New Roman" w:hAnsi="Times New Roman" w:eastAsia="仿宋_GB2312" w:cs="Times New Roman"/>
          <w:sz w:val="32"/>
          <w:szCs w:val="32"/>
        </w:rPr>
      </w:pPr>
      <w:r>
        <w:rPr>
          <w:rFonts w:hint="eastAsia" w:ascii="Times New Roman" w:hAnsi="Times New Roman" w:eastAsia="仿宋_GB2312" w:cs="Times New Roman"/>
          <w:w w:val="90"/>
          <w:sz w:val="32"/>
          <w:szCs w:val="32"/>
          <w:lang w:eastAsia="zh-CN"/>
        </w:rPr>
        <w:t>2022年</w:t>
      </w:r>
      <w:r>
        <w:rPr>
          <w:rFonts w:hint="eastAsia" w:ascii="Times New Roman" w:hAnsi="Times New Roman" w:eastAsia="仿宋_GB2312" w:cs="Times New Roman"/>
          <w:w w:val="90"/>
          <w:sz w:val="32"/>
          <w:szCs w:val="32"/>
        </w:rPr>
        <w:t>度</w:t>
      </w:r>
      <w:r>
        <w:rPr>
          <w:rFonts w:hint="eastAsia" w:ascii="Times New Roman" w:hAnsi="Times New Roman" w:eastAsia="仿宋_GB2312" w:cs="Times New Roman"/>
          <w:w w:val="90"/>
          <w:sz w:val="32"/>
          <w:szCs w:val="32"/>
          <w:lang w:eastAsia="zh-CN"/>
        </w:rPr>
        <w:t>项目</w:t>
      </w:r>
      <w:r>
        <w:rPr>
          <w:rFonts w:hint="eastAsia" w:ascii="Times New Roman" w:hAnsi="Times New Roman" w:eastAsia="仿宋_GB2312" w:cs="Times New Roman"/>
          <w:w w:val="90"/>
          <w:sz w:val="32"/>
          <w:szCs w:val="32"/>
        </w:rPr>
        <w:t>实际投入资金</w:t>
      </w:r>
      <w:r>
        <w:rPr>
          <w:rFonts w:hint="eastAsia" w:ascii="Times New Roman" w:hAnsi="Times New Roman" w:eastAsia="仿宋_GB2312" w:cs="Times New Roman"/>
          <w:w w:val="90"/>
          <w:sz w:val="32"/>
          <w:szCs w:val="32"/>
          <w:lang w:val="en-US" w:eastAsia="zh-CN"/>
        </w:rPr>
        <w:t>1324.32</w:t>
      </w:r>
      <w:r>
        <w:rPr>
          <w:rFonts w:hint="eastAsia" w:ascii="Times New Roman" w:hAnsi="Times New Roman" w:eastAsia="仿宋_GB2312" w:cs="Times New Roman"/>
          <w:w w:val="90"/>
          <w:sz w:val="32"/>
          <w:szCs w:val="32"/>
        </w:rPr>
        <w:t>万元，</w:t>
      </w:r>
      <w:r>
        <w:rPr>
          <w:rFonts w:hint="eastAsia" w:ascii="Times New Roman" w:hAnsi="Times New Roman" w:eastAsia="仿宋_GB2312" w:cs="Times New Roman"/>
          <w:w w:val="90"/>
          <w:sz w:val="32"/>
          <w:szCs w:val="32"/>
          <w:lang w:eastAsia="zh-CN"/>
        </w:rPr>
        <w:t>其中城区绿化养护</w:t>
      </w:r>
      <w:r>
        <w:rPr>
          <w:rFonts w:hint="eastAsia" w:ascii="Times New Roman" w:hAnsi="Times New Roman" w:eastAsia="仿宋_GB2312" w:cs="Times New Roman"/>
          <w:w w:val="90"/>
          <w:sz w:val="32"/>
          <w:szCs w:val="32"/>
          <w:lang w:val="en-US" w:eastAsia="zh-CN"/>
        </w:rPr>
        <w:t>126.62万元，创文工作费用</w:t>
      </w:r>
      <w:r>
        <w:rPr>
          <w:rFonts w:hint="default" w:ascii="Times New Roman" w:hAnsi="Times New Roman" w:eastAsia="仿宋_GB2312" w:cs="Times New Roman"/>
          <w:w w:val="90"/>
          <w:sz w:val="32"/>
          <w:szCs w:val="32"/>
          <w:lang w:val="en-US" w:eastAsia="zh-CN"/>
        </w:rPr>
        <w:t>15.8729</w:t>
      </w:r>
      <w:r>
        <w:rPr>
          <w:rFonts w:hint="eastAsia" w:ascii="Times New Roman" w:hAnsi="Times New Roman" w:eastAsia="仿宋_GB2312" w:cs="Times New Roman"/>
          <w:w w:val="90"/>
          <w:sz w:val="32"/>
          <w:szCs w:val="32"/>
          <w:lang w:val="en-US" w:eastAsia="zh-CN"/>
        </w:rPr>
        <w:t>万元，转拨市场服务中心费用218.05万元，路灯电费和路灯照明设施运营维护费189.66万元，渌水大桥维修养护项目30.38万元，采购除臭剂16.62万元，餐厨垃圾处置项目6.45万元，城市维护及直饮水机养护项目83.12万元，临聘人员竞聘上岗经费124万元，景观灯拆除项目11.303万元，违法建设存量清零拆除费项目44.37万元，建宁驿站项目14.47万元，渌江风光带清淤项目17万元，小街小巷游园新装路灯</w:t>
      </w:r>
      <w:bookmarkStart w:id="0" w:name="_GoBack"/>
      <w:bookmarkEnd w:id="0"/>
      <w:r>
        <w:rPr>
          <w:rFonts w:hint="eastAsia" w:ascii="Times New Roman" w:hAnsi="Times New Roman" w:eastAsia="仿宋_GB2312" w:cs="Times New Roman"/>
          <w:w w:val="90"/>
          <w:sz w:val="32"/>
          <w:szCs w:val="32"/>
          <w:lang w:val="en-US" w:eastAsia="zh-CN"/>
        </w:rPr>
        <w:t>项目44.17万元，执法督察项目5.59万元，数字城管运营项目27.7万元，历史遗留三个电力项目尾款48万元，公共自行车系统运营项目110.3万元，挖机租赁项目6.05万元，渌水大桥降噪工程项目113.54万元，制式服装采购项目6.25万元，三微改造项目13.45万元，办公楼房租19.8万元，2012年县城美化工程项目31.55万元。</w:t>
      </w:r>
      <w:r>
        <w:rPr>
          <w:rFonts w:hint="eastAsia" w:ascii="Times New Roman" w:hAnsi="Times New Roman" w:eastAsia="仿宋_GB2312" w:cs="Times New Roman"/>
          <w:w w:val="90"/>
          <w:sz w:val="32"/>
          <w:szCs w:val="32"/>
        </w:rPr>
        <w:t>资金来源为本级财政资金。</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三、部门整体支出绩效情况</w:t>
      </w:r>
    </w:p>
    <w:p>
      <w:pPr>
        <w:keepNext w:val="0"/>
        <w:keepLines w:val="0"/>
        <w:widowControl w:val="0"/>
        <w:suppressLineNumbers w:val="0"/>
        <w:spacing w:before="0" w:beforeAutospacing="0" w:after="0" w:afterAutospacing="0" w:line="600" w:lineRule="exact"/>
        <w:ind w:left="0" w:right="0" w:firstLine="640" w:firstLineChars="200"/>
        <w:jc w:val="both"/>
        <w:rPr>
          <w:rFonts w:eastAsia="仿宋_GB2312"/>
          <w:sz w:val="32"/>
          <w:szCs w:val="32"/>
          <w:lang w:val="en-US"/>
        </w:rPr>
      </w:pPr>
      <w:r>
        <w:rPr>
          <w:rFonts w:hint="eastAsia" w:ascii="Times New Roman" w:hAnsi="Times New Roman" w:eastAsia="仿宋_GB2312" w:cs="仿宋_GB2312"/>
          <w:kern w:val="2"/>
          <w:sz w:val="32"/>
          <w:szCs w:val="32"/>
          <w:lang w:val="en-US" w:eastAsia="zh-CN" w:bidi="ar"/>
        </w:rPr>
        <w:t>2022年，我单位积极履职，强化管理，规范市容秩序，规范清扫保洁，规范拆违控违，规范维护保养，规范市场管理，整治户外广告，整治陈年垃圾，整治违章搭建，整治马路市场，整治市政短板，推进建宁驿站建设，推进示范性农贸市场建设，较好地完成了年度工作目标。通过加强预算收支管理，不断建立健全内部管理制度，梳理内部管理流程，部门整体支出管理水平得到提升。部门整体支出绩效情况如下：预算配置控制较好，预算执行比较到位，预算管理较理想，制度执行总体较为有效，“三公”经费总体控制较好，较本年预算支出数有较大幅度下降，政府采购执行率为100%，资金使用合规，本年度支出的所有资金均由区财政局国库支付，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我单位对公共财产物资实行统一管理、统一调配，并按使用人建立了资产实物管理台账，实行使用、保管签字登记制度。对单位固定资产统一采购、多人经办，每月月初根据各部门的需求制订采购计划，实行多人经办、“货比三家”，并按政府采购程序和有关规定加强采购手续。年底对财产物资进行清查、盘点、核对、处理。对取得的资产实物及时进行会计核算。</w:t>
      </w:r>
    </w:p>
    <w:p>
      <w:pPr>
        <w:pStyle w:val="7"/>
        <w:widowControl/>
        <w:spacing w:line="600" w:lineRule="exact"/>
        <w:rPr>
          <w:rFonts w:hint="default" w:ascii="Times New Roman" w:hAnsi="Times New Roman" w:eastAsia="黑体" w:cs="Times New Roman"/>
          <w:sz w:val="32"/>
          <w:szCs w:val="32"/>
          <w:lang w:val="en-US"/>
        </w:rPr>
      </w:pPr>
      <w:r>
        <w:rPr>
          <w:rFonts w:hint="eastAsia" w:ascii="Times New Roman" w:hAnsi="Times New Roman" w:eastAsia="黑体" w:cs="Times New Roman"/>
          <w:sz w:val="32"/>
          <w:szCs w:val="32"/>
          <w:lang w:eastAsia="zh-CN"/>
        </w:rPr>
        <w:t>四、存在的问题及原因分析</w:t>
      </w:r>
    </w:p>
    <w:p>
      <w:pPr>
        <w:pStyle w:val="8"/>
        <w:numPr>
          <w:ilvl w:val="0"/>
          <w:numId w:val="0"/>
        </w:numPr>
        <w:tabs>
          <w:tab w:val="left" w:pos="1164"/>
        </w:tabs>
        <w:spacing w:line="600" w:lineRule="exact"/>
        <w:ind w:left="0" w:leftChars="0" w:firstLine="838" w:firstLineChars="262"/>
        <w:jc w:val="lef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绩效目标完成，无偏离。</w:t>
      </w: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五、下一步改进措施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六、绩效自评结果拟应用和公开情况</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绩效自评结果在门户网站公开。</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sz w:val="32"/>
          <w:szCs w:val="32"/>
          <w:lang w:eastAsia="zh-CN"/>
        </w:rPr>
      </w:pPr>
    </w:p>
    <w:p>
      <w:pPr>
        <w:keepNext w:val="0"/>
        <w:keepLines w:val="0"/>
        <w:widowControl w:val="0"/>
        <w:suppressLineNumbers w:val="0"/>
        <w:spacing w:before="0" w:beforeAutospacing="0" w:after="0" w:afterAutospacing="0" w:line="600" w:lineRule="exact"/>
        <w:ind w:left="0" w:right="0" w:firstLine="3520" w:firstLineChars="11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株洲市城市管理和综合执法局</w:t>
      </w:r>
    </w:p>
    <w:p>
      <w:pPr>
        <w:keepNext w:val="0"/>
        <w:keepLines w:val="0"/>
        <w:widowControl w:val="0"/>
        <w:suppressLineNumbers w:val="0"/>
        <w:spacing w:before="0" w:beforeAutospacing="0" w:after="0" w:afterAutospacing="0" w:line="600" w:lineRule="exact"/>
        <w:ind w:left="0" w:right="0" w:firstLine="4800" w:firstLineChars="15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2023年4月17日</w:t>
      </w:r>
    </w:p>
    <w:p>
      <w:pPr>
        <w:keepNext w:val="0"/>
        <w:keepLines w:val="0"/>
        <w:widowControl w:val="0"/>
        <w:suppressLineNumbers w:val="0"/>
        <w:spacing w:before="0" w:beforeAutospacing="0" w:after="0" w:afterAutospacing="0"/>
        <w:ind w:left="0" w:right="0" w:firstLine="180" w:firstLineChars="100"/>
        <w:jc w:val="left"/>
        <w:rPr>
          <w:rFonts w:eastAsia="仿宋"/>
          <w:sz w:val="18"/>
          <w:szCs w:val="18"/>
          <w:lang w:val="en-US"/>
        </w:rPr>
      </w:pPr>
    </w:p>
    <w:p>
      <w:pPr>
        <w:keepNext w:val="0"/>
        <w:keepLines w:val="0"/>
        <w:widowControl/>
        <w:suppressLineNumbers w:val="0"/>
        <w:spacing w:before="0" w:beforeAutospacing="0" w:after="0" w:afterAutospacing="0"/>
        <w:ind w:left="0" w:right="0"/>
        <w:jc w:val="left"/>
        <w:rPr>
          <w:rFonts w:hint="eastAsia" w:ascii="Times New Roman" w:hAnsi="Times New Roman" w:eastAsia="黑体" w:cs="黑体"/>
          <w:kern w:val="2"/>
          <w:sz w:val="32"/>
          <w:szCs w:val="32"/>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iMjc3ZTQ2MTg2ZDAyMGI1NDY3NDQzMzkyNGYxNzAifQ=="/>
  </w:docVars>
  <w:rsids>
    <w:rsidRoot w:val="78EE41A8"/>
    <w:rsid w:val="02551B85"/>
    <w:rsid w:val="09F74B6A"/>
    <w:rsid w:val="0EC8307A"/>
    <w:rsid w:val="1202325C"/>
    <w:rsid w:val="13DD3420"/>
    <w:rsid w:val="1A931D97"/>
    <w:rsid w:val="1EA9481E"/>
    <w:rsid w:val="2A5B183F"/>
    <w:rsid w:val="2DC0604D"/>
    <w:rsid w:val="31046251"/>
    <w:rsid w:val="3394259C"/>
    <w:rsid w:val="35F464CC"/>
    <w:rsid w:val="36CA5847"/>
    <w:rsid w:val="39A55AE7"/>
    <w:rsid w:val="3B363A0C"/>
    <w:rsid w:val="3F2D5801"/>
    <w:rsid w:val="43B855E4"/>
    <w:rsid w:val="445D559D"/>
    <w:rsid w:val="4C147838"/>
    <w:rsid w:val="51AF590D"/>
    <w:rsid w:val="53263FB4"/>
    <w:rsid w:val="5FCF3D4A"/>
    <w:rsid w:val="604C7149"/>
    <w:rsid w:val="67BA377B"/>
    <w:rsid w:val="759C73E8"/>
    <w:rsid w:val="77950F7E"/>
    <w:rsid w:val="78EE41A8"/>
    <w:rsid w:val="7E22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3">
    <w:name w:val="Normal (Web)"/>
    <w:basedOn w:val="1"/>
    <w:qFormat/>
    <w:uiPriority w:val="0"/>
    <w:pPr>
      <w:widowControl/>
      <w:spacing w:before="100" w:beforeAutospacing="1" w:after="100" w:afterAutospacing="1"/>
      <w:jc w:val="left"/>
    </w:pPr>
    <w:rPr>
      <w:rFonts w:ascii="宋体" w:hAnsi="Times New Roman"/>
      <w:color w:val="000000"/>
      <w:kern w:val="0"/>
      <w:sz w:val="24"/>
    </w:rPr>
  </w:style>
  <w:style w:type="paragraph" w:styleId="4">
    <w:name w:val="Body Text First Indent 2"/>
    <w:basedOn w:val="2"/>
    <w:qFormat/>
    <w:uiPriority w:val="0"/>
    <w:pPr>
      <w:ind w:firstLine="420" w:firstLineChars="200"/>
    </w:pPr>
    <w:rPr>
      <w:rFonts w:ascii="Times New Roman" w:hAnsi="Times New Roman" w:eastAsia="宋体" w:cs="Times New Roman"/>
    </w:rPr>
  </w:style>
  <w:style w:type="paragraph" w:customStyle="1" w:styleId="7">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styleId="8">
    <w:name w:val="List Paragraph"/>
    <w:basedOn w:val="1"/>
    <w:qFormat/>
    <w:uiPriority w:val="1"/>
    <w:pPr>
      <w:ind w:left="1079" w:hanging="309"/>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1796</Words>
  <Characters>2102</Characters>
  <Lines>0</Lines>
  <Paragraphs>0</Paragraphs>
  <TotalTime>0</TotalTime>
  <ScaleCrop>false</ScaleCrop>
  <LinksUpToDate>false</LinksUpToDate>
  <CharactersWithSpaces>2150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2022-03-01T08:24:00Z</dcterms:created>
  <dc:creator>李干</dc:creator>
  <cp:lastModifiedBy>李干</cp:lastModifiedBy>
  <cp:lastPrinted>2023-04-21T03:45:40Z</cp:lastPrinted>
  <dcterms:modified xsi:type="dcterms:W3CDTF">2023-04-21T03:47:47Z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A789E5A7AB4749078C6DC0AC22F56CBB</vt:lpwstr>
  </property>
</Properties>
</file>