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4"/>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17"/>
        <w:gridCol w:w="1166"/>
        <w:gridCol w:w="1245"/>
        <w:gridCol w:w="120"/>
        <w:gridCol w:w="1361"/>
        <w:gridCol w:w="27"/>
        <w:gridCol w:w="986"/>
        <w:gridCol w:w="986"/>
        <w:gridCol w:w="769"/>
        <w:gridCol w:w="891"/>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20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821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株洲市生态环境局渌口分局</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5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5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eastAsia" w:ascii="宋体" w:hAnsi="宋体" w:eastAsia="宋体" w:cs="宋体"/>
                <w:i w:val="0"/>
                <w:iCs w:val="0"/>
                <w:color w:val="000000"/>
                <w:kern w:val="0"/>
                <w:sz w:val="22"/>
                <w:szCs w:val="22"/>
                <w:u w:val="none"/>
                <w:lang w:val="en-US" w:eastAsia="zh-CN" w:bidi="ar"/>
              </w:rPr>
              <w:t>614</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eastAsia" w:ascii="宋体" w:hAnsi="宋体" w:eastAsia="宋体" w:cs="宋体"/>
                <w:i w:val="0"/>
                <w:iCs w:val="0"/>
                <w:color w:val="000000"/>
                <w:kern w:val="0"/>
                <w:sz w:val="22"/>
                <w:szCs w:val="22"/>
                <w:u w:val="none"/>
                <w:lang w:val="en-US" w:eastAsia="zh-CN" w:bidi="ar"/>
              </w:rPr>
              <w:t>1113</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eastAsia" w:ascii="宋体" w:hAnsi="宋体" w:eastAsia="宋体" w:cs="宋体"/>
                <w:i w:val="0"/>
                <w:iCs w:val="0"/>
                <w:color w:val="000000"/>
                <w:kern w:val="0"/>
                <w:sz w:val="22"/>
                <w:szCs w:val="22"/>
                <w:u w:val="none"/>
                <w:lang w:val="en-US" w:eastAsia="zh-CN" w:bidi="ar"/>
              </w:rPr>
              <w:t>1113</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p>
        </w:tc>
        <w:tc>
          <w:tcPr>
            <w:tcW w:w="44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宋体" w:hAnsi="宋体" w:eastAsia="宋体" w:cs="宋体"/>
                <w:i w:val="0"/>
                <w:iCs w:val="0"/>
                <w:color w:val="000000"/>
                <w:kern w:val="0"/>
                <w:sz w:val="22"/>
                <w:szCs w:val="22"/>
                <w:u w:val="none"/>
                <w:lang w:val="en-US" w:eastAsia="zh-CN" w:bidi="ar"/>
              </w:rPr>
              <w:t>1113</w:t>
            </w:r>
          </w:p>
        </w:tc>
        <w:tc>
          <w:tcPr>
            <w:tcW w:w="44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p>
        </w:tc>
        <w:tc>
          <w:tcPr>
            <w:tcW w:w="44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p>
        </w:tc>
        <w:tc>
          <w:tcPr>
            <w:tcW w:w="44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44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9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4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eastAsia="仿宋_GB2312"/>
                <w:color w:val="000000"/>
                <w:szCs w:val="21"/>
                <w:lang w:val="en-US" w:eastAsia="zh-CN"/>
              </w:rPr>
              <w:t>改善渌口区环境污染问题</w:t>
            </w:r>
            <w:r>
              <w:rPr>
                <w:rFonts w:hint="default" w:eastAsia="仿宋_GB2312"/>
                <w:color w:val="000000"/>
                <w:szCs w:val="21"/>
                <w:lang w:val="en-US" w:eastAsia="zh-CN"/>
              </w:rPr>
              <w:t>　</w:t>
            </w:r>
            <w:r>
              <w:rPr>
                <w:rFonts w:hint="default" w:ascii="Times New Roman" w:hAnsi="Times New Roman" w:eastAsia="仿宋_GB2312" w:cs="Times New Roman"/>
                <w:kern w:val="0"/>
                <w:sz w:val="21"/>
                <w:szCs w:val="21"/>
                <w:lang w:val="en-US" w:eastAsia="zh-CN" w:bidi="ar"/>
              </w:rPr>
              <w:t>　</w:t>
            </w:r>
          </w:p>
        </w:tc>
        <w:tc>
          <w:tcPr>
            <w:tcW w:w="44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eastAsia="仿宋_GB2312"/>
                <w:color w:val="000000"/>
                <w:szCs w:val="21"/>
              </w:rPr>
              <w:t>开展了</w:t>
            </w:r>
            <w:r>
              <w:rPr>
                <w:rFonts w:hint="eastAsia" w:eastAsia="仿宋_GB2312"/>
                <w:color w:val="000000"/>
                <w:szCs w:val="21"/>
                <w:lang w:eastAsia="zh-CN"/>
              </w:rPr>
              <w:t>环境污染</w:t>
            </w:r>
            <w:r>
              <w:rPr>
                <w:rFonts w:hint="eastAsia" w:eastAsia="仿宋_GB2312"/>
                <w:color w:val="000000"/>
                <w:szCs w:val="21"/>
              </w:rPr>
              <w:t>治理项目建设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9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6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按照合同约定完成率</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90%</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验收合格率</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330天</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1113.21</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36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1、直接经济效益　</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0</w:t>
            </w:r>
            <w:r>
              <w:rPr>
                <w:rFonts w:hint="default" w:ascii="Times New Roman" w:hAnsi="Times New Roman" w:eastAsia="仿宋_GB2312" w:cs="Times New Roman"/>
                <w:kern w:val="0"/>
                <w:sz w:val="21"/>
                <w:szCs w:val="21"/>
                <w:lang w:val="en-US" w:eastAsia="zh-CN" w:bidi="ar"/>
              </w:rPr>
              <w:t>　</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无经济效益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2、间接经济效益</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1113.21</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1、保障村民健康生活，形成公共参与机制</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6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2、发挥示范效应，促进区域社会经济发展。</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1、环境质量改善提高。</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Style w:val="9"/>
                <w:lang w:val="en-US" w:eastAsia="zh-CN" w:bidi="ar"/>
              </w:rPr>
              <w:t>2</w:t>
            </w:r>
            <w:r>
              <w:rPr>
                <w:rFonts w:hint="eastAsia" w:ascii="Times New Roman" w:hAnsi="Times New Roman" w:eastAsia="仿宋_GB2312" w:cs="Times New Roman"/>
                <w:kern w:val="0"/>
                <w:szCs w:val="21"/>
                <w:lang w:val="en-US" w:eastAsia="zh-CN"/>
              </w:rPr>
              <w:t>、改善农村生活环境。</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不产生直接效益，但节能、资源综合利用等措施，会产生间接的经济效益，主要体现在农村环境污染治理和退化生态区域的恢复与建设，将取得很大的间接经济效益，可节约开支，减少环境污染带来的损失。</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6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1、环保知识普及率　</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92%</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2、村民环境保护自主参与率</w:t>
            </w:r>
          </w:p>
        </w:tc>
        <w:tc>
          <w:tcPr>
            <w:tcW w:w="1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0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填报人：    </w:t>
      </w: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 xml:space="preserve">联系电话：   </w:t>
      </w: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填报日期：</w:t>
      </w: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 xml:space="preserve"> 单位负责人签字：</w:t>
      </w:r>
    </w:p>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方正小标宋简体" w:cs="Times New Roman"/>
          <w:sz w:val="44"/>
          <w:szCs w:val="44"/>
          <w:lang w:val="en-US"/>
        </w:rPr>
      </w:pPr>
      <w:r>
        <w:rPr>
          <w:rFonts w:hint="default" w:ascii="Times New Roman" w:hAnsi="Times New Roman" w:eastAsia="黑体" w:cs="Times New Roman"/>
          <w:kern w:val="2"/>
          <w:sz w:val="32"/>
          <w:szCs w:val="32"/>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部门整体支出绩效自评报告</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（参考格式）</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预算单位基本情况</w:t>
      </w:r>
    </w:p>
    <w:p>
      <w:pPr>
        <w:pStyle w:val="3"/>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株洲市生态环境局渌口分局是区人民政府主管环境工作的正科级行政机关，分别为：办公室 、人教股、法规宣传股、污染防治股、生态固废股、环评审批股，副科级单位分别为环境监测站、环境监察大队。属区一级预算单位。下设2个副科级，其中10个参照公务员法管理、30个全额拨款。全系统共有人员41人，其中在职人员30人，退休人员11人。</w:t>
      </w:r>
    </w:p>
    <w:p>
      <w:pPr>
        <w:pStyle w:val="6"/>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pPr>
        <w:pStyle w:val="6"/>
        <w:widowControl/>
        <w:spacing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（一）基本支出情况</w:t>
      </w:r>
    </w:p>
    <w:p>
      <w:pPr>
        <w:numPr>
          <w:ilvl w:val="0"/>
          <w:numId w:val="0"/>
        </w:num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本年收入本年数为1113万元，上年数1554万元 ，比上年减少28.38%，原因是厉行节约，经费支出减少；本年支出本年数为1113万元，上年数1554万元 ，比上年减少28.38%，原因是厉行节约，经费支出减少。临聘人员本年年末15人，去年年末16人，临聘人员减少1人，原因是有一名临聘人员中途离职；“三公经费”中接待费本年支出0.52万元，上年支出1.36万元，比上年减少62.06%，原因是厉行节约，经费支出减少。</w:t>
      </w:r>
    </w:p>
    <w:p>
      <w:pPr>
        <w:snapToGrid w:val="0"/>
        <w:spacing w:line="520" w:lineRule="exact"/>
        <w:ind w:firstLine="640" w:firstLineChars="200"/>
        <w:rPr>
          <w:rFonts w:hint="eastAsia" w:ascii="仿宋_GB2312" w:hAnsi="仿宋" w:eastAsia="仿宋_GB2312"/>
          <w:sz w:val="32"/>
          <w:szCs w:val="32"/>
        </w:rPr>
      </w:pPr>
    </w:p>
    <w:p>
      <w:pPr>
        <w:pStyle w:val="6"/>
        <w:widowControl/>
        <w:spacing w:line="600" w:lineRule="exact"/>
        <w:rPr>
          <w:rFonts w:hint="default" w:ascii="Times New Roman" w:hAnsi="Times New Roman" w:eastAsia="楷体_GB2312" w:cs="Times New Roman"/>
          <w:sz w:val="32"/>
          <w:szCs w:val="32"/>
          <w:lang w:val="en-US" w:eastAsia="zh-CN"/>
        </w:rPr>
      </w:pPr>
    </w:p>
    <w:p>
      <w:pPr>
        <w:pStyle w:val="6"/>
        <w:widowControl/>
        <w:numPr>
          <w:ilvl w:val="0"/>
          <w:numId w:val="2"/>
        </w:numPr>
        <w:spacing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项目支出情况</w:t>
      </w:r>
    </w:p>
    <w:p>
      <w:pPr>
        <w:pStyle w:val="6"/>
        <w:widowControl/>
        <w:numPr>
          <w:ilvl w:val="0"/>
          <w:numId w:val="0"/>
        </w:numPr>
        <w:spacing w:line="600" w:lineRule="exact"/>
        <w:ind w:right="0" w:rightChars="0" w:firstLine="640" w:firstLineChars="200"/>
        <w:rPr>
          <w:rFonts w:hint="default" w:ascii="Times New Roman" w:hAnsi="Times New Roman" w:eastAsia="楷体_GB2312" w:cs="Times New Roman"/>
          <w:sz w:val="32"/>
          <w:szCs w:val="32"/>
          <w:lang w:val="en-US" w:eastAsia="zh-CN"/>
        </w:rPr>
      </w:pPr>
      <w:r>
        <w:rPr>
          <w:rFonts w:hint="eastAsia" w:ascii="仿宋_GB2312" w:hAnsi="仿宋" w:eastAsia="仿宋_GB2312"/>
          <w:sz w:val="32"/>
          <w:szCs w:val="32"/>
        </w:rPr>
        <w:t>根据预算绩效管理要求，本单位组织对 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年度项目支出开展了绩效自评，</w:t>
      </w:r>
      <w:r>
        <w:rPr>
          <w:rFonts w:hint="eastAsia" w:ascii="仿宋_GB2312" w:hAnsi="仿宋" w:eastAsia="仿宋_GB2312" w:cs="仿宋"/>
          <w:color w:val="000000"/>
          <w:sz w:val="32"/>
          <w:szCs w:val="32"/>
        </w:rPr>
        <w:t>本年支出本年数为1113万元</w:t>
      </w:r>
      <w:r>
        <w:rPr>
          <w:rFonts w:hint="eastAsia" w:ascii="仿宋_GB2312" w:hAnsi="仿宋" w:eastAsia="仿宋_GB2312"/>
          <w:sz w:val="32"/>
          <w:szCs w:val="32"/>
        </w:rPr>
        <w:t>项目支出</w:t>
      </w:r>
      <w:r>
        <w:rPr>
          <w:rFonts w:hint="eastAsia" w:ascii="仿宋_GB2312" w:hAnsi="仿宋" w:eastAsia="仿宋_GB2312"/>
          <w:sz w:val="32"/>
          <w:szCs w:val="32"/>
          <w:lang w:eastAsia="zh-CN"/>
        </w:rPr>
        <w:t>为</w:t>
      </w:r>
      <w:r>
        <w:rPr>
          <w:rFonts w:ascii="仿宋_GB2312" w:hAnsi="仿宋" w:eastAsia="仿宋_GB2312"/>
          <w:sz w:val="32"/>
          <w:szCs w:val="32"/>
        </w:rPr>
        <w:t>372</w:t>
      </w:r>
      <w:bookmarkStart w:id="0" w:name="_GoBack"/>
      <w:bookmarkEnd w:id="0"/>
      <w:r>
        <w:rPr>
          <w:rFonts w:hint="eastAsia" w:ascii="仿宋_GB2312" w:hAnsi="仿宋" w:eastAsia="仿宋_GB2312"/>
          <w:sz w:val="32"/>
          <w:szCs w:val="32"/>
        </w:rPr>
        <w:t>万元，占支出预算总额的</w:t>
      </w:r>
      <w:r>
        <w:rPr>
          <w:rFonts w:hint="eastAsia" w:ascii="仿宋_GB2312" w:hAnsi="仿宋" w:eastAsia="仿宋_GB2312"/>
          <w:sz w:val="32"/>
          <w:szCs w:val="32"/>
          <w:lang w:val="en-US" w:eastAsia="zh-CN"/>
        </w:rPr>
        <w:t>33.4</w:t>
      </w:r>
      <w:r>
        <w:rPr>
          <w:rFonts w:hint="eastAsia" w:ascii="仿宋_GB2312" w:hAnsi="仿宋" w:eastAsia="仿宋_GB2312"/>
          <w:sz w:val="32"/>
          <w:szCs w:val="32"/>
        </w:rPr>
        <w:t>%。有关项目立项程序完整、规范，预算执行及时、有效，绩效目标得到较好实现，绩效管理水平不断提高，绩效指标体系建设逐渐丰富和完善。</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pPr>
        <w:pStyle w:val="10"/>
        <w:numPr>
          <w:ilvl w:val="0"/>
          <w:numId w:val="0"/>
        </w:numPr>
        <w:tabs>
          <w:tab w:val="left" w:pos="1085"/>
        </w:tabs>
        <w:spacing w:line="600" w:lineRule="exact"/>
        <w:ind w:left="0" w:leftChars="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项目资金统一管理，主管部门定期对项目进展情况进行调度、汇总，资金使用合规，项目支出基本与项目预算、合同等相符，财务监控较有效。</w:t>
      </w:r>
    </w:p>
    <w:p>
      <w:pPr>
        <w:pStyle w:val="10"/>
        <w:numPr>
          <w:ilvl w:val="0"/>
          <w:numId w:val="0"/>
        </w:numPr>
        <w:tabs>
          <w:tab w:val="left" w:pos="1085"/>
        </w:tabs>
        <w:spacing w:line="600" w:lineRule="exact"/>
        <w:ind w:left="757" w:leftChars="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（1）严格执行专项资金管理制度，实行专款专用，不得以任何理由按部门切块或挪作它用。</w:t>
      </w:r>
    </w:p>
    <w:p>
      <w:pPr>
        <w:pStyle w:val="2"/>
        <w:numPr>
          <w:ilvl w:val="0"/>
          <w:numId w:val="3"/>
        </w:numPr>
        <w:spacing w:line="600" w:lineRule="exact"/>
        <w:ind w:left="264" w:leftChars="0" w:right="129" w:firstLine="576" w:firstLineChars="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资金使用情况财政、审计部门全程跟踪检查。</w:t>
      </w:r>
    </w:p>
    <w:p>
      <w:pPr>
        <w:pStyle w:val="2"/>
        <w:numPr>
          <w:ilvl w:val="0"/>
          <w:numId w:val="3"/>
        </w:numPr>
        <w:spacing w:line="600" w:lineRule="exact"/>
        <w:ind w:left="264" w:leftChars="0" w:right="129" w:firstLine="576" w:firstLineChars="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对辖区内做好大气污染防治宣传，对涉挥发性有机物企业进行提标升级改造，均已完成治理改造任务并在重污染应急分级管控工作中进行大气污染防治宣传。</w:t>
      </w:r>
    </w:p>
    <w:p>
      <w:pPr>
        <w:pStyle w:val="2"/>
        <w:numPr>
          <w:ilvl w:val="0"/>
          <w:numId w:val="3"/>
        </w:numPr>
        <w:spacing w:line="600" w:lineRule="exact"/>
        <w:ind w:left="264" w:leftChars="0" w:right="129" w:firstLine="576" w:firstLineChars="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通过定期调度、现场检查，督促涉挥发性有机物企业按照方案进行提标改造。通过现场执法检查及网格员巡查，严格管控。</w:t>
      </w:r>
    </w:p>
    <w:p>
      <w:pPr>
        <w:pStyle w:val="2"/>
        <w:numPr>
          <w:ilvl w:val="0"/>
          <w:numId w:val="3"/>
        </w:numPr>
        <w:spacing w:line="600" w:lineRule="exact"/>
        <w:ind w:left="264" w:leftChars="0" w:right="129" w:firstLine="576" w:firstLineChars="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加大大气污染防治宣传力度，对涉挥发性有机物企业按照治理方案进行升级改造，从源头替代、过程控制、末端治理等环节进行全过程治理，加大无组织废气收集效率的同时提高有组织废气的去除效率，提高企业环保治理水平。对涉挥发性有机物企业升级改造将无组织废气排放转化为有组织废气处理后排放，大大削减了VOCs排放量，有效改善环境质量，提升群众的认知度。通过对砖瓦企业关停，大幅度削减二氧化硫、氮氧化物及颗粒物排放，进一步改善环境空气质量。</w:t>
      </w:r>
    </w:p>
    <w:p>
      <w:pPr>
        <w:pStyle w:val="2"/>
        <w:numPr>
          <w:ilvl w:val="0"/>
          <w:numId w:val="3"/>
        </w:numPr>
        <w:spacing w:line="600" w:lineRule="exact"/>
        <w:ind w:left="264" w:leftChars="0" w:right="129" w:firstLine="576" w:firstLineChars="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通过涉挥发性有机物升级改造，大大削减了VOCs排放量，有效改善环境空气质量，2021年全年臭氧同比改善5.9%。同时涉挥发性有机物企业按照治理方案进行升级改造，从源头替代、过程控制、末端治理等环节进行全过程治理，加大无组织废气收集效率的同时提高有组织废气的去除效率，提高企业环保管理水平。</w:t>
      </w:r>
    </w:p>
    <w:p>
      <w:pPr>
        <w:pStyle w:val="6"/>
        <w:widowControl/>
        <w:spacing w:line="60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 w:cs="Times New Roman"/>
          <w:sz w:val="18"/>
          <w:szCs w:val="18"/>
          <w:lang w:val="en-US"/>
        </w:rPr>
      </w:pPr>
      <w:r>
        <w:rPr>
          <w:rFonts w:hint="default" w:ascii="Times New Roman" w:hAnsi="Times New Roman" w:eastAsia="仿宋_GB2312" w:cs="Times New Roman"/>
          <w:kern w:val="2"/>
          <w:sz w:val="32"/>
          <w:szCs w:val="32"/>
          <w:lang w:val="en-US" w:eastAsia="zh-CN" w:bidi="ar"/>
        </w:rPr>
        <w:t>主要反映各种预算支出执行偏离绩效目标的情况，并分析其原因。</w:t>
      </w:r>
      <w:r>
        <w:rPr>
          <w:rFonts w:hint="eastAsia" w:ascii="Times New Roman" w:hAnsi="Times New Roman" w:eastAsia="仿宋_GB2312" w:cs="Times New Roman"/>
          <w:kern w:val="2"/>
          <w:sz w:val="32"/>
          <w:szCs w:val="32"/>
          <w:lang w:val="en-US" w:eastAsia="zh-CN" w:bidi="ar"/>
        </w:rPr>
        <w:t>无</w:t>
      </w:r>
    </w:p>
    <w:p>
      <w:pPr>
        <w:keepNext w:val="0"/>
        <w:keepLines w:val="0"/>
        <w:widowControl w:val="0"/>
        <w:numPr>
          <w:ilvl w:val="0"/>
          <w:numId w:val="4"/>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下一步改进措施</w:t>
      </w:r>
    </w:p>
    <w:p>
      <w:pPr>
        <w:numPr>
          <w:ilvl w:val="0"/>
          <w:numId w:val="0"/>
        </w:numPr>
        <w:spacing w:line="600" w:lineRule="exact"/>
        <w:rPr>
          <w:rFonts w:hint="eastAsia" w:eastAsia="仿宋_GB2312"/>
          <w:sz w:val="32"/>
          <w:szCs w:val="32"/>
          <w:lang w:val="en-US" w:eastAsia="zh-CN"/>
        </w:rPr>
      </w:pPr>
      <w:r>
        <w:rPr>
          <w:rFonts w:hint="eastAsia" w:eastAsia="黑体"/>
          <w:sz w:val="32"/>
          <w:szCs w:val="32"/>
          <w:lang w:val="en-US" w:eastAsia="zh-CN"/>
        </w:rPr>
        <w:t xml:space="preserve">    </w:t>
      </w:r>
      <w:r>
        <w:rPr>
          <w:rFonts w:hint="eastAsia" w:eastAsia="仿宋_GB2312"/>
          <w:sz w:val="32"/>
          <w:szCs w:val="32"/>
          <w:lang w:val="en-US" w:eastAsia="zh-CN"/>
        </w:rPr>
        <w:t>进一步加强对辖区内环境污染治理，并对任务村的项目推进，农村生活污水得到有效管控，从而改善农村人居环境，提高农民生活环境质量。</w:t>
      </w:r>
    </w:p>
    <w:p>
      <w:pPr>
        <w:keepNext w:val="0"/>
        <w:keepLines w:val="0"/>
        <w:widowControl w:val="0"/>
        <w:numPr>
          <w:ilvl w:val="0"/>
          <w:numId w:val="4"/>
        </w:numPr>
        <w:suppressLineNumbers w:val="0"/>
        <w:spacing w:before="0" w:beforeAutospacing="0" w:after="0" w:afterAutospacing="0" w:line="600" w:lineRule="exact"/>
        <w:ind w:left="0" w:leftChars="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绩效自评结果拟应用和公开情况</w:t>
      </w:r>
    </w:p>
    <w:p>
      <w:pPr>
        <w:numPr>
          <w:ilvl w:val="0"/>
          <w:numId w:val="0"/>
        </w:numPr>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已公开</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FCCD3"/>
    <w:multiLevelType w:val="singleLevel"/>
    <w:tmpl w:val="EF9FCCD3"/>
    <w:lvl w:ilvl="0" w:tentative="0">
      <w:start w:val="2"/>
      <w:numFmt w:val="decimal"/>
      <w:suff w:val="nothing"/>
      <w:lvlText w:val="（%1）"/>
      <w:lvlJc w:val="left"/>
      <w:pPr>
        <w:ind w:left="264"/>
      </w:pPr>
    </w:lvl>
  </w:abstractNum>
  <w:abstractNum w:abstractNumId="1">
    <w:nsid w:val="F30ECB56"/>
    <w:multiLevelType w:val="singleLevel"/>
    <w:tmpl w:val="F30ECB56"/>
    <w:lvl w:ilvl="0" w:tentative="0">
      <w:start w:val="2"/>
      <w:numFmt w:val="chineseCounting"/>
      <w:suff w:val="nothing"/>
      <w:lvlText w:val="（%1）"/>
      <w:lvlJc w:val="left"/>
      <w:rPr>
        <w:rFonts w:hint="eastAsia"/>
      </w:rPr>
    </w:lvl>
  </w:abstractNum>
  <w:abstractNum w:abstractNumId="2">
    <w:nsid w:val="3385111A"/>
    <w:multiLevelType w:val="singleLevel"/>
    <w:tmpl w:val="3385111A"/>
    <w:lvl w:ilvl="0" w:tentative="0">
      <w:start w:val="5"/>
      <w:numFmt w:val="chineseCounting"/>
      <w:suff w:val="nothing"/>
      <w:lvlText w:val="%1、"/>
      <w:lvlJc w:val="left"/>
      <w:rPr>
        <w:rFonts w:hint="eastAsia"/>
      </w:rPr>
    </w:lvl>
  </w:abstractNum>
  <w:abstractNum w:abstractNumId="3">
    <w:nsid w:val="53669824"/>
    <w:multiLevelType w:val="singleLevel"/>
    <w:tmpl w:val="53669824"/>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ZDM3NzRjZjUwMjNiODMyOWNkMWM2MzA1NWExMzQifQ=="/>
  </w:docVars>
  <w:rsids>
    <w:rsidRoot w:val="00000000"/>
    <w:rsid w:val="0DF04AD3"/>
    <w:rsid w:val="11D14280"/>
    <w:rsid w:val="1C917F80"/>
    <w:rsid w:val="1CE95489"/>
    <w:rsid w:val="1E9E3D55"/>
    <w:rsid w:val="20C53AB0"/>
    <w:rsid w:val="21E66758"/>
    <w:rsid w:val="35C366DA"/>
    <w:rsid w:val="41314E40"/>
    <w:rsid w:val="50707007"/>
    <w:rsid w:val="544D3B4C"/>
    <w:rsid w:val="5583158B"/>
    <w:rsid w:val="5697495F"/>
    <w:rsid w:val="57C04E4D"/>
    <w:rsid w:val="5DB619E8"/>
    <w:rsid w:val="666775B4"/>
    <w:rsid w:val="68F569C4"/>
    <w:rsid w:val="69990F25"/>
    <w:rsid w:val="6AA71161"/>
    <w:rsid w:val="6C422DE9"/>
    <w:rsid w:val="6C7517D5"/>
    <w:rsid w:val="6D4D0783"/>
    <w:rsid w:val="72361A07"/>
    <w:rsid w:val="79172326"/>
    <w:rsid w:val="7F6276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3"/>
      <w:szCs w:val="33"/>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7">
    <w:name w:val="font11"/>
    <w:basedOn w:val="5"/>
    <w:qFormat/>
    <w:uiPriority w:val="0"/>
    <w:rPr>
      <w:rFonts w:hint="default" w:ascii="方正小标宋简体" w:hAnsi="方正小标宋简体" w:eastAsia="方正小标宋简体" w:cs="方正小标宋简体"/>
      <w:color w:val="000000"/>
      <w:sz w:val="40"/>
      <w:szCs w:val="40"/>
      <w:u w:val="none"/>
    </w:rPr>
  </w:style>
  <w:style w:type="character" w:customStyle="1" w:styleId="8">
    <w:name w:val="font51"/>
    <w:basedOn w:val="5"/>
    <w:qFormat/>
    <w:uiPriority w:val="0"/>
    <w:rPr>
      <w:rFonts w:hint="default" w:ascii="方正小标宋简体" w:hAnsi="方正小标宋简体" w:eastAsia="方正小标宋简体" w:cs="方正小标宋简体"/>
      <w:color w:val="000000"/>
      <w:sz w:val="20"/>
      <w:szCs w:val="20"/>
      <w:u w:val="none"/>
    </w:rPr>
  </w:style>
  <w:style w:type="character" w:customStyle="1" w:styleId="9">
    <w:name w:val="font31"/>
    <w:basedOn w:val="5"/>
    <w:qFormat/>
    <w:uiPriority w:val="0"/>
    <w:rPr>
      <w:rFonts w:hint="eastAsia" w:ascii="宋体" w:hAnsi="宋体" w:eastAsia="宋体" w:cs="宋体"/>
      <w:color w:val="000000"/>
      <w:sz w:val="22"/>
      <w:szCs w:val="22"/>
      <w:u w:val="none"/>
    </w:rPr>
  </w:style>
  <w:style w:type="paragraph" w:styleId="10">
    <w:name w:val="List Paragraph"/>
    <w:basedOn w:val="1"/>
    <w:qFormat/>
    <w:uiPriority w:val="1"/>
    <w:pPr>
      <w:ind w:left="1079" w:hanging="309"/>
    </w:pPr>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1834</Words>
  <Characters>2039</Characters>
  <Lines>0</Lines>
  <Paragraphs>0</Paragraphs>
  <TotalTime>2</TotalTime>
  <ScaleCrop>false</ScaleCrop>
  <LinksUpToDate>false</LinksUpToDate>
  <CharactersWithSpaces>2184</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LD</dc:creator>
  <cp:lastModifiedBy>爱葸</cp:lastModifiedBy>
  <cp:lastPrinted>2023-04-17T02:57:00Z</cp:lastPrinted>
  <dcterms:modified xsi:type="dcterms:W3CDTF">2023-04-18T06:54:26Z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11F6E072C2454167AF4F2153E8E66D27</vt:lpwstr>
  </property>
</Properties>
</file>