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4"/>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425"/>
        <w:gridCol w:w="843"/>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居民自建房安全专项整治</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株洲市渌口区住房和城乡建设局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0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2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1.2022年6月30日前，完成经营性居民自建房排查工作。2.2022年8月31日前，完成非经营性居民自建房排查工作。3.2022年12月31日前，基本完成经营性自建房安全整治工作。</w:t>
            </w:r>
            <w:r>
              <w:rPr>
                <w:rFonts w:hint="default" w:ascii="Times New Roman" w:hAnsi="Times New Roman" w:eastAsia="仿宋_GB2312" w:cs="Times New Roman"/>
                <w:kern w:val="0"/>
                <w:sz w:val="21"/>
                <w:szCs w:val="21"/>
                <w:lang w:val="en-US" w:eastAsia="zh-CN" w:bidi="ar"/>
              </w:rPr>
              <w:t>　　</w:t>
            </w:r>
          </w:p>
        </w:tc>
        <w:tc>
          <w:tcPr>
            <w:tcW w:w="40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numPr>
                <w:ilvl w:val="0"/>
                <w:numId w:val="0"/>
              </w:numPr>
              <w:spacing w:line="600" w:lineRule="exact"/>
              <w:ind w:right="0" w:rightChars="0"/>
              <w:rPr>
                <w:rFonts w:hint="default" w:ascii="Times New Roman" w:hAnsi="Times New Roman" w:eastAsia="方正黑体_GBK" w:cs="Times New Roman"/>
                <w:sz w:val="32"/>
                <w:szCs w:val="32"/>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已完成预期目标。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完成自建房摸排</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77175栋</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录入自建房系统</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77175栋</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2022年8月31日前完成摸排</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2022年8月31日</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资金拨付</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2022年12月</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人员参与摸排</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检测、鉴定等专业机构，行业、企业技术人员和乡村建设工匠等参加自建房排查</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保障了自建房居民的人身和财产安全</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完成自建房排查</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eastAsia="仿宋_GB2312"/>
                <w:b w:val="0"/>
                <w:bCs w:val="0"/>
                <w:color w:val="000000"/>
                <w:kern w:val="0"/>
                <w:szCs w:val="21"/>
                <w:lang w:val="en-US" w:eastAsia="zh-CN"/>
              </w:rPr>
              <w:t>农村住房条件得到整体改善</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对存结构安全隐患房屋通过工程措施或管理措施进行整治</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消除安全隐患</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C、D级自建房通过工程措施或管理措施进行整治，结构安全隐患得到有效控制</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b w:val="0"/>
                <w:bCs w:val="0"/>
                <w:color w:val="000000"/>
                <w:kern w:val="0"/>
                <w:szCs w:val="21"/>
                <w:lang w:val="en-US" w:eastAsia="zh-CN"/>
              </w:rPr>
              <w:t>房屋</w:t>
            </w:r>
            <w:r>
              <w:rPr>
                <w:rFonts w:hint="eastAsia" w:eastAsia="仿宋_GB2312"/>
                <w:b w:val="0"/>
                <w:bCs w:val="0"/>
                <w:color w:val="000000"/>
                <w:kern w:val="0"/>
                <w:szCs w:val="21"/>
                <w:lang w:eastAsia="zh-CN"/>
              </w:rPr>
              <w:t>可持续使用</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对初判存在结构安全隐患房屋进行鉴定。</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村、社区居民满意度</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刘江</w:t>
      </w:r>
      <w:r>
        <w:rPr>
          <w:rFonts w:hint="default" w:ascii="Times New Roman" w:hAnsi="Times New Roman" w:eastAsia="仿宋_GB2312" w:cs="Times New Roman"/>
          <w:kern w:val="0"/>
          <w:sz w:val="21"/>
          <w:szCs w:val="21"/>
          <w:lang w:val="en-US" w:eastAsia="zh-CN" w:bidi="ar"/>
        </w:rPr>
        <w:t xml:space="preserve">    联系电话： </w:t>
      </w:r>
      <w:r>
        <w:rPr>
          <w:rFonts w:hint="eastAsia" w:ascii="Times New Roman" w:hAnsi="Times New Roman" w:eastAsia="仿宋_GB2312" w:cs="Times New Roman"/>
          <w:kern w:val="0"/>
          <w:sz w:val="21"/>
          <w:szCs w:val="21"/>
          <w:lang w:val="en-US" w:eastAsia="zh-CN" w:bidi="ar"/>
        </w:rPr>
        <w:t>18773356777</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2023.4.17</w:t>
      </w:r>
      <w:r>
        <w:rPr>
          <w:rFonts w:hint="default" w:ascii="Times New Roman" w:hAnsi="Times New Roman" w:eastAsia="仿宋_GB2312" w:cs="Times New Roman"/>
          <w:kern w:val="0"/>
          <w:sz w:val="21"/>
          <w:szCs w:val="21"/>
          <w:lang w:val="en-US" w:eastAsia="zh-CN" w:bidi="ar"/>
        </w:rPr>
        <w:t xml:space="preserve">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val="en-US" w:eastAsia="zh-CN"/>
        </w:rPr>
        <w:t>居民自建房安全专项整治</w:t>
      </w:r>
      <w:bookmarkStart w:id="0" w:name="_GoBack"/>
      <w:bookmarkEnd w:id="0"/>
      <w:r>
        <w:rPr>
          <w:rFonts w:hint="default" w:ascii="Times New Roman" w:hAnsi="Times New Roman" w:eastAsia="方正小标宋简体" w:cs="Times New Roman"/>
          <w:bCs/>
          <w:w w:val="95"/>
          <w:sz w:val="44"/>
          <w:szCs w:val="44"/>
          <w:lang w:eastAsia="zh-CN"/>
        </w:rPr>
        <w:t>项目支出</w:t>
      </w:r>
    </w:p>
    <w:p>
      <w:pPr>
        <w:pStyle w:val="3"/>
        <w:widowControl/>
        <w:autoSpaceDE w:val="0"/>
        <w:autoSpaceDN w:val="0"/>
        <w:spacing w:line="660" w:lineRule="exact"/>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Cs/>
          <w:w w:val="95"/>
          <w:sz w:val="44"/>
          <w:szCs w:val="44"/>
          <w:lang w:eastAsia="zh-CN"/>
        </w:rPr>
        <w:t>绩效自评报告</w:t>
      </w:r>
    </w:p>
    <w:p>
      <w:pPr>
        <w:pStyle w:val="7"/>
        <w:widowControl/>
        <w:spacing w:line="600" w:lineRule="exact"/>
        <w:ind w:left="0" w:firstLine="0"/>
        <w:rPr>
          <w:rFonts w:hint="default" w:ascii="Times New Roman" w:hAnsi="Times New Roman" w:eastAsia="仿宋" w:cs="Times New Roman"/>
          <w:bCs/>
          <w:sz w:val="32"/>
          <w:szCs w:val="32"/>
          <w:lang w:val="en-US"/>
        </w:rPr>
      </w:pPr>
    </w:p>
    <w:p>
      <w:pPr>
        <w:pStyle w:val="7"/>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 w:hAnsi="仿宋" w:eastAsia="仿宋"/>
          <w:sz w:val="32"/>
          <w:szCs w:val="32"/>
          <w:lang w:val="en-US" w:eastAsia="zh-CN"/>
        </w:rPr>
      </w:pPr>
      <w:r>
        <w:rPr>
          <w:rFonts w:hint="eastAsia" w:ascii="仿宋" w:hAnsi="仿宋" w:eastAsia="仿宋"/>
          <w:sz w:val="32"/>
          <w:szCs w:val="32"/>
          <w:lang w:val="en-US" w:eastAsia="zh-CN"/>
        </w:rPr>
        <w:t>根据《</w:t>
      </w:r>
      <w:r>
        <w:rPr>
          <w:rFonts w:hint="default" w:ascii="仿宋" w:hAnsi="仿宋" w:eastAsia="仿宋"/>
          <w:sz w:val="32"/>
          <w:szCs w:val="32"/>
          <w:lang w:val="en-US" w:eastAsia="zh-CN"/>
        </w:rPr>
        <w:t>株洲市渌口区财政局</w:t>
      </w:r>
      <w:r>
        <w:rPr>
          <w:rFonts w:hint="eastAsia" w:ascii="仿宋" w:hAnsi="仿宋" w:eastAsia="仿宋"/>
          <w:sz w:val="32"/>
          <w:szCs w:val="32"/>
          <w:lang w:val="en-US" w:eastAsia="zh-CN"/>
        </w:rPr>
        <w:t>关</w:t>
      </w:r>
      <w:r>
        <w:rPr>
          <w:rFonts w:hint="default" w:ascii="仿宋" w:hAnsi="仿宋" w:eastAsia="仿宋"/>
          <w:sz w:val="32"/>
          <w:szCs w:val="32"/>
          <w:lang w:val="en-US" w:eastAsia="zh-CN"/>
        </w:rPr>
        <w:t>于做好2022年度区本级财政资金及政府专项债券资金绩效自评工作的通知</w:t>
      </w:r>
      <w:r>
        <w:rPr>
          <w:rFonts w:hint="eastAsia" w:ascii="仿宋" w:hAnsi="仿宋" w:eastAsia="仿宋"/>
          <w:sz w:val="32"/>
          <w:szCs w:val="32"/>
          <w:lang w:val="en-US" w:eastAsia="zh-CN"/>
        </w:rPr>
        <w:t>》（</w:t>
      </w:r>
      <w:r>
        <w:rPr>
          <w:rFonts w:hint="default" w:ascii="仿宋" w:hAnsi="仿宋" w:eastAsia="仿宋"/>
          <w:sz w:val="32"/>
          <w:szCs w:val="32"/>
          <w:lang w:val="en-US" w:eastAsia="zh-CN"/>
        </w:rPr>
        <w:t>渌财通〔2023〕</w:t>
      </w:r>
      <w:r>
        <w:rPr>
          <w:rFonts w:hint="eastAsia" w:ascii="仿宋" w:hAnsi="仿宋" w:eastAsia="仿宋"/>
          <w:sz w:val="32"/>
          <w:szCs w:val="32"/>
          <w:lang w:val="en-US" w:eastAsia="zh-CN"/>
        </w:rPr>
        <w:t>6</w:t>
      </w:r>
      <w:r>
        <w:rPr>
          <w:rFonts w:hint="default" w:ascii="仿宋" w:hAnsi="仿宋" w:eastAsia="仿宋"/>
          <w:sz w:val="32"/>
          <w:szCs w:val="32"/>
          <w:lang w:val="en-US" w:eastAsia="zh-CN"/>
        </w:rPr>
        <w:t>号</w:t>
      </w:r>
      <w:r>
        <w:rPr>
          <w:rFonts w:hint="eastAsia" w:ascii="仿宋" w:hAnsi="仿宋" w:eastAsia="仿宋"/>
          <w:sz w:val="32"/>
          <w:szCs w:val="32"/>
          <w:lang w:val="en-US" w:eastAsia="zh-CN"/>
        </w:rPr>
        <w:t>），为贯彻落实全面实施绩效管理精神，强化部门预算绩效管理责任，进一步提高财政资源配置效率和资金使用效益，渌口区住房城乡建设局对绩效自评工作进行了责任细化，按照“谁使用、谁负责”的原则，明确绩效自评工作责任主体，从资金到位情况、执行情况，成效方面对项目资金开展绩效自评。</w:t>
      </w:r>
    </w:p>
    <w:p>
      <w:pPr>
        <w:pStyle w:val="7"/>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7"/>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576"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r>
        <w:rPr>
          <w:rFonts w:hint="eastAsia" w:ascii="仿宋" w:hAnsi="仿宋" w:eastAsia="仿宋"/>
          <w:sz w:val="32"/>
          <w:szCs w:val="32"/>
          <w:lang w:val="en-US" w:eastAsia="zh-CN"/>
        </w:rPr>
        <w:t>渌口区财政局2022年实际下达资金800000元。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r>
        <w:rPr>
          <w:rFonts w:hint="eastAsia" w:ascii="仿宋" w:hAnsi="仿宋" w:eastAsia="仿宋"/>
          <w:sz w:val="32"/>
          <w:szCs w:val="32"/>
          <w:lang w:val="en-US" w:eastAsia="zh-CN"/>
        </w:rPr>
        <w:t>2022年专项用于渌口区居民自建房安全隐患排查整治工作，项目资金使用完毕，执行率100%。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r>
        <w:rPr>
          <w:rFonts w:hint="eastAsia" w:ascii="仿宋" w:hAnsi="仿宋" w:eastAsia="仿宋"/>
          <w:sz w:val="32"/>
          <w:szCs w:val="32"/>
          <w:lang w:val="en-US" w:eastAsia="zh-CN"/>
        </w:rPr>
        <w:t>渌口区住房城乡建设局严格按《渌口区住房和城乡建设局财务管理制度》,严格执行资金拨付审批流程。</w:t>
      </w:r>
    </w:p>
    <w:p>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7"/>
        <w:widowControl/>
        <w:numPr>
          <w:ilvl w:val="0"/>
          <w:numId w:val="1"/>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default" w:ascii="Calibri" w:hAnsi="Calibri" w:cs="Calibri"/>
          <w:sz w:val="21"/>
          <w:szCs w:val="21"/>
          <w:u w:val="none"/>
        </w:rPr>
      </w:pPr>
      <w:r>
        <w:rPr>
          <w:rFonts w:hint="eastAsia" w:ascii="仿宋" w:hAnsi="仿宋" w:eastAsia="仿宋"/>
          <w:sz w:val="32"/>
          <w:szCs w:val="32"/>
        </w:rPr>
        <w:t>我区</w:t>
      </w:r>
      <w:r>
        <w:rPr>
          <w:rFonts w:hint="eastAsia" w:ascii="仿宋" w:hAnsi="仿宋" w:eastAsia="仿宋"/>
          <w:sz w:val="32"/>
          <w:szCs w:val="32"/>
          <w:lang w:val="en-US" w:eastAsia="zh-CN"/>
        </w:rPr>
        <w:t>完成</w:t>
      </w:r>
      <w:r>
        <w:rPr>
          <w:rFonts w:hint="eastAsia" w:ascii="仿宋" w:hAnsi="仿宋" w:eastAsia="仿宋"/>
          <w:sz w:val="32"/>
          <w:szCs w:val="32"/>
        </w:rPr>
        <w:t>77175栋自建房</w:t>
      </w:r>
      <w:r>
        <w:rPr>
          <w:rFonts w:hint="eastAsia" w:ascii="仿宋" w:hAnsi="仿宋" w:eastAsia="仿宋"/>
          <w:sz w:val="32"/>
          <w:szCs w:val="32"/>
          <w:lang w:val="en-US" w:eastAsia="zh-CN"/>
        </w:rPr>
        <w:t>排查工作</w:t>
      </w:r>
      <w:r>
        <w:rPr>
          <w:rFonts w:hint="eastAsia" w:ascii="仿宋" w:hAnsi="仿宋" w:eastAsia="仿宋"/>
          <w:sz w:val="32"/>
          <w:szCs w:val="32"/>
        </w:rPr>
        <w:t>，其中经营性自建房2166栋，非经营性自建房75009栋，</w:t>
      </w:r>
      <w:r>
        <w:rPr>
          <w:rFonts w:hint="eastAsia" w:ascii="仿宋" w:hAnsi="仿宋" w:eastAsia="仿宋"/>
          <w:sz w:val="32"/>
          <w:szCs w:val="32"/>
          <w:lang w:val="en-US" w:eastAsia="zh-CN"/>
        </w:rPr>
        <w:t>为居民自建房安全隐患排查整治工作提供专项资金经费保障。</w:t>
      </w:r>
    </w:p>
    <w:p>
      <w:pPr>
        <w:pStyle w:val="7"/>
        <w:widowControl/>
        <w:numPr>
          <w:ilvl w:val="0"/>
          <w:numId w:val="1"/>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确保农村居民自建房屋基本安全。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仿宋" w:hAnsi="仿宋" w:eastAsia="仿宋"/>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r>
        <w:rPr>
          <w:rFonts w:hint="eastAsia" w:ascii="Times New Roman" w:hAnsi="Times New Roman" w:eastAsia="仿宋_GB2312" w:cs="Times New Roman"/>
          <w:sz w:val="32"/>
          <w:szCs w:val="32"/>
          <w:lang w:val="en-US" w:eastAsia="zh-CN"/>
        </w:rPr>
        <w:t>根据市自建房整治办相关工作要求，给予乡镇5元/栋的奖励，</w:t>
      </w:r>
      <w:r>
        <w:rPr>
          <w:rFonts w:hint="eastAsia" w:ascii="仿宋" w:hAnsi="仿宋" w:eastAsia="仿宋"/>
          <w:sz w:val="32"/>
          <w:szCs w:val="32"/>
          <w:lang w:val="en-US" w:eastAsia="zh-CN"/>
        </w:rPr>
        <w:t>及时拨付各镇自建房安全隐患排查工作经费，服务对象对资金拨付及时性满意度100%。</w:t>
      </w:r>
    </w:p>
    <w:p>
      <w:pPr>
        <w:pStyle w:val="7"/>
        <w:widowControl/>
        <w:numPr>
          <w:ilvl w:val="0"/>
          <w:numId w:val="2"/>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7"/>
        <w:widowControl/>
        <w:numPr>
          <w:ilvl w:val="0"/>
          <w:numId w:val="0"/>
        </w:numPr>
        <w:spacing w:line="600" w:lineRule="exact"/>
        <w:ind w:right="0" w:righ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已完成预期目标。</w:t>
      </w:r>
    </w:p>
    <w:p>
      <w:pPr>
        <w:pStyle w:val="7"/>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widowControl/>
        <w:spacing w:line="560" w:lineRule="exact"/>
        <w:ind w:firstLine="640" w:firstLineChars="200"/>
        <w:jc w:val="left"/>
        <w:rPr>
          <w:rFonts w:ascii="仿宋" w:hAnsi="仿宋" w:eastAsia="仿宋" w:cs="仿宋_GB2312"/>
          <w:kern w:val="0"/>
          <w:sz w:val="32"/>
          <w:szCs w:val="32"/>
        </w:rPr>
      </w:pPr>
      <w:r>
        <w:rPr>
          <w:rFonts w:hint="eastAsia" w:ascii="Times New Roman" w:hAnsi="Times New Roman" w:eastAsia="仿宋_GB2312" w:cs="Times New Roman"/>
          <w:sz w:val="32"/>
          <w:szCs w:val="32"/>
          <w:lang w:val="en-US" w:eastAsia="zh-CN"/>
        </w:rPr>
        <w:t>渌口区住房城乡建设局将在规定时间内在政府网站公开项目绩效自评报告及项目自评表，并接受社会监督。</w:t>
      </w:r>
      <w:r>
        <w:rPr>
          <w:rFonts w:hint="eastAsia" w:ascii="Times New Roman" w:hAnsi="Times New Roman" w:eastAsia="仿宋_GB2312" w:cs="Times New Roman"/>
          <w:sz w:val="32"/>
          <w:szCs w:val="32"/>
          <w:lang w:val="en-US" w:eastAsia="zh-CN"/>
        </w:rPr>
        <w:t>同时将本次绩效自评的成果应用在已后工作中。</w:t>
      </w:r>
      <w:r>
        <w:rPr>
          <w:rFonts w:hint="eastAsia" w:ascii="仿宋" w:hAnsi="仿宋" w:eastAsia="仿宋" w:cs="仿宋_GB2312"/>
          <w:kern w:val="0"/>
          <w:sz w:val="32"/>
          <w:szCs w:val="32"/>
        </w:rPr>
        <w:t>综上所述，项目总体自评分为“</w:t>
      </w:r>
      <w:r>
        <w:rPr>
          <w:rFonts w:hint="eastAsia" w:ascii="仿宋" w:hAnsi="仿宋" w:eastAsia="仿宋" w:cs="仿宋_GB2312"/>
          <w:kern w:val="0"/>
          <w:sz w:val="32"/>
          <w:szCs w:val="32"/>
          <w:lang w:val="en-US" w:eastAsia="zh-CN"/>
        </w:rPr>
        <w:t>100</w:t>
      </w:r>
      <w:r>
        <w:rPr>
          <w:rFonts w:hint="eastAsia" w:ascii="仿宋" w:hAnsi="仿宋" w:eastAsia="仿宋" w:cs="仿宋_GB2312"/>
          <w:kern w:val="0"/>
          <w:sz w:val="32"/>
          <w:szCs w:val="32"/>
        </w:rPr>
        <w:t>分”，自评级别为优。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Times New Roman" w:hAnsi="Times New Roman" w:eastAsia="仿宋_GB2312"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spacing w:line="58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附件5 </w:t>
      </w:r>
    </w:p>
    <w:p>
      <w:pPr>
        <w:spacing w:line="580" w:lineRule="exact"/>
        <w:rPr>
          <w:rFonts w:hint="default" w:ascii="Times New Roman" w:hAnsi="Times New Roman" w:eastAsia="黑体" w:cs="Times New Roman"/>
          <w:color w:val="000000"/>
          <w:sz w:val="32"/>
          <w:szCs w:val="32"/>
        </w:rPr>
      </w:pPr>
    </w:p>
    <w:p>
      <w:pPr>
        <w:spacing w:line="440" w:lineRule="exact"/>
        <w:jc w:val="center"/>
        <w:rPr>
          <w:rFonts w:hint="default" w:ascii="Times New Roman" w:hAnsi="Times New Roman" w:eastAsia="方正小标宋简体" w:cs="Times New Roman"/>
          <w:bCs/>
          <w:w w:val="95"/>
          <w:kern w:val="2"/>
          <w:sz w:val="44"/>
          <w:szCs w:val="44"/>
          <w:lang w:val="en-US" w:eastAsia="zh-CN" w:bidi="ar"/>
        </w:rPr>
      </w:pPr>
      <w:r>
        <w:rPr>
          <w:rFonts w:hint="default" w:ascii="Times New Roman" w:hAnsi="Times New Roman" w:eastAsia="方正小标宋简体" w:cs="Times New Roman"/>
          <w:bCs/>
          <w:w w:val="95"/>
          <w:kern w:val="2"/>
          <w:sz w:val="44"/>
          <w:szCs w:val="44"/>
          <w:lang w:val="en-US" w:eastAsia="zh-CN" w:bidi="ar"/>
        </w:rPr>
        <w:t>渌口区2022年政府专项债券项目绩效自评表</w:t>
      </w:r>
    </w:p>
    <w:p>
      <w:pPr>
        <w:spacing w:line="440" w:lineRule="exact"/>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填报单位（盖章）：</w:t>
      </w:r>
    </w:p>
    <w:tbl>
      <w:tblPr>
        <w:tblStyle w:val="4"/>
        <w:tblW w:w="10080" w:type="dxa"/>
        <w:jc w:val="center"/>
        <w:tblLayout w:type="fixed"/>
        <w:tblCellMar>
          <w:top w:w="0" w:type="dxa"/>
          <w:left w:w="108" w:type="dxa"/>
          <w:bottom w:w="0" w:type="dxa"/>
          <w:right w:w="108" w:type="dxa"/>
        </w:tblCellMar>
      </w:tblPr>
      <w:tblGrid>
        <w:gridCol w:w="724"/>
        <w:gridCol w:w="425"/>
        <w:gridCol w:w="426"/>
        <w:gridCol w:w="1134"/>
        <w:gridCol w:w="708"/>
        <w:gridCol w:w="1418"/>
        <w:gridCol w:w="850"/>
        <w:gridCol w:w="851"/>
        <w:gridCol w:w="425"/>
        <w:gridCol w:w="291"/>
        <w:gridCol w:w="701"/>
        <w:gridCol w:w="142"/>
        <w:gridCol w:w="1276"/>
        <w:gridCol w:w="709"/>
      </w:tblGrid>
      <w:tr>
        <w:tblPrEx>
          <w:tblCellMar>
            <w:top w:w="0" w:type="dxa"/>
            <w:left w:w="108" w:type="dxa"/>
            <w:bottom w:w="0" w:type="dxa"/>
            <w:right w:w="108" w:type="dxa"/>
          </w:tblCellMar>
        </w:tblPrEx>
        <w:trPr>
          <w:trHeight w:val="375"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项目名称</w:t>
            </w:r>
          </w:p>
        </w:tc>
        <w:tc>
          <w:tcPr>
            <w:tcW w:w="3686" w:type="dxa"/>
            <w:gridSpan w:val="4"/>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6" w:type="dxa"/>
            <w:gridSpan w:val="3"/>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实施期限</w:t>
            </w:r>
          </w:p>
        </w:tc>
        <w:tc>
          <w:tcPr>
            <w:tcW w:w="3119" w:type="dxa"/>
            <w:gridSpan w:val="5"/>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300" w:hRule="atLeast"/>
          <w:jc w:val="center"/>
        </w:trPr>
        <w:tc>
          <w:tcPr>
            <w:tcW w:w="114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3686" w:type="dxa"/>
            <w:gridSpan w:val="4"/>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6"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w:t>
            </w:r>
          </w:p>
        </w:tc>
        <w:tc>
          <w:tcPr>
            <w:tcW w:w="3119" w:type="dxa"/>
            <w:gridSpan w:val="5"/>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99" w:hRule="atLeast"/>
          <w:jc w:val="center"/>
        </w:trPr>
        <w:tc>
          <w:tcPr>
            <w:tcW w:w="1149" w:type="dxa"/>
            <w:gridSpan w:val="2"/>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项目资金</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2268"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预算数</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执行数</w:t>
            </w:r>
          </w:p>
        </w:tc>
        <w:tc>
          <w:tcPr>
            <w:tcW w:w="992"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1418"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执行率</w:t>
            </w:r>
          </w:p>
        </w:tc>
        <w:tc>
          <w:tcPr>
            <w:tcW w:w="7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68"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年度资金总额</w:t>
            </w: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2"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418"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8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68"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其中：债券资金</w:t>
            </w: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2"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418"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68"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xml:space="preserve">      其他资金</w:t>
            </w: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2126" w:type="dxa"/>
            <w:gridSpan w:val="3"/>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992"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418"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r>
      <w:tr>
        <w:tblPrEx>
          <w:tblCellMar>
            <w:top w:w="0" w:type="dxa"/>
            <w:left w:w="108" w:type="dxa"/>
            <w:bottom w:w="0" w:type="dxa"/>
            <w:right w:w="108" w:type="dxa"/>
          </w:tblCellMar>
        </w:tblPrEx>
        <w:trPr>
          <w:trHeight w:val="300" w:hRule="atLeast"/>
          <w:jc w:val="center"/>
        </w:trPr>
        <w:tc>
          <w:tcPr>
            <w:tcW w:w="1149"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268" w:type="dxa"/>
            <w:gridSpan w:val="3"/>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418"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2126" w:type="dxa"/>
            <w:gridSpan w:val="3"/>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992"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709"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825" w:hRule="atLeast"/>
          <w:jc w:val="center"/>
        </w:trPr>
        <w:tc>
          <w:tcPr>
            <w:tcW w:w="72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项目总体目标</w:t>
            </w:r>
          </w:p>
        </w:tc>
        <w:tc>
          <w:tcPr>
            <w:tcW w:w="9356" w:type="dxa"/>
            <w:gridSpan w:val="13"/>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466"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noWrap w:val="0"/>
            <w:textDirection w:val="tbRlV"/>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绩效指标</w:t>
            </w:r>
          </w:p>
        </w:tc>
        <w:tc>
          <w:tcPr>
            <w:tcW w:w="851" w:type="dxa"/>
            <w:gridSpan w:val="2"/>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rPr>
              <w:t>一级</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w:t>
            </w:r>
          </w:p>
        </w:tc>
        <w:tc>
          <w:tcPr>
            <w:tcW w:w="1134"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项目指标值</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分值</w:t>
            </w: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偏差原因分析</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及改进措施</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决策</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项目立项</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绩效目标</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资金投入</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过程</w:t>
            </w:r>
          </w:p>
          <w:p>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Times New Roman"/>
                <w:color w:val="000000"/>
                <w:kern w:val="0"/>
                <w:sz w:val="20"/>
                <w:szCs w:val="20"/>
                <w:lang w:eastAsia="zh-CN"/>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资金管理</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项目实施</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风险控制</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指标2:</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w:t>
            </w: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产出数量</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产出质量</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34" w:type="dxa"/>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产出时效</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3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34" w:type="dxa"/>
            <w:vMerge w:val="restart"/>
            <w:tcBorders>
              <w:top w:val="nil"/>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产出成本</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113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效益</w:t>
            </w:r>
          </w:p>
        </w:tc>
        <w:tc>
          <w:tcPr>
            <w:tcW w:w="1134" w:type="dxa"/>
            <w:vMerge w:val="restart"/>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lang w:eastAsia="zh-CN"/>
              </w:rPr>
            </w:pPr>
            <w:r>
              <w:rPr>
                <w:rFonts w:hint="default" w:ascii="Times New Roman" w:hAnsi="Times New Roman" w:eastAsia="仿宋_GB2312" w:cs="Times New Roman"/>
                <w:color w:val="000000"/>
                <w:kern w:val="0"/>
                <w:sz w:val="20"/>
                <w:szCs w:val="20"/>
                <w:lang w:eastAsia="zh-CN"/>
              </w:rPr>
              <w:t>项目效益</w:t>
            </w: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指标1: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指标2:</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72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13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2126"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0" w:type="dxa"/>
            <w:tcBorders>
              <w:top w:val="nil"/>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259" w:hRule="atLeast"/>
          <w:jc w:val="center"/>
        </w:trPr>
        <w:tc>
          <w:tcPr>
            <w:tcW w:w="6536" w:type="dxa"/>
            <w:gridSpan w:val="8"/>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bCs/>
                <w:color w:val="000000"/>
                <w:kern w:val="0"/>
                <w:sz w:val="20"/>
                <w:szCs w:val="20"/>
              </w:rPr>
              <w:t>总分</w:t>
            </w:r>
          </w:p>
        </w:tc>
        <w:tc>
          <w:tcPr>
            <w:tcW w:w="716" w:type="dxa"/>
            <w:gridSpan w:val="2"/>
            <w:tcBorders>
              <w:top w:val="single" w:color="auto" w:sz="4" w:space="0"/>
              <w:left w:val="nil"/>
              <w:bottom w:val="single" w:color="auto" w:sz="4" w:space="0"/>
              <w:right w:val="single" w:color="auto" w:sz="4" w:space="0"/>
            </w:tcBorders>
            <w:shd w:val="clear" w:color="auto" w:fill="auto"/>
            <w:noWrap w:val="0"/>
            <w:vAlign w:val="top"/>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843" w:type="dxa"/>
            <w:gridSpan w:val="2"/>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p>
        </w:tc>
        <w:tc>
          <w:tcPr>
            <w:tcW w:w="1985"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p>
        </w:tc>
      </w:tr>
    </w:tbl>
    <w:p>
      <w:pPr>
        <w:widowControl/>
        <w:jc w:val="left"/>
        <w:rPr>
          <w:rFonts w:hint="default" w:ascii="Times New Roman" w:hAnsi="Times New Roman" w:eastAsia="仿宋_GB2312" w:cs="Times New Roman"/>
          <w:color w:val="000000"/>
          <w:kern w:val="0"/>
          <w:sz w:val="20"/>
          <w:szCs w:val="20"/>
        </w:rPr>
        <w:sectPr>
          <w:pgSz w:w="11906" w:h="16838"/>
          <w:pgMar w:top="1588" w:right="1418" w:bottom="1531" w:left="1588" w:header="851" w:footer="992" w:gutter="0"/>
          <w:pgNumType w:fmt="numberInDash"/>
          <w:cols w:space="425" w:num="1"/>
          <w:docGrid w:type="lines" w:linePitch="312" w:charSpace="0"/>
        </w:sectPr>
      </w:pPr>
      <w:r>
        <w:rPr>
          <w:rFonts w:hint="default" w:ascii="Times New Roman" w:hAnsi="Times New Roman" w:eastAsia="仿宋_GB2312" w:cs="Times New Roman"/>
          <w:color w:val="000000"/>
          <w:kern w:val="0"/>
          <w:sz w:val="20"/>
          <w:szCs w:val="20"/>
        </w:rPr>
        <w:t>填报人：              联系电话：            填报日期：             单位负责人签字：</w:t>
      </w:r>
    </w:p>
    <w:p>
      <w:pPr>
        <w:widowControl/>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附件6</w:t>
      </w:r>
    </w:p>
    <w:p>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政府专项债券项目绩效评价指标体系框架（参考）</w:t>
      </w:r>
    </w:p>
    <w:tbl>
      <w:tblPr>
        <w:tblStyle w:val="4"/>
        <w:tblW w:w="15581" w:type="dxa"/>
        <w:jc w:val="center"/>
        <w:tblLayout w:type="fixed"/>
        <w:tblCellMar>
          <w:top w:w="0" w:type="dxa"/>
          <w:left w:w="108" w:type="dxa"/>
          <w:bottom w:w="0" w:type="dxa"/>
          <w:right w:w="108" w:type="dxa"/>
        </w:tblCellMar>
      </w:tblPr>
      <w:tblGrid>
        <w:gridCol w:w="1135"/>
        <w:gridCol w:w="1134"/>
        <w:gridCol w:w="1134"/>
        <w:gridCol w:w="4386"/>
        <w:gridCol w:w="7792"/>
      </w:tblGrid>
      <w:tr>
        <w:tblPrEx>
          <w:tblCellMar>
            <w:top w:w="0" w:type="dxa"/>
            <w:left w:w="108" w:type="dxa"/>
            <w:bottom w:w="0" w:type="dxa"/>
            <w:right w:w="108" w:type="dxa"/>
          </w:tblCellMar>
        </w:tblPrEx>
        <w:trPr>
          <w:tblHeader/>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一级指标</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二级指标</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三级指标</w:t>
            </w:r>
          </w:p>
        </w:tc>
        <w:tc>
          <w:tcPr>
            <w:tcW w:w="43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指标解释</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b/>
                <w:color w:val="000000"/>
                <w:kern w:val="0"/>
                <w:szCs w:val="21"/>
              </w:rPr>
            </w:pPr>
            <w:r>
              <w:rPr>
                <w:rFonts w:hint="default" w:ascii="Times New Roman" w:hAnsi="Times New Roman" w:eastAsia="仿宋_GB2312" w:cs="Times New Roman"/>
                <w:b/>
                <w:color w:val="000000"/>
                <w:kern w:val="0"/>
                <w:szCs w:val="21"/>
              </w:rPr>
              <w:t>指标说明</w:t>
            </w:r>
          </w:p>
        </w:tc>
      </w:tr>
      <w:tr>
        <w:tblPrEx>
          <w:tblCellMar>
            <w:top w:w="0" w:type="dxa"/>
            <w:left w:w="108" w:type="dxa"/>
            <w:bottom w:w="0" w:type="dxa"/>
            <w:right w:w="108" w:type="dxa"/>
          </w:tblCellMar>
        </w:tblPrEx>
        <w:trPr>
          <w:trHeight w:val="90" w:hRule="atLeast"/>
          <w:jc w:val="center"/>
        </w:trPr>
        <w:tc>
          <w:tcPr>
            <w:tcW w:w="1135" w:type="dxa"/>
            <w:vMerge w:val="restart"/>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决策</w:t>
            </w:r>
          </w:p>
        </w:tc>
        <w:tc>
          <w:tcPr>
            <w:tcW w:w="1134" w:type="dxa"/>
            <w:vMerge w:val="restart"/>
            <w:tcBorders>
              <w:left w:val="single" w:color="auto" w:sz="4" w:space="0"/>
              <w:bottom w:val="nil"/>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项目立项</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项目储备</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项目清单是否有益于项目遴选，用以反映和考核项目立项是否有迫切的现实需要和确定的服务对象。</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numPr>
                <w:ilvl w:val="0"/>
                <w:numId w:val="3"/>
              </w:numPr>
              <w:suppressLineNumbers w:val="0"/>
              <w:spacing w:before="0" w:beforeAutospacing="0" w:after="0" w:afterAutospacing="0" w:line="360" w:lineRule="exact"/>
              <w:ind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是否建立项目清单；</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项目清单是否按有关规定进行动态管理；</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入库项目“一案两书”编制情况。</w:t>
            </w:r>
          </w:p>
        </w:tc>
      </w:tr>
      <w:tr>
        <w:tblPrEx>
          <w:tblCellMar>
            <w:top w:w="0" w:type="dxa"/>
            <w:left w:w="108" w:type="dxa"/>
            <w:bottom w:w="0" w:type="dxa"/>
            <w:right w:w="108" w:type="dxa"/>
          </w:tblCellMar>
        </w:tblPrEx>
        <w:trPr>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vMerge w:val="continue"/>
            <w:tcBorders>
              <w:left w:val="single" w:color="auto" w:sz="4" w:space="0"/>
              <w:bottom w:val="nil"/>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立项依据</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充分性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项目立项是否符合法律法规、相关政策；是否与主管部门职能、规划及年度重点工作相关等，用以反映和考核项目立项依据情况。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项目立项是否符合国家法律法规、行业发展政策、省委省政府决策部署；</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项目立项是否严格界定政府与市场的行为边界；</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项目预期收入、成本测算及测算依据是否充分可能；</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项目投入产出比是否合理，经济社会生态效益是否明显；</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⑤</w:t>
            </w:r>
            <w:r>
              <w:rPr>
                <w:rFonts w:hint="default" w:ascii="Times New Roman" w:hAnsi="Times New Roman" w:eastAsia="仿宋_GB2312" w:cs="Times New Roman"/>
                <w:color w:val="000000"/>
                <w:kern w:val="0"/>
                <w:szCs w:val="21"/>
              </w:rPr>
              <w:t>项目投资估算和实施方案是否合理可行。</w:t>
            </w:r>
          </w:p>
        </w:tc>
      </w:tr>
      <w:tr>
        <w:tblPrEx>
          <w:tblCellMar>
            <w:top w:w="0" w:type="dxa"/>
            <w:left w:w="108" w:type="dxa"/>
            <w:bottom w:w="0" w:type="dxa"/>
            <w:right w:w="108" w:type="dxa"/>
          </w:tblCellMar>
        </w:tblPrEx>
        <w:trPr>
          <w:trHeight w:val="2430"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立项程序</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规范性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项目申请、设立过程是否符合相关规定和要求，用以反映和考核项目立项的规范情况。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是否按照规定的程序申报审批；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是否经过了事前绩效评估；</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审批文件、手续是否符合相关要求。</w:t>
            </w:r>
          </w:p>
        </w:tc>
      </w:tr>
      <w:tr>
        <w:tblPrEx>
          <w:tblCellMar>
            <w:top w:w="0" w:type="dxa"/>
            <w:left w:w="108" w:type="dxa"/>
            <w:bottom w:w="0" w:type="dxa"/>
            <w:right w:w="108" w:type="dxa"/>
          </w:tblCellMar>
        </w:tblPrEx>
        <w:trPr>
          <w:trHeight w:val="1785"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p>
        </w:tc>
        <w:tc>
          <w:tcPr>
            <w:tcW w:w="1134" w:type="dxa"/>
            <w:tcBorders>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绩效目标</w:t>
            </w:r>
          </w:p>
        </w:tc>
        <w:tc>
          <w:tcPr>
            <w:tcW w:w="1134" w:type="dxa"/>
            <w:tcBorders>
              <w:top w:val="nil"/>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绩效目标</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合理性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项目所设定的绩效目标是否依据充分，是否符合客观实际，用以反映和考核项目绩效目标与项目实施的相符情况。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项目是否有绩效目标；</w:t>
            </w:r>
          </w:p>
          <w:p>
            <w:pPr>
              <w:keepNext w:val="0"/>
              <w:keepLines w:val="0"/>
              <w:widowControl/>
              <w:suppressLineNumbers w:val="0"/>
              <w:spacing w:before="0" w:beforeAutospacing="0" w:after="0" w:afterAutospacing="0" w:line="36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项目绩效目标与实际工作内容是否具有相关性；</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项目预期产出和效益是否符合正常的业绩水平；</w:t>
            </w:r>
          </w:p>
          <w:p>
            <w:pPr>
              <w:keepNext w:val="0"/>
              <w:keepLines w:val="0"/>
              <w:widowControl/>
              <w:suppressLineNumbers w:val="0"/>
              <w:spacing w:before="0" w:beforeAutospacing="0" w:after="0" w:afterAutospacing="0" w:line="3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是否与预算确定的项目投资额或资金量相匹配。</w:t>
            </w:r>
          </w:p>
        </w:tc>
      </w:tr>
      <w:tr>
        <w:tblPrEx>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决策</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绩效指标</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明确性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依据绩效目标设定的绩效指标是否清晰、细化、可衡量等，用以反映和考核项目绩效目标的明细化情况。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是否将项目绩效目标细化分解为具体的绩效指标；</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是否通过清晰、可衡量的指标值予以体现；</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是否与项目目标任务数或计划数相对应。</w:t>
            </w:r>
          </w:p>
        </w:tc>
      </w:tr>
      <w:tr>
        <w:tblPrEx>
          <w:tblCellMar>
            <w:top w:w="0" w:type="dxa"/>
            <w:left w:w="108" w:type="dxa"/>
            <w:bottom w:w="0" w:type="dxa"/>
            <w:right w:w="108" w:type="dxa"/>
          </w:tblCellMar>
        </w:tblPrEx>
        <w:trPr>
          <w:trHeight w:val="1741"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资金投入</w:t>
            </w:r>
          </w:p>
          <w:p>
            <w:pPr>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预算编制</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科学性</w:t>
            </w:r>
          </w:p>
        </w:tc>
        <w:tc>
          <w:tcPr>
            <w:tcW w:w="438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项目预算编制是否经过科学论证、有明确标准，资金额度与项目目标是否相适应，用以反映和考核项目预算编制的科学性、合理性情况。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预算编制是否经过科学论证；</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预算内容与项目内容是否匹配；</w:t>
            </w:r>
          </w:p>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预算额度测算依据是否充分，是否按照标准编制；</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成本测算是否充分，预算确定的项目投资额或资金量是否与项目任务相匹配。</w:t>
            </w:r>
          </w:p>
        </w:tc>
      </w:tr>
      <w:tr>
        <w:tblPrEx>
          <w:tblCellMar>
            <w:top w:w="0" w:type="dxa"/>
            <w:left w:w="108" w:type="dxa"/>
            <w:bottom w:w="0" w:type="dxa"/>
            <w:right w:w="108" w:type="dxa"/>
          </w:tblCellMar>
        </w:tblPrEx>
        <w:trPr>
          <w:trHeight w:val="1205"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过程</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资金管理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到位率</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实际到位资金与预算资金的比率，用以反映和考核资金落实情况对项目实施的总体保障程度。</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资金到位率=（实际到位资金/预算资金）×100%。</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实际到位资金：一定时期（本年度或项目期）内落实到具体项目的资金。</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预算资金：一定时期（本年度或项目期）内预算安排到具体项目的资金。</w:t>
            </w:r>
          </w:p>
        </w:tc>
      </w:tr>
      <w:tr>
        <w:tblPrEx>
          <w:tblCellMar>
            <w:top w:w="0" w:type="dxa"/>
            <w:left w:w="108" w:type="dxa"/>
            <w:bottom w:w="0" w:type="dxa"/>
            <w:right w:w="108" w:type="dxa"/>
          </w:tblCellMar>
        </w:tblPrEx>
        <w:trPr>
          <w:trHeight w:val="1465"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执行率</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项目预算资金是否按照计划执行，用以反映或考核项目预算执行情况。</w:t>
            </w:r>
          </w:p>
        </w:tc>
        <w:tc>
          <w:tcPr>
            <w:tcW w:w="7792"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预算执行率=（实际支出资金/实际到位资金）×100%。</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实际支出资金：一定时期（本年度或项目期）内项目实际拨付的资金。</w:t>
            </w:r>
          </w:p>
        </w:tc>
      </w:tr>
      <w:tr>
        <w:tblPrEx>
          <w:tblCellMar>
            <w:top w:w="0" w:type="dxa"/>
            <w:left w:w="108" w:type="dxa"/>
            <w:bottom w:w="0" w:type="dxa"/>
            <w:right w:w="108" w:type="dxa"/>
          </w:tblCellMar>
        </w:tblPrEx>
        <w:trPr>
          <w:trHeight w:val="204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资金使用</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合规性</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是否制定了资金财务管理制度，项目资金使用是否符合相关的资金财务管理制度规定，用以反映和考核项目资金的规范运行情况。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是否制定了具体的资金财务管理办法</w:t>
            </w:r>
          </w:p>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是否符合国家财经法规和财务管理制度以及有关债券资金管理的规定；</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资金的拨付是否有完整的审批程序和手续；</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是否符合项目预算批复或合同规定的用途；</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⑤</w:t>
            </w:r>
            <w:r>
              <w:rPr>
                <w:rFonts w:hint="default" w:ascii="Times New Roman" w:hAnsi="Times New Roman" w:eastAsia="仿宋_GB2312" w:cs="Times New Roman"/>
                <w:color w:val="000000"/>
                <w:kern w:val="0"/>
                <w:szCs w:val="21"/>
              </w:rPr>
              <w:t>是否存在截留、挤占、挪用、虚列支出等情况。</w:t>
            </w:r>
          </w:p>
        </w:tc>
      </w:tr>
      <w:tr>
        <w:tblPrEx>
          <w:tblCellMar>
            <w:top w:w="0" w:type="dxa"/>
            <w:left w:w="108" w:type="dxa"/>
            <w:bottom w:w="0" w:type="dxa"/>
            <w:right w:w="108" w:type="dxa"/>
          </w:tblCellMar>
        </w:tblPrEx>
        <w:trPr>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还本付息</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用以反映和考核偿债来源的真实有效性和债券期限与项目期限的匹配性，防范期限错配风险。</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是否准确编制了项目还本付息计划和落实还本付息资金情况；</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按照转贷协议约定,及时缴纳项目应当承担的利息情况；</w:t>
            </w:r>
          </w:p>
          <w:p>
            <w:pPr>
              <w:keepNext w:val="0"/>
              <w:keepLines w:val="0"/>
              <w:widowControl/>
              <w:numPr>
                <w:ilvl w:val="0"/>
                <w:numId w:val="3"/>
              </w:numPr>
              <w:suppressLineNumbers w:val="0"/>
              <w:spacing w:before="0" w:beforeAutospacing="0" w:after="0" w:afterAutospacing="0" w:line="320" w:lineRule="exact"/>
              <w:ind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否存在使用其他项目对应的项目收益错项偿还到期债券本息情况。</w:t>
            </w:r>
          </w:p>
        </w:tc>
      </w:tr>
      <w:tr>
        <w:tblPrEx>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过程</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管理制度</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建设</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项目建设、运营、资产管理等环节的管理制度建设情况，用以反映和考核管理制度对项目顺利实施的保障情况。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是否建立项目建设、运营、资产管理等环节的管理制度；</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相关管理制度是否合规、完整。</w:t>
            </w:r>
          </w:p>
        </w:tc>
      </w:tr>
      <w:tr>
        <w:tblPrEx>
          <w:tblCellMar>
            <w:top w:w="0" w:type="dxa"/>
            <w:left w:w="108" w:type="dxa"/>
            <w:bottom w:w="0" w:type="dxa"/>
            <w:right w:w="108" w:type="dxa"/>
          </w:tblCellMar>
        </w:tblPrEx>
        <w:trPr>
          <w:trHeight w:val="1765"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项目质量</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控制</w:t>
            </w:r>
          </w:p>
        </w:tc>
        <w:tc>
          <w:tcPr>
            <w:tcW w:w="43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项目是否按实施计划执行，是否进行项目调整，是否有相应的质量标准要求。用以反映和考核对项目质量的控制。</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是否编制科学合理的项目实施计划；</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是否制定相应的项目质量标准和项目竣工验收等质量控制制度、措施；</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项目调整审批手续是否完备；</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④</w:t>
            </w:r>
            <w:r>
              <w:rPr>
                <w:rFonts w:hint="default" w:ascii="Times New Roman" w:hAnsi="Times New Roman" w:eastAsia="仿宋_GB2312" w:cs="Times New Roman"/>
                <w:color w:val="000000"/>
                <w:kern w:val="0"/>
                <w:szCs w:val="21"/>
              </w:rPr>
              <w:t>项目调整导致的资金差额是否作了合理安排。</w:t>
            </w:r>
          </w:p>
        </w:tc>
      </w:tr>
      <w:tr>
        <w:tblPrEx>
          <w:tblCellMar>
            <w:top w:w="0" w:type="dxa"/>
            <w:left w:w="108" w:type="dxa"/>
            <w:bottom w:w="0" w:type="dxa"/>
            <w:right w:w="108" w:type="dxa"/>
          </w:tblCellMar>
        </w:tblPrEx>
        <w:trPr>
          <w:trHeight w:val="1525" w:hRule="atLeast"/>
          <w:jc w:val="center"/>
        </w:trPr>
        <w:tc>
          <w:tcPr>
            <w:tcW w:w="1135" w:type="dxa"/>
            <w:vMerge w:val="continue"/>
            <w:tcBorders>
              <w:top w:val="single" w:color="auto" w:sz="4" w:space="0"/>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招标及</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政府采购管理</w:t>
            </w:r>
          </w:p>
        </w:tc>
        <w:tc>
          <w:tcPr>
            <w:tcW w:w="43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用以反映和考核项目招标和政府采购的规范性情况。</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eastAsia" w:ascii="Times New Roman" w:hAnsi="Times New Roman" w:eastAsia="仿宋_GB2312" w:cs="Times New Roman"/>
                <w:color w:val="000000"/>
                <w:kern w:val="0"/>
                <w:szCs w:val="21"/>
                <w:lang w:eastAsia="zh-CN"/>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项目招标和政府采购的程序及手续是否合法合规；</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合同签订及执行是否规范；</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工程、设备、原材料等采购需求与项目实际需求是否吻合,是否存在重复或浪费现象。</w:t>
            </w:r>
          </w:p>
        </w:tc>
      </w:tr>
      <w:tr>
        <w:tblPrEx>
          <w:tblCellMar>
            <w:top w:w="0" w:type="dxa"/>
            <w:left w:w="108" w:type="dxa"/>
            <w:bottom w:w="0" w:type="dxa"/>
            <w:right w:w="108" w:type="dxa"/>
          </w:tblCellMar>
        </w:tblPrEx>
        <w:trPr>
          <w:trHeight w:val="945"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资产管理</w:t>
            </w:r>
          </w:p>
        </w:tc>
        <w:tc>
          <w:tcPr>
            <w:tcW w:w="43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用以反映和考核债券资金形成的资产管理情况。</w:t>
            </w:r>
          </w:p>
        </w:tc>
        <w:tc>
          <w:tcPr>
            <w:tcW w:w="7792" w:type="dxa"/>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是否对资产权属、资产管护、资产安全等方面进行有效管理。</w:t>
            </w:r>
          </w:p>
        </w:tc>
      </w:tr>
      <w:tr>
        <w:tblPrEx>
          <w:tblCellMar>
            <w:top w:w="0" w:type="dxa"/>
            <w:left w:w="108" w:type="dxa"/>
            <w:bottom w:w="0" w:type="dxa"/>
            <w:right w:w="108" w:type="dxa"/>
          </w:tblCellMar>
        </w:tblPrEx>
        <w:trPr>
          <w:trHeight w:val="2370"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风险控制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信息公开</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用以反映和考核政府债务信息披露等情况。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是否按照法律、法规和财政部、省委省政府相关规定,向社会公开债券资金使用情况;项目建设进度、运营情况;项目收支对应形成的资产情况、债券资金偿还等情况；</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项目发生可能影响其收益与融资平衡能力的重大事项时是否按照规定程序和要求及时公开相关信息，或以适当方式告知债券持有人，以及未发生需公开的重大事项等情况。</w:t>
            </w:r>
          </w:p>
        </w:tc>
      </w:tr>
      <w:tr>
        <w:tblPrEx>
          <w:tblCellMar>
            <w:top w:w="0" w:type="dxa"/>
            <w:left w:w="108" w:type="dxa"/>
            <w:bottom w:w="0" w:type="dxa"/>
            <w:right w:w="108" w:type="dxa"/>
          </w:tblCellMar>
        </w:tblPrEx>
        <w:trPr>
          <w:trHeight w:val="1515" w:hRule="atLeast"/>
          <w:jc w:val="center"/>
        </w:trPr>
        <w:tc>
          <w:tcPr>
            <w:tcW w:w="113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风控效果</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用以反映和考核风险防控效果情况。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32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32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是否发生过重大债务违约事件、重大安全事故、重大违法违规事件、因债务引起的重大群体性事件等情况。</w:t>
            </w:r>
          </w:p>
        </w:tc>
      </w:tr>
      <w:tr>
        <w:tblPrEx>
          <w:tblCellMar>
            <w:top w:w="0" w:type="dxa"/>
            <w:left w:w="108" w:type="dxa"/>
            <w:bottom w:w="0" w:type="dxa"/>
            <w:right w:w="108" w:type="dxa"/>
          </w:tblCellMar>
        </w:tblPrEx>
        <w:trPr>
          <w:jc w:val="center"/>
        </w:trPr>
        <w:tc>
          <w:tcPr>
            <w:tcW w:w="113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suppressLineNumbers w:val="0"/>
              <w:tabs>
                <w:tab w:val="left" w:pos="434"/>
              </w:tabs>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过程</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风险控制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信息公开</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用以反映和考核对存在的问题进行整改落实等情况。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是否在规定时间内对财政部驻湘监管局和财政部门、发改部门、审计部门等反映的问题制定整改方案并及时进行整改等。</w:t>
            </w:r>
          </w:p>
        </w:tc>
      </w:tr>
      <w:tr>
        <w:tblPrEx>
          <w:tblCellMar>
            <w:top w:w="0" w:type="dxa"/>
            <w:left w:w="108" w:type="dxa"/>
            <w:bottom w:w="0" w:type="dxa"/>
            <w:right w:w="108" w:type="dxa"/>
          </w:tblCellMar>
        </w:tblPrEx>
        <w:trPr>
          <w:trHeight w:val="1240" w:hRule="atLeast"/>
          <w:jc w:val="center"/>
        </w:trPr>
        <w:tc>
          <w:tcPr>
            <w:tcW w:w="1135" w:type="dxa"/>
            <w:vMerge w:val="continue"/>
            <w:tcBorders>
              <w:left w:val="single" w:color="auto" w:sz="4" w:space="0"/>
              <w:right w:val="single" w:color="auto" w:sz="4" w:space="0"/>
            </w:tcBorders>
            <w:shd w:val="clear" w:color="auto" w:fill="auto"/>
            <w:noWrap w:val="0"/>
            <w:vAlign w:val="center"/>
          </w:tcPr>
          <w:p>
            <w:pPr>
              <w:keepNext w:val="0"/>
              <w:keepLines w:val="0"/>
              <w:widowControl/>
              <w:suppressLineNumbers w:val="0"/>
              <w:tabs>
                <w:tab w:val="left" w:pos="434"/>
              </w:tabs>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风险控制</w:t>
            </w:r>
          </w:p>
        </w:tc>
        <w:tc>
          <w:tcPr>
            <w:tcW w:w="43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用以反映和考核政府债务风险防控方案制定及实际执行等情况。</w:t>
            </w:r>
          </w:p>
        </w:tc>
        <w:tc>
          <w:tcPr>
            <w:tcW w:w="77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评价要点：</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①</w:t>
            </w:r>
            <w:r>
              <w:rPr>
                <w:rFonts w:hint="default" w:ascii="Times New Roman" w:hAnsi="Times New Roman" w:eastAsia="仿宋_GB2312" w:cs="Times New Roman"/>
                <w:color w:val="000000"/>
                <w:kern w:val="0"/>
                <w:szCs w:val="21"/>
              </w:rPr>
              <w:t>是否建立了债务风险动态监测机制；</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②</w:t>
            </w:r>
            <w:r>
              <w:rPr>
                <w:rFonts w:hint="default" w:ascii="Times New Roman" w:hAnsi="Times New Roman" w:eastAsia="仿宋_GB2312" w:cs="Times New Roman"/>
                <w:color w:val="000000"/>
                <w:kern w:val="0"/>
                <w:szCs w:val="21"/>
              </w:rPr>
              <w:t>对识别到的风险是否建立了应对的防范措施；</w:t>
            </w:r>
          </w:p>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default" w:ascii="Times New Roman" w:hAnsi="Times New Roman" w:cs="Times New Roman"/>
                <w:color w:val="000000"/>
                <w:kern w:val="0"/>
                <w:szCs w:val="21"/>
              </w:rPr>
              <w:t>③</w:t>
            </w:r>
            <w:r>
              <w:rPr>
                <w:rFonts w:hint="default" w:ascii="Times New Roman" w:hAnsi="Times New Roman" w:eastAsia="仿宋_GB2312" w:cs="Times New Roman"/>
                <w:color w:val="000000"/>
                <w:kern w:val="0"/>
                <w:szCs w:val="21"/>
              </w:rPr>
              <w:t>是否建立了债务风险应对预案和社会稳定风险应对预案；</w:t>
            </w:r>
          </w:p>
        </w:tc>
      </w:tr>
      <w:tr>
        <w:tblPrEx>
          <w:tblCellMar>
            <w:top w:w="0" w:type="dxa"/>
            <w:left w:w="108" w:type="dxa"/>
            <w:bottom w:w="0" w:type="dxa"/>
            <w:right w:w="108" w:type="dxa"/>
          </w:tblCellMar>
        </w:tblPrEx>
        <w:trPr>
          <w:trHeight w:val="1465"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完成率</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项目实施的实际产出数与计划产出数的比率，用以反映和考核项目产出数量目标的实现程度。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实际完成率=（实际产出数/计划产出数）×100%。</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实际产出数：一定时期（本年度或项目期）内项目实际产出的产品或提供的服务数量。</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计划产出数：项目绩效目标确定的在一定时期（本年度或项目期）内计划产出的产品或提供的服务数量。</w:t>
            </w:r>
          </w:p>
        </w:tc>
      </w:tr>
      <w:tr>
        <w:tblPrEx>
          <w:tblCellMar>
            <w:top w:w="0" w:type="dxa"/>
            <w:left w:w="108" w:type="dxa"/>
            <w:bottom w:w="0" w:type="dxa"/>
            <w:right w:w="108" w:type="dxa"/>
          </w:tblCellMar>
        </w:tblPrEx>
        <w:trPr>
          <w:trHeight w:val="1230" w:hRule="atLeast"/>
          <w:jc w:val="center"/>
        </w:trPr>
        <w:tc>
          <w:tcPr>
            <w:tcW w:w="1135" w:type="dxa"/>
            <w:vMerge w:val="continue"/>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达标率</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项目完成的质量达标产出数与实际产出数的比率，用以反映和考核项目产出质量目标的实现程度。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质量达标率=（质量达标产出数/实际产出数）×100%。</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质量达标产出数：一定时期（本年度或项目期）内实际达到既定质量标准的产品或服务数量。既定质量标准是指项目单位设立绩效目标时依据计划标准、行业标准、历史标准或其他标准而设定的绩效指标值。</w:t>
            </w:r>
          </w:p>
        </w:tc>
      </w:tr>
      <w:tr>
        <w:tblPrEx>
          <w:tblCellMar>
            <w:top w:w="0" w:type="dxa"/>
            <w:left w:w="108" w:type="dxa"/>
            <w:bottom w:w="0" w:type="dxa"/>
            <w:right w:w="108" w:type="dxa"/>
          </w:tblCellMar>
        </w:tblPrEx>
        <w:trPr>
          <w:jc w:val="center"/>
        </w:trPr>
        <w:tc>
          <w:tcPr>
            <w:tcW w:w="1135" w:type="dxa"/>
            <w:vMerge w:val="continue"/>
            <w:tcBorders>
              <w:left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产出时效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及时性</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项目实际完成时间与计划完成时间的比较，用以反映和考核项目产出时效目标的实现程度。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实际完成时间：项目单位完成该项目实际所耗用的时间。</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计划完成时间：按照项目实施计划或相关规定完成该项目所需的时间。</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p>
        </w:tc>
      </w:tr>
      <w:tr>
        <w:tblPrEx>
          <w:tblCellMar>
            <w:top w:w="0" w:type="dxa"/>
            <w:left w:w="108" w:type="dxa"/>
            <w:bottom w:w="0" w:type="dxa"/>
            <w:right w:w="108" w:type="dxa"/>
          </w:tblCellMar>
        </w:tblPrEx>
        <w:trPr>
          <w:jc w:val="center"/>
        </w:trPr>
        <w:tc>
          <w:tcPr>
            <w:tcW w:w="1135" w:type="dxa"/>
            <w:vMerge w:val="continue"/>
            <w:tcBorders>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产出成本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成本</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节约率</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完成项目计划工作目标的实际节约成本与计划成本的比率，用以反映和考核项目的成本节约程度。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成本节约率=[（计划成本-实际成本）/计划成本]×100%。</w:t>
            </w:r>
          </w:p>
          <w:p>
            <w:pPr>
              <w:keepNext w:val="0"/>
              <w:keepLines w:val="0"/>
              <w:widowControl/>
              <w:suppressLineNumbers w:val="0"/>
              <w:spacing w:before="0" w:beforeAutospacing="0" w:after="0" w:afterAutospacing="0" w:line="260" w:lineRule="exact"/>
              <w:ind w:left="0" w:right="0"/>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实际成本：项目单位如期、保质、保量完成既定工作目标实际所耗费的支出。</w:t>
            </w:r>
          </w:p>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计划成本：项目单位为完成工作目标计划安排的支出，一般以项目预算为参考。</w:t>
            </w:r>
          </w:p>
        </w:tc>
      </w:tr>
      <w:tr>
        <w:tblPrEx>
          <w:tblCellMar>
            <w:top w:w="0" w:type="dxa"/>
            <w:left w:w="108" w:type="dxa"/>
            <w:bottom w:w="0" w:type="dxa"/>
            <w:right w:w="108" w:type="dxa"/>
          </w:tblCellMar>
        </w:tblPrEx>
        <w:trPr>
          <w:trHeight w:val="710"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效益</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实施效益</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项目实施所产生的效益。</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项目实施所产生的社会效益、经济效益、生态效益、可持续影响等。可根据项目实际情况有选择地设置和细化。</w:t>
            </w:r>
          </w:p>
        </w:tc>
      </w:tr>
      <w:tr>
        <w:tblPrEx>
          <w:tblCellMar>
            <w:top w:w="0" w:type="dxa"/>
            <w:left w:w="108" w:type="dxa"/>
            <w:bottom w:w="0" w:type="dxa"/>
            <w:right w:w="108" w:type="dxa"/>
          </w:tblCellMar>
        </w:tblPrEx>
        <w:trPr>
          <w:trHeight w:val="86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满意度</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社会公众或服务对象对项目实施效果的满意程度。</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社会公众或服务对象是指因该项目实施而受到影响的部门、群体或个人。一般采取社会调查的方式。</w:t>
            </w:r>
          </w:p>
        </w:tc>
      </w:tr>
      <w:tr>
        <w:tblPrEx>
          <w:tblCellMar>
            <w:top w:w="0" w:type="dxa"/>
            <w:left w:w="108" w:type="dxa"/>
            <w:bottom w:w="0" w:type="dxa"/>
            <w:right w:w="108" w:type="dxa"/>
          </w:tblCellMar>
        </w:tblPrEx>
        <w:trPr>
          <w:trHeight w:val="100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可持续</w:t>
            </w:r>
          </w:p>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影响</w:t>
            </w:r>
          </w:p>
        </w:tc>
        <w:tc>
          <w:tcPr>
            <w:tcW w:w="4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项目后续运行及成效发挥的可持续影响情况。</w:t>
            </w:r>
          </w:p>
        </w:tc>
        <w:tc>
          <w:tcPr>
            <w:tcW w:w="77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60" w:lineRule="exact"/>
              <w:ind w:left="0" w:right="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szCs w:val="21"/>
              </w:rPr>
              <w:t>项目后期运营、维护等情况以及对经济社会发展的持续影响情况。</w:t>
            </w:r>
          </w:p>
        </w:tc>
      </w:tr>
    </w:tbl>
    <w:p>
      <w:pPr>
        <w:spacing w:line="580" w:lineRule="exact"/>
        <w:rPr>
          <w:rFonts w:hint="default" w:ascii="Times New Roman" w:hAnsi="Times New Roman" w:eastAsia="仿宋_GB2312" w:cs="Times New Roman"/>
          <w:color w:val="000000"/>
          <w:sz w:val="32"/>
          <w:szCs w:val="32"/>
        </w:rPr>
      </w:pPr>
    </w:p>
    <w:p>
      <w:pPr>
        <w:spacing w:line="580" w:lineRule="exact"/>
        <w:jc w:val="left"/>
        <w:rPr>
          <w:rFonts w:hint="default" w:ascii="Times New Roman" w:hAnsi="Times New Roman" w:eastAsia="楷体_GB2312" w:cs="Times New Roman"/>
          <w:b/>
          <w:color w:val="000000"/>
          <w:sz w:val="32"/>
          <w:szCs w:val="32"/>
        </w:rPr>
        <w:sectPr>
          <w:pgSz w:w="16838" w:h="11906" w:orient="landscape"/>
          <w:pgMar w:top="1134" w:right="1134" w:bottom="1134" w:left="1134" w:header="851" w:footer="1701" w:gutter="0"/>
          <w:pgNumType w:fmt="numberInDash"/>
          <w:cols w:space="425" w:num="1"/>
          <w:docGrid w:type="lines" w:linePitch="312" w:charSpace="0"/>
        </w:sectPr>
      </w:pPr>
    </w:p>
    <w:p>
      <w:pPr>
        <w:spacing w:line="520" w:lineRule="exact"/>
        <w:rPr>
          <w:rFonts w:hint="default" w:ascii="Times New Roman" w:hAnsi="Times New Roman" w:eastAsia="方正小标宋_GBK" w:cs="Times New Roman"/>
          <w:color w:val="000000"/>
          <w:sz w:val="36"/>
          <w:szCs w:val="36"/>
        </w:rPr>
      </w:pPr>
      <w:r>
        <w:rPr>
          <w:rFonts w:hint="default" w:ascii="Times New Roman" w:hAnsi="Times New Roman" w:eastAsia="黑体" w:cs="Times New Roman"/>
          <w:color w:val="000000"/>
          <w:sz w:val="32"/>
          <w:szCs w:val="32"/>
        </w:rPr>
        <w:t>附件7</w:t>
      </w:r>
    </w:p>
    <w:p>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政府专项债券项目绩效评价报告</w:t>
      </w:r>
    </w:p>
    <w:p>
      <w:pPr>
        <w:pStyle w:val="3"/>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（项目单位参考提纲）</w:t>
      </w:r>
    </w:p>
    <w:p>
      <w:pPr>
        <w:tabs>
          <w:tab w:val="left" w:pos="5673"/>
        </w:tabs>
        <w:spacing w:line="520" w:lineRule="exact"/>
        <w:ind w:firstLine="640" w:firstLineChars="200"/>
        <w:rPr>
          <w:rFonts w:hint="default" w:ascii="Times New Roman" w:hAnsi="Times New Roman" w:eastAsia="黑体" w:cs="Times New Roman"/>
          <w:color w:val="000000"/>
          <w:sz w:val="32"/>
          <w:szCs w:val="32"/>
        </w:rPr>
      </w:pPr>
    </w:p>
    <w:p>
      <w:pPr>
        <w:tabs>
          <w:tab w:val="left" w:pos="5673"/>
        </w:tabs>
        <w:spacing w:line="52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一、基本情况</w:t>
      </w:r>
    </w:p>
    <w:p>
      <w:pPr>
        <w:spacing w:line="520" w:lineRule="exact"/>
        <w:ind w:firstLine="645"/>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（一）项目概况。</w:t>
      </w:r>
      <w:r>
        <w:rPr>
          <w:rFonts w:hint="default" w:ascii="Times New Roman" w:hAnsi="Times New Roman" w:eastAsia="仿宋_GB2312" w:cs="Times New Roman"/>
          <w:color w:val="000000"/>
          <w:sz w:val="32"/>
          <w:szCs w:val="32"/>
        </w:rPr>
        <w:t>包括项目背景、主要内容、项目实施情况、资金投入和使用情况等。</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sz w:val="32"/>
          <w:szCs w:val="32"/>
        </w:rPr>
        <w:t>（二）资金与项目管理情况。</w:t>
      </w:r>
      <w:r>
        <w:rPr>
          <w:rFonts w:hint="default" w:ascii="Times New Roman" w:hAnsi="Times New Roman" w:eastAsia="仿宋_GB2312" w:cs="Times New Roman"/>
          <w:sz w:val="32"/>
          <w:szCs w:val="32"/>
        </w:rPr>
        <w:t>主要包括：债券资金组织管理机构；债券资金和项目管理制度建设，债券资金投向结构合理性，债券资金拨付及时性等，项目立项、申报、评审、招标、政府采购、监理、验收等阶段组织实施的合规性等。</w:t>
      </w:r>
    </w:p>
    <w:p>
      <w:pPr>
        <w:spacing w:line="52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sz w:val="32"/>
          <w:szCs w:val="32"/>
        </w:rPr>
        <w:t>（三）项目绩效目标完成程度。</w:t>
      </w:r>
      <w:r>
        <w:rPr>
          <w:rFonts w:hint="default" w:ascii="Times New Roman" w:hAnsi="Times New Roman" w:eastAsia="仿宋_GB2312" w:cs="Times New Roman"/>
          <w:sz w:val="32"/>
          <w:szCs w:val="32"/>
        </w:rPr>
        <w:t>主要包括项目绩效目标完成情况，实现的产出情况和取得的效益情况等。</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二、绩效评价工作情况</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三、项目主要绩效及评价结论</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pPr>
        <w:spacing w:line="520" w:lineRule="exact"/>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（一）项目决策情况。</w:t>
      </w:r>
    </w:p>
    <w:p>
      <w:pPr>
        <w:spacing w:line="520" w:lineRule="exact"/>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（二）项目过程情况。</w:t>
      </w:r>
    </w:p>
    <w:p>
      <w:pPr>
        <w:spacing w:line="520" w:lineRule="exact"/>
        <w:ind w:firstLine="645"/>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（三）项目产出情况。</w:t>
      </w:r>
    </w:p>
    <w:p>
      <w:pPr>
        <w:spacing w:line="520" w:lineRule="exact"/>
        <w:ind w:firstLine="645"/>
        <w:rPr>
          <w:rFonts w:hint="default" w:ascii="Times New Roman" w:hAnsi="Times New Roman" w:cs="Times New Roman"/>
          <w:color w:val="000000"/>
          <w:sz w:val="32"/>
          <w:szCs w:val="32"/>
        </w:rPr>
      </w:pPr>
      <w:r>
        <w:rPr>
          <w:rFonts w:hint="default" w:ascii="Times New Roman" w:hAnsi="Times New Roman" w:eastAsia="仿宋_GB2312" w:cs="Times New Roman"/>
          <w:color w:val="000000"/>
          <w:sz w:val="32"/>
          <w:szCs w:val="32"/>
        </w:rPr>
        <w:t>（四）项目效益情况</w:t>
      </w:r>
      <w:r>
        <w:rPr>
          <w:rFonts w:hint="default" w:ascii="Times New Roman" w:hAnsi="Times New Roman" w:cs="Times New Roman"/>
          <w:color w:val="000000"/>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五、主要经验及做法、存在的问题及原因分析</w:t>
      </w:r>
    </w:p>
    <w:p>
      <w:pPr>
        <w:spacing w:line="52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六、有关建议</w:t>
      </w:r>
    </w:p>
    <w:p>
      <w:pPr>
        <w:spacing w:line="52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E41D"/>
    <w:multiLevelType w:val="singleLevel"/>
    <w:tmpl w:val="FFFAE41D"/>
    <w:lvl w:ilvl="0" w:tentative="0">
      <w:start w:val="2"/>
      <w:numFmt w:val="chineseCounting"/>
      <w:suff w:val="nothing"/>
      <w:lvlText w:val="%1、"/>
      <w:lvlJc w:val="left"/>
      <w:rPr>
        <w:rFonts w:hint="eastAsia"/>
      </w:rPr>
    </w:lvl>
  </w:abstractNum>
  <w:abstractNum w:abstractNumId="1">
    <w:nsid w:val="46877A00"/>
    <w:multiLevelType w:val="multilevel"/>
    <w:tmpl w:val="46877A00"/>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ODU2NmZlNThhYTE2Njk0MmYzNDEwMjAxNmNmZTAifQ=="/>
  </w:docVars>
  <w:rsids>
    <w:rsidRoot w:val="00000000"/>
    <w:rsid w:val="05091572"/>
    <w:rsid w:val="05436869"/>
    <w:rsid w:val="07FC5B02"/>
    <w:rsid w:val="0D564DFD"/>
    <w:rsid w:val="0DB57CB4"/>
    <w:rsid w:val="0E8845BE"/>
    <w:rsid w:val="13356124"/>
    <w:rsid w:val="14274190"/>
    <w:rsid w:val="1A54754D"/>
    <w:rsid w:val="1C9A5481"/>
    <w:rsid w:val="20221513"/>
    <w:rsid w:val="21C276E9"/>
    <w:rsid w:val="2B95569E"/>
    <w:rsid w:val="2EFFB905"/>
    <w:rsid w:val="37A570FA"/>
    <w:rsid w:val="3E6A6D4F"/>
    <w:rsid w:val="3FE693AD"/>
    <w:rsid w:val="455137CA"/>
    <w:rsid w:val="4A9A5B32"/>
    <w:rsid w:val="4AF01932"/>
    <w:rsid w:val="4C0B1E77"/>
    <w:rsid w:val="4DD57ADF"/>
    <w:rsid w:val="4F3BD62E"/>
    <w:rsid w:val="51F55F86"/>
    <w:rsid w:val="524C14DA"/>
    <w:rsid w:val="536974C6"/>
    <w:rsid w:val="53AA7FE7"/>
    <w:rsid w:val="53CB15B5"/>
    <w:rsid w:val="577C6C0C"/>
    <w:rsid w:val="590F614C"/>
    <w:rsid w:val="6186789B"/>
    <w:rsid w:val="63B32BC4"/>
    <w:rsid w:val="64CB5136"/>
    <w:rsid w:val="6B0851D1"/>
    <w:rsid w:val="77B909F0"/>
    <w:rsid w:val="78540864"/>
    <w:rsid w:val="79E9735F"/>
    <w:rsid w:val="7F4D52D0"/>
    <w:rsid w:val="7F55F449"/>
    <w:rsid w:val="BB96D3B8"/>
    <w:rsid w:val="BEB6EF53"/>
    <w:rsid w:val="DFFB7864"/>
    <w:rsid w:val="E7FFF3A3"/>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8"/>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character" w:customStyle="1" w:styleId="6">
    <w:name w:val="标题 1 Char"/>
    <w:basedOn w:val="5"/>
    <w:link w:val="2"/>
    <w:qFormat/>
    <w:uiPriority w:val="0"/>
    <w:rPr>
      <w:rFonts w:hint="default" w:ascii="Calibri" w:hAnsi="Calibri" w:cs="Calibri"/>
      <w:b/>
      <w:bCs/>
      <w:kern w:val="44"/>
      <w:sz w:val="44"/>
      <w:szCs w:val="44"/>
    </w:rPr>
  </w:style>
  <w:style w:type="paragraph" w:customStyle="1" w:styleId="7">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8">
    <w:name w:val="正文文本 Char"/>
    <w:basedOn w:val="5"/>
    <w:link w:val="3"/>
    <w:qFormat/>
    <w:uiPriority w:val="0"/>
    <w:rPr>
      <w:rFonts w:hint="eastAsia" w:ascii="宋体" w:hAnsi="宋体" w:eastAsia="宋体" w:cs="宋体"/>
      <w:kern w:val="2"/>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4965</Words>
  <Characters>5181</Characters>
  <Lines>0</Lines>
  <Paragraphs>0</Paragraphs>
  <TotalTime>0</TotalTime>
  <ScaleCrop>false</ScaleCrop>
  <LinksUpToDate>false</LinksUpToDate>
  <CharactersWithSpaces>5413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2021-03-23T07:15:00Z</dcterms:created>
  <dc:creator>Administrator</dc:creator>
  <cp:lastModifiedBy>Administrator</cp:lastModifiedBy>
  <cp:lastPrinted>2023-04-17T06:28:00Z</cp:lastPrinted>
  <dcterms:modified xsi:type="dcterms:W3CDTF">2023-04-25T07:56:04Z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EED5D6D83E0944EF85A4087E4EA8D0A2</vt:lpwstr>
  </property>
</Properties>
</file>