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1000" w:lineRule="exact"/>
        <w:ind w:left="0" w:right="0" w:firstLine="1760" w:firstLineChars="400"/>
        <w:jc w:val="both"/>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填报单位：（盖章） </w:t>
      </w:r>
      <w:r>
        <w:rPr>
          <w:rFonts w:hint="eastAsia" w:ascii="Times New Roman" w:hAnsi="Times New Roman" w:eastAsia="仿宋_GB2312" w:cs="Times New Roman"/>
          <w:kern w:val="0"/>
          <w:sz w:val="21"/>
          <w:szCs w:val="21"/>
          <w:lang w:val="en-US" w:eastAsia="zh-CN" w:bidi="ar"/>
        </w:rPr>
        <w:t>渌口区住建局</w:t>
      </w:r>
      <w:r>
        <w:rPr>
          <w:rFonts w:hint="default" w:ascii="Times New Roman" w:hAnsi="Times New Roman" w:eastAsia="仿宋_GB2312" w:cs="Times New Roman"/>
          <w:kern w:val="0"/>
          <w:sz w:val="21"/>
          <w:szCs w:val="21"/>
          <w:lang w:val="en-US" w:eastAsia="zh-CN" w:bidi="ar"/>
        </w:rPr>
        <w:t xml:space="preserve">         （2022年度）</w:t>
      </w:r>
    </w:p>
    <w:tbl>
      <w:tblPr>
        <w:tblStyle w:val="9"/>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9"/>
        <w:gridCol w:w="1367"/>
        <w:gridCol w:w="1359"/>
        <w:gridCol w:w="25"/>
        <w:gridCol w:w="1080"/>
        <w:gridCol w:w="26"/>
        <w:gridCol w:w="1004"/>
        <w:gridCol w:w="1004"/>
        <w:gridCol w:w="763"/>
        <w:gridCol w:w="969"/>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802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株洲市渌口区住房和城乡建设局</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7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4868</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23422.62</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23422.62</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5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4390.32</w:t>
            </w:r>
          </w:p>
        </w:tc>
        <w:tc>
          <w:tcPr>
            <w:tcW w:w="45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1144.79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r>
              <w:rPr>
                <w:rFonts w:hint="eastAsia" w:ascii="Times New Roman" w:hAnsi="Times New Roman" w:eastAsia="仿宋_GB2312" w:cs="Times New Roman"/>
                <w:kern w:val="0"/>
                <w:sz w:val="21"/>
                <w:szCs w:val="21"/>
                <w:lang w:val="en-US" w:eastAsia="zh-CN" w:bidi="ar"/>
              </w:rPr>
              <w:t>18945.26</w:t>
            </w:r>
          </w:p>
        </w:tc>
        <w:tc>
          <w:tcPr>
            <w:tcW w:w="45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22277.83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5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r>
              <w:rPr>
                <w:rFonts w:hint="eastAsia" w:ascii="Times New Roman" w:hAnsi="Times New Roman" w:eastAsia="仿宋_GB2312" w:cs="Times New Roman"/>
                <w:kern w:val="0"/>
                <w:sz w:val="21"/>
                <w:szCs w:val="21"/>
                <w:lang w:val="en-US" w:eastAsia="zh-CN" w:bidi="ar"/>
              </w:rPr>
              <w:t>87.04</w:t>
            </w:r>
          </w:p>
        </w:tc>
        <w:tc>
          <w:tcPr>
            <w:tcW w:w="45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5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4"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着力推进城乡建设、城乡环境工作、城乡住房、人民防空、住房产业、行业管理及自身建设工作　</w:t>
            </w:r>
          </w:p>
        </w:tc>
        <w:tc>
          <w:tcPr>
            <w:tcW w:w="45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default" w:ascii="Times New Roman" w:hAnsi="Times New Roman" w:eastAsia="仿宋_GB2312" w:cs="Times New Roman"/>
                <w:kern w:val="0"/>
                <w:sz w:val="18"/>
                <w:szCs w:val="18"/>
                <w:lang w:val="en-US" w:eastAsia="zh-CN" w:bidi="ar"/>
              </w:rPr>
              <w:t>1、建筑业稳中有进。2、“产业项目建设年”设施配套行动计划项目稳步推进。3、全面提升审批服务效能。4、危房改造工作开竣工率处于全市前列。5、农村房屋安全隐患基本消除。6.农村房屋建筑普查全面启动。7、节能建筑推广有效落实。8、人防工作全面落实。9、重点项目稳步推进。</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供水率</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实现县城公共供水普及率达到90%以上</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实现县城公共供水普及率达到90%以上</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自建房排查</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6万栋</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7.7万栋</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天然气覆盖率</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天然气覆盖率达到95%以上</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天然气覆盖率达到95%以上</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污水处理水质标准</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出水水质达到一级A标排放标准</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出水水质达到一级A标排放标准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施工扬尘监管</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确保“8个100%”治理措施到位</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危房验收合格率</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100%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sz w:val="21"/>
                <w:szCs w:val="21"/>
              </w:rPr>
              <w:t>污水处理及时性</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sz w:val="21"/>
                <w:szCs w:val="21"/>
              </w:rPr>
              <w:t>及时</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sz w:val="21"/>
                <w:szCs w:val="21"/>
              </w:rPr>
              <w:t>及时</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sz w:val="18"/>
                <w:szCs w:val="18"/>
              </w:rPr>
              <w:t>保证污水处理厂出水水质达标、处理污水量达标</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kern w:val="0"/>
                <w:sz w:val="21"/>
                <w:szCs w:val="21"/>
              </w:rPr>
              <w:t>500万元</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eastAsia="zh-CN"/>
              </w:rPr>
              <w:t>593.37</w:t>
            </w:r>
            <w:r>
              <w:rPr>
                <w:rFonts w:hint="eastAsia" w:ascii="仿宋" w:hAnsi="仿宋" w:eastAsia="仿宋" w:cs="仿宋"/>
                <w:kern w:val="0"/>
                <w:sz w:val="21"/>
                <w:szCs w:val="21"/>
              </w:rPr>
              <w:t>万元</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rPr>
            </w:pPr>
            <w:r>
              <w:rPr>
                <w:rFonts w:hint="eastAsia" w:ascii="仿宋" w:hAnsi="仿宋" w:eastAsia="仿宋" w:cs="仿宋"/>
                <w:color w:val="000000"/>
                <w:kern w:val="0"/>
                <w:sz w:val="21"/>
                <w:szCs w:val="21"/>
              </w:rPr>
              <w:t>项目资金支付使用管理</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rPr>
            </w:pPr>
            <w:r>
              <w:rPr>
                <w:rFonts w:hint="eastAsia" w:ascii="仿宋" w:hAnsi="仿宋" w:eastAsia="仿宋" w:cs="仿宋"/>
                <w:color w:val="000000"/>
                <w:kern w:val="0"/>
                <w:sz w:val="21"/>
                <w:szCs w:val="21"/>
              </w:rPr>
              <w:t>降本增效</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color w:val="000000"/>
                <w:kern w:val="0"/>
                <w:sz w:val="21"/>
                <w:szCs w:val="21"/>
              </w:rPr>
              <w:t>降本增效</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收取污水处理费</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eastAsia="zh-CN" w:bidi="ar"/>
              </w:rPr>
              <w:t>600万元</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eastAsia="zh-CN" w:bidi="ar"/>
              </w:rPr>
              <w:t>完成</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居民生活污水及时处理，生活用水质量得到保障</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100%</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eastAsia="zh-CN" w:bidi="ar"/>
              </w:rPr>
              <w:t>100%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环境效益</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color w:val="000000"/>
                <w:kern w:val="0"/>
                <w:sz w:val="21"/>
                <w:szCs w:val="21"/>
                <w:u w:val="none"/>
                <w:lang w:val="en-US" w:eastAsia="zh-CN" w:bidi="ar"/>
              </w:rPr>
              <w:t>有效的改善水环境质量，保护生态环境</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eastAsia="zh-CN" w:bidi="ar"/>
              </w:rPr>
              <w:t>100%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sz w:val="21"/>
                <w:szCs w:val="21"/>
              </w:rPr>
              <w:t>民生保障</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sz w:val="21"/>
                <w:szCs w:val="21"/>
              </w:rPr>
              <w:t>≥90%</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sz w:val="21"/>
                <w:szCs w:val="21"/>
              </w:rPr>
              <w:t>民生保障</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sz w:val="21"/>
                <w:szCs w:val="21"/>
              </w:rPr>
              <w:t>群众满意度</w:t>
            </w:r>
          </w:p>
        </w:tc>
        <w:tc>
          <w:tcPr>
            <w:tcW w:w="1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rPr>
            </w:pPr>
            <w:r>
              <w:rPr>
                <w:rFonts w:hint="eastAsia" w:ascii="仿宋" w:hAnsi="仿宋" w:eastAsia="仿宋" w:cs="仿宋"/>
                <w:sz w:val="21"/>
                <w:szCs w:val="21"/>
              </w:rPr>
              <w:t>≥85%</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jc w:val="center"/>
              <w:rPr>
                <w:rFonts w:hint="eastAsia" w:ascii="仿宋" w:hAnsi="仿宋" w:eastAsia="仿宋" w:cs="仿宋"/>
                <w:kern w:val="0"/>
                <w:sz w:val="21"/>
                <w:szCs w:val="21"/>
                <w:lang w:val="en-US" w:eastAsia="zh-CN"/>
              </w:rPr>
            </w:pPr>
            <w:r>
              <w:rPr>
                <w:rFonts w:hint="eastAsia" w:ascii="仿宋" w:hAnsi="仿宋" w:eastAsia="仿宋" w:cs="仿宋"/>
                <w:sz w:val="21"/>
                <w:szCs w:val="21"/>
                <w:lang w:val="en-US" w:eastAsia="zh-CN"/>
              </w:rPr>
              <w:t>90%</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：罗海霞</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27615304</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2023.04.14</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pStyle w:val="12"/>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仿宋" w:hAnsi="仿宋" w:eastAsia="仿宋"/>
          <w:bCs/>
          <w:sz w:val="32"/>
          <w:szCs w:val="32"/>
        </w:rPr>
        <w:t>根据《株洲市渌口区住房和城乡建设局、株洲市渌口区人民防空办公室职能配置、内设机构和人员编制规定》（渌办【2019】34号）文件规定，区住房和城乡建设局与区人民防空办公室合署办公</w:t>
      </w:r>
      <w:r>
        <w:rPr>
          <w:rFonts w:ascii="仿宋" w:hAnsi="仿宋" w:eastAsia="仿宋"/>
          <w:sz w:val="32"/>
          <w:szCs w:val="32"/>
        </w:rPr>
        <w:t>，实行一套工作机构、两个机关名称。</w:t>
      </w:r>
      <w:r>
        <w:rPr>
          <w:rFonts w:hint="eastAsia" w:ascii="仿宋" w:hAnsi="仿宋" w:eastAsia="仿宋"/>
          <w:sz w:val="32"/>
          <w:szCs w:val="32"/>
        </w:rPr>
        <w:t xml:space="preserve"> </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年本单位年未实有人数7</w:t>
      </w:r>
      <w:r>
        <w:rPr>
          <w:rFonts w:hint="eastAsia" w:ascii="仿宋" w:hAnsi="仿宋" w:eastAsia="仿宋"/>
          <w:sz w:val="32"/>
          <w:szCs w:val="32"/>
          <w:lang w:val="en-US" w:eastAsia="zh-CN"/>
        </w:rPr>
        <w:t>3</w:t>
      </w:r>
      <w:r>
        <w:rPr>
          <w:rFonts w:hint="eastAsia" w:ascii="仿宋" w:hAnsi="仿宋" w:eastAsia="仿宋"/>
          <w:sz w:val="32"/>
          <w:szCs w:val="32"/>
        </w:rPr>
        <w:t>人，在职在编人数6</w:t>
      </w:r>
      <w:r>
        <w:rPr>
          <w:rFonts w:hint="eastAsia" w:ascii="仿宋" w:hAnsi="仿宋" w:eastAsia="仿宋"/>
          <w:sz w:val="32"/>
          <w:szCs w:val="32"/>
          <w:lang w:val="en-US" w:eastAsia="zh-CN"/>
        </w:rPr>
        <w:t>4</w:t>
      </w:r>
      <w:r>
        <w:rPr>
          <w:rFonts w:hint="eastAsia" w:ascii="仿宋" w:hAnsi="仿宋" w:eastAsia="仿宋"/>
          <w:sz w:val="32"/>
          <w:szCs w:val="32"/>
        </w:rPr>
        <w:t>人，临聘人员9人</w:t>
      </w:r>
      <w:r>
        <w:rPr>
          <w:rFonts w:ascii="仿宋" w:hAnsi="仿宋" w:eastAsia="仿宋"/>
          <w:sz w:val="32"/>
          <w:szCs w:val="32"/>
        </w:rPr>
        <w:t>。单位内设股室9个，分别为：1.办公室、2.行政审批和政策法规股、3.城市建设和公用事业管理股、4.人防管理股、5.建筑业管理办公室、6.招标投标管理股、7.村镇建设管理股、8.住房改革和保障股、9.质量安全管理股。</w:t>
      </w:r>
      <w:r>
        <w:rPr>
          <w:rFonts w:ascii="仿宋" w:hAnsi="仿宋" w:eastAsia="仿宋"/>
          <w:sz w:val="32"/>
          <w:szCs w:val="32"/>
        </w:rPr>
        <w:br w:type="textWrapping"/>
      </w:r>
      <w:r>
        <w:rPr>
          <w:rFonts w:hint="eastAsia" w:ascii="仿宋" w:hAnsi="仿宋" w:eastAsia="仿宋"/>
          <w:bCs/>
          <w:sz w:val="32"/>
          <w:szCs w:val="32"/>
        </w:rPr>
        <w:t xml:space="preserve">    </w:t>
      </w:r>
      <w:r>
        <w:rPr>
          <w:rFonts w:hint="default" w:ascii="Times New Roman" w:hAnsi="Times New Roman" w:eastAsia="黑体" w:cs="Times New Roman"/>
          <w:sz w:val="32"/>
          <w:szCs w:val="32"/>
          <w:lang w:eastAsia="zh-CN"/>
        </w:rPr>
        <w:t>二、一般公共预算支出情况</w:t>
      </w:r>
    </w:p>
    <w:p>
      <w:pPr>
        <w:pStyle w:val="12"/>
        <w:widowControl/>
        <w:numPr>
          <w:ilvl w:val="0"/>
          <w:numId w:val="2"/>
        </w:numPr>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基本支出情况</w:t>
      </w:r>
    </w:p>
    <w:p>
      <w:pPr>
        <w:snapToGrid w:val="0"/>
        <w:spacing w:line="520" w:lineRule="exact"/>
        <w:ind w:firstLine="640" w:firstLineChars="200"/>
        <w:rPr>
          <w:rFonts w:hint="default" w:ascii="Times New Roman" w:hAnsi="Times New Roman" w:eastAsia="楷体_GB2312" w:cs="Times New Roman"/>
          <w:sz w:val="32"/>
          <w:szCs w:val="32"/>
          <w:lang w:val="en-US" w:eastAsia="zh-CN"/>
        </w:rPr>
      </w:pPr>
      <w:r>
        <w:rPr>
          <w:rFonts w:hint="eastAsia" w:ascii="仿宋" w:hAnsi="仿宋" w:eastAsia="仿宋"/>
          <w:bCs/>
          <w:sz w:val="32"/>
          <w:szCs w:val="32"/>
        </w:rPr>
        <w:t>基本支出是保障我局机构正常运转、完成日常工作任务而发生的各项支出，包括用于在职和离退休人员基本工资、津贴补贴等人员经费以及办公费、印刷费、水电费、办公设备购置等日常公用经费。202</w:t>
      </w:r>
      <w:r>
        <w:rPr>
          <w:rFonts w:hint="eastAsia" w:ascii="仿宋" w:hAnsi="仿宋" w:eastAsia="仿宋"/>
          <w:bCs/>
          <w:sz w:val="32"/>
          <w:szCs w:val="32"/>
          <w:lang w:val="en-US" w:eastAsia="zh-CN"/>
        </w:rPr>
        <w:t>2</w:t>
      </w:r>
      <w:r>
        <w:rPr>
          <w:rFonts w:hint="eastAsia" w:ascii="仿宋" w:hAnsi="仿宋" w:eastAsia="仿宋"/>
          <w:bCs/>
          <w:sz w:val="32"/>
          <w:szCs w:val="32"/>
        </w:rPr>
        <w:t>年度财政拨款基本支出</w:t>
      </w:r>
      <w:r>
        <w:rPr>
          <w:rFonts w:hint="eastAsia" w:ascii="仿宋" w:hAnsi="仿宋" w:eastAsia="仿宋" w:cs="仿宋"/>
          <w:bCs/>
          <w:sz w:val="32"/>
          <w:szCs w:val="32"/>
          <w:lang w:val="en-US" w:eastAsia="zh-CN"/>
        </w:rPr>
        <w:t>1144.79</w:t>
      </w:r>
      <w:r>
        <w:rPr>
          <w:rFonts w:hint="eastAsia" w:ascii="仿宋" w:hAnsi="仿宋" w:eastAsia="仿宋"/>
          <w:bCs/>
          <w:sz w:val="32"/>
          <w:szCs w:val="32"/>
        </w:rPr>
        <w:t>万元，</w:t>
      </w:r>
      <w:r>
        <w:rPr>
          <w:rFonts w:hint="eastAsia" w:ascii="仿宋" w:hAnsi="仿宋" w:eastAsia="仿宋" w:cs="仿宋"/>
          <w:bCs/>
          <w:sz w:val="32"/>
          <w:szCs w:val="32"/>
        </w:rPr>
        <w:t>其中基本支出</w:t>
      </w:r>
      <w:r>
        <w:rPr>
          <w:rFonts w:hint="eastAsia" w:ascii="仿宋" w:hAnsi="仿宋" w:eastAsia="仿宋"/>
          <w:sz w:val="32"/>
          <w:szCs w:val="32"/>
        </w:rPr>
        <w:t xml:space="preserve">：人员经费 </w:t>
      </w:r>
      <w:r>
        <w:rPr>
          <w:rFonts w:hint="eastAsia" w:ascii="仿宋" w:hAnsi="仿宋" w:eastAsia="仿宋"/>
          <w:sz w:val="32"/>
          <w:szCs w:val="32"/>
          <w:lang w:val="en-US" w:eastAsia="zh-CN"/>
        </w:rPr>
        <w:t>956.44</w:t>
      </w:r>
      <w:r>
        <w:rPr>
          <w:rFonts w:hint="eastAsia" w:ascii="仿宋" w:hAnsi="仿宋" w:eastAsia="仿宋"/>
          <w:sz w:val="32"/>
          <w:szCs w:val="32"/>
        </w:rPr>
        <w:t>万元，占基本支出的</w:t>
      </w:r>
      <w:r>
        <w:rPr>
          <w:rFonts w:hint="eastAsia" w:ascii="仿宋" w:hAnsi="仿宋" w:eastAsia="仿宋"/>
          <w:sz w:val="32"/>
          <w:szCs w:val="32"/>
          <w:lang w:val="en-US" w:eastAsia="zh-CN"/>
        </w:rPr>
        <w:t>83.5</w:t>
      </w:r>
      <w:r>
        <w:rPr>
          <w:rFonts w:hint="eastAsia" w:ascii="仿宋" w:hAnsi="仿宋" w:eastAsia="仿宋"/>
          <w:sz w:val="32"/>
          <w:szCs w:val="32"/>
        </w:rPr>
        <w:t>%，</w:t>
      </w:r>
      <w:r>
        <w:rPr>
          <w:rFonts w:hint="eastAsia" w:ascii="仿宋" w:hAnsi="仿宋" w:eastAsia="仿宋"/>
          <w:bCs/>
          <w:sz w:val="32"/>
          <w:szCs w:val="32"/>
        </w:rPr>
        <w:t>主要包括：基本工资、津补贴、奖金、伙食补助费、机关事业单位基本养老保险费、职工基本医疗保险缴费、住房公积金、医疗费、其他工资福利支出及生活补助等。</w:t>
      </w:r>
      <w:r>
        <w:rPr>
          <w:rFonts w:hint="eastAsia" w:ascii="仿宋" w:hAnsi="仿宋" w:eastAsia="仿宋"/>
          <w:sz w:val="32"/>
          <w:szCs w:val="32"/>
        </w:rPr>
        <w:t>公用经费</w:t>
      </w:r>
      <w:r>
        <w:rPr>
          <w:rFonts w:hint="eastAsia" w:ascii="仿宋" w:hAnsi="仿宋" w:eastAsia="仿宋"/>
          <w:sz w:val="32"/>
          <w:szCs w:val="32"/>
          <w:lang w:val="en-US" w:eastAsia="zh-CN"/>
        </w:rPr>
        <w:t>188.35</w:t>
      </w:r>
      <w:r>
        <w:rPr>
          <w:rFonts w:hint="eastAsia" w:ascii="仿宋" w:hAnsi="仿宋" w:eastAsia="仿宋"/>
          <w:sz w:val="32"/>
          <w:szCs w:val="32"/>
        </w:rPr>
        <w:t>万元，占基本支出的</w:t>
      </w:r>
      <w:r>
        <w:rPr>
          <w:rFonts w:hint="eastAsia" w:ascii="仿宋" w:hAnsi="仿宋" w:eastAsia="仿宋"/>
          <w:sz w:val="32"/>
          <w:szCs w:val="32"/>
          <w:lang w:val="en-US" w:eastAsia="zh-CN"/>
        </w:rPr>
        <w:t>16.5</w:t>
      </w:r>
      <w:r>
        <w:rPr>
          <w:rFonts w:hint="eastAsia" w:ascii="仿宋" w:hAnsi="仿宋" w:eastAsia="仿宋"/>
          <w:sz w:val="32"/>
          <w:szCs w:val="32"/>
        </w:rPr>
        <w:t>%，</w:t>
      </w:r>
      <w:r>
        <w:rPr>
          <w:rFonts w:hint="eastAsia" w:ascii="仿宋" w:hAnsi="仿宋" w:eastAsia="仿宋"/>
          <w:bCs/>
          <w:sz w:val="32"/>
          <w:szCs w:val="32"/>
        </w:rPr>
        <w:t>；主要包括：办公费、印刷费、电费、邮电费、差旅费、</w:t>
      </w:r>
      <w:r>
        <w:rPr>
          <w:rFonts w:hint="eastAsia" w:ascii="仿宋" w:hAnsi="仿宋" w:eastAsia="仿宋"/>
          <w:sz w:val="32"/>
          <w:szCs w:val="32"/>
        </w:rPr>
        <w:t>培训费、公务接待费、工会经费、福利费、其他商品和服务支出。</w:t>
      </w:r>
    </w:p>
    <w:p>
      <w:pPr>
        <w:pStyle w:val="12"/>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 xml:space="preserve">年度本部门项目支出 </w:t>
      </w:r>
      <w:r>
        <w:rPr>
          <w:rFonts w:hint="eastAsia" w:ascii="仿宋" w:hAnsi="仿宋" w:eastAsia="仿宋"/>
          <w:sz w:val="32"/>
          <w:szCs w:val="32"/>
          <w:lang w:val="en-US" w:eastAsia="zh-CN"/>
        </w:rPr>
        <w:t>22277.83</w:t>
      </w:r>
      <w:r>
        <w:rPr>
          <w:rFonts w:hint="eastAsia" w:ascii="仿宋" w:hAnsi="仿宋" w:eastAsia="仿宋"/>
          <w:sz w:val="32"/>
          <w:szCs w:val="32"/>
        </w:rPr>
        <w:t>万元</w:t>
      </w:r>
      <w:r>
        <w:rPr>
          <w:rFonts w:hint="eastAsia" w:ascii="仿宋" w:hAnsi="仿宋" w:eastAsia="仿宋"/>
          <w:sz w:val="32"/>
          <w:szCs w:val="32"/>
          <w:lang w:eastAsia="zh-CN"/>
        </w:rPr>
        <w:t>，项目资金做专款专用。</w:t>
      </w:r>
      <w:r>
        <w:rPr>
          <w:rFonts w:hint="eastAsia" w:ascii="仿宋" w:hAnsi="仿宋" w:eastAsia="仿宋"/>
          <w:sz w:val="32"/>
          <w:szCs w:val="32"/>
        </w:rPr>
        <w:t>其中</w:t>
      </w:r>
      <w:r>
        <w:rPr>
          <w:rFonts w:hint="eastAsia" w:ascii="仿宋" w:hAnsi="仿宋" w:eastAsia="仿宋" w:cs="仿宋"/>
          <w:sz w:val="32"/>
          <w:szCs w:val="32"/>
        </w:rPr>
        <w:t>一般公共预算财政拨款支出</w:t>
      </w:r>
      <w:r>
        <w:rPr>
          <w:rFonts w:hint="eastAsia" w:ascii="仿宋" w:hAnsi="仿宋" w:eastAsia="仿宋" w:cs="仿宋"/>
          <w:sz w:val="32"/>
          <w:szCs w:val="32"/>
          <w:lang w:val="en-US" w:eastAsia="zh-CN"/>
        </w:rPr>
        <w:t>3300.77</w:t>
      </w:r>
      <w:r>
        <w:rPr>
          <w:rFonts w:hint="eastAsia" w:ascii="仿宋" w:hAnsi="仿宋" w:eastAsia="仿宋" w:cs="仿宋"/>
          <w:sz w:val="32"/>
          <w:szCs w:val="32"/>
        </w:rPr>
        <w:t>万元，主要用于污水整治及运营、农村危房改造等项目；政府性基金财政拨款支出</w:t>
      </w:r>
      <w:r>
        <w:rPr>
          <w:rFonts w:hint="eastAsia" w:ascii="仿宋" w:hAnsi="仿宋" w:eastAsia="仿宋" w:cs="仿宋"/>
          <w:sz w:val="32"/>
          <w:szCs w:val="32"/>
          <w:lang w:val="en-US" w:eastAsia="zh-CN"/>
        </w:rPr>
        <w:t>18945.26</w:t>
      </w:r>
      <w:r>
        <w:rPr>
          <w:rFonts w:hint="eastAsia" w:ascii="仿宋" w:hAnsi="仿宋" w:eastAsia="仿宋" w:cs="仿宋"/>
          <w:sz w:val="32"/>
          <w:szCs w:val="32"/>
        </w:rPr>
        <w:t>万元，主要用于伏波大道提质改造、梅子湖综合开发项目等</w:t>
      </w:r>
      <w:r>
        <w:rPr>
          <w:rFonts w:hint="eastAsia" w:ascii="仿宋" w:hAnsi="仿宋" w:eastAsia="仿宋" w:cs="仿宋"/>
          <w:sz w:val="32"/>
          <w:szCs w:val="32"/>
          <w:lang w:eastAsia="zh-CN"/>
        </w:rPr>
        <w:t>；其他支出</w:t>
      </w:r>
      <w:r>
        <w:rPr>
          <w:rFonts w:hint="eastAsia" w:ascii="仿宋" w:hAnsi="仿宋" w:eastAsia="仿宋" w:cs="仿宋"/>
          <w:sz w:val="32"/>
          <w:szCs w:val="32"/>
          <w:lang w:val="en-US" w:eastAsia="zh-CN"/>
        </w:rPr>
        <w:t>31.8万元，主要用于农村危房改造资金。</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spacing w:line="56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年度本部门较好完成绩效评估目标：</w:t>
      </w:r>
    </w:p>
    <w:p>
      <w:pPr>
        <w:pStyle w:val="7"/>
        <w:keepNext w:val="0"/>
        <w:keepLines w:val="0"/>
        <w:pageBreakBefore w:val="0"/>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（一）顶住压力，</w:t>
      </w:r>
      <w:r>
        <w:rPr>
          <w:rFonts w:hint="eastAsia" w:ascii="仿宋" w:hAnsi="仿宋" w:eastAsia="仿宋" w:cs="仿宋"/>
          <w:sz w:val="32"/>
          <w:szCs w:val="32"/>
          <w:lang w:val="en-US" w:eastAsia="zh-CN"/>
        </w:rPr>
        <w:t>聚焦经济建设取得好成效。</w:t>
      </w:r>
      <w:r>
        <w:rPr>
          <w:rStyle w:val="14"/>
          <w:rFonts w:hint="eastAsia" w:ascii="仿宋" w:hAnsi="仿宋" w:eastAsia="仿宋" w:cs="仿宋"/>
          <w:b w:val="0"/>
          <w:bCs w:val="0"/>
          <w:i w:val="0"/>
          <w:caps w:val="0"/>
          <w:spacing w:val="0"/>
          <w:w w:val="100"/>
          <w:kern w:val="2"/>
          <w:sz w:val="32"/>
          <w:szCs w:val="32"/>
          <w:u w:val="none"/>
          <w:lang w:val="en-US" w:eastAsia="zh-CN" w:bidi="ar-SA"/>
        </w:rPr>
        <w:t>经济指标稳中有进。</w:t>
      </w:r>
      <w:r>
        <w:rPr>
          <w:rFonts w:hint="eastAsia" w:ascii="仿宋" w:hAnsi="仿宋" w:eastAsia="仿宋" w:cs="仿宋"/>
          <w:color w:val="auto"/>
          <w:kern w:val="0"/>
          <w:sz w:val="32"/>
          <w:szCs w:val="32"/>
          <w:lang w:val="en-US" w:eastAsia="zh-CN"/>
        </w:rPr>
        <w:t>始终把稳增长放在突出位置，我区现有建筑业资质企业100家（其中有一级4家、二级14家），同比增加13家。全年</w:t>
      </w:r>
      <w:r>
        <w:rPr>
          <w:rStyle w:val="14"/>
          <w:rFonts w:hint="eastAsia" w:ascii="仿宋" w:hAnsi="仿宋" w:eastAsia="仿宋" w:cs="仿宋"/>
          <w:b w:val="0"/>
          <w:i w:val="0"/>
          <w:caps w:val="0"/>
          <w:spacing w:val="0"/>
          <w:w w:val="100"/>
          <w:kern w:val="2"/>
          <w:sz w:val="32"/>
          <w:szCs w:val="32"/>
          <w:u w:val="none"/>
          <w:lang w:val="en-US" w:eastAsia="zh-CN" w:bidi="ar-SA"/>
        </w:rPr>
        <w:t>完成建安总产值104.9亿元，与去年同比增长11.5%，累计完成税收7616.27万元，同期对比负增长6.8%</w:t>
      </w:r>
      <w:r>
        <w:rPr>
          <w:rFonts w:hint="eastAsia" w:ascii="仿宋" w:hAnsi="仿宋" w:eastAsia="仿宋" w:cs="仿宋"/>
          <w:sz w:val="32"/>
          <w:szCs w:val="32"/>
          <w:lang w:val="en-US" w:eastAsia="zh-CN"/>
        </w:rPr>
        <w:t>。</w:t>
      </w:r>
      <w:r>
        <w:rPr>
          <w:rFonts w:hint="eastAsia" w:ascii="仿宋" w:hAnsi="仿宋" w:eastAsia="仿宋" w:cs="仿宋"/>
          <w:b w:val="0"/>
          <w:bCs w:val="0"/>
          <w:color w:val="auto"/>
          <w:kern w:val="0"/>
          <w:sz w:val="32"/>
          <w:szCs w:val="32"/>
          <w:lang w:val="en-US" w:eastAsia="zh-CN"/>
        </w:rPr>
        <w:t>产业发展提质增效。</w:t>
      </w:r>
      <w:r>
        <w:rPr>
          <w:rStyle w:val="14"/>
          <w:rFonts w:hint="eastAsia" w:ascii="仿宋" w:hAnsi="仿宋" w:eastAsia="仿宋" w:cs="仿宋"/>
          <w:b w:val="0"/>
          <w:i w:val="0"/>
          <w:caps w:val="0"/>
          <w:spacing w:val="0"/>
          <w:w w:val="100"/>
          <w:kern w:val="2"/>
          <w:sz w:val="32"/>
          <w:szCs w:val="32"/>
          <w:u w:val="none"/>
          <w:lang w:val="en-US" w:eastAsia="zh-CN" w:bidi="ar-SA"/>
        </w:rPr>
        <w:t>大力开展“市场主体培育年”活动，</w:t>
      </w:r>
      <w:r>
        <w:rPr>
          <w:rFonts w:hint="eastAsia" w:ascii="仿宋" w:hAnsi="仿宋" w:eastAsia="仿宋" w:cs="仿宋"/>
          <w:color w:val="auto"/>
          <w:kern w:val="0"/>
          <w:sz w:val="32"/>
          <w:szCs w:val="32"/>
          <w:lang w:val="en-US" w:eastAsia="zh-CN"/>
        </w:rPr>
        <w:t>全年新增企业任务174家，已完成157家（净增），四上企业培育任务5家，完成5家。</w:t>
      </w:r>
      <w:r>
        <w:rPr>
          <w:rFonts w:hint="eastAsia" w:ascii="仿宋" w:hAnsi="仿宋" w:eastAsia="仿宋" w:cs="仿宋"/>
          <w:b w:val="0"/>
          <w:bCs w:val="0"/>
          <w:color w:val="auto"/>
          <w:kern w:val="0"/>
          <w:sz w:val="32"/>
          <w:szCs w:val="32"/>
          <w:lang w:val="en-US" w:eastAsia="zh-CN"/>
        </w:rPr>
        <w:t>项目建设有序推进。开展项目建设“百日攻坚”行动，实施省市</w:t>
      </w:r>
      <w:r>
        <w:rPr>
          <w:rFonts w:hint="eastAsia" w:ascii="仿宋" w:hAnsi="仿宋" w:eastAsia="仿宋" w:cs="仿宋"/>
          <w:color w:val="auto"/>
          <w:kern w:val="0"/>
          <w:sz w:val="32"/>
          <w:szCs w:val="32"/>
          <w:lang w:val="en-US" w:eastAsia="zh-CN"/>
        </w:rPr>
        <w:t>重点项目11个，完成投资</w:t>
      </w:r>
      <w:r>
        <w:rPr>
          <w:rFonts w:hint="eastAsia" w:ascii="仿宋" w:hAnsi="仿宋" w:eastAsia="仿宋" w:cs="仿宋"/>
          <w:b w:val="0"/>
          <w:bCs w:val="0"/>
          <w:color w:val="auto"/>
          <w:kern w:val="0"/>
          <w:sz w:val="32"/>
          <w:szCs w:val="32"/>
          <w:lang w:val="en-US" w:eastAsia="zh-CN"/>
        </w:rPr>
        <w:t>4.07亿元</w:t>
      </w:r>
      <w:r>
        <w:rPr>
          <w:rFonts w:hint="eastAsia" w:ascii="仿宋" w:hAnsi="仿宋" w:eastAsia="仿宋" w:cs="仿宋"/>
          <w:color w:val="auto"/>
          <w:kern w:val="0"/>
          <w:sz w:val="32"/>
          <w:szCs w:val="32"/>
          <w:lang w:val="en-US" w:eastAsia="zh-CN"/>
        </w:rPr>
        <w:t>。</w:t>
      </w:r>
      <w:r>
        <w:rPr>
          <w:rFonts w:hint="eastAsia" w:ascii="仿宋" w:hAnsi="仿宋" w:eastAsia="仿宋" w:cs="仿宋"/>
          <w:sz w:val="32"/>
          <w:szCs w:val="32"/>
          <w:lang w:val="en-US" w:eastAsia="zh-CN"/>
        </w:rPr>
        <w:t>双月西路老改配项目已竣工使用，水环境综合治理PPP项目、机关幼儿园配套基础设施建设项目加快建设，</w:t>
      </w:r>
      <w:r>
        <w:rPr>
          <w:rFonts w:hint="eastAsia" w:ascii="仿宋" w:hAnsi="仿宋" w:eastAsia="仿宋" w:cs="仿宋"/>
          <w:b w:val="0"/>
          <w:bCs w:val="0"/>
          <w:color w:val="auto"/>
          <w:kern w:val="0"/>
          <w:sz w:val="32"/>
          <w:szCs w:val="32"/>
          <w:lang w:val="en-US" w:eastAsia="zh-CN"/>
        </w:rPr>
        <w:t>梅子湖片区综合开发、杨梅港水环境综合治理、老街保护、</w:t>
      </w:r>
      <w:r>
        <w:rPr>
          <w:rFonts w:hint="eastAsia" w:ascii="仿宋" w:hAnsi="仿宋" w:eastAsia="仿宋" w:cs="仿宋"/>
          <w:sz w:val="32"/>
          <w:szCs w:val="32"/>
          <w:lang w:val="en-US" w:eastAsia="zh-CN"/>
        </w:rPr>
        <w:t>甘塘坡巷子老改配、</w:t>
      </w:r>
      <w:r>
        <w:rPr>
          <w:rFonts w:hint="eastAsia" w:ascii="仿宋" w:hAnsi="仿宋" w:eastAsia="仿宋" w:cs="仿宋"/>
          <w:b w:val="0"/>
          <w:bCs w:val="0"/>
          <w:color w:val="000000"/>
          <w:sz w:val="32"/>
          <w:szCs w:val="32"/>
          <w:lang w:val="en-US" w:eastAsia="zh-CN"/>
        </w:rPr>
        <w:t>农村污水治理、</w:t>
      </w:r>
      <w:r>
        <w:rPr>
          <w:rFonts w:hint="eastAsia" w:ascii="仿宋" w:hAnsi="仿宋" w:eastAsia="仿宋" w:cs="仿宋"/>
          <w:b w:val="0"/>
          <w:bCs w:val="0"/>
          <w:color w:val="auto"/>
          <w:kern w:val="0"/>
          <w:sz w:val="32"/>
          <w:szCs w:val="32"/>
          <w:lang w:val="en-US" w:eastAsia="zh-CN"/>
        </w:rPr>
        <w:t>湾塘100kv配电站等项目</w:t>
      </w:r>
      <w:r>
        <w:rPr>
          <w:rFonts w:hint="eastAsia" w:ascii="仿宋" w:hAnsi="仿宋" w:eastAsia="仿宋" w:cs="仿宋"/>
          <w:sz w:val="32"/>
          <w:szCs w:val="32"/>
          <w:lang w:val="en-US" w:eastAsia="zh-CN"/>
        </w:rPr>
        <w:t>有序推进。</w:t>
      </w:r>
      <w:r>
        <w:rPr>
          <w:rFonts w:hint="eastAsia" w:ascii="仿宋" w:hAnsi="仿宋" w:eastAsia="仿宋" w:cs="仿宋"/>
          <w:b w:val="0"/>
          <w:bCs w:val="0"/>
          <w:color w:val="000000"/>
          <w:sz w:val="32"/>
          <w:szCs w:val="32"/>
          <w:lang w:val="en-US" w:eastAsia="zh-CN"/>
        </w:rPr>
        <w:t>争资引项有成效。</w:t>
      </w:r>
      <w:r>
        <w:rPr>
          <w:rFonts w:hint="eastAsia" w:ascii="仿宋" w:hAnsi="仿宋" w:eastAsia="仿宋" w:cs="仿宋"/>
          <w:sz w:val="32"/>
          <w:szCs w:val="32"/>
          <w:lang w:val="en-US" w:eastAsia="zh-CN"/>
        </w:rPr>
        <w:t>牵头争取成功发行五二六厂片区老改配、南江南路及向阳北路片区老改配专项债2亿元，争取海绵城市项目资金1500万元、保交楼第一批中央资金</w:t>
      </w:r>
      <w:r>
        <w:rPr>
          <w:rFonts w:hint="eastAsia" w:ascii="仿宋" w:hAnsi="仿宋" w:eastAsia="仿宋" w:cs="仿宋"/>
          <w:sz w:val="32"/>
          <w:szCs w:val="32"/>
          <w:u w:val="none"/>
          <w:lang w:val="en-US" w:eastAsia="zh-CN"/>
        </w:rPr>
        <w:t>1.4亿</w:t>
      </w:r>
      <w:r>
        <w:rPr>
          <w:rFonts w:hint="eastAsia" w:ascii="仿宋" w:hAnsi="仿宋" w:eastAsia="仿宋" w:cs="仿宋"/>
          <w:sz w:val="32"/>
          <w:szCs w:val="32"/>
          <w:lang w:val="en-US" w:eastAsia="zh-CN"/>
        </w:rPr>
        <w:t>元。包装申报2023年专项债3个，伏波大道管廊项目专项债1.16亿元，已通过省发改审核。</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color w:val="000000"/>
          <w:sz w:val="32"/>
          <w:szCs w:val="32"/>
          <w:lang w:val="en-US" w:eastAsia="zh-CN"/>
        </w:rPr>
        <w:t>（二）守牢底线，抓好“两个统筹”有力有为。</w:t>
      </w:r>
      <w:r>
        <w:rPr>
          <w:rFonts w:hint="eastAsia" w:ascii="仿宋" w:hAnsi="仿宋" w:eastAsia="仿宋" w:cs="仿宋"/>
          <w:b w:val="0"/>
          <w:bCs w:val="0"/>
          <w:color w:val="auto"/>
          <w:kern w:val="0"/>
          <w:sz w:val="32"/>
          <w:szCs w:val="32"/>
          <w:lang w:val="en-US" w:eastAsia="zh-CN"/>
        </w:rPr>
        <w:t>坚持统筹疫情防控和经济社会发展，统筹发展和安全，坚决做到“疫情要防住、经济要稳住、发展要安全”，面对三年来最复杂、最严峻的新冠疫情，在建工地在株洲主城区率先实现复工复产，努力降低了疫情的影响。</w:t>
      </w:r>
      <w:r>
        <w:rPr>
          <w:rFonts w:hint="eastAsia" w:ascii="仿宋" w:hAnsi="仿宋" w:eastAsia="仿宋" w:cs="仿宋"/>
          <w:b w:val="0"/>
          <w:bCs w:val="0"/>
          <w:color w:val="000000"/>
          <w:sz w:val="32"/>
          <w:szCs w:val="32"/>
          <w:lang w:val="en-US" w:eastAsia="zh-CN"/>
        </w:rPr>
        <w:t>安全生产有保障。</w:t>
      </w:r>
      <w:r>
        <w:rPr>
          <w:rFonts w:hint="eastAsia" w:ascii="仿宋" w:hAnsi="仿宋" w:eastAsia="仿宋" w:cs="仿宋"/>
          <w:sz w:val="32"/>
          <w:szCs w:val="32"/>
          <w:lang w:val="en-US" w:eastAsia="zh-CN"/>
        </w:rPr>
        <w:t>严格落实在建项目各</w:t>
      </w:r>
      <w:r>
        <w:rPr>
          <w:rFonts w:hint="eastAsia" w:ascii="仿宋" w:hAnsi="仿宋" w:eastAsia="仿宋" w:cs="仿宋"/>
          <w:sz w:val="32"/>
          <w:szCs w:val="32"/>
          <w:lang w:eastAsia="zh-CN"/>
        </w:rPr>
        <w:t>责任主体</w:t>
      </w:r>
      <w:r>
        <w:rPr>
          <w:rFonts w:hint="eastAsia" w:ascii="仿宋" w:hAnsi="仿宋" w:eastAsia="仿宋" w:cs="仿宋"/>
          <w:sz w:val="32"/>
          <w:szCs w:val="32"/>
          <w:lang w:val="en-US" w:eastAsia="zh-CN"/>
        </w:rPr>
        <w:t>的责任，</w:t>
      </w:r>
      <w:r>
        <w:rPr>
          <w:rFonts w:hint="eastAsia" w:ascii="仿宋" w:hAnsi="仿宋" w:eastAsia="仿宋" w:cs="仿宋"/>
          <w:sz w:val="32"/>
          <w:szCs w:val="32"/>
          <w:lang w:eastAsia="zh-CN"/>
        </w:rPr>
        <w:t>将</w:t>
      </w:r>
      <w:r>
        <w:rPr>
          <w:rFonts w:hint="eastAsia" w:ascii="仿宋" w:hAnsi="仿宋" w:eastAsia="仿宋" w:cs="仿宋"/>
          <w:sz w:val="32"/>
          <w:szCs w:val="32"/>
          <w:lang w:val="en-US" w:eastAsia="zh-CN"/>
        </w:rPr>
        <w:t>质量</w:t>
      </w:r>
      <w:r>
        <w:rPr>
          <w:rFonts w:hint="eastAsia" w:ascii="仿宋" w:hAnsi="仿宋" w:eastAsia="仿宋" w:cs="仿宋"/>
          <w:sz w:val="32"/>
          <w:szCs w:val="32"/>
          <w:lang w:eastAsia="zh-CN"/>
        </w:rPr>
        <w:t>安全监督</w:t>
      </w:r>
      <w:r>
        <w:rPr>
          <w:rFonts w:hint="eastAsia" w:ascii="仿宋" w:hAnsi="仿宋" w:eastAsia="仿宋" w:cs="仿宋"/>
          <w:sz w:val="32"/>
          <w:szCs w:val="32"/>
          <w:lang w:val="en-US" w:eastAsia="zh-CN"/>
        </w:rPr>
        <w:t>管理</w:t>
      </w:r>
      <w:r>
        <w:rPr>
          <w:rFonts w:hint="eastAsia" w:ascii="仿宋" w:hAnsi="仿宋" w:eastAsia="仿宋" w:cs="仿宋"/>
          <w:sz w:val="32"/>
          <w:szCs w:val="32"/>
          <w:lang w:eastAsia="zh-CN"/>
        </w:rPr>
        <w:t>工作规范化、制度化</w:t>
      </w:r>
      <w:r>
        <w:rPr>
          <w:rFonts w:hint="eastAsia" w:ascii="仿宋" w:hAnsi="仿宋" w:eastAsia="仿宋" w:cs="仿宋"/>
          <w:sz w:val="32"/>
          <w:szCs w:val="32"/>
          <w:lang w:val="en-US" w:eastAsia="zh-CN"/>
        </w:rPr>
        <w:t>，2022年未发生一起人员伤亡事故。持续加强燃气企业安全生产指导和检查，督促餐饮、机关、企事业单位安装可燃气体报警装置485个，安装率98.5%，一个月内牵头完成整治环保油餐饮使用单位111家，工作经验全市推介。扛稳保交楼整治责任，稳妥有序化解房地产领域风险隐患。</w:t>
      </w:r>
      <w:r>
        <w:rPr>
          <w:rFonts w:hint="eastAsia" w:ascii="仿宋" w:hAnsi="仿宋" w:eastAsia="仿宋" w:cs="仿宋"/>
          <w:sz w:val="32"/>
          <w:szCs w:val="32"/>
        </w:rPr>
        <w:t>我区共排查自建房7.7万栋，其中经营性自建房2166栋</w:t>
      </w:r>
      <w:r>
        <w:rPr>
          <w:rFonts w:hint="eastAsia" w:ascii="仿宋" w:hAnsi="仿宋" w:eastAsia="仿宋" w:cs="仿宋"/>
          <w:sz w:val="32"/>
          <w:szCs w:val="32"/>
          <w:lang w:eastAsia="zh-CN"/>
        </w:rPr>
        <w:t>，初判存在一般安全隐患</w:t>
      </w:r>
      <w:r>
        <w:rPr>
          <w:rFonts w:hint="eastAsia" w:ascii="仿宋" w:hAnsi="仿宋" w:eastAsia="仿宋" w:cs="仿宋"/>
          <w:sz w:val="32"/>
          <w:szCs w:val="32"/>
          <w:lang w:val="en-US" w:eastAsia="zh-CN"/>
        </w:rPr>
        <w:t>1013栋，存在严重安全隐患274栋，</w:t>
      </w:r>
      <w:r>
        <w:rPr>
          <w:rFonts w:hint="eastAsia" w:ascii="仿宋" w:hAnsi="仿宋" w:eastAsia="仿宋" w:cs="仿宋"/>
          <w:sz w:val="32"/>
          <w:szCs w:val="32"/>
        </w:rPr>
        <w:t>完成各类鉴定1422栋</w:t>
      </w:r>
      <w:r>
        <w:rPr>
          <w:rFonts w:hint="eastAsia" w:ascii="仿宋" w:hAnsi="仿宋" w:eastAsia="仿宋" w:cs="仿宋"/>
          <w:sz w:val="32"/>
          <w:szCs w:val="32"/>
          <w:lang w:eastAsia="zh-CN"/>
        </w:rPr>
        <w:t>，</w:t>
      </w:r>
      <w:r>
        <w:rPr>
          <w:rFonts w:hint="eastAsia" w:ascii="仿宋" w:hAnsi="仿宋" w:eastAsia="仿宋" w:cs="仿宋"/>
          <w:sz w:val="32"/>
          <w:szCs w:val="32"/>
        </w:rPr>
        <w:t>结构安全隐患销号率94%，</w:t>
      </w:r>
      <w:r>
        <w:rPr>
          <w:rFonts w:hint="eastAsia" w:ascii="仿宋" w:hAnsi="仿宋" w:eastAsia="仿宋" w:cs="仿宋"/>
          <w:b w:val="0"/>
          <w:bCs w:val="0"/>
          <w:sz w:val="32"/>
          <w:szCs w:val="32"/>
        </w:rPr>
        <w:t>消防安全隐患销号率93.27%，合法合规性隐患销号1</w:t>
      </w:r>
      <w:r>
        <w:rPr>
          <w:rFonts w:hint="eastAsia" w:ascii="仿宋" w:hAnsi="仿宋" w:eastAsia="仿宋" w:cs="仿宋"/>
          <w:b w:val="0"/>
          <w:bCs w:val="0"/>
          <w:sz w:val="32"/>
          <w:szCs w:val="32"/>
          <w:lang w:val="en-US" w:eastAsia="zh-CN"/>
        </w:rPr>
        <w:t>81</w:t>
      </w:r>
      <w:r>
        <w:rPr>
          <w:rFonts w:hint="eastAsia" w:ascii="仿宋" w:hAnsi="仿宋" w:eastAsia="仿宋" w:cs="仿宋"/>
          <w:b w:val="0"/>
          <w:bCs w:val="0"/>
          <w:sz w:val="32"/>
          <w:szCs w:val="32"/>
        </w:rPr>
        <w:t>栋，经营安全隐患销号率达100%。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sz w:val="32"/>
          <w:szCs w:val="32"/>
          <w:lang w:val="en-US" w:eastAsia="zh-CN"/>
        </w:rPr>
        <w:t>（三）改革创新，营商环境不断优化。主动服务有提升。</w:t>
      </w:r>
      <w:r>
        <w:rPr>
          <w:rFonts w:hint="eastAsia" w:ascii="仿宋" w:hAnsi="仿宋" w:eastAsia="仿宋" w:cs="仿宋"/>
          <w:sz w:val="32"/>
          <w:szCs w:val="32"/>
          <w:lang w:val="en-US" w:eastAsia="zh-CN"/>
        </w:rPr>
        <w:t>牵头全区工程项目审批制度改革，出台《株洲市渌口区推进工程建设项目线上审批“全流程、全覆盖”工作机制的实施方案》《关于进一步细化《株洲市渌口区营商环境（办理建筑许可）评价重点工作任务》的通知》等文件，坚持减流程、减时限、减材料，努力实现全流程全覆盖，持续推行“竣工即交证”、“交房即交证”、“拿地即开工”、“水电气集中报装”。</w:t>
      </w:r>
      <w:r>
        <w:rPr>
          <w:rFonts w:hint="eastAsia" w:ascii="仿宋" w:hAnsi="仿宋" w:eastAsia="仿宋" w:cs="仿宋"/>
          <w:b w:val="0"/>
          <w:bCs w:val="0"/>
          <w:color w:val="000000"/>
          <w:sz w:val="32"/>
          <w:szCs w:val="32"/>
          <w:lang w:val="en-US" w:eastAsia="zh-CN"/>
        </w:rPr>
        <w:t>“渌口工匠”彰显活力。</w:t>
      </w:r>
      <w:r>
        <w:rPr>
          <w:rFonts w:hint="eastAsia" w:ascii="仿宋" w:hAnsi="仿宋" w:eastAsia="仿宋" w:cs="仿宋"/>
          <w:sz w:val="32"/>
          <w:szCs w:val="32"/>
          <w:lang w:val="en-US" w:eastAsia="zh-CN"/>
        </w:rPr>
        <w:t>配合区人才办开展渌口区2022年首届“渌口工匠”评选活动，我区株洲跃达建筑工程有限责任公司技术负责人沈明霞获评“渌口工匠”称号，湖南建都建筑工程有限公司木工陈洪汀获“渌口工匠”提名。</w:t>
      </w:r>
    </w:p>
    <w:p>
      <w:pPr>
        <w:pStyle w:val="15"/>
        <w:ind w:firstLine="640"/>
        <w:jc w:val="left"/>
        <w:rPr>
          <w:rFonts w:hint="eastAsia" w:ascii="仿宋" w:hAnsi="仿宋" w:eastAsia="仿宋" w:cs="仿宋"/>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（四）用心用情，民生事业水平不断提高。危房改造成效明显。</w:t>
      </w:r>
      <w:r>
        <w:rPr>
          <w:rFonts w:hint="eastAsia" w:ascii="仿宋" w:hAnsi="仿宋" w:eastAsia="仿宋" w:cs="仿宋"/>
          <w:sz w:val="32"/>
          <w:szCs w:val="32"/>
          <w:lang w:val="en-US" w:eastAsia="zh-CN"/>
        </w:rPr>
        <w:t>危房改造省厅下达任务数20户，已全部竣工验收。</w:t>
      </w:r>
      <w:r>
        <w:rPr>
          <w:rFonts w:hint="eastAsia" w:ascii="仿宋" w:hAnsi="仿宋" w:eastAsia="仿宋" w:cs="仿宋"/>
          <w:b w:val="0"/>
          <w:bCs w:val="0"/>
          <w:color w:val="000000"/>
          <w:kern w:val="2"/>
          <w:sz w:val="32"/>
          <w:szCs w:val="32"/>
          <w:lang w:val="en-US" w:eastAsia="zh-CN" w:bidi="ar-SA"/>
        </w:rPr>
        <w:t>规范村民建房全力推进。</w:t>
      </w:r>
      <w:r>
        <w:rPr>
          <w:rFonts w:hint="eastAsia" w:ascii="仿宋" w:hAnsi="仿宋" w:eastAsia="仿宋" w:cs="仿宋"/>
          <w:sz w:val="32"/>
          <w:szCs w:val="32"/>
          <w:lang w:val="en-US" w:eastAsia="zh-CN"/>
        </w:rPr>
        <w:t>全力推进规范村民建房，努力破解观念</w:t>
      </w:r>
      <w:r>
        <w:rPr>
          <w:rFonts w:hint="eastAsia" w:ascii="仿宋" w:hAnsi="仿宋" w:eastAsia="仿宋" w:cs="仿宋"/>
          <w:kern w:val="2"/>
          <w:sz w:val="32"/>
          <w:szCs w:val="32"/>
          <w:lang w:val="en-US" w:eastAsia="zh-CN" w:bidi="ar-SA"/>
        </w:rPr>
        <w:t>转变、部门协同、风貌统一、工匠管理等工作难题，全区8月份以后农村新建规范化房屋120栋，为推动农村村庄规划建设管理探索了可行路径、贡献了渌口经验。</w:t>
      </w:r>
      <w:r>
        <w:rPr>
          <w:rFonts w:hint="eastAsia" w:ascii="仿宋" w:hAnsi="仿宋" w:eastAsia="仿宋" w:cs="仿宋"/>
          <w:b w:val="0"/>
          <w:bCs w:val="0"/>
          <w:color w:val="000000"/>
          <w:kern w:val="2"/>
          <w:sz w:val="32"/>
          <w:szCs w:val="32"/>
          <w:lang w:val="en-US" w:eastAsia="zh-CN" w:bidi="ar-SA"/>
        </w:rPr>
        <w:t>不断改善水环境质量。</w:t>
      </w:r>
      <w:r>
        <w:rPr>
          <w:rFonts w:hint="eastAsia" w:ascii="仿宋" w:hAnsi="仿宋" w:eastAsia="仿宋" w:cs="仿宋"/>
          <w:kern w:val="2"/>
          <w:sz w:val="32"/>
          <w:szCs w:val="32"/>
          <w:lang w:val="en-US" w:eastAsia="zh-CN" w:bidi="ar-SA"/>
        </w:rPr>
        <w:t>“洞庭清波”“春雷行动”任务完成率100%，全区管网排查</w:t>
      </w:r>
      <w:r>
        <w:rPr>
          <w:rFonts w:hint="eastAsia" w:ascii="仿宋" w:hAnsi="仿宋" w:eastAsia="仿宋" w:cs="仿宋"/>
          <w:kern w:val="0"/>
          <w:sz w:val="32"/>
          <w:szCs w:val="32"/>
          <w:lang w:val="en-US" w:eastAsia="zh-CN" w:bidi="ar-SA"/>
        </w:rPr>
        <w:t>243.919公里，</w:t>
      </w:r>
      <w:r>
        <w:rPr>
          <w:rFonts w:hint="eastAsia" w:ascii="仿宋" w:hAnsi="仿宋" w:eastAsia="仿宋" w:cs="仿宋"/>
          <w:kern w:val="2"/>
          <w:sz w:val="32"/>
          <w:szCs w:val="32"/>
          <w:lang w:val="en-US" w:eastAsia="zh-CN" w:bidi="ar-SA"/>
        </w:rPr>
        <w:t>朱亭、淦田、古岳峰镇污水处理厂配套管网建设共计已完成92%，加大了对整治后黑臭水体的巡查力度，严防返黑返臭，实现“长制久清”。</w:t>
      </w:r>
    </w:p>
    <w:p>
      <w:pPr>
        <w:pStyle w:val="15"/>
        <w:ind w:firstLine="640"/>
        <w:jc w:val="left"/>
        <w:rPr>
          <w:rFonts w:hint="eastAsia" w:ascii="仿宋" w:hAnsi="仿宋" w:eastAsia="仿宋" w:cs="仿宋"/>
          <w:b/>
          <w:bCs/>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（五）坚持党建引领，打造服务型机关。政治坚定、对党忠诚。</w:t>
      </w:r>
      <w:r>
        <w:rPr>
          <w:rFonts w:hint="eastAsia" w:ascii="仿宋" w:hAnsi="仿宋" w:eastAsia="仿宋" w:cs="仿宋"/>
          <w:kern w:val="2"/>
          <w:sz w:val="32"/>
          <w:szCs w:val="32"/>
          <w:lang w:val="en-US" w:eastAsia="zh-CN" w:bidi="ar-SA"/>
        </w:rPr>
        <w:t>深入学习宣传贯彻党的二十大精神。坚定捍卫“两个确立”，坚决做到“两个维护”，以实实在在的行动和看得见摸得着的成效，诠释对党和人民的绝对忠诚。</w:t>
      </w:r>
      <w:r>
        <w:rPr>
          <w:rFonts w:hint="eastAsia" w:ascii="仿宋" w:hAnsi="仿宋" w:eastAsia="仿宋" w:cs="仿宋"/>
          <w:b w:val="0"/>
          <w:bCs w:val="0"/>
          <w:color w:val="000000"/>
          <w:kern w:val="2"/>
          <w:sz w:val="32"/>
          <w:szCs w:val="32"/>
          <w:lang w:val="en-US" w:eastAsia="zh-CN" w:bidi="ar-SA"/>
        </w:rPr>
        <w:t>提升本领、强化担当。</w:t>
      </w:r>
      <w:r>
        <w:rPr>
          <w:rFonts w:hint="eastAsia" w:ascii="仿宋" w:hAnsi="仿宋" w:eastAsia="仿宋" w:cs="仿宋"/>
          <w:kern w:val="2"/>
          <w:sz w:val="32"/>
          <w:szCs w:val="32"/>
          <w:lang w:val="en-US" w:eastAsia="zh-CN" w:bidi="ar-SA"/>
        </w:rPr>
        <w:t>扎实开展“干部能力提升年”活动，努力增强“八项本领”、提高“七种能力”。注重源头管控，组织干部职工学习政府投资项目管理规程、政府采购和服务购买等实施细则，推动项目全过程降本增效。派专人与市区各审批部门人员一起赴杭州学习全国工程项目审批制度改革试点城市的先进经验做法，做到更好的优化营商环境。</w:t>
      </w:r>
    </w:p>
    <w:p>
      <w:pPr>
        <w:pStyle w:val="12"/>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由于年初编制预算的不可控性，导致年内预算与实际需求偏差太大，年中部分新项目的启动，编制预算时难以精确预计，在预算执行中造成个别预算项目出现偏差现象，影响预算的控制与执行。</w:t>
      </w:r>
    </w:p>
    <w:p>
      <w:pPr>
        <w:keepNext w:val="0"/>
        <w:keepLines w:val="0"/>
        <w:widowControl w:val="0"/>
        <w:numPr>
          <w:ilvl w:val="0"/>
          <w:numId w:val="3"/>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widowControl/>
        <w:shd w:val="clear" w:color="auto" w:fill="FFFFFF"/>
        <w:spacing w:line="480" w:lineRule="auto"/>
        <w:ind w:firstLine="555"/>
        <w:jc w:val="left"/>
        <w:textAlignment w:val="center"/>
        <w:rPr>
          <w:rFonts w:ascii="宋体" w:hAnsi="宋体" w:cs="宋体"/>
          <w:color w:val="333333"/>
          <w:kern w:val="0"/>
          <w:sz w:val="32"/>
          <w:szCs w:val="32"/>
        </w:rPr>
      </w:pPr>
      <w:r>
        <w:rPr>
          <w:rFonts w:hint="eastAsia" w:ascii="仿宋" w:hAnsi="仿宋" w:eastAsia="仿宋" w:cs="宋体"/>
          <w:color w:val="333333"/>
          <w:kern w:val="0"/>
          <w:sz w:val="32"/>
          <w:szCs w:val="32"/>
        </w:rPr>
        <w:t>一、科学合理地编制部门预算，预算结合本部门的事业发展计划、职责和任务测算，确保部门预算编制真实、准确、完整。</w:t>
      </w:r>
      <w:r>
        <w:rPr>
          <w:rFonts w:ascii="宋体" w:hAnsi="宋体" w:cs="宋体"/>
          <w:color w:val="333333"/>
          <w:kern w:val="0"/>
          <w:sz w:val="32"/>
          <w:szCs w:val="32"/>
        </w:rPr>
        <w:t xml:space="preserve"> </w:t>
      </w:r>
    </w:p>
    <w:p>
      <w:pPr>
        <w:widowControl/>
        <w:shd w:val="clear" w:color="auto" w:fill="FFFFFF"/>
        <w:spacing w:line="480" w:lineRule="auto"/>
        <w:ind w:firstLine="555"/>
        <w:jc w:val="left"/>
        <w:textAlignment w:val="center"/>
        <w:rPr>
          <w:rFonts w:ascii="宋体" w:hAnsi="宋体" w:cs="宋体"/>
          <w:color w:val="333333"/>
          <w:kern w:val="0"/>
          <w:sz w:val="32"/>
          <w:szCs w:val="32"/>
        </w:rPr>
      </w:pPr>
      <w:r>
        <w:rPr>
          <w:rFonts w:hint="eastAsia" w:ascii="仿宋" w:hAnsi="仿宋" w:eastAsia="仿宋" w:cs="宋体"/>
          <w:color w:val="333333"/>
          <w:kern w:val="0"/>
          <w:sz w:val="32"/>
          <w:szCs w:val="32"/>
        </w:rPr>
        <w:t>二、加强政策学习，提高思想认识。组织大家认真学习《预算法》等相关法规、制度，提高单位领导对全面预算管理的重视程度。</w:t>
      </w:r>
    </w:p>
    <w:p>
      <w:pPr>
        <w:widowControl/>
        <w:shd w:val="clear" w:color="auto" w:fill="FFFFFF"/>
        <w:spacing w:line="480" w:lineRule="auto"/>
        <w:ind w:firstLine="555"/>
        <w:jc w:val="left"/>
        <w:textAlignment w:val="center"/>
        <w:rPr>
          <w:rFonts w:hint="default"/>
          <w:lang w:val="en-US"/>
        </w:rPr>
      </w:pPr>
      <w:r>
        <w:rPr>
          <w:rFonts w:hint="eastAsia" w:ascii="仿宋" w:hAnsi="仿宋" w:eastAsia="仿宋" w:cs="宋体"/>
          <w:color w:val="333333"/>
          <w:kern w:val="0"/>
          <w:sz w:val="32"/>
          <w:szCs w:val="32"/>
        </w:rPr>
        <w:t>三、细化预算指标，提高预算科学性。预算编制前根据年度内单位可预见的工作任务，确定单位年度预算目标，细化预算指标，科学合理编制部门预算，推进预算编制科学化、准确化。</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六、绩效自评结果拟应用和公开情况</w:t>
      </w:r>
    </w:p>
    <w:p>
      <w:pPr>
        <w:widowControl/>
        <w:spacing w:line="560" w:lineRule="exact"/>
        <w:ind w:firstLine="640" w:firstLineChars="200"/>
        <w:jc w:val="left"/>
        <w:rPr>
          <w:rFonts w:hint="eastAsia" w:ascii="仿宋" w:hAnsi="仿宋" w:eastAsia="仿宋" w:cs="仿宋_GB2312"/>
          <w:kern w:val="0"/>
          <w:sz w:val="32"/>
          <w:szCs w:val="32"/>
          <w:lang w:bidi="ar"/>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w:t>
      </w:r>
      <w:bookmarkStart w:id="0" w:name="_GoBack"/>
      <w:bookmarkEnd w:id="0"/>
      <w:r>
        <w:rPr>
          <w:rFonts w:hint="eastAsia" w:ascii="Times New Roman" w:hAnsi="Times New Roman" w:eastAsia="仿宋_GB2312" w:cs="Times New Roman"/>
          <w:sz w:val="32"/>
          <w:szCs w:val="32"/>
          <w:lang w:val="en-US" w:eastAsia="zh-CN"/>
        </w:rPr>
        <w:t>并接受社会监督。</w:t>
      </w:r>
      <w:r>
        <w:rPr>
          <w:rFonts w:hint="eastAsia" w:ascii="仿宋" w:hAnsi="仿宋" w:eastAsia="仿宋" w:cs="仿宋_GB2312"/>
          <w:kern w:val="0"/>
          <w:sz w:val="32"/>
          <w:szCs w:val="32"/>
          <w:lang w:bidi="ar"/>
        </w:rPr>
        <w:t>综上所述，项目总体自评分为“100分”，自评级别为优。</w:t>
      </w:r>
    </w:p>
    <w:p>
      <w:pPr>
        <w:pStyle w:val="2"/>
        <w:rPr>
          <w:rFonts w:hint="default"/>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56F5E"/>
    <w:multiLevelType w:val="singleLevel"/>
    <w:tmpl w:val="A2756F5E"/>
    <w:lvl w:ilvl="0" w:tentative="0">
      <w:start w:val="1"/>
      <w:numFmt w:val="chineseCounting"/>
      <w:suff w:val="nothing"/>
      <w:lvlText w:val="（%1）"/>
      <w:lvlJc w:val="left"/>
      <w:rPr>
        <w:rFonts w:hint="eastAsia"/>
      </w:rPr>
    </w:lvl>
  </w:abstractNum>
  <w:abstractNum w:abstractNumId="1">
    <w:nsid w:val="F1582029"/>
    <w:multiLevelType w:val="singleLevel"/>
    <w:tmpl w:val="F1582029"/>
    <w:lvl w:ilvl="0" w:tentative="0">
      <w:start w:val="1"/>
      <w:numFmt w:val="chineseCounting"/>
      <w:suff w:val="nothing"/>
      <w:lvlText w:val="%1、"/>
      <w:lvlJc w:val="left"/>
      <w:rPr>
        <w:rFonts w:hint="eastAsia"/>
      </w:rPr>
    </w:lvl>
  </w:abstractNum>
  <w:abstractNum w:abstractNumId="2">
    <w:nsid w:val="06C2CEFE"/>
    <w:multiLevelType w:val="singleLevel"/>
    <w:tmpl w:val="06C2CEFE"/>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00000000"/>
    <w:rsid w:val="00072C34"/>
    <w:rsid w:val="02B01AF2"/>
    <w:rsid w:val="05436869"/>
    <w:rsid w:val="06826B27"/>
    <w:rsid w:val="0B754EF6"/>
    <w:rsid w:val="0D564DFD"/>
    <w:rsid w:val="0DB57CB4"/>
    <w:rsid w:val="0E8845BE"/>
    <w:rsid w:val="1069454B"/>
    <w:rsid w:val="14274190"/>
    <w:rsid w:val="16180CDF"/>
    <w:rsid w:val="1C9A5481"/>
    <w:rsid w:val="1EA56A9F"/>
    <w:rsid w:val="20221513"/>
    <w:rsid w:val="21C276E9"/>
    <w:rsid w:val="244730B4"/>
    <w:rsid w:val="254C4AC2"/>
    <w:rsid w:val="25C97EC1"/>
    <w:rsid w:val="275D489F"/>
    <w:rsid w:val="27FB3A45"/>
    <w:rsid w:val="2B95569E"/>
    <w:rsid w:val="2CF863E8"/>
    <w:rsid w:val="2E693FEF"/>
    <w:rsid w:val="2EFFB905"/>
    <w:rsid w:val="37A570FA"/>
    <w:rsid w:val="39743AD8"/>
    <w:rsid w:val="3E6A6D4F"/>
    <w:rsid w:val="3FE693AD"/>
    <w:rsid w:val="405B0FF8"/>
    <w:rsid w:val="419A606D"/>
    <w:rsid w:val="4395056D"/>
    <w:rsid w:val="455137CA"/>
    <w:rsid w:val="4A9A5B32"/>
    <w:rsid w:val="4AF01932"/>
    <w:rsid w:val="4DD57ADF"/>
    <w:rsid w:val="4F3BD62E"/>
    <w:rsid w:val="520619D1"/>
    <w:rsid w:val="5248159A"/>
    <w:rsid w:val="524C14DA"/>
    <w:rsid w:val="536974C6"/>
    <w:rsid w:val="53CB15B5"/>
    <w:rsid w:val="577C6C0C"/>
    <w:rsid w:val="590F614C"/>
    <w:rsid w:val="5B9A003C"/>
    <w:rsid w:val="60D938AF"/>
    <w:rsid w:val="6186789B"/>
    <w:rsid w:val="63416D0D"/>
    <w:rsid w:val="63B32BC4"/>
    <w:rsid w:val="64CB5136"/>
    <w:rsid w:val="6AE205B9"/>
    <w:rsid w:val="6B0851D1"/>
    <w:rsid w:val="70083AFE"/>
    <w:rsid w:val="727E41FD"/>
    <w:rsid w:val="77B909F0"/>
    <w:rsid w:val="78540864"/>
    <w:rsid w:val="79867A7B"/>
    <w:rsid w:val="7B79037B"/>
    <w:rsid w:val="7DDD25C1"/>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toc 5"/>
    <w:basedOn w:val="1"/>
    <w:next w:val="1"/>
    <w:qFormat/>
    <w:uiPriority w:val="0"/>
    <w:pPr>
      <w:ind w:left="1680" w:leftChars="800"/>
    </w:pPr>
    <w:rPr>
      <w:rFonts w:ascii="Times New Roman" w:hAnsi="Times New Roman" w:cs="Calibri"/>
    </w:rPr>
  </w:style>
  <w:style w:type="paragraph" w:styleId="4">
    <w:name w:val="Body Text"/>
    <w:basedOn w:val="1"/>
    <w:link w:val="13"/>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5">
    <w:name w:val="Body Text Indent"/>
    <w:basedOn w:val="1"/>
    <w:next w:val="6"/>
    <w:uiPriority w:val="0"/>
    <w:pPr>
      <w:spacing w:after="120"/>
      <w:ind w:left="420" w:leftChars="200"/>
    </w:pPr>
    <w:rPr>
      <w:rFonts w:ascii="Times New Roman" w:hAnsi="Times New Roman" w:eastAsia="宋体" w:cs="Times New Roman"/>
      <w:szCs w:val="24"/>
    </w:r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7">
    <w:name w:val="Body Text First Indent 2"/>
    <w:basedOn w:val="5"/>
    <w:next w:val="8"/>
    <w:qFormat/>
    <w:uiPriority w:val="0"/>
    <w:pPr>
      <w:tabs>
        <w:tab w:val="left" w:pos="0"/>
        <w:tab w:val="left" w:pos="540"/>
        <w:tab w:val="left" w:pos="630"/>
        <w:tab w:val="left" w:pos="1440"/>
      </w:tabs>
      <w:adjustRightInd/>
      <w:spacing w:after="120" w:line="360" w:lineRule="auto"/>
      <w:ind w:left="420" w:leftChars="200" w:firstLine="420" w:firstLineChars="200"/>
      <w:textAlignment w:val="auto"/>
    </w:pPr>
    <w:rPr>
      <w:rFonts w:ascii="Times New Roman" w:hAnsi="Times New Roman" w:eastAsia="宋体" w:cs="Times New Roman"/>
      <w:kern w:val="0"/>
      <w:sz w:val="20"/>
      <w:szCs w:val="20"/>
    </w:rPr>
  </w:style>
  <w:style w:type="paragraph" w:customStyle="1" w:styleId="8">
    <w:name w:val="正文1"/>
    <w:uiPriority w:val="0"/>
    <w:pPr>
      <w:jc w:val="both"/>
    </w:pPr>
    <w:rPr>
      <w:rFonts w:ascii="Times New Roman" w:hAnsi="Times New Roman" w:eastAsia="宋体" w:cs="Times New Roman"/>
      <w:kern w:val="2"/>
      <w:sz w:val="21"/>
      <w:szCs w:val="21"/>
      <w:lang w:val="en-US" w:eastAsia="zh-CN" w:bidi="ar-SA"/>
    </w:rPr>
  </w:style>
  <w:style w:type="character" w:customStyle="1" w:styleId="11">
    <w:name w:val="标题 1 Char"/>
    <w:basedOn w:val="10"/>
    <w:link w:val="3"/>
    <w:qFormat/>
    <w:uiPriority w:val="0"/>
    <w:rPr>
      <w:rFonts w:hint="default" w:ascii="Calibri" w:hAnsi="Calibri" w:cs="Calibri"/>
      <w:b/>
      <w:bCs/>
      <w:kern w:val="44"/>
      <w:sz w:val="44"/>
      <w:szCs w:val="44"/>
    </w:rPr>
  </w:style>
  <w:style w:type="paragraph" w:customStyle="1" w:styleId="12">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3">
    <w:name w:val="正文文本 Char"/>
    <w:basedOn w:val="10"/>
    <w:link w:val="4"/>
    <w:qFormat/>
    <w:uiPriority w:val="0"/>
    <w:rPr>
      <w:rFonts w:hint="eastAsia" w:ascii="宋体" w:hAnsi="宋体" w:eastAsia="宋体" w:cs="宋体"/>
      <w:kern w:val="2"/>
      <w:sz w:val="33"/>
      <w:szCs w:val="33"/>
    </w:rPr>
  </w:style>
  <w:style w:type="character" w:customStyle="1" w:styleId="14">
    <w:name w:val="NormalCharacter"/>
    <w:semiHidden/>
    <w:qFormat/>
    <w:uiPriority w:val="0"/>
    <w:rPr>
      <w:rFonts w:ascii="Calibri" w:hAnsi="Calibri" w:eastAsia="宋体" w:cs="Times New Roman"/>
      <w:kern w:val="2"/>
      <w:sz w:val="21"/>
      <w:szCs w:val="24"/>
      <w:lang w:val="en-US" w:eastAsia="zh-CN" w:bidi="ar-SA"/>
    </w:rPr>
  </w:style>
  <w:style w:type="paragraph" w:customStyle="1" w:styleId="1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3490</Words>
  <Characters>3799</Characters>
  <Lines>0</Lines>
  <Paragraphs>0</Paragraphs>
  <TotalTime>0</TotalTime>
  <ScaleCrop>false</ScaleCrop>
  <LinksUpToDate>false</LinksUpToDate>
  <CharactersWithSpaces>3851</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2023-03-31T03:20:00Z</cp:lastPrinted>
  <dcterms:modified xsi:type="dcterms:W3CDTF">2023-04-25T08:06:47Z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EED5D6D83E0944EF85A4087E4EA8D0A2</vt:lpwstr>
  </property>
</Properties>
</file>