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kern w:val="0"/>
          <w:sz w:val="44"/>
          <w:szCs w:val="44"/>
          <w:lang w:val="en-US"/>
        </w:rPr>
      </w:pPr>
      <w:r>
        <w:rPr>
          <w:rFonts w:hint="eastAsia" w:ascii="仿宋" w:hAnsi="仿宋" w:eastAsia="仿宋" w:cs="仿宋"/>
          <w:kern w:val="0"/>
          <w:sz w:val="44"/>
          <w:szCs w:val="44"/>
          <w:lang w:val="en-US" w:eastAsia="zh-CN" w:bidi="ar"/>
        </w:rPr>
        <w:t>部门整体支出绩效自评表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kern w:val="0"/>
          <w:szCs w:val="21"/>
          <w:lang w:val="en-US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"/>
        </w:rPr>
        <w:t>（2022年度）</w:t>
      </w:r>
    </w:p>
    <w:tbl>
      <w:tblPr>
        <w:tblStyle w:val="9"/>
        <w:tblW w:w="10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377"/>
        <w:gridCol w:w="1111"/>
        <w:gridCol w:w="293"/>
        <w:gridCol w:w="547"/>
        <w:gridCol w:w="580"/>
        <w:gridCol w:w="951"/>
        <w:gridCol w:w="1056"/>
        <w:gridCol w:w="767"/>
        <w:gridCol w:w="880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预算部门名称</w:t>
            </w:r>
          </w:p>
        </w:tc>
        <w:tc>
          <w:tcPr>
            <w:tcW w:w="80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株洲市渌口区自然资源局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年度预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算申请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Cs w:val="21"/>
                <w:lang w:val="en-US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全年  预算数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年度资金总额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2790.13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2790.13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shd w:val="clear" w:fill="FFFFFF"/>
                <w:lang w:val="en-US" w:eastAsia="zh-CN"/>
              </w:rPr>
              <w:t>18727.03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8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按收入性质分：</w:t>
            </w:r>
          </w:p>
        </w:tc>
        <w:tc>
          <w:tcPr>
            <w:tcW w:w="4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8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  其中：  一般公共预算：</w:t>
            </w:r>
          </w:p>
        </w:tc>
        <w:tc>
          <w:tcPr>
            <w:tcW w:w="4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其中：基本支出：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shd w:val="clear" w:fill="FFFFFF"/>
                <w:lang w:val="en-US" w:eastAsia="zh-CN"/>
              </w:rPr>
              <w:t>2048.73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8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840" w:firstLineChars="40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政府性基金拨款：</w:t>
            </w:r>
          </w:p>
        </w:tc>
        <w:tc>
          <w:tcPr>
            <w:tcW w:w="4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项目支出：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shd w:val="clear" w:fill="FFFFFF"/>
                <w:lang w:val="en-US" w:eastAsia="zh-CN"/>
              </w:rPr>
              <w:t>16678.3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8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纳入专户管理的非税收入拨款：</w:t>
            </w:r>
          </w:p>
        </w:tc>
        <w:tc>
          <w:tcPr>
            <w:tcW w:w="4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8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470" w:firstLineChars="70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其他资金：</w:t>
            </w:r>
          </w:p>
        </w:tc>
        <w:tc>
          <w:tcPr>
            <w:tcW w:w="4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8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8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依法履行全民所有土地、矿产、森林、湿地、水等自然资源资产所有者职责和国土空间用途管制职责。组织实施党中央关于自然资源和规划工作的方针政策和决策。负责自然资源统一确权登记工作；负责自然资源调查监测评价；负责自然资源资产有偿使用工作；负责自然资源的合理开发利用；负责区域城乡规划实施管理；负责组织实施最严格的耕地保护制度。　　</w:t>
            </w:r>
          </w:p>
        </w:tc>
        <w:tc>
          <w:tcPr>
            <w:tcW w:w="4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依法履行全民所有土地、矿产、森林、湿地、水等自然资源资产所有者职责和国土空间用途管制职责。组织实施党中央关于自然资源和规划工作的方针政策和决策。负责自然资源统一确权登记工作；负责自然资源调查监测评价；负责自然资源资产有偿使用工作；负责自然资源的合理开发利用；负责区域城乡规划实施管理；负责组织实施最严格的耕地保护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(50分)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预算保障范围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机关8个股室及9个二级机构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质量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支出的相关性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项目的实际支出与预算批复的用途相符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时效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项目执行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按文件政策要求按时启动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成本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基本支出和项目支出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基本支出1285.63万元和项目支出17423.38万元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（30分）　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经济效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土地出让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完成年度土地出让财政收入目标任务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互联网+不动产登记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建立集成统一的网上“一窗办事”平台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自然资源整体保护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建立全区耕地保护监测监管体系，建设绿色矿山。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满意度指标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公众满意度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88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88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kern w:val="2"/>
          <w:sz w:val="44"/>
          <w:szCs w:val="44"/>
          <w:lang w:val="en-US" w:eastAsia="zh-CN" w:bidi="ar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kern w:val="2"/>
          <w:sz w:val="44"/>
          <w:szCs w:val="44"/>
          <w:lang w:val="en-US" w:eastAsia="zh-CN" w:bidi="ar"/>
        </w:rPr>
      </w:pPr>
    </w:p>
    <w:p>
      <w:pPr>
        <w:pStyle w:val="3"/>
        <w:rPr>
          <w:rFonts w:hint="eastAsia" w:ascii="仿宋" w:hAnsi="仿宋" w:eastAsia="仿宋" w:cs="仿宋"/>
          <w:b w:val="0"/>
          <w:bCs w:val="0"/>
          <w:kern w:val="2"/>
          <w:sz w:val="44"/>
          <w:szCs w:val="44"/>
          <w:lang w:val="en-US" w:eastAsia="zh-CN" w:bidi="ar"/>
        </w:rPr>
      </w:pPr>
    </w:p>
    <w:p>
      <w:pPr>
        <w:rPr>
          <w:rFonts w:hint="eastAsia" w:ascii="仿宋" w:hAnsi="仿宋" w:eastAsia="仿宋" w:cs="仿宋"/>
          <w:b w:val="0"/>
          <w:bCs w:val="0"/>
          <w:kern w:val="2"/>
          <w:sz w:val="44"/>
          <w:szCs w:val="44"/>
          <w:lang w:val="en-US" w:eastAsia="zh-CN" w:bidi="ar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kern w:val="2"/>
          <w:sz w:val="44"/>
          <w:szCs w:val="44"/>
          <w:lang w:val="en-US" w:eastAsia="zh-CN" w:bidi="ar"/>
        </w:rPr>
      </w:pPr>
    </w:p>
    <w:p>
      <w:pPr>
        <w:pStyle w:val="3"/>
        <w:rPr>
          <w:rFonts w:hint="eastAsia" w:ascii="仿宋" w:hAnsi="仿宋" w:eastAsia="仿宋" w:cs="仿宋"/>
          <w:b w:val="0"/>
          <w:bCs w:val="0"/>
          <w:kern w:val="2"/>
          <w:sz w:val="44"/>
          <w:szCs w:val="44"/>
          <w:lang w:val="en-US" w:eastAsia="zh-CN" w:bidi="ar"/>
        </w:rPr>
      </w:pPr>
    </w:p>
    <w:p>
      <w:pPr>
        <w:rPr>
          <w:rFonts w:hint="eastAsia" w:ascii="仿宋" w:hAnsi="仿宋" w:eastAsia="仿宋" w:cs="仿宋"/>
          <w:b w:val="0"/>
          <w:bCs w:val="0"/>
          <w:kern w:val="2"/>
          <w:sz w:val="44"/>
          <w:szCs w:val="44"/>
          <w:lang w:val="en-US" w:eastAsia="zh-CN" w:bidi="ar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kern w:val="2"/>
          <w:sz w:val="44"/>
          <w:szCs w:val="44"/>
          <w:lang w:val="en-US" w:eastAsia="zh-CN" w:bidi="ar"/>
        </w:rPr>
      </w:pPr>
    </w:p>
    <w:p>
      <w:pPr>
        <w:pStyle w:val="3"/>
        <w:rPr>
          <w:rFonts w:hint="eastAsia" w:ascii="仿宋" w:hAnsi="仿宋" w:eastAsia="仿宋" w:cs="仿宋"/>
          <w:b w:val="0"/>
          <w:bCs w:val="0"/>
          <w:kern w:val="2"/>
          <w:sz w:val="44"/>
          <w:szCs w:val="44"/>
          <w:lang w:val="en-US" w:eastAsia="zh-CN" w:bidi="ar"/>
        </w:rPr>
      </w:pPr>
    </w:p>
    <w:p>
      <w:pPr>
        <w:rPr>
          <w:rFonts w:hint="eastAsia" w:ascii="仿宋" w:hAnsi="仿宋" w:eastAsia="仿宋" w:cs="仿宋"/>
          <w:b w:val="0"/>
          <w:bCs w:val="0"/>
          <w:kern w:val="2"/>
          <w:sz w:val="44"/>
          <w:szCs w:val="44"/>
          <w:lang w:val="en-US" w:eastAsia="zh-CN" w:bidi="ar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kern w:val="2"/>
          <w:sz w:val="44"/>
          <w:szCs w:val="44"/>
          <w:lang w:val="en-US" w:eastAsia="zh-CN" w:bidi="ar"/>
        </w:rPr>
      </w:pPr>
    </w:p>
    <w:p>
      <w:pPr>
        <w:pStyle w:val="3"/>
        <w:rPr>
          <w:rFonts w:hint="eastAsia" w:ascii="仿宋" w:hAnsi="仿宋" w:eastAsia="仿宋" w:cs="仿宋"/>
          <w:b w:val="0"/>
          <w:bCs w:val="0"/>
          <w:kern w:val="2"/>
          <w:sz w:val="44"/>
          <w:szCs w:val="44"/>
          <w:lang w:val="en-US" w:eastAsia="zh-CN" w:bidi="ar"/>
        </w:rPr>
      </w:pPr>
    </w:p>
    <w:p>
      <w:pPr>
        <w:rPr>
          <w:rFonts w:hint="eastAsia" w:ascii="仿宋" w:hAnsi="仿宋" w:eastAsia="仿宋" w:cs="仿宋"/>
          <w:b w:val="0"/>
          <w:bCs w:val="0"/>
          <w:kern w:val="2"/>
          <w:sz w:val="44"/>
          <w:szCs w:val="44"/>
          <w:lang w:val="en-US" w:eastAsia="zh-CN" w:bidi="ar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kern w:val="2"/>
          <w:sz w:val="44"/>
          <w:szCs w:val="44"/>
          <w:lang w:val="en-US" w:eastAsia="zh-CN" w:bidi="ar"/>
        </w:rPr>
      </w:pPr>
    </w:p>
    <w:p>
      <w:pPr>
        <w:pStyle w:val="3"/>
        <w:rPr>
          <w:rFonts w:hint="eastAsia" w:ascii="仿宋" w:hAnsi="仿宋" w:eastAsia="仿宋" w:cs="仿宋"/>
          <w:b w:val="0"/>
          <w:bCs w:val="0"/>
          <w:kern w:val="2"/>
          <w:sz w:val="44"/>
          <w:szCs w:val="44"/>
          <w:lang w:val="en-US" w:eastAsia="zh-CN" w:bidi="ar"/>
        </w:rPr>
      </w:pPr>
    </w:p>
    <w:p>
      <w:pPr>
        <w:rPr>
          <w:rFonts w:hint="eastAsia" w:ascii="仿宋" w:hAnsi="仿宋" w:eastAsia="仿宋" w:cs="仿宋"/>
          <w:b w:val="0"/>
          <w:bCs w:val="0"/>
          <w:kern w:val="2"/>
          <w:sz w:val="44"/>
          <w:szCs w:val="44"/>
          <w:lang w:val="en-US" w:eastAsia="zh-CN" w:bidi="ar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kern w:val="2"/>
          <w:sz w:val="44"/>
          <w:szCs w:val="44"/>
          <w:lang w:val="en-US" w:eastAsia="zh-CN" w:bidi="ar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right="0" w:firstLine="88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44"/>
          <w:szCs w:val="44"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44"/>
          <w:szCs w:val="44"/>
          <w:lang w:val="en-US" w:eastAsia="zh-CN" w:bidi="ar"/>
        </w:rPr>
        <w:t>部门整体支出绩效自评报告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预算单位基本情况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480" w:lineRule="exact"/>
        <w:ind w:firstLine="640" w:firstLineChars="200"/>
        <w:textAlignment w:val="baseline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渌口区自然资源局</w:t>
      </w: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是区人民政府主管自然资源工作的正科级行政机关，现有股室17个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下设7个副科级、10个股级直属单位，其中1个参照公务员法管理、6个全额拨款单位。</w:t>
      </w:r>
      <w:r>
        <w:rPr>
          <w:rFonts w:hint="eastAsia" w:ascii="仿宋_GB2312" w:hAnsi="仿宋" w:eastAsia="仿宋_GB2312"/>
          <w:sz w:val="32"/>
          <w:szCs w:val="32"/>
        </w:rPr>
        <w:t>全系统共有人员111人，其中在职人员83人，退休人员28人。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一般公共预算支出情况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（一）、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基本支出情况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fill="FFFFFF"/>
        </w:rPr>
        <w:t>年年初预算收入数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2790.13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fill="FFFFFF"/>
        </w:rPr>
        <w:t>万元，其中：一般公共预算拨款收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2790.13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fill="FFFFFF"/>
        </w:rPr>
        <w:t>万元。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fill="FFFFFF"/>
        </w:rPr>
        <w:t>年年初预算支出数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2790.13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fill="FFFFFF"/>
        </w:rPr>
        <w:t>万元，其中：基本支出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fill="FFFFFF"/>
          <w:lang w:val="en-US" w:eastAsia="zh-CN"/>
        </w:rPr>
        <w:t>1103.19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fill="FFFFFF"/>
        </w:rPr>
        <w:t>万元，项目支出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fill="FFFFFF"/>
          <w:lang w:val="en-US" w:eastAsia="zh-CN"/>
        </w:rPr>
        <w:t>1686.94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fill="FFFFFF"/>
        </w:rPr>
        <w:t>万元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fill="FFFFFF"/>
          <w:lang w:val="en-US" w:eastAsia="zh-CN"/>
        </w:rPr>
        <w:t>年中核减支出739.47万元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fill="FFFFFF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项目支出情况</w:t>
      </w:r>
    </w:p>
    <w:p>
      <w:pPr>
        <w:numPr>
          <w:ilvl w:val="0"/>
          <w:numId w:val="0"/>
        </w:numPr>
        <w:snapToGrid w:val="0"/>
        <w:spacing w:line="52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1、城乡社区支出15265.33万元。其中：完成大唐华银项目用地报项目7200万元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土地收储专项资金2000万；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完成2020年土地使用权出让印花税缴纳125.35万元；202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年土地出让评估费168.89万元；南洲储备地2500万元；购买增减挂钩指标费328万元；占补平衡专项1393.52万元；伏波港湾项目收储资金21.78万元；铁航卫校土地征收资金1278.28万元；顺凯公馆项目资金223万元；淦田纸箱厂收储资金26.52万元。</w:t>
      </w:r>
    </w:p>
    <w:p>
      <w:pPr>
        <w:numPr>
          <w:ilvl w:val="0"/>
          <w:numId w:val="0"/>
        </w:numPr>
        <w:snapToGrid w:val="0"/>
        <w:spacing w:line="52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自然资源海洋气象支出1229.37万元。其中：其中城镇地籍修补测10万；房地一体190万元；系统维护与设备117万；评估费144.7万元；集体建设用地基准地价评估34.8万元；2021年征收工作经费602.41万元；矿产专项19.6万元；土地数据采集及资料入库33.28万元；规划研究与编制资金77.58万元。</w:t>
      </w:r>
      <w:bookmarkStart w:id="0" w:name="_GoBack"/>
      <w:bookmarkEnd w:id="0"/>
    </w:p>
    <w:p>
      <w:pPr>
        <w:numPr>
          <w:ilvl w:val="0"/>
          <w:numId w:val="0"/>
        </w:numPr>
        <w:snapToGrid w:val="0"/>
        <w:spacing w:line="52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3、地质灾害防治项目183.60万元。其中：龙潭镇龙潭村枚子组滑坡地质灾害治理工程93.26万元；凤凰山林场不稳定斜坡治理项目57.09万元；地质灾害综合防治体系建设项目33.25万元。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三、部门整体支出绩效情况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fill="FFFFFF"/>
        </w:rPr>
        <w:t>根据渌口区部门预算绩效管理工作考核办法要求，本单位 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fill="FFFFFF"/>
        </w:rPr>
        <w:t>年度部门整体支出绩效自评，共涉及资金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fill="FFFFFF"/>
          <w:lang w:val="en-US" w:eastAsia="zh-CN"/>
        </w:rPr>
        <w:t>18727.03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fill="FFFFFF"/>
        </w:rPr>
        <w:t>万元。其中：基本支出：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fill="FFFFFF"/>
          <w:lang w:val="en-US" w:eastAsia="zh-CN"/>
        </w:rPr>
        <w:t>2048.73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fill="FFFFFF"/>
        </w:rPr>
        <w:t>万元，项目支出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fill="FFFFFF"/>
          <w:lang w:val="en-US" w:eastAsia="zh-CN"/>
        </w:rPr>
        <w:t>16678.30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fill="FFFFFF"/>
        </w:rPr>
        <w:t xml:space="preserve">万元。从评价情况来看，有关项目立项程序完整、规范，预算执行及时、有效，绩效目标得到较好实现，绩效管理水平不断提高，绩效指标体系建设逐渐丰富和完善。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fill="FFFFFF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fill="FFFFFF"/>
        </w:rPr>
        <w:t>经济效益方面：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树牢全生命周期“精准”管理理念，落实“严禁占用永久基本农田和不占、少占耕地”用地要求，经过优化选址，减少占用耕地182亩。全年批回土地1464亩（其中：国有土地1392亩、集体土地72亩），报批一次性通过率40%。供应土地3896.54亩（其中：工业用地750.31亩、居住用地653.64、商业用地10.15亩、公共管理与公共服务用地880.67、交通运输用地98.29亩、教育用地71.48亩，划拨用地1432亩），收储土地2宗61.18亩，及时满足大唐华银、梅子湖三号地块、标准厂房四期等项目用地需求。实施弹性供应土地10宗560.41亩，2022年批供率达91.67%，做到新入市土地利用效益最大化，实现国土收入20.08亿元（其中：基金收入17.52亿元，其他收入2.56亿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fill="FFFFFF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fill="FFFFFF"/>
        </w:rPr>
        <w:t> 社会效益方面：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联合公安、城管、镇村、区内企业，顺利完成全国首部“守护好一江碧水”主题微电影《守护》拍摄工作。率先在全市构建“3+N”田长体系，区、镇、村全面签订耕地保护责任书，层层压实耕地保护责任，入编田长818名，竖立田长制公示牌218块，田长巡田率100%；田长APP激活率100%，运用APP开展巡田率100%。将土地管理“一法一条例一办法”、月清“三地两矿”等自然资源管理业务学习纳入区委党校主体班培训课程，拓宽政策法规宣讲“五进五讲”为“七进七讲”，培训区、镇、村田长600余名，全面提高田长业务水平。配合区委宣传部印发《2022年“保护耕地 渌口行动”宣传方案》，发动社会各界多方式多样式进行耕地保护宣传，推动“村村懂政策、人人守底线”，确保政策执行一贯到底，工作落实一抓到底。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fill="FFFFFF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fill="FFFFFF"/>
        </w:rPr>
        <w:t> 生态效益方面：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全面落实习近平总书记关于生态文明建设重要指示批示精神，华新水泥获国家级绿色矿山称号，湘东泉获省级绿色矿山称号；联兴采石场按时关闭退出，保持绿色矿山覆盖率100%。按照《株洲市渌口区普通建筑材料用砂石土矿专项规划（2019-2025年）》，完成龙门镇洪塘矿区挂牌出让前期工作、龙船镇银牌矿区地质勘查方案评审和勘查队伍招标工作、淦田镇星桥矿区地质勘查方案编制评审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fill="FFFFFF"/>
        </w:rPr>
        <w:t>可持续发展指标：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以健全山水林田湖草沙共同生命体为总则，有序矿权出让，创建绿色矿山，加强生态修复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严守耕地红线，扛牢粮食安全政治责任，树牢自然资源全生命周期管理理念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fill="FFFFFF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fill="FFFFFF"/>
        </w:rPr>
        <w:t>服务对象满意度9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fill="FFFFFF"/>
        </w:rPr>
        <w:t>%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优化不动产登记审批流程，办理时限压缩至2个工作日内，发放不动产权证书 5688本（含宅基地），证明3128份，登簿数量为10275 件（含宅基地），档案查询、出具有房无房证明业务13044 笔，办理抵押登记 2124笔，协税1320.7004万元。实现“交房即交证”小区4个20栋430本，发放地下车位不动产证23本。调查农村宅基地及集体建设用设用地74613宗。落实小微企业优惠政策，清退小微企业不动产登记费9家，4.95万元。出台《渌口区房地产办证信访突出问题领导包案方案》，全面完成2020年-2022年化解任务2527户，化解率100%。全面落实企业在意的优化营商改革。一是加大容缺和服务力度。容缺受理工业项目、基础设施、公共民生工程项目，提前介入规划方案技术审查。采用“地块研究”“控规调整”“方案审查”“土地收储供应”多会合一的方式，缩短审查周期。二是严把方案审查关。通过项目审查，引导项目用地“依山就势、因地制宜、土方内部平衡”，减少建设投入，间接增加项目收益。三是提速办证效率。华旦军民两用新材料产业链项目从签订土地出让合同到取得《不动产权登记证》仅用 3 个工作日，《建设用地规划许可证》《建设工程规划许可证》 和《建筑工程施工许可证》仅用 24 小时，成为“拿标准地即开工”标杆案例，创造了株洲审批速度新纪录。通过“多测合一”、部门协同，将现行工程竣工验收备案后、不动产首次登记之前的流程前置到竣工验收备案前，实现宁骏汽车配件、道勤生物等项目“竣工即交证”，缩短企业拿证投产的时间3至6个月，以优化营商加快资源效益产出速度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after="0"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四、存在的问题及原因分析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土地收储资金、占补平衡和增减挂钩项目资金、规划编制等其他专项项目资金未列入年初预算，导致年中追加指标非常大。严重偏离了预算支出，执行偏离绩效目标的情况。分析其原因主要是区级财政财力不够。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下一步改进措施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73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92" w:rightChars="-44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我局项目较多，资金量较大，涉及面较广、项目专业性较强。绩效管理遵循“谁申请资金，谁编制目标”“谁支出、谁自评”的原则，作为一项具有较高技术含量的工作，要利用专业的知识进行全面地分析，目前大部分项目实施，因单位工作人员绩效管理相关专业能力不强，绩效评价水平有待进一步提高。下一步计划进行绩效管理培训，提高绩效指标设定的科学性和可行性。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项目绩效目标设定与预算编制在上年末一同进行，在此时间节点上，部分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的政策指导和要求尚未出台，绩效目标设定主观性较强，与实际执行情况可能产生一定出入，实际操作比较困难。建议在年初设定绩效目标时说明情况，待项目政策要求出台时再做进一步细化、量化。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六、绩效自评结果拟应用和公开情况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绩效评价结果应用，既是开展绩效评价工作的基本前提，又是加强财政支出管理、增强资金绩效理念、合理配置公共资源、优化财政支出结构、强化资金管理水平、提高资金使用效益的重要手段。为使绩效评价结果得到合理应用，应将此次绩效评价结果作为以后年度建设资金分配的重要依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BE6F8F"/>
    <w:multiLevelType w:val="singleLevel"/>
    <w:tmpl w:val="2DBE6F8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C24415"/>
    <w:multiLevelType w:val="singleLevel"/>
    <w:tmpl w:val="5FC2441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ZjE1YThhMzllMDFkYjk4MzQ1OGRlZTRmZTQ2ZGQifQ=="/>
  </w:docVars>
  <w:rsids>
    <w:rsidRoot w:val="754973A8"/>
    <w:rsid w:val="06816DEC"/>
    <w:rsid w:val="0B155113"/>
    <w:rsid w:val="16310C67"/>
    <w:rsid w:val="1B9E0526"/>
    <w:rsid w:val="29471BA8"/>
    <w:rsid w:val="3BB10CB9"/>
    <w:rsid w:val="4FE919FE"/>
    <w:rsid w:val="59E270F8"/>
    <w:rsid w:val="73B56E2B"/>
    <w:rsid w:val="74310C8B"/>
    <w:rsid w:val="7549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semiHidden/>
    <w:qFormat/>
    <w:uiPriority w:val="99"/>
    <w:pPr>
      <w:ind w:left="800" w:leftChars="800"/>
    </w:pPr>
  </w:style>
  <w:style w:type="paragraph" w:styleId="4">
    <w:name w:val="index 8"/>
    <w:basedOn w:val="1"/>
    <w:next w:val="1"/>
    <w:qFormat/>
    <w:uiPriority w:val="99"/>
    <w:pPr>
      <w:ind w:firstLine="640" w:firstLineChars="200"/>
    </w:pPr>
    <w:rPr>
      <w:rFonts w:ascii="黑体" w:eastAsia="黑体" w:cs="黑体"/>
      <w:sz w:val="32"/>
      <w:szCs w:val="32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toc 5"/>
    <w:basedOn w:val="1"/>
    <w:next w:val="1"/>
    <w:semiHidden/>
    <w:qFormat/>
    <w:uiPriority w:val="99"/>
    <w:pPr>
      <w:ind w:left="1680" w:leftChars="800"/>
    </w:p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8">
    <w:name w:val="Body Text First Indent"/>
    <w:basedOn w:val="5"/>
    <w:qFormat/>
    <w:uiPriority w:val="99"/>
    <w:pPr>
      <w:ind w:firstLine="420" w:firstLineChars="100"/>
    </w:pPr>
  </w:style>
  <w:style w:type="character" w:styleId="11">
    <w:name w:val="FollowedHyperlink"/>
    <w:basedOn w:val="10"/>
    <w:qFormat/>
    <w:uiPriority w:val="0"/>
    <w:rPr>
      <w:color w:val="000000"/>
      <w:u w:val="none"/>
    </w:rPr>
  </w:style>
  <w:style w:type="character" w:styleId="12">
    <w:name w:val="Emphasis"/>
    <w:basedOn w:val="10"/>
    <w:qFormat/>
    <w:uiPriority w:val="0"/>
  </w:style>
  <w:style w:type="character" w:styleId="13">
    <w:name w:val="HTML Definition"/>
    <w:basedOn w:val="10"/>
    <w:qFormat/>
    <w:uiPriority w:val="0"/>
  </w:style>
  <w:style w:type="character" w:styleId="14">
    <w:name w:val="HTML Acronym"/>
    <w:basedOn w:val="10"/>
    <w:qFormat/>
    <w:uiPriority w:val="0"/>
  </w:style>
  <w:style w:type="character" w:styleId="15">
    <w:name w:val="HTML Variable"/>
    <w:basedOn w:val="10"/>
    <w:qFormat/>
    <w:uiPriority w:val="0"/>
  </w:style>
  <w:style w:type="character" w:styleId="16">
    <w:name w:val="Hyperlink"/>
    <w:basedOn w:val="10"/>
    <w:qFormat/>
    <w:uiPriority w:val="0"/>
    <w:rPr>
      <w:color w:val="000000"/>
      <w:u w:val="none"/>
    </w:rPr>
  </w:style>
  <w:style w:type="character" w:styleId="17">
    <w:name w:val="HTML Code"/>
    <w:basedOn w:val="10"/>
    <w:qFormat/>
    <w:uiPriority w:val="0"/>
    <w:rPr>
      <w:rFonts w:ascii="微软雅黑" w:hAnsi="微软雅黑" w:eastAsia="微软雅黑" w:cs="微软雅黑"/>
      <w:color w:val="000000"/>
      <w:sz w:val="24"/>
      <w:szCs w:val="24"/>
    </w:rPr>
  </w:style>
  <w:style w:type="character" w:styleId="18">
    <w:name w:val="HTML Cite"/>
    <w:basedOn w:val="10"/>
    <w:qFormat/>
    <w:uiPriority w:val="0"/>
  </w:style>
  <w:style w:type="paragraph" w:customStyle="1" w:styleId="19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3072</Words>
  <Characters>3438</Characters>
  <Lines>0</Lines>
  <Paragraphs>0</Paragraphs>
  <TotalTime>25</TotalTime>
  <ScaleCrop>false</ScaleCrop>
  <LinksUpToDate>false</LinksUpToDate>
  <CharactersWithSpaces>3558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2022-03-02T08:37:00Z</dcterms:created>
  <dc:creator>Administrator</dc:creator>
  <cp:lastModifiedBy>Administrator</cp:lastModifiedBy>
  <dcterms:modified xsi:type="dcterms:W3CDTF">2023-08-29T10:08:33Z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D6D303C49F0C4D45B1E38A344966A4E6_13</vt:lpwstr>
  </property>
</Properties>
</file>