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委托商业保险公司经办服务费专项支出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现对委托商业保险公司经办服务费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专项资金开展绩效评价，金额为8万元，项目期限为2022年1月至2022年12月，主要通过对近三年特殊药品、特殊门诊、医疗救助的经办业务进行估算，资金拨付等环节开展自我评价。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 w:firstLine="288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firstLine="288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2022年10月8日，区财政局通过渌财预【2022】0004号指标下达委托商业保险公司承办服务专项8万元。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 w:firstLine="288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机关财务将专项资金于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10月份拨付完成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，预算执行率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100%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 w:firstLine="288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项目资金按照专项资金支付流程，提交局班子成员会议研究，经财政业务股室和国库中心审核后，完成资金支付流程，严格执行专款专用。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numPr>
          <w:ilvl w:val="0"/>
          <w:numId w:val="1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7"/>
        <w:numPr>
          <w:ilvl w:val="0"/>
          <w:numId w:val="0"/>
        </w:numPr>
        <w:tabs>
          <w:tab w:val="left" w:pos="1077"/>
        </w:tabs>
        <w:spacing w:line="600" w:lineRule="exact"/>
        <w:ind w:left="780" w:leftChars="0"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我区实际，经测算，全区城乡居民医保特殊药品和特殊门诊每年承办业务支出总额约900万元，从基本医疗保险基金据实支出，医疗救助承办业务量支出总额约1500万元，从医疗救助专项经费据实支出。每年支付8万元经办服务费用用于人保公司日常运行。</w:t>
      </w:r>
    </w:p>
    <w:p>
      <w:pPr>
        <w:pStyle w:val="7"/>
        <w:numPr>
          <w:ilvl w:val="0"/>
          <w:numId w:val="1"/>
        </w:numPr>
        <w:tabs>
          <w:tab w:val="left" w:pos="1077"/>
        </w:tabs>
        <w:spacing w:line="600" w:lineRule="exact"/>
        <w:ind w:left="1084" w:leftChars="0" w:hanging="327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7"/>
        <w:numPr>
          <w:ilvl w:val="0"/>
          <w:numId w:val="0"/>
        </w:numPr>
        <w:tabs>
          <w:tab w:val="left" w:pos="1077"/>
        </w:tabs>
        <w:spacing w:line="600" w:lineRule="exact"/>
        <w:ind w:left="757" w:leftChars="0"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通过项目建设，加强了参保人员特殊药品、特殊门诊就医购药的监督管理。进一步促进了政府职能转变，改革基本公共服务提供模式。</w:t>
      </w:r>
    </w:p>
    <w:p>
      <w:pPr>
        <w:pStyle w:val="7"/>
        <w:numPr>
          <w:ilvl w:val="0"/>
          <w:numId w:val="1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2022年，特门特药、医疗救助对象及保险公司的满意度为95%。</w:t>
      </w:r>
    </w:p>
    <w:p>
      <w:pPr>
        <w:pStyle w:val="6"/>
        <w:widowControl/>
        <w:numPr>
          <w:ilvl w:val="0"/>
          <w:numId w:val="2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2022年度专项资金使用没有偏离绩效目标。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）文件要求</w:t>
      </w:r>
      <w:r>
        <w:rPr>
          <w:rFonts w:eastAsia="仿宋"/>
          <w:sz w:val="32"/>
          <w:szCs w:val="32"/>
        </w:rPr>
        <w:t>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</w:t>
      </w:r>
      <w:bookmarkStart w:id="0" w:name="_GoBack"/>
      <w:bookmarkEnd w:id="0"/>
      <w:r>
        <w:rPr>
          <w:rFonts w:eastAsia="仿宋"/>
          <w:sz w:val="32"/>
          <w:szCs w:val="32"/>
        </w:rPr>
        <w:t>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1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5A3E7CAF"/>
    <w:rsid w:val="03EF1A4F"/>
    <w:rsid w:val="0BF62F5C"/>
    <w:rsid w:val="107B2A15"/>
    <w:rsid w:val="1E5E71AF"/>
    <w:rsid w:val="24C110F1"/>
    <w:rsid w:val="29535109"/>
    <w:rsid w:val="389C262A"/>
    <w:rsid w:val="3F415260"/>
    <w:rsid w:val="484957EA"/>
    <w:rsid w:val="4C7744AD"/>
    <w:rsid w:val="577863AD"/>
    <w:rsid w:val="5A3E7CAF"/>
    <w:rsid w:val="5D6D1F01"/>
    <w:rsid w:val="62A44922"/>
    <w:rsid w:val="6A933BC6"/>
    <w:rsid w:val="6C1F6503"/>
    <w:rsid w:val="6FD277A9"/>
    <w:rsid w:val="708475F2"/>
    <w:rsid w:val="742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106</Pages>
  <Words>800</Words>
  <Characters>849</Characters>
  <Lines>0</Lines>
  <Paragraphs>0</Paragraphs>
  <TotalTime>0</TotalTime>
  <ScaleCrop>false</ScaleCrop>
  <LinksUpToDate>false</LinksUpToDate>
  <CharactersWithSpaces>854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2022-02-16T06:08:00Z</dcterms:created>
  <dc:creator>Administrator</dc:creator>
  <cp:lastModifiedBy>株洲市渌口区医疗保障局</cp:lastModifiedBy>
  <cp:lastPrinted>2023-04-11T06:52:00Z</cp:lastPrinted>
  <dcterms:modified xsi:type="dcterms:W3CDTF">2023-04-12T06:45:47Z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040160101B4443B5AC46B4BD0484D1D2</vt:lpwstr>
  </property>
</Properties>
</file>