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医保服务能力提升补助资金专项支出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绩效自评报告</w:t>
      </w:r>
    </w:p>
    <w:p>
      <w:pPr>
        <w:pStyle w:val="10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10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现对医保服务能力提升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专项资金开展绩效评价，金额为40万元，项目期限为2022年1月至2022年12月，主要通过对服务能力提升、队伍建设、资金拨付等环节开展自我评价。</w:t>
      </w:r>
    </w:p>
    <w:p>
      <w:pPr>
        <w:pStyle w:val="10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0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 w:firstLine="320" w:firstLineChars="1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依据湘财【2021】337号指标，区财政于2022年2月下达我局医疗保障服务能力提升中央财政补助资金40万元（渌财社指【2022】0045号）</w:t>
      </w:r>
    </w:p>
    <w:p>
      <w:pPr>
        <w:pStyle w:val="10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截止2022年10月31日，实际支付40万元，预算执行率达100%，其中4月份支付宣传费用9万元、6月份支付镇级医保工作平台设施设备采购费用7.5980万元、7月份支付基层镇村统一医保服务站牌制作费用0.8880万元、8月份支付镇村两级医保网络铺设费用18.6504万元、10月份支付医保业务培训费用0.7560万元和激活电子医保凭证设备采购费用3.1076万元。</w:t>
      </w:r>
    </w:p>
    <w:p>
      <w:pPr>
        <w:pStyle w:val="10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为科学合法管理资金，我区制定了《关于规范使用2022年中央补助医疗保障服务能力提升项目经费的实施方案》，明确资金使用方向，并依照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区财政有关财经管理文件精神及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内部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财务管理制度规范使用资金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一是资金使用审批手续齐全。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经手人和证明人签字后，股室长初审签字，然后财务审核，主管财务领导审批。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二是资金使用正规合法。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所有商品和服务购买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都</w:t>
      </w:r>
      <w:r>
        <w:rPr>
          <w:rFonts w:hint="eastAsia" w:ascii="仿宋" w:hAnsi="仿宋" w:eastAsia="仿宋" w:cs="仿宋"/>
          <w:sz w:val="32"/>
          <w:szCs w:val="32"/>
        </w:rPr>
        <w:t>通过湖南省政府采购电子卖场进行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三是资金使用民主透明。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专项资金超两万的支出都要经过局党组会议集体讨论，一律附有党组会议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四是资金使用帐表清晰。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按月生成专项资金支出明细表，年终编制项目支出决算表。截止2022年10月底，全面完成专项资金支付后，把专项资金支付的所有帐簿凭证扫描制作成PDF文件，以备上级检查。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五是资金使用监管有效。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使用专项资金，首先要向区财政局报送直接支付申请书，经财政归口业务股室和分管领导盖章签字后，交由国库审批才能使用。每笔支付完成后，都要向归口股室报送支付单，由股室录入中央直达资金监测平台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，接受监管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11"/>
        <w:numPr>
          <w:ilvl w:val="0"/>
          <w:numId w:val="1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年内，共对辖区7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家定点医药机构开展各类检查108家次，</w:t>
      </w:r>
      <w:r>
        <w:rPr>
          <w:rFonts w:hint="eastAsia"/>
          <w:sz w:val="32"/>
          <w:szCs w:val="32"/>
          <w:lang w:val="en-US" w:eastAsia="zh-CN"/>
        </w:rPr>
        <w:t>启动了DRG支付方式改革工作，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将本部门“一件事一次办”36项业务事项全部进驻政务中心综合窗口，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现场培训基层卫生院11家，村级卫生室139家，参训医务人员312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。全区城乡居民参保率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95%。</w:t>
      </w:r>
    </w:p>
    <w:p>
      <w:pPr>
        <w:pStyle w:val="11"/>
        <w:numPr>
          <w:ilvl w:val="0"/>
          <w:numId w:val="0"/>
        </w:numPr>
        <w:tabs>
          <w:tab w:val="left" w:pos="1077"/>
        </w:tabs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11"/>
        <w:numPr>
          <w:ilvl w:val="0"/>
          <w:numId w:val="0"/>
        </w:numPr>
        <w:tabs>
          <w:tab w:val="left" w:pos="1077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有效提升了综合监管、宣传引导、经办服务、信息化建设、人才队伍建设等医疗保障服务能力。</w:t>
      </w:r>
    </w:p>
    <w:p>
      <w:pPr>
        <w:pStyle w:val="11"/>
        <w:numPr>
          <w:ilvl w:val="0"/>
          <w:numId w:val="0"/>
        </w:numPr>
        <w:tabs>
          <w:tab w:val="left" w:pos="1164"/>
        </w:tabs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1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2022年，全区医保服务对象的满意度为95%。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的问题：绩效评价成果运用还不完善，评价结果还不能与业务、决策、监督等环节有效衔接。下阶段，一是认真学习和领会绩效评价工作的内容和内涵，绩效评价既是一项工作的终点，也是指引下阶段工作的起点。二是建立绩效评价运用体制。我局将充分发挥绩效评价工作的作用和意义，让绩效评价工作助推医保各项工作高速发展。</w:t>
      </w:r>
    </w:p>
    <w:p>
      <w:pPr>
        <w:pStyle w:val="10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11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</w:t>
      </w:r>
      <w:bookmarkStart w:id="0" w:name="_GoBack"/>
      <w:bookmarkEnd w:id="0"/>
      <w:r>
        <w:rPr>
          <w:rFonts w:eastAsia="仿宋"/>
          <w:sz w:val="32"/>
          <w:szCs w:val="32"/>
        </w:rPr>
        <w:t>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1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3EF1A4F"/>
    <w:rsid w:val="0BF62F5C"/>
    <w:rsid w:val="0C83724F"/>
    <w:rsid w:val="15E53654"/>
    <w:rsid w:val="1E5E71AF"/>
    <w:rsid w:val="24C110F1"/>
    <w:rsid w:val="29535109"/>
    <w:rsid w:val="389C262A"/>
    <w:rsid w:val="3F415260"/>
    <w:rsid w:val="43180FBE"/>
    <w:rsid w:val="484957EA"/>
    <w:rsid w:val="4C7744AD"/>
    <w:rsid w:val="577863AD"/>
    <w:rsid w:val="5A3E7CAF"/>
    <w:rsid w:val="5D6D1F01"/>
    <w:rsid w:val="62A44922"/>
    <w:rsid w:val="6A933BC6"/>
    <w:rsid w:val="6DF279BC"/>
    <w:rsid w:val="6FD277A9"/>
    <w:rsid w:val="708475F2"/>
    <w:rsid w:val="742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11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107</Pages>
  <Words>1374</Words>
  <Characters>1478</Characters>
  <Lines>0</Lines>
  <Paragraphs>0</Paragraphs>
  <TotalTime>0</TotalTime>
  <ScaleCrop>false</ScaleCrop>
  <LinksUpToDate>false</LinksUpToDate>
  <CharactersWithSpaces>1482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株洲市渌口区医疗保障局</cp:lastModifiedBy>
  <cp:lastPrinted>2023-04-11T07:01:00Z</cp:lastPrinted>
  <dcterms:modified xsi:type="dcterms:W3CDTF">2023-04-12T06:45:05Z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040160101B4443B5AC46B4BD0484D1D2</vt:lpwstr>
  </property>
</Properties>
</file>