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center"/>
        <w:rPr>
          <w:rFonts w:hint="eastAsia" w:ascii="宋体" w:hAnsi="宋体" w:eastAsia="宋体" w:cs="宋体"/>
          <w:kern w:val="2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44"/>
          <w:szCs w:val="44"/>
          <w:lang w:val="en-US" w:eastAsia="zh-CN" w:bidi="ar"/>
        </w:rPr>
        <w:t>株洲市渌口区医疗保障局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center"/>
        <w:rPr>
          <w:rFonts w:hint="eastAsia" w:ascii="宋体" w:hAnsi="宋体" w:eastAsia="宋体" w:cs="宋体"/>
          <w:sz w:val="44"/>
          <w:szCs w:val="44"/>
          <w:lang w:val="en-US"/>
        </w:rPr>
      </w:pPr>
      <w:r>
        <w:rPr>
          <w:rFonts w:hint="eastAsia" w:ascii="宋体" w:hAnsi="宋体" w:eastAsia="宋体" w:cs="宋体"/>
          <w:kern w:val="2"/>
          <w:sz w:val="44"/>
          <w:szCs w:val="44"/>
          <w:lang w:val="en-US" w:eastAsia="zh-CN" w:bidi="ar"/>
        </w:rPr>
        <w:t>2022年度整体支出绩效自评报告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今年以来，在区委、区政府的正确领导下，在上级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主管</w:t>
      </w:r>
      <w:r>
        <w:rPr>
          <w:rFonts w:hint="eastAsia" w:ascii="仿宋" w:hAnsi="仿宋" w:eastAsia="仿宋" w:cs="仿宋"/>
          <w:kern w:val="0"/>
          <w:sz w:val="32"/>
          <w:szCs w:val="32"/>
        </w:rPr>
        <w:t>部门的具体指导下，我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区医保</w:t>
      </w:r>
      <w:r>
        <w:rPr>
          <w:rFonts w:hint="eastAsia" w:ascii="仿宋" w:hAnsi="仿宋" w:eastAsia="仿宋" w:cs="仿宋"/>
          <w:kern w:val="0"/>
          <w:sz w:val="32"/>
          <w:szCs w:val="32"/>
        </w:rPr>
        <w:t>工作紧紧围绕年初既定的工作目标，求真务实，开拓进取，顺利完成了各项工作任务。根据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株洲市渌口区财政局关于做好2022年度区本级财政资金及政府专项债券资金绩效自评工作的通知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渌财通【</w:t>
      </w:r>
      <w:r>
        <w:rPr>
          <w:rFonts w:hint="eastAsia" w:ascii="仿宋" w:hAnsi="仿宋" w:eastAsia="仿宋" w:cs="仿宋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文件精神，为加强做好预算目标绩效管理，我单位在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认真做好</w:t>
      </w:r>
      <w:r>
        <w:rPr>
          <w:rFonts w:hint="eastAsia" w:ascii="仿宋" w:hAnsi="仿宋" w:eastAsia="仿宋" w:cs="仿宋"/>
          <w:kern w:val="0"/>
          <w:sz w:val="32"/>
          <w:szCs w:val="32"/>
        </w:rPr>
        <w:t>工作总结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以及</w:t>
      </w:r>
      <w:r>
        <w:rPr>
          <w:rFonts w:hint="eastAsia" w:ascii="仿宋" w:hAnsi="仿宋" w:eastAsia="仿宋" w:cs="仿宋"/>
          <w:kern w:val="0"/>
          <w:sz w:val="32"/>
          <w:szCs w:val="32"/>
        </w:rPr>
        <w:t>数据收集、整理、汇总、分析、核查等各项工作的基础上，对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单位整体</w:t>
      </w:r>
      <w:r>
        <w:rPr>
          <w:rFonts w:hint="eastAsia" w:ascii="仿宋" w:hAnsi="仿宋" w:eastAsia="仿宋" w:cs="仿宋"/>
          <w:kern w:val="0"/>
          <w:sz w:val="32"/>
          <w:szCs w:val="32"/>
        </w:rPr>
        <w:t>预算资金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</w:rPr>
        <w:t>使用、管理和效益情况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开展</w:t>
      </w:r>
      <w:r>
        <w:rPr>
          <w:rFonts w:hint="eastAsia" w:ascii="仿宋" w:hAnsi="仿宋" w:eastAsia="仿宋" w:cs="仿宋"/>
          <w:kern w:val="0"/>
          <w:sz w:val="32"/>
          <w:szCs w:val="32"/>
        </w:rPr>
        <w:t>自评，情况汇报如下：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right="0" w:firstLine="643" w:firstLineChars="200"/>
        <w:jc w:val="both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>一、预算单位基本情况</w:t>
      </w:r>
    </w:p>
    <w:p>
      <w:pPr>
        <w:snapToGrid w:val="0"/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医保局为行政单位，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实有在职人员30人，其中行政编制6名，参公编制16名，事业编制8名。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内设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个股室，分别为办公室、基金监管法规股、医疗保障信息股、医药价格管理股、行政审批股。下设一个二级机构为区医疗保障事务中心，属副科级公益一类全额拨款事业单位。</w:t>
      </w:r>
    </w:p>
    <w:p>
      <w:pPr>
        <w:spacing w:after="312" w:afterLines="100" w:line="360" w:lineRule="auto"/>
        <w:ind w:left="319" w:leftChars="152" w:firstLine="198" w:firstLineChars="62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4C4C4C"/>
          <w:kern w:val="0"/>
          <w:sz w:val="32"/>
          <w:szCs w:val="32"/>
        </w:rPr>
        <w:t>根据渌办【2019】</w:t>
      </w:r>
      <w:r>
        <w:rPr>
          <w:rFonts w:hint="eastAsia" w:ascii="仿宋" w:hAnsi="仿宋" w:eastAsia="仿宋" w:cs="仿宋"/>
          <w:color w:val="4C4C4C"/>
          <w:kern w:val="0"/>
          <w:sz w:val="32"/>
          <w:szCs w:val="32"/>
          <w:lang w:val="en-US" w:eastAsia="zh-CN"/>
        </w:rPr>
        <w:t>51</w:t>
      </w:r>
      <w:r>
        <w:rPr>
          <w:rFonts w:hint="eastAsia" w:ascii="仿宋" w:hAnsi="仿宋" w:eastAsia="仿宋" w:cs="仿宋"/>
          <w:color w:val="4C4C4C"/>
          <w:kern w:val="0"/>
          <w:sz w:val="32"/>
          <w:szCs w:val="32"/>
        </w:rPr>
        <w:t>号文件规定，本部门主要职责是：</w:t>
      </w:r>
      <w:r>
        <w:rPr>
          <w:rFonts w:hint="eastAsia" w:ascii="仿宋" w:hAnsi="仿宋" w:eastAsia="仿宋" w:cs="仿宋"/>
          <w:color w:val="4C4C4C"/>
          <w:kern w:val="0"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彻落实全市医疗保障政策，拟制定全区相关补充政策等；二是组织制定并实施全区医疗保障基金监督管理办法、医疗保障筹资和待遇政策；三是贯彻落实全省城乡统一的药品、医用耗材、医疗服务项目等医保目录和支付标准，执行全省价格信息监测和信息发布制度；四是依法查处医疗保障领域违法违规行为；五是负责全区医疗保障经办管理、公共服务体系和信息化建设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。</w:t>
      </w:r>
    </w:p>
    <w:p>
      <w:pPr>
        <w:spacing w:after="312" w:afterLines="100" w:line="360" w:lineRule="auto"/>
        <w:ind w:left="319" w:leftChars="152" w:firstLine="198" w:firstLineChars="62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二、一般公共预算支出情况</w:t>
      </w:r>
    </w:p>
    <w:p>
      <w:pPr>
        <w:spacing w:after="312" w:afterLines="100" w:line="360" w:lineRule="auto"/>
        <w:ind w:left="319" w:leftChars="152" w:firstLine="199" w:firstLineChars="62"/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（一）基本支出情况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基本支出</w:t>
      </w:r>
      <w:r>
        <w:rPr>
          <w:rFonts w:hint="eastAsia" w:ascii="仿宋_GB2312" w:hAnsi="仿宋" w:eastAsia="仿宋_GB2312"/>
          <w:sz w:val="32"/>
          <w:szCs w:val="32"/>
        </w:rPr>
        <w:t>年初预算数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490.40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实际预算执行数为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621.16万元。基本支出部分，工资福利支出431.41万元，占比69.45%、商品和服务支出173.76万元，占比27.97%、对个人和家庭的补助5.91万元，占比0.95%、资本性支出10.08万元，占比1.63%。</w:t>
      </w:r>
    </w:p>
    <w:p>
      <w:pPr>
        <w:pStyle w:val="7"/>
        <w:widowControl/>
        <w:spacing w:line="600" w:lineRule="exact"/>
        <w:ind w:left="0" w:leftChars="0" w:firstLine="321" w:firstLineChars="100"/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（二）项目支出情况</w:t>
      </w:r>
    </w:p>
    <w:p>
      <w:pPr>
        <w:snapToGrid w:val="0"/>
        <w:spacing w:line="520" w:lineRule="exact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项目支出</w:t>
      </w:r>
      <w:r>
        <w:rPr>
          <w:rFonts w:hint="eastAsia" w:ascii="仿宋_GB2312" w:hAnsi="仿宋" w:eastAsia="仿宋_GB2312"/>
          <w:sz w:val="32"/>
          <w:szCs w:val="32"/>
        </w:rPr>
        <w:t>年初预算数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预算执行数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323万元。项目支出部分，按功能科目分类，其中其他医疗保障管理事务支出48万元，占比14.86%，财政对其他基本医疗保险基金的补助200万元，占比61.92%，一般行政管理事务75万元，占比23.22%。按项目名称分类，其中筹资工作经费75万元；破产改制企业退休人员医药门诊历史遗留医药费用200万；委托商业保险公司经办服务费8万元；医疗服务与保障能力建设40万元。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600" w:lineRule="exact"/>
        <w:ind w:left="-10" w:leftChars="0" w:right="0" w:firstLine="640" w:firstLineChars="0"/>
        <w:jc w:val="both"/>
        <w:rPr>
          <w:lang w:val="en-US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>部门整体支出绩效情况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通过健全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机制</w:t>
      </w:r>
      <w:r>
        <w:rPr>
          <w:rFonts w:ascii="仿宋_GB2312" w:hAnsi="仿宋" w:eastAsia="仿宋_GB2312"/>
          <w:sz w:val="32"/>
          <w:szCs w:val="32"/>
        </w:rPr>
        <w:t>，完善制度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ascii="仿宋_GB2312" w:hAnsi="仿宋" w:eastAsia="仿宋_GB2312"/>
          <w:sz w:val="32"/>
          <w:szCs w:val="32"/>
        </w:rPr>
        <w:t>严格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审</w:t>
      </w:r>
      <w:r>
        <w:rPr>
          <w:rFonts w:ascii="仿宋_GB2312" w:hAnsi="仿宋" w:eastAsia="仿宋_GB2312"/>
          <w:sz w:val="32"/>
          <w:szCs w:val="32"/>
        </w:rPr>
        <w:t>查，切实保障了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局机关整体预算资金的有效运转和合理使用。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2022年度，我局人员经费、机关运行经费按时到位，业务工作经费充足保障，专项资金及时拨付，各项工作取得了骄人成绩：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一是实现应保尽保。</w:t>
      </w:r>
      <w:r>
        <w:rPr>
          <w:rFonts w:hint="eastAsia" w:ascii="仿宋_GB2312" w:hAnsi="仿宋" w:eastAsia="仿宋_GB2312"/>
          <w:sz w:val="32"/>
          <w:szCs w:val="32"/>
        </w:rPr>
        <w:t>城镇职工医保参保2.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68</w:t>
      </w:r>
      <w:r>
        <w:rPr>
          <w:rFonts w:hint="eastAsia" w:ascii="仿宋_GB2312" w:hAnsi="仿宋" w:eastAsia="仿宋_GB2312"/>
          <w:sz w:val="32"/>
          <w:szCs w:val="32"/>
        </w:rPr>
        <w:t>万人，参保率100%，基金收入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9656</w:t>
      </w:r>
      <w:r>
        <w:rPr>
          <w:rFonts w:hint="eastAsia" w:ascii="仿宋_GB2312" w:hAnsi="仿宋" w:eastAsia="仿宋_GB2312"/>
          <w:sz w:val="32"/>
          <w:szCs w:val="32"/>
        </w:rPr>
        <w:t>万元，基金支出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9321.52</w:t>
      </w:r>
      <w:r>
        <w:rPr>
          <w:rFonts w:hint="eastAsia" w:ascii="仿宋_GB2312" w:hAnsi="仿宋" w:eastAsia="仿宋_GB2312"/>
          <w:sz w:val="32"/>
          <w:szCs w:val="32"/>
        </w:rPr>
        <w:t>万元；城乡居民医保参保2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2.57</w:t>
      </w:r>
      <w:r>
        <w:rPr>
          <w:rFonts w:hint="eastAsia" w:ascii="仿宋_GB2312" w:hAnsi="仿宋" w:eastAsia="仿宋_GB2312"/>
          <w:sz w:val="32"/>
          <w:szCs w:val="32"/>
        </w:rPr>
        <w:t>万人，参保率95%，其中，困难参保26851人，参保率100%，全年基金收入2.09亿元、支出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2.29亿</w:t>
      </w:r>
      <w:r>
        <w:rPr>
          <w:rFonts w:hint="eastAsia" w:ascii="仿宋_GB2312" w:hAnsi="仿宋" w:eastAsia="仿宋_GB2312"/>
          <w:sz w:val="32"/>
          <w:szCs w:val="32"/>
        </w:rPr>
        <w:t>元，圆满完成省、市目标任务，基金支出安全高效。全力确保我区居民新冠疫苗接种，医保基金拨付新冠疫苗费1961.06万元、接种费295.59万元，合计支出2256.65万元，有力保障了人民群众健康，减轻了财政经济负担。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二是实现跨省结算。</w:t>
      </w:r>
      <w:r>
        <w:rPr>
          <w:rFonts w:hint="eastAsia" w:ascii="仿宋_GB2312" w:hAnsi="仿宋" w:eastAsia="仿宋_GB2312"/>
          <w:sz w:val="32"/>
          <w:szCs w:val="32"/>
        </w:rPr>
        <w:t>全区14家医疗机构全部实现跨省住院异地医保联网直接结算，其中已有11家医疗机构实现跨省异地医保门诊联网直接结算。截至目前，我区共有766人次享受到跨省异地就医直接结算931.67万元；累计为区外参保人实现异地就医直接结算423人次，结算金额148.77万元。推动了优质医疗资源共享，减少群众“跑腿垫资”，切实增进民生福祉。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三是内控制度更透明。</w:t>
      </w:r>
      <w:r>
        <w:rPr>
          <w:rFonts w:hint="eastAsia" w:ascii="仿宋_GB2312" w:hAnsi="仿宋" w:eastAsia="仿宋_GB2312"/>
          <w:sz w:val="32"/>
          <w:szCs w:val="32"/>
        </w:rPr>
        <w:t>按照“一岗双审”要求调优相应岗位，出台内控管理、定期轮岗、财务、审核、信息系统管控等制度，建立健全业务、财务、安全和风险管理机制，实现事前、事中、事后的全方位监督；实行“一事双审”，落实初审全覆盖，复审比例不低于总量的5%的制度；重新规范内部审核结算拨付经办流程，建立全流程业务数据月报表，深化审核结算等关键环节的透明管理。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四是基金监管更有力。</w:t>
      </w:r>
      <w:r>
        <w:rPr>
          <w:rFonts w:hint="eastAsia" w:ascii="仿宋_GB2312" w:hAnsi="仿宋" w:eastAsia="仿宋_GB2312"/>
          <w:sz w:val="32"/>
          <w:szCs w:val="32"/>
        </w:rPr>
        <w:t>今年，我区医保基金监管工作在全市排名第一。持续巩固基金监管高压态势，制订《关于进一步规范定点医疗机构医保日常管理的通知》，重抓打击欺诈骗保套保挪用贪占医保基金集中整治“回头看”和“清廉医保”两项整治行动，落实区内定点医药机构现场检查100%全覆盖。全年开展现场检查82家次，约谈机构负责人62次，发现案情2例，追回涉案金额10.9万元，处罚金13.5万元，暂停1家定点医疗机构9个月。创新“部门协同联合出击”监管方式，联合公安、卫健、民政、市监等部门开展联合监管3次，联合查处案件2例，挽回基金损失7万余元。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五是启动DRG支付方式改革。</w:t>
      </w:r>
      <w:r>
        <w:rPr>
          <w:rFonts w:hint="eastAsia" w:ascii="仿宋_GB2312" w:hAnsi="仿宋" w:eastAsia="仿宋_GB2312"/>
          <w:sz w:val="32"/>
          <w:szCs w:val="32"/>
        </w:rPr>
        <w:t>联合区卫健、财政部门制定《株洲市渌口区DRG支付方式改革工作方案》，成立统筹推进DRG改革领导小组，区内医院完成接口，贯标等改造工作，开展DRG政策线上、线下多层次培训，组织第一批DRG支付改革医院评估工作，将区内2家公立医院纳入模拟运行，覆盖率40%以上、付费医疗机构病种覆盖率70%以上、DRG付费医保基金占住院医保基金支出30%以上。</w:t>
      </w:r>
    </w:p>
    <w:p>
      <w:pPr>
        <w:pStyle w:val="7"/>
        <w:widowControl/>
        <w:spacing w:line="600" w:lineRule="exact"/>
        <w:ind w:left="0" w:leftChars="0" w:firstLine="640" w:firstLineChars="200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四、存在的问题及原因分析</w:t>
      </w:r>
    </w:p>
    <w:p>
      <w:pPr>
        <w:pStyle w:val="7"/>
        <w:widowControl/>
        <w:spacing w:line="60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年本单位</w:t>
      </w:r>
      <w:r>
        <w:rPr>
          <w:rFonts w:ascii="仿宋_GB2312" w:hAnsi="仿宋" w:eastAsia="仿宋_GB2312"/>
          <w:sz w:val="32"/>
          <w:szCs w:val="32"/>
        </w:rPr>
        <w:t>预算</w:t>
      </w:r>
      <w:r>
        <w:rPr>
          <w:rFonts w:hint="eastAsia" w:ascii="仿宋_GB2312" w:hAnsi="仿宋" w:eastAsia="仿宋_GB2312"/>
          <w:sz w:val="32"/>
          <w:szCs w:val="32"/>
        </w:rPr>
        <w:t>支出执行没有偏离绩效目标的情况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存在问题是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绩效评价成果运用还不完善，评价结果还不能与业务、决策、监督等环节有效衔接。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>五、下一步改进措施</w:t>
      </w:r>
    </w:p>
    <w:p>
      <w:pPr>
        <w:adjustRightInd w:val="0"/>
        <w:snapToGrid w:val="0"/>
        <w:spacing w:line="520" w:lineRule="exact"/>
        <w:ind w:firstLine="640" w:firstLineChars="200"/>
        <w:outlineLvl w:val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加强</w:t>
      </w:r>
      <w:r>
        <w:rPr>
          <w:rFonts w:ascii="仿宋_GB2312" w:hAnsi="仿宋" w:eastAsia="仿宋_GB2312"/>
          <w:sz w:val="32"/>
          <w:szCs w:val="32"/>
        </w:rPr>
        <w:t>开展预算绩效日常监控</w:t>
      </w:r>
      <w:r>
        <w:rPr>
          <w:rFonts w:hint="eastAsia" w:ascii="仿宋_GB2312" w:hAnsi="仿宋" w:eastAsia="仿宋_GB2312"/>
          <w:sz w:val="32"/>
          <w:szCs w:val="32"/>
        </w:rPr>
        <w:t>，制定具体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工作</w:t>
      </w:r>
      <w:r>
        <w:rPr>
          <w:rFonts w:hint="eastAsia" w:ascii="仿宋_GB2312" w:hAnsi="仿宋" w:eastAsia="仿宋_GB2312"/>
          <w:sz w:val="32"/>
          <w:szCs w:val="32"/>
        </w:rPr>
        <w:t>流程，</w:t>
      </w:r>
      <w:r>
        <w:rPr>
          <w:rFonts w:ascii="仿宋_GB2312" w:hAnsi="仿宋" w:eastAsia="仿宋_GB2312"/>
          <w:sz w:val="32"/>
          <w:szCs w:val="32"/>
        </w:rPr>
        <w:t>定期对绩效监控信息进行收集、审核、分析、汇总、填报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ascii="仿宋_GB2312" w:hAnsi="仿宋" w:eastAsia="仿宋_GB2312"/>
          <w:sz w:val="32"/>
          <w:szCs w:val="32"/>
        </w:rPr>
        <w:t>及时掌握绩效运行情况、资金支出进度等，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同时，进一步</w:t>
      </w:r>
      <w:r>
        <w:rPr>
          <w:rFonts w:hint="eastAsia" w:ascii="仿宋_GB2312" w:hAnsi="仿宋" w:eastAsia="仿宋_GB2312"/>
          <w:sz w:val="32"/>
          <w:szCs w:val="32"/>
        </w:rPr>
        <w:t>做好专项资金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的</w:t>
      </w:r>
      <w:r>
        <w:rPr>
          <w:rFonts w:hint="eastAsia" w:ascii="仿宋_GB2312" w:hAnsi="仿宋" w:eastAsia="仿宋_GB2312"/>
          <w:sz w:val="32"/>
          <w:szCs w:val="32"/>
        </w:rPr>
        <w:t>管理和使用，确保专项资金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及时足额拨付，提高资金使用效益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pStyle w:val="2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eastAsia="黑体"/>
          <w:sz w:val="32"/>
          <w:szCs w:val="32"/>
          <w:lang w:val="en-US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>六、绩效自评结果拟应用和公开情况</w:t>
      </w:r>
    </w:p>
    <w:p>
      <w:pPr>
        <w:ind w:firstLine="640" w:firstLineChars="200"/>
      </w:pPr>
      <w:r>
        <w:rPr>
          <w:rFonts w:eastAsia="仿宋"/>
          <w:sz w:val="32"/>
          <w:szCs w:val="32"/>
        </w:rPr>
        <w:t>按照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渌财通【</w:t>
      </w:r>
      <w:r>
        <w:rPr>
          <w:rFonts w:hint="eastAsia" w:ascii="仿宋" w:hAnsi="仿宋" w:eastAsia="仿宋" w:cs="仿宋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文件</w:t>
      </w:r>
      <w:r>
        <w:rPr>
          <w:rFonts w:eastAsia="仿宋"/>
          <w:sz w:val="32"/>
          <w:szCs w:val="32"/>
        </w:rPr>
        <w:t>要求，认真开展绩效自评工作</w:t>
      </w:r>
      <w:r>
        <w:rPr>
          <w:rFonts w:hint="eastAsia" w:eastAsia="仿宋"/>
          <w:sz w:val="32"/>
          <w:szCs w:val="32"/>
          <w:lang w:eastAsia="zh-CN"/>
        </w:rPr>
        <w:t>，将自评表和自评报告在规定时间内</w:t>
      </w:r>
      <w:r>
        <w:rPr>
          <w:rFonts w:eastAsia="仿宋"/>
          <w:sz w:val="32"/>
          <w:szCs w:val="32"/>
        </w:rPr>
        <w:t>报送至区财政局</w:t>
      </w:r>
      <w:bookmarkStart w:id="0" w:name="_GoBack"/>
      <w:r>
        <w:rPr>
          <w:rFonts w:eastAsia="仿宋"/>
          <w:sz w:val="32"/>
          <w:szCs w:val="32"/>
        </w:rPr>
        <w:t>绩效</w:t>
      </w:r>
      <w:r>
        <w:rPr>
          <w:rFonts w:hint="eastAsia" w:eastAsia="仿宋"/>
          <w:sz w:val="32"/>
          <w:szCs w:val="32"/>
          <w:lang w:eastAsia="zh-CN"/>
        </w:rPr>
        <w:t>管理</w:t>
      </w:r>
      <w:r>
        <w:rPr>
          <w:rFonts w:eastAsia="仿宋"/>
          <w:sz w:val="32"/>
          <w:szCs w:val="32"/>
        </w:rPr>
        <w:t>股</w:t>
      </w:r>
      <w:bookmarkEnd w:id="0"/>
      <w:r>
        <w:rPr>
          <w:rFonts w:eastAsia="仿宋"/>
          <w:sz w:val="32"/>
          <w:szCs w:val="32"/>
        </w:rPr>
        <w:t>，并在门户网站上全文公开</w:t>
      </w:r>
      <w:r>
        <w:rPr>
          <w:rFonts w:hint="eastAsia" w:eastAsia="仿宋"/>
          <w:sz w:val="32"/>
          <w:szCs w:val="32"/>
          <w:lang w:eastAsia="zh-CN"/>
        </w:rPr>
        <w:t>，</w:t>
      </w:r>
      <w:r>
        <w:rPr>
          <w:rFonts w:eastAsia="仿宋"/>
          <w:sz w:val="32"/>
          <w:szCs w:val="32"/>
        </w:rPr>
        <w:t>接受社会公众监督。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17D387"/>
    <w:multiLevelType w:val="singleLevel"/>
    <w:tmpl w:val="4E17D387"/>
    <w:lvl w:ilvl="0" w:tentative="0">
      <w:start w:val="3"/>
      <w:numFmt w:val="chineseCounting"/>
      <w:suff w:val="nothing"/>
      <w:lvlText w:val="%1、"/>
      <w:lvlJc w:val="left"/>
      <w:pPr>
        <w:ind w:left="-10"/>
      </w:pPr>
      <w:rPr>
        <w:rFonts w:hint="eastAsia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wYjEyYjIxMjk1Y2ZmNDk2YWY3YzA4ZGIxMzIzMWQifQ=="/>
  </w:docVars>
  <w:rsids>
    <w:rsidRoot w:val="05D52EAD"/>
    <w:rsid w:val="05D52EAD"/>
    <w:rsid w:val="0A1404AB"/>
    <w:rsid w:val="0B05473F"/>
    <w:rsid w:val="0E45496E"/>
    <w:rsid w:val="174C5858"/>
    <w:rsid w:val="1C8512D5"/>
    <w:rsid w:val="1FB75A33"/>
    <w:rsid w:val="312848AD"/>
    <w:rsid w:val="447A2C84"/>
    <w:rsid w:val="503647EB"/>
    <w:rsid w:val="5C2A1931"/>
    <w:rsid w:val="63587ADB"/>
    <w:rsid w:val="6BB1566B"/>
    <w:rsid w:val="6FFB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79" w:right="0" w:hanging="309"/>
      <w:jc w:val="both"/>
    </w:pPr>
    <w:rPr>
      <w:rFonts w:hint="eastAsia" w:ascii="宋体" w:hAnsi="宋体" w:eastAsia="宋体" w:cs="宋体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2179</Words>
  <Characters>2378</Characters>
  <Lines>0</Lines>
  <Paragraphs>0</Paragraphs>
  <TotalTime>6</TotalTime>
  <ScaleCrop>false</ScaleCrop>
  <LinksUpToDate>false</LinksUpToDate>
  <CharactersWithSpaces>2381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2022-02-16T06:13:00Z</dcterms:created>
  <dc:creator>Administrator</dc:creator>
  <cp:lastModifiedBy>株洲市渌口区医疗保障局</cp:lastModifiedBy>
  <cp:lastPrinted>2023-04-11T07:06:00Z</cp:lastPrinted>
  <dcterms:modified xsi:type="dcterms:W3CDTF">2023-04-12T06:44:41Z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60FD71A67914483494D94E6D60BEFDA4</vt:lpwstr>
  </property>
</Properties>
</file>