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3"/>
        <w:tblpPr w:leftFromText="180" w:rightFromText="180" w:vertAnchor="text" w:horzAnchor="page" w:tblpX="910" w:tblpY="291"/>
        <w:tblOverlap w:val="never"/>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1"/>
        <w:gridCol w:w="1172"/>
        <w:gridCol w:w="1059"/>
        <w:gridCol w:w="1223"/>
        <w:gridCol w:w="1096"/>
        <w:gridCol w:w="1188"/>
        <w:gridCol w:w="784"/>
        <w:gridCol w:w="851"/>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73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基本公共卫生和计划免疫服务</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34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主管部门</w:t>
            </w:r>
          </w:p>
        </w:tc>
        <w:tc>
          <w:tcPr>
            <w:tcW w:w="23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eastAsia" w:ascii="Times New Roman" w:hAnsi="Times New Roman" w:eastAsia="仿宋_GB2312" w:cs="Times New Roman"/>
                <w:color w:val="auto"/>
                <w:kern w:val="0"/>
                <w:szCs w:val="21"/>
                <w:lang w:val="en-US" w:eastAsia="zh-CN"/>
              </w:rPr>
              <w:t>渌口区卫生健康局</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实施单位</w:t>
            </w:r>
          </w:p>
        </w:tc>
        <w:tc>
          <w:tcPr>
            <w:tcW w:w="3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auto"/>
                <w:kern w:val="0"/>
                <w:sz w:val="21"/>
                <w:szCs w:val="21"/>
                <w:lang w:val="en-US" w:eastAsia="zh-CN" w:bidi="ar-SA"/>
              </w:rPr>
            </w:pPr>
            <w:r>
              <w:rPr>
                <w:rFonts w:hint="eastAsia" w:ascii="Times New Roman" w:hAnsi="Times New Roman" w:eastAsia="仿宋_GB2312" w:cs="Times New Roman"/>
                <w:color w:val="auto"/>
                <w:kern w:val="0"/>
                <w:szCs w:val="21"/>
                <w:lang w:eastAsia="zh-CN"/>
              </w:rPr>
              <w:t>渌口区疾病预防控制中心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项目  资金</w:t>
            </w:r>
            <w:r>
              <w:rPr>
                <w:rFonts w:hint="default" w:ascii="Times New Roman" w:hAnsi="Times New Roman" w:eastAsia="仿宋_GB2312" w:cs="Times New Roman"/>
                <w:color w:val="auto"/>
                <w:kern w:val="0"/>
                <w:sz w:val="21"/>
                <w:szCs w:val="21"/>
                <w:highlight w:val="none"/>
                <w:lang w:val="en-US" w:eastAsia="zh-CN" w:bidi="ar"/>
              </w:rPr>
              <w:br w:type="textWrapping"/>
            </w:r>
            <w:r>
              <w:rPr>
                <w:rFonts w:hint="default" w:ascii="Times New Roman" w:hAnsi="Times New Roman" w:eastAsia="仿宋_GB2312" w:cs="Times New Roman"/>
                <w:color w:val="auto"/>
                <w:kern w:val="0"/>
                <w:sz w:val="21"/>
                <w:szCs w:val="21"/>
                <w:highlight w:val="none"/>
                <w:lang w:val="en-US" w:eastAsia="zh-CN" w:bidi="ar"/>
              </w:rPr>
              <w:t>（万元）</w:t>
            </w:r>
          </w:p>
        </w:tc>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预算数</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预算数</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Cs w:val="21"/>
                <w:highlight w:val="none"/>
                <w:lang w:val="en-US"/>
              </w:rPr>
            </w:pPr>
            <w:r>
              <w:rPr>
                <w:rFonts w:hint="default" w:ascii="Times New Roman" w:hAnsi="Times New Roman" w:eastAsia="仿宋_GB2312" w:cs="Times New Roman"/>
                <w:color w:val="auto"/>
                <w:kern w:val="2"/>
                <w:sz w:val="21"/>
                <w:szCs w:val="21"/>
                <w:highlight w:val="none"/>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Cs w:val="21"/>
                <w:highlight w:val="none"/>
                <w:lang w:val="en-US"/>
              </w:rPr>
            </w:pPr>
            <w:r>
              <w:rPr>
                <w:rFonts w:hint="default" w:ascii="Times New Roman" w:hAnsi="Times New Roman" w:eastAsia="仿宋_GB2312" w:cs="Times New Roman"/>
                <w:color w:val="auto"/>
                <w:kern w:val="2"/>
                <w:sz w:val="21"/>
                <w:szCs w:val="21"/>
                <w:highlight w:val="none"/>
                <w:lang w:val="en-US" w:eastAsia="zh-CN" w:bidi="ar"/>
              </w:rPr>
              <w:t>执行数</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Cs w:val="21"/>
                <w:highlight w:val="none"/>
                <w:lang w:val="en-US"/>
              </w:rPr>
            </w:pPr>
            <w:r>
              <w:rPr>
                <w:rFonts w:hint="default" w:ascii="Times New Roman" w:hAnsi="Times New Roman" w:eastAsia="仿宋_GB2312" w:cs="Times New Roman"/>
                <w:color w:val="auto"/>
                <w:kern w:val="2"/>
                <w:sz w:val="21"/>
                <w:szCs w:val="21"/>
                <w:highlight w:val="none"/>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Cs w:val="21"/>
                <w:highlight w:val="none"/>
                <w:lang w:val="en-US"/>
              </w:rPr>
            </w:pPr>
            <w:r>
              <w:rPr>
                <w:rFonts w:hint="default" w:ascii="Times New Roman" w:hAnsi="Times New Roman" w:eastAsia="仿宋_GB2312" w:cs="Times New Roman"/>
                <w:color w:val="auto"/>
                <w:kern w:val="2"/>
                <w:sz w:val="21"/>
                <w:szCs w:val="21"/>
                <w:highlight w:val="none"/>
                <w:lang w:val="en-US" w:eastAsia="zh-CN" w:bidi="ar"/>
              </w:rPr>
              <w:t>执行率</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Cs w:val="21"/>
                <w:highlight w:val="none"/>
                <w:lang w:val="en-US"/>
              </w:rPr>
            </w:pPr>
            <w:r>
              <w:rPr>
                <w:rFonts w:hint="default" w:ascii="Times New Roman" w:hAnsi="Times New Roman" w:eastAsia="仿宋_GB2312" w:cs="Times New Roman"/>
                <w:color w:val="auto"/>
                <w:kern w:val="2"/>
                <w:sz w:val="21"/>
                <w:szCs w:val="21"/>
                <w:highlight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年度资金总额　</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20万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bidi="ar-SA"/>
              </w:rPr>
              <w:t>34.72万</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bidi="ar-SA"/>
              </w:rPr>
              <w:t>34.72万</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eastAsia" w:ascii="Times New Roman" w:hAnsi="Times New Roman" w:eastAsia="仿宋_GB2312" w:cs="Times New Roman"/>
                <w:color w:val="auto"/>
                <w:kern w:val="0"/>
                <w:sz w:val="21"/>
                <w:szCs w:val="21"/>
                <w:highlight w:val="none"/>
                <w:lang w:val="en-US" w:eastAsia="zh-CN" w:bidi="ar"/>
              </w:rPr>
              <w:t>100%</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r>
              <w:rPr>
                <w:rFonts w:hint="eastAsia" w:ascii="Times New Roman" w:hAnsi="Times New Roman" w:eastAsia="仿宋_GB2312" w:cs="Times New Roman"/>
                <w:color w:val="auto"/>
                <w:kern w:val="0"/>
                <w:sz w:val="21"/>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其中：当年财政拨款　</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20万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bidi="ar-SA"/>
              </w:rPr>
              <w:t>34.72万</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bidi="ar-SA"/>
              </w:rPr>
              <w:t>34.72万</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上年结转资金　</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highlight w:val="none"/>
                <w:lang w:val="en-US"/>
              </w:rPr>
            </w:pP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SA"/>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0"/>
                <w:sz w:val="21"/>
                <w:szCs w:val="21"/>
                <w:highlight w:val="none"/>
                <w:lang w:val="en-US" w:eastAsia="zh-CN" w:bidi="ar-SA"/>
              </w:rPr>
            </w:pP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其他资金</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highlight w:val="none"/>
                <w:lang w:val="en-US"/>
              </w:rPr>
            </w:pPr>
            <w:r>
              <w:rPr>
                <w:rFonts w:hint="default" w:ascii="Times New Roman" w:hAnsi="Times New Roman" w:eastAsia="仿宋_GB2312" w:cs="Times New Roman"/>
                <w:color w:val="auto"/>
                <w:kern w:val="0"/>
                <w:sz w:val="21"/>
                <w:szCs w:val="21"/>
                <w:highlight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4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360" w:firstLineChars="200"/>
              <w:jc w:val="left"/>
              <w:rPr>
                <w:rFonts w:hint="eastAsia" w:ascii="Times New Roman" w:hAnsi="Times New Roman" w:eastAsia="仿宋_GB2312" w:cs="Times New Roman"/>
                <w:color w:val="auto"/>
                <w:kern w:val="0"/>
                <w:sz w:val="18"/>
                <w:szCs w:val="18"/>
                <w:lang w:eastAsia="zh-CN"/>
              </w:rPr>
            </w:pPr>
            <w:r>
              <w:rPr>
                <w:rFonts w:hint="eastAsia" w:ascii="Times New Roman" w:hAnsi="Times New Roman" w:eastAsia="仿宋_GB2312" w:cs="Times New Roman"/>
                <w:color w:val="auto"/>
                <w:kern w:val="0"/>
                <w:sz w:val="18"/>
                <w:szCs w:val="18"/>
                <w:lang w:eastAsia="zh-CN"/>
              </w:rPr>
              <w:t>有效开展传染病防治和卫生应急处置工作，及时妥善应对突发事件。确保区内</w:t>
            </w:r>
            <w:r>
              <w:rPr>
                <w:rFonts w:hint="eastAsia" w:ascii="Times New Roman" w:hAnsi="Times New Roman" w:eastAsia="仿宋_GB2312" w:cs="Times New Roman"/>
                <w:color w:val="auto"/>
                <w:kern w:val="0"/>
                <w:sz w:val="18"/>
                <w:szCs w:val="18"/>
                <w:lang w:val="en-US" w:eastAsia="zh-CN"/>
              </w:rPr>
              <w:t>无突发公共卫生事件报告、无重大传染病出现二代病例。</w:t>
            </w:r>
          </w:p>
          <w:p>
            <w:pPr>
              <w:widowControl/>
              <w:spacing w:line="240" w:lineRule="exact"/>
              <w:ind w:firstLine="360" w:firstLineChars="200"/>
              <w:jc w:val="left"/>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继续巩固无脊灰状态；推进消除麻疹工作进程，无</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color w:val="auto"/>
                <w:kern w:val="0"/>
                <w:sz w:val="18"/>
                <w:szCs w:val="18"/>
              </w:rPr>
              <w:t>麻疹暴发疫情发生；乙肝、乙脑、流脑等国家免疫规划疫苗针对传染病发病率控制在国家、省级要求之内　</w:t>
            </w:r>
            <w:r>
              <w:rPr>
                <w:rFonts w:hint="eastAsia" w:ascii="Times New Roman" w:hAnsi="Times New Roman" w:eastAsia="仿宋_GB2312" w:cs="Times New Roman"/>
                <w:color w:val="auto"/>
                <w:kern w:val="0"/>
                <w:sz w:val="18"/>
                <w:szCs w:val="18"/>
                <w:lang w:eastAsia="zh-CN"/>
              </w:rPr>
              <w:t>；麻疹监测、AFP监测、乙脑监测、流脑监测、AEFI监测、常规免疫接种率监测、疫苗和注射器管理、免疫规划信息系统运行质量、基础数据及资料的报告等免疫规划各项工作指标及管理要求达到省/市级每月量化考评标准。</w:t>
            </w:r>
            <w:r>
              <w:rPr>
                <w:rFonts w:hint="default" w:ascii="Times New Roman" w:hAnsi="Times New Roman" w:eastAsia="仿宋_GB2312" w:cs="Times New Roman"/>
                <w:color w:val="C00000"/>
                <w:kern w:val="0"/>
                <w:sz w:val="18"/>
                <w:szCs w:val="18"/>
              </w:rPr>
              <w:t>　</w:t>
            </w:r>
            <w:r>
              <w:rPr>
                <w:rFonts w:hint="default" w:ascii="Times New Roman" w:hAnsi="Times New Roman" w:eastAsia="仿宋_GB2312" w:cs="Times New Roman"/>
                <w:kern w:val="0"/>
                <w:sz w:val="18"/>
                <w:szCs w:val="18"/>
                <w:lang w:val="en-US" w:eastAsia="zh-CN" w:bidi="ar"/>
              </w:rPr>
              <w:t>　　</w:t>
            </w:r>
          </w:p>
        </w:tc>
        <w:tc>
          <w:tcPr>
            <w:tcW w:w="44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firstLine="360" w:firstLineChars="200"/>
              <w:jc w:val="left"/>
              <w:rPr>
                <w:rFonts w:hint="eastAsia" w:ascii="Times New Roman" w:hAnsi="Times New Roman" w:eastAsia="仿宋_GB2312" w:cs="Times New Roman"/>
                <w:color w:val="C00000"/>
                <w:kern w:val="0"/>
                <w:sz w:val="18"/>
                <w:szCs w:val="18"/>
                <w:lang w:eastAsia="zh-CN"/>
              </w:rPr>
            </w:pPr>
            <w:r>
              <w:rPr>
                <w:rFonts w:hint="eastAsia" w:ascii="Times New Roman" w:hAnsi="Times New Roman" w:eastAsia="仿宋_GB2312" w:cs="Times New Roman"/>
                <w:color w:val="auto"/>
                <w:kern w:val="0"/>
                <w:sz w:val="18"/>
                <w:szCs w:val="18"/>
                <w:lang w:eastAsia="zh-CN"/>
              </w:rPr>
              <w:t>区内</w:t>
            </w:r>
            <w:r>
              <w:rPr>
                <w:rFonts w:hint="eastAsia" w:ascii="Times New Roman" w:hAnsi="Times New Roman" w:eastAsia="仿宋_GB2312" w:cs="Times New Roman"/>
                <w:color w:val="auto"/>
                <w:kern w:val="0"/>
                <w:sz w:val="18"/>
                <w:szCs w:val="18"/>
                <w:lang w:val="en-US" w:eastAsia="zh-CN"/>
              </w:rPr>
              <w:t>无突发公共卫生事件报告、无重大传染病出现二代病例。</w:t>
            </w:r>
          </w:p>
          <w:p>
            <w:pPr>
              <w:keepNext w:val="0"/>
              <w:keepLines w:val="0"/>
              <w:widowControl/>
              <w:suppressLineNumbers w:val="0"/>
              <w:spacing w:before="0" w:beforeAutospacing="0" w:after="0" w:afterAutospacing="0"/>
              <w:ind w:left="0" w:right="0" w:firstLine="360" w:firstLineChars="20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color w:val="auto"/>
                <w:kern w:val="0"/>
                <w:sz w:val="18"/>
                <w:szCs w:val="18"/>
              </w:rPr>
              <w:t>全</w:t>
            </w:r>
            <w:r>
              <w:rPr>
                <w:rFonts w:hint="eastAsia" w:ascii="Times New Roman" w:hAnsi="Times New Roman" w:eastAsia="仿宋_GB2312" w:cs="Times New Roman"/>
                <w:color w:val="auto"/>
                <w:kern w:val="0"/>
                <w:sz w:val="18"/>
                <w:szCs w:val="18"/>
                <w:lang w:eastAsia="zh-CN"/>
              </w:rPr>
              <w:t>区</w:t>
            </w:r>
            <w:r>
              <w:rPr>
                <w:rFonts w:hint="default" w:ascii="Times New Roman" w:hAnsi="Times New Roman" w:eastAsia="仿宋_GB2312" w:cs="Times New Roman"/>
                <w:color w:val="auto"/>
                <w:kern w:val="0"/>
                <w:sz w:val="18"/>
                <w:szCs w:val="18"/>
              </w:rPr>
              <w:t>继续维持无脊灰状态，无麻疹、流脑、乙脑、白喉、新生儿破伤风病例报告；</w:t>
            </w:r>
            <w:r>
              <w:rPr>
                <w:rFonts w:hint="eastAsia" w:ascii="Times New Roman" w:hAnsi="Times New Roman" w:eastAsia="仿宋_GB2312" w:cs="Times New Roman"/>
                <w:color w:val="auto"/>
                <w:kern w:val="0"/>
                <w:sz w:val="18"/>
                <w:szCs w:val="18"/>
                <w:lang w:eastAsia="zh-CN"/>
              </w:rPr>
              <w:t>常规免疫接种率监测、疫苗和注射器管理、免疫规划信息系统运行质量、基础数据及资料的报告等免疫规划各项工作指标及管理达到省/市级每月量化考评标准。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建证建卡数</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1079</w:t>
            </w:r>
          </w:p>
        </w:tc>
        <w:tc>
          <w:tcPr>
            <w:tcW w:w="7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免疫规划疫苗接种数</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21129</w:t>
            </w:r>
          </w:p>
        </w:tc>
        <w:tc>
          <w:tcPr>
            <w:tcW w:w="78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建证建卡率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7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r>
              <w:rPr>
                <w:rFonts w:hint="default" w:ascii="Times New Roman" w:hAnsi="Times New Roman" w:eastAsia="仿宋_GB2312" w:cs="Times New Roman"/>
                <w:kern w:val="0"/>
                <w:sz w:val="21"/>
                <w:szCs w:val="21"/>
                <w:lang w:val="en-US" w:eastAsia="zh-CN" w:bidi="ar"/>
              </w:rPr>
              <w:t>　</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卡证相符率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98.25%</w:t>
            </w:r>
          </w:p>
        </w:tc>
        <w:tc>
          <w:tcPr>
            <w:tcW w:w="78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免疫规划疫苗接种率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≥95%</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99.83%</w:t>
            </w:r>
          </w:p>
        </w:tc>
        <w:tc>
          <w:tcPr>
            <w:tcW w:w="78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传染病疫情报告及时率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78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传染病和突发公共卫生事件相关信息报告率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8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传染病疫情报告率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8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适龄儿童入学入托接种证查验率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color w:val="auto"/>
                <w:kern w:val="0"/>
                <w:sz w:val="18"/>
                <w:szCs w:val="18"/>
                <w:lang w:val="en-US" w:eastAsia="zh-CN"/>
              </w:rPr>
              <w:t>100%</w:t>
            </w:r>
          </w:p>
        </w:tc>
        <w:tc>
          <w:tcPr>
            <w:tcW w:w="78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漏种儿童免疫规划疫苗单苗全程补种完成率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Style w:val="6"/>
                <w:rFonts w:hint="eastAsia" w:ascii="仿宋" w:hAnsi="仿宋" w:eastAsia="仿宋" w:cs="仿宋"/>
                <w:color w:val="auto"/>
                <w:sz w:val="18"/>
                <w:szCs w:val="18"/>
                <w:lang w:val="en-US" w:eastAsia="zh-CN" w:bidi="ar"/>
              </w:rPr>
              <w:t>≧95</w:t>
            </w:r>
            <w:r>
              <w:rPr>
                <w:rStyle w:val="9"/>
                <w:rFonts w:hint="eastAsia" w:ascii="仿宋" w:hAnsi="仿宋" w:eastAsia="仿宋" w:cs="仿宋"/>
                <w:color w:val="auto"/>
                <w:sz w:val="18"/>
                <w:szCs w:val="18"/>
                <w:lang w:val="en-US" w:eastAsia="zh-CN" w:bidi="ar"/>
              </w:rPr>
              <w:t>%</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i w:val="0"/>
                <w:iCs w:val="0"/>
                <w:color w:val="auto"/>
                <w:kern w:val="0"/>
                <w:sz w:val="18"/>
                <w:szCs w:val="18"/>
                <w:u w:val="none"/>
                <w:lang w:val="en-US" w:eastAsia="zh-CN" w:bidi="ar"/>
              </w:rPr>
              <w:t>100%</w:t>
            </w:r>
          </w:p>
        </w:tc>
        <w:tc>
          <w:tcPr>
            <w:tcW w:w="78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default" w:ascii="仿宋" w:hAnsi="仿宋" w:eastAsia="仿宋" w:cs="仿宋"/>
                <w:i w:val="0"/>
                <w:iCs w:val="0"/>
                <w:color w:val="auto"/>
                <w:kern w:val="0"/>
                <w:sz w:val="18"/>
                <w:szCs w:val="18"/>
                <w:u w:val="none"/>
                <w:lang w:val="en-US" w:eastAsia="zh-CN" w:bidi="ar"/>
              </w:rPr>
              <w:t>适龄儿童纳入信息系统管理率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i w:val="0"/>
                <w:iCs w:val="0"/>
                <w:color w:val="auto"/>
                <w:kern w:val="0"/>
                <w:sz w:val="18"/>
                <w:szCs w:val="18"/>
                <w:u w:val="none"/>
                <w:lang w:val="en-US" w:eastAsia="zh-CN" w:bidi="ar"/>
              </w:rPr>
              <w:t>100%</w:t>
            </w:r>
          </w:p>
        </w:tc>
        <w:tc>
          <w:tcPr>
            <w:tcW w:w="78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default" w:ascii="仿宋" w:hAnsi="仿宋" w:eastAsia="仿宋" w:cs="仿宋"/>
                <w:i w:val="0"/>
                <w:iCs w:val="0"/>
                <w:color w:val="auto"/>
                <w:kern w:val="0"/>
                <w:sz w:val="18"/>
                <w:szCs w:val="18"/>
                <w:u w:val="none"/>
                <w:lang w:val="en-US" w:eastAsia="zh-CN" w:bidi="ar"/>
              </w:rPr>
              <w:t>重点疫苗针对传染病监测</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i w:val="0"/>
                <w:iCs w:val="0"/>
                <w:color w:val="auto"/>
                <w:kern w:val="0"/>
                <w:sz w:val="18"/>
                <w:szCs w:val="18"/>
                <w:u w:val="none"/>
                <w:lang w:val="en-US" w:eastAsia="zh-CN" w:bidi="ar"/>
              </w:rPr>
              <w:t>100%</w:t>
            </w:r>
          </w:p>
        </w:tc>
        <w:tc>
          <w:tcPr>
            <w:tcW w:w="78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i w:val="0"/>
                <w:iCs w:val="0"/>
                <w:color w:val="auto"/>
                <w:kern w:val="0"/>
                <w:sz w:val="18"/>
                <w:szCs w:val="18"/>
                <w:u w:val="none"/>
                <w:lang w:val="en-US" w:eastAsia="zh-CN" w:bidi="ar"/>
              </w:rPr>
            </w:pPr>
            <w:r>
              <w:rPr>
                <w:rFonts w:hint="default" w:ascii="仿宋" w:hAnsi="仿宋" w:eastAsia="仿宋" w:cs="仿宋"/>
                <w:i w:val="0"/>
                <w:iCs w:val="0"/>
                <w:color w:val="auto"/>
                <w:kern w:val="0"/>
                <w:sz w:val="18"/>
                <w:szCs w:val="18"/>
                <w:u w:val="none"/>
                <w:lang w:val="en-US" w:eastAsia="zh-CN" w:bidi="ar"/>
              </w:rPr>
              <w:t>疑似预防接种异常反应规范处置率</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i w:val="0"/>
                <w:iCs w:val="0"/>
                <w:color w:val="auto"/>
                <w:kern w:val="0"/>
                <w:sz w:val="18"/>
                <w:szCs w:val="18"/>
                <w:u w:val="none"/>
                <w:lang w:val="en-US" w:eastAsia="zh-CN" w:bidi="ar"/>
              </w:rPr>
            </w:pPr>
            <w:r>
              <w:rPr>
                <w:rFonts w:hint="eastAsia" w:ascii="Times New Roman" w:hAnsi="Times New Roman" w:eastAsia="仿宋_GB2312" w:cs="Times New Roman"/>
                <w:color w:val="auto"/>
                <w:kern w:val="0"/>
                <w:sz w:val="18"/>
                <w:szCs w:val="18"/>
                <w:lang w:val="en-US" w:eastAsia="zh-CN"/>
              </w:rPr>
              <w:t>100%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100%</w:t>
            </w:r>
          </w:p>
        </w:tc>
        <w:tc>
          <w:tcPr>
            <w:tcW w:w="78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疫苗及冷链管理</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i w:val="0"/>
                <w:iCs w:val="0"/>
                <w:color w:val="auto"/>
                <w:kern w:val="0"/>
                <w:sz w:val="18"/>
                <w:szCs w:val="18"/>
                <w:u w:val="none"/>
                <w:lang w:val="en-US" w:eastAsia="zh-CN" w:bidi="ar"/>
              </w:rPr>
            </w:pPr>
            <w:r>
              <w:rPr>
                <w:rFonts w:hint="eastAsia" w:ascii="Times New Roman" w:hAnsi="Times New Roman" w:eastAsia="仿宋_GB2312" w:cs="Times New Roman"/>
                <w:color w:val="auto"/>
                <w:kern w:val="0"/>
                <w:sz w:val="18"/>
                <w:szCs w:val="18"/>
                <w:lang w:val="en-US" w:eastAsia="zh-CN"/>
              </w:rPr>
              <w:t>100%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100%</w:t>
            </w:r>
          </w:p>
        </w:tc>
        <w:tc>
          <w:tcPr>
            <w:tcW w:w="78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项目资金支付时间</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2022年</w:t>
            </w:r>
            <w:r>
              <w:rPr>
                <w:rFonts w:hint="default" w:ascii="Times New Roman" w:hAnsi="Times New Roman" w:eastAsia="仿宋_GB2312" w:cs="Times New Roman"/>
                <w:kern w:val="0"/>
                <w:szCs w:val="21"/>
                <w:lang w:val="en-US" w:eastAsia="zh-CN"/>
              </w:rPr>
              <w:t>　</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2022年</w:t>
            </w:r>
            <w:r>
              <w:rPr>
                <w:rFonts w:hint="default" w:ascii="Times New Roman" w:hAnsi="Times New Roman" w:eastAsia="仿宋_GB2312" w:cs="Times New Roman"/>
                <w:kern w:val="0"/>
                <w:szCs w:val="21"/>
                <w:lang w:val="en-US" w:eastAsia="zh-CN"/>
              </w:rPr>
              <w:t>　</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年底部分资金仍未安排支付</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成本指标</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财政资金保障</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32.61万元</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0"/>
                <w:szCs w:val="21"/>
                <w:lang w:val="en-US"/>
              </w:rPr>
            </w:pPr>
            <w:r>
              <w:rPr>
                <w:rFonts w:hint="eastAsia" w:ascii="Times New Roman" w:hAnsi="Times New Roman" w:eastAsia="仿宋_GB2312" w:cs="Times New Roman"/>
                <w:color w:val="auto"/>
                <w:kern w:val="0"/>
                <w:szCs w:val="21"/>
                <w:lang w:val="en-US" w:eastAsia="zh-CN"/>
              </w:rPr>
              <w:t>32.61万元</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10</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社会效益</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18"/>
                <w:szCs w:val="18"/>
                <w:lang w:val="en-US" w:eastAsia="zh-CN" w:bidi="ar"/>
              </w:rPr>
              <w:t>提高公共卫生服务和突发公共卫生事件应急处置能力，使城乡居民逐步享有均等化的基本公共卫生服务。</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18"/>
                <w:szCs w:val="18"/>
                <w:lang w:val="en-US" w:eastAsia="zh-CN" w:bidi="ar"/>
              </w:rPr>
              <w:t>提高公共卫生服务和突发公共卫生事件应急处置能力，使城乡居民逐步享有均等化的基本公共卫生服务。</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项目实施没有产生比较显著的经济效益和生态环境效益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可持续影响</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提高公共卫生服务和突发公共卫生事件应急处置能力，使城乡居民逐步享有均等化的基本公共卫生服务。</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提高公共卫生服务和突发公共卫生事件应急处置能力，使城乡居民逐步享有均等化的基本公共卫生服务。</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服务对象满意度</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逐年上升</w:t>
            </w:r>
            <w:r>
              <w:rPr>
                <w:rFonts w:hint="default" w:ascii="Times New Roman" w:hAnsi="Times New Roman" w:eastAsia="仿宋_GB2312" w:cs="Times New Roman"/>
                <w:kern w:val="0"/>
                <w:sz w:val="21"/>
                <w:szCs w:val="21"/>
                <w:lang w:val="en-US" w:eastAsia="zh-CN" w:bidi="ar"/>
              </w:rPr>
              <w:t>　</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逐年上升</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91</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杨玉</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27611157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2023.4.10</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2"/>
        <w:widowControl/>
        <w:autoSpaceDE w:val="0"/>
        <w:autoSpaceDN w:val="0"/>
        <w:spacing w:line="660" w:lineRule="exact"/>
        <w:jc w:val="center"/>
        <w:rPr>
          <w:rFonts w:hint="default" w:ascii="Times New Roman" w:hAnsi="Times New Roman" w:eastAsia="仿宋" w:cs="Times New Roman"/>
          <w:bCs/>
          <w:sz w:val="32"/>
          <w:szCs w:val="32"/>
          <w:lang w:val="en-US"/>
        </w:rPr>
      </w:pPr>
      <w:r>
        <w:rPr>
          <w:rFonts w:hint="default" w:ascii="Times New Roman" w:hAnsi="Times New Roman" w:eastAsia="方正小标宋简体" w:cs="Times New Roman"/>
          <w:bCs/>
          <w:w w:val="95"/>
          <w:sz w:val="44"/>
          <w:szCs w:val="44"/>
          <w:lang w:eastAsia="zh-CN"/>
        </w:rPr>
        <w:t>项目支出绩效自评报告</w:t>
      </w:r>
    </w:p>
    <w:p>
      <w:pPr>
        <w:pStyle w:val="5"/>
        <w:widowControl/>
        <w:numPr>
          <w:ilvl w:val="0"/>
          <w:numId w:val="1"/>
        </w:numPr>
        <w:spacing w:line="600" w:lineRule="exact"/>
        <w:ind w:left="0" w:firstLine="560" w:firstLineChars="200"/>
        <w:rPr>
          <w:rFonts w:hint="default" w:ascii="Times New Roman" w:hAnsi="Times New Roman" w:eastAsia="方正黑体_GBK" w:cs="Times New Roman"/>
          <w:sz w:val="28"/>
          <w:szCs w:val="28"/>
          <w:lang w:eastAsia="zh-CN"/>
        </w:rPr>
      </w:pPr>
      <w:r>
        <w:rPr>
          <w:rFonts w:hint="default" w:ascii="Times New Roman" w:hAnsi="Times New Roman" w:eastAsia="方正黑体_GBK" w:cs="Times New Roman"/>
          <w:sz w:val="28"/>
          <w:szCs w:val="28"/>
          <w:lang w:eastAsia="zh-CN"/>
        </w:rPr>
        <w:t>绩效自评工作开展情况</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2022年度，我区有8个镇，11个乡镇卫生院，共有10家规范化预防接种门诊,1家数值化预防接种门诊，各级从事免疫规划管理及预防接种人员约80余人。免疫规划是保障人民群众身体健康的民生工程。区委、区政府高度重视儿童免疫接种工作，按照国家及省的统一部署要求，2022年度，全面实施扩大国家免疫规划工作，为全区0-6岁儿童免费提供乙肝、卡介苗、脊灰、无细胞百白破、麻疹、腮腺炎、风疹、甲肝、流脑、乙脑等国家免疫规划疫苗的预防接种服务，持续全人群推进新冠疫苗接种。有效开展传染病防治和卫生应急处置工作，及时妥善应对突发事件。确保区内无突发公共卫生事件报告、无重大传染病出现二代病例。全面实施扩大国家免疫规划，继续保持无脊灰状态，消除麻疹，控制乙肝，进一步降低疫苗可预防传染病的发病率。提高公共卫生服务和突发公共卫生事件应急处置能力，使城乡居民逐步享有均等化的基本公共卫生服务。</w:t>
      </w:r>
    </w:p>
    <w:p>
      <w:pPr>
        <w:pStyle w:val="5"/>
        <w:widowControl/>
        <w:spacing w:line="600" w:lineRule="exact"/>
        <w:ind w:left="0" w:firstLine="560" w:firstLineChars="200"/>
        <w:rPr>
          <w:rFonts w:hint="default" w:ascii="Times New Roman" w:hAnsi="Times New Roman" w:eastAsia="黑体" w:cs="Times New Roman"/>
          <w:sz w:val="28"/>
          <w:szCs w:val="28"/>
          <w:lang w:val="en-US"/>
        </w:rPr>
      </w:pPr>
      <w:r>
        <w:rPr>
          <w:rFonts w:hint="default" w:ascii="Times New Roman" w:hAnsi="Times New Roman" w:eastAsia="方正黑体_GBK" w:cs="Times New Roman"/>
          <w:sz w:val="28"/>
          <w:szCs w:val="28"/>
          <w:lang w:eastAsia="zh-CN"/>
        </w:rPr>
        <w:t>二、绩效目标自评完成情况分析</w:t>
      </w:r>
    </w:p>
    <w:p>
      <w:pPr>
        <w:pStyle w:val="5"/>
        <w:widowControl/>
        <w:spacing w:line="600" w:lineRule="exact"/>
        <w:ind w:left="0" w:firstLine="532" w:firstLineChars="200"/>
        <w:rPr>
          <w:rFonts w:hint="default" w:ascii="Times New Roman" w:hAnsi="Times New Roman" w:eastAsia="黑体" w:cs="Times New Roman"/>
          <w:color w:val="auto"/>
          <w:sz w:val="28"/>
          <w:szCs w:val="28"/>
          <w:lang w:val="en-US"/>
        </w:rPr>
      </w:pPr>
      <w:r>
        <w:rPr>
          <w:rFonts w:hint="default" w:ascii="Times New Roman" w:hAnsi="Times New Roman" w:eastAsia="方正楷体_GBK" w:cs="Times New Roman"/>
          <w:color w:val="auto"/>
          <w:w w:val="95"/>
          <w:sz w:val="28"/>
          <w:szCs w:val="28"/>
          <w:lang w:eastAsia="zh-CN"/>
        </w:rPr>
        <w:t>（一）资金投入情况分析。</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right="0" w:rightChars="0" w:firstLine="576" w:firstLineChars="200"/>
        <w:jc w:val="left"/>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w w:val="90"/>
          <w:sz w:val="32"/>
          <w:szCs w:val="32"/>
          <w:lang w:val="en-US" w:eastAsia="zh-CN"/>
        </w:rPr>
        <w:t>1、</w:t>
      </w:r>
      <w:r>
        <w:rPr>
          <w:rFonts w:hint="default" w:ascii="Times New Roman" w:hAnsi="Times New Roman" w:eastAsia="仿宋_GB2312" w:cs="Times New Roman"/>
          <w:color w:val="auto"/>
          <w:w w:val="90"/>
          <w:sz w:val="32"/>
          <w:szCs w:val="32"/>
          <w:lang w:eastAsia="zh-CN"/>
        </w:rPr>
        <w:t>项目资金到位情况分析。</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截至评价日，</w:t>
      </w:r>
      <w:r>
        <w:rPr>
          <w:rFonts w:hint="eastAsia" w:ascii="Times New Roman" w:hAnsi="Times New Roman" w:eastAsia="仿宋_GB2312" w:cs="Times New Roman"/>
          <w:kern w:val="2"/>
          <w:sz w:val="28"/>
          <w:szCs w:val="28"/>
          <w:lang w:val="en-US" w:eastAsia="zh-CN" w:bidi="ar"/>
        </w:rPr>
        <w:t>我单位共收到基本公共卫生和计划免疫服务经费专项资金32.61万</w:t>
      </w:r>
      <w:r>
        <w:rPr>
          <w:rFonts w:hint="default" w:ascii="Times New Roman" w:hAnsi="Times New Roman" w:eastAsia="仿宋_GB2312" w:cs="Times New Roman"/>
          <w:kern w:val="2"/>
          <w:sz w:val="28"/>
          <w:szCs w:val="28"/>
          <w:lang w:val="en-US" w:eastAsia="zh-CN" w:bidi="ar"/>
        </w:rPr>
        <w:t>元</w:t>
      </w:r>
      <w:r>
        <w:rPr>
          <w:rFonts w:hint="eastAsia" w:ascii="Times New Roman" w:hAnsi="Times New Roman" w:eastAsia="仿宋_GB2312" w:cs="Times New Roman"/>
          <w:kern w:val="2"/>
          <w:sz w:val="28"/>
          <w:szCs w:val="28"/>
          <w:lang w:val="en-US" w:eastAsia="zh-CN" w:bidi="ar"/>
        </w:rPr>
        <w:t>，资金到位率100%。</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right="0" w:rightChars="0" w:firstLine="576" w:firstLineChars="200"/>
        <w:jc w:val="left"/>
        <w:textAlignment w:val="auto"/>
        <w:rPr>
          <w:rFonts w:hint="default" w:ascii="Times New Roman" w:hAnsi="Times New Roman" w:eastAsia="仿宋_GB2312" w:cs="Times New Roman"/>
          <w:color w:val="auto"/>
          <w:w w:val="90"/>
          <w:sz w:val="32"/>
          <w:szCs w:val="32"/>
          <w:lang w:eastAsia="zh-CN"/>
        </w:rPr>
      </w:pPr>
      <w:r>
        <w:rPr>
          <w:rFonts w:hint="eastAsia" w:ascii="Times New Roman" w:hAnsi="Times New Roman" w:eastAsia="仿宋_GB2312" w:cs="Times New Roman"/>
          <w:color w:val="auto"/>
          <w:w w:val="90"/>
          <w:sz w:val="32"/>
          <w:szCs w:val="32"/>
          <w:lang w:val="en-US" w:eastAsia="zh-CN"/>
        </w:rPr>
        <w:t>2、</w:t>
      </w:r>
      <w:r>
        <w:rPr>
          <w:rFonts w:hint="default" w:ascii="Times New Roman" w:hAnsi="Times New Roman" w:eastAsia="仿宋_GB2312" w:cs="Times New Roman"/>
          <w:color w:val="auto"/>
          <w:w w:val="90"/>
          <w:sz w:val="32"/>
          <w:szCs w:val="32"/>
          <w:lang w:eastAsia="zh-CN"/>
        </w:rPr>
        <w:t>项目资金执行情况分析。</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2022年基本公共卫生和计划免疫服务经费总收入32.61万元，总支出32.61万元，资金执行率100%。项目资金主要用于。</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right="0" w:rightChars="0" w:firstLine="576" w:firstLineChars="200"/>
        <w:jc w:val="left"/>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w w:val="90"/>
          <w:sz w:val="32"/>
          <w:szCs w:val="32"/>
          <w:lang w:val="en-US" w:eastAsia="zh-CN"/>
        </w:rPr>
        <w:t>3、</w:t>
      </w:r>
      <w:r>
        <w:rPr>
          <w:rFonts w:hint="default" w:ascii="Times New Roman" w:hAnsi="Times New Roman" w:eastAsia="仿宋_GB2312" w:cs="Times New Roman"/>
          <w:color w:val="auto"/>
          <w:w w:val="90"/>
          <w:sz w:val="32"/>
          <w:szCs w:val="32"/>
          <w:lang w:eastAsia="zh-CN"/>
        </w:rPr>
        <w:t>项目资金管理情况分析。</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default" w:ascii="Times New Roman" w:hAnsi="Times New Roman" w:eastAsia="方正楷体_GBK" w:cs="Times New Roman"/>
          <w:w w:val="95"/>
          <w:kern w:val="2"/>
          <w:sz w:val="28"/>
          <w:szCs w:val="28"/>
          <w:lang w:val="en-US" w:eastAsia="zh-CN" w:bidi="ar"/>
        </w:rPr>
      </w:pPr>
      <w:r>
        <w:rPr>
          <w:rFonts w:hint="default" w:ascii="Times New Roman" w:hAnsi="Times New Roman" w:eastAsia="仿宋_GB2312" w:cs="Times New Roman"/>
          <w:kern w:val="2"/>
          <w:sz w:val="28"/>
          <w:szCs w:val="28"/>
          <w:lang w:val="en-US" w:eastAsia="zh-CN" w:bidi="ar"/>
        </w:rPr>
        <w:t>项目严格按照专项资金管理办法使用资金，专款专用。</w:t>
      </w:r>
    </w:p>
    <w:p>
      <w:pPr>
        <w:pStyle w:val="5"/>
        <w:widowControl/>
        <w:numPr>
          <w:ilvl w:val="0"/>
          <w:numId w:val="0"/>
        </w:numPr>
        <w:spacing w:line="600" w:lineRule="exact"/>
        <w:ind w:leftChars="200" w:right="0" w:rightChars="0"/>
        <w:rPr>
          <w:rFonts w:hint="eastAsia"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（二）绩效目标完成情况分析。</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2022年渌口区疾病预防控制中心公共卫生和计划免疫经费较好的完成了预期工作目标，全面实施扩大国家免疫规划，继续保持无脊灰状态，消除麻疹，控制乙肝，进一步降低疫苗可预防传染病的发病率。提高公共卫生服务和突发公共卫生事件应急处置能力，使城乡居 民逐步享有均等化的基本公共卫生服务。具体如下：</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（一）免疫规划</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1、新冠疫苗接种。</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开展新冠疫苗接种工作，按要求进行新冠疫苗分配、冷链运转、AEFI处置、督导、培训、信息报送等工作。其中开展新冠疫苗冷链运转26次；派出督导组人员30人次，对11个新冠疫苗接种单位进行蹲点技术指导，确保新冠疫苗接种工作安全有序；开展专题培训10期，累计培训相关工作人员200余人；派出11组22人次进行疑似预防接种异常反应调查处置工作；在微信公众号发布了新冠疫苗接种信息10余篇；在电视台发布了新冠疫苗接种广播。开展每日新冠疫苗日报和通报，完成新冠疫苗医保信息核查报送和数据清理等。</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截止2022年12月31日24时，全区累计到苗572254剂次，现有库存数17111剂次，报损178剂次，累计接种554747剂次（其中第一剂203257人、第二剂199546人、第三剂148820人、第四剂3124人），累计报告36例疑似异常接种反应，其中其他反应1例，心因性反应1例，异常反应1例，一般反应32例。总体安全有序，无重大接种事故，无重大社会舆情。</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2、免疫规划其他工作</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（1）预防接种规范管理及国家免疫规划疫苗接种率。</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新冠疫苗疫苗与常规疫苗接种两不误，儿童免疫规划疫苗接种较往年同期基本一致。对全区各接种门诊辖区适龄儿童（2-7周岁）现场接种率调查显示全区含麻疹成分疫苗接种率100%，其他免疫规划疫苗接种率≧95%，达到预期目标。但各乡镇间接种存在不平衡，部分乡镇单苗接种率不达标，主要是A+C群流脑疫苗第2剂和白破疫苗。</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（2）疫苗针对传染病监测及防控。</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 xml:space="preserve">全区继续维持无脊灰状态，全年未发生麻疹疫情，排除麻疹疑似病例8例，8例全部进行了血清学送检，结果为麻疹、风疹均阴性，其中送市疾控进行病原学检查2例，结果为麻疹、风疹均阴性；未发生麻疹、风疹病例。对1例AFP病例开展调查处置和随访，落实了流脑、乙脑等国家免疫规划疫苗针对传染病的主动监测工作。 </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（3）疫苗及冷链管理。</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制定了全区免疫规划和非免疫规划疫苗需求及使用计划，做好了疫苗分发、存储与冷链管理，完成了常规免疫规划疫苗11次冷链运转；建立了疫苗调配制度，确保基层接种门诊一类疫苗供应及接种工作的正常开展；建立了免疫规划冷链设备专帐，有专人负责温度监控；建立并完善冷链设备突发事件应急处置预案，确保冷链设备正常运转。</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4）加强免疫规划信息系统管理：提高系统运行及管理质量，每月定期或不定期通过网络系统巡查或现场督导，对接种门诊进行技术指导，每月将督导结果在全区通报；对免疫规划信息系统运行质量加强了管理，收集基层在系统运行中发现的问题和建议，并上报了市级疾控，为进一步完善信息系统提供了参考；督促指导了接种门诊及产科接种点落实建卡、疫苗扫码接种、疫苗扫码出入库等工作，疫苗出入库扫码覆盖率100%，接种门诊及产科接种点接种扫码覆盖率100%，扫码接种率100%，产科每月出生新生儿建卡率100%，新生儿卡完整上传率100%，上传及时率100%。0-6岁儿童个案基本信息完整率为99.98%，个案接种信息完整率为100%。</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5）免疫规划工作督导和培训情况：按照《预防接种工作规范》要求，定期开展常规督导和专项督导。全年对11个接种门诊和1个产科接种点开展了半年考核，开展了一次现场接种率调查，数十次不定期网络督导、电话指导，对督导中发现的问题提出整改措施，并要求进行整改落实。对全区所有从事预防接种的37名工作人员进行了4次业务培训学习免疫规划和《疫苗管理法》等相关知识。</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6）非免疫规划疫苗管理：按《疫苗流通和预防接种管理条例》和上级的要求，对全区非免疫规划疫苗购进和使用情况开展了自查，加强了管理，自查显示全县无非正常渠道供应的非免疫规划疫苗，全部是通过区疾控中心进行网络平台采购。测温记录均较规范；在冷链运送过程中按规范要求对温度进行了监测，使疫苗在存贮和运送过程中质量得到有效保障。</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(7）入托入学儿童预防预防接种证查验工作：</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1.春季：全区共有8个乡镇，应查验托幼机构51所，小学41所；实查验托幼机构51所，小学41所，查验覆盖率100%；应查验儿童701人，实查验儿童701人，查验率100%，持有接种证人数701人，无需补证，应补种31人64剂次，实补种29人44剂次，补种完成率68.75%；</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2.秋季：全区共有8个乡镇，应查验托幼机构51所，小学38所；实查验托幼机构51所，小学38所，查验覆盖率100%；应查验儿童3447人，实查验儿童3447人，其中新入学儿童2265人，新入园幼儿1182人，查验率100%，持有接种证人数3141人，需补证6本，应补种87人160剂次，实补种25人50剂次，补种完成率31.25%。</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各乡镇学校和托幼机构的工作均开展较好。被督导的乡镇卫生院均协助当地教育部门开展预防接种证查验培训工作，卫生院对托幼机构和学校的查验进行了督导，督导覆盖率为100%。</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（二）传染病与突发公共卫生事件处置</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1、应急管理工作，常抓不懈</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1）坚持24小时疫情值班制度。新冠病毒肺炎疫情期间，每天坚持浏览、审核疫情4次，截止2022年12月31日17时，共审核传染病报告卡2470张，无迟报、迟审卡，无重卡，传染病监测系统报告质量综合率100%。2022年1月1日截至12月31日止，我区共报告法定传染病11种，2692例，累计发病率为1033.2744/10万。无甲类传染病报告；报告乙类传染病7种，819例，与2021年同期累计（730例）比较上升12.19%,报告发病率、死亡率、病死率分别为314.358/10万、1.5353/10万、0.00%，发病居前三位的病种是：肝炎（329例）、肺结核（221例）、梅毒（200例）；报告丙类传染病4种1873例，与2021年同期累计（619例）比上升202.58%,死亡0例。</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2、健全了疫情快速反应机制。建立健全霍乱、手足口病、狂犬病、新型冠状病毒肺炎、洪涝灾害后传染病防控等10余种应急预案，根据需要开展新冠肺炎等疫情风险评估，为制定防控措施和开展防控培训提供科学依据。截至2022年12月31日处置疫情共25起，其中：新型冠状病毒肺炎18起、流感聚集性疫情1起、手足口聚集性疫情3起、水痘聚集性疫情2起，布病1起，按要求进行了调查、采样；均发生在学校或托幼机构，进行了现场流行病学调查，排除暴发疫情或突发公共卫生事件可能。做到了快速反应、科学处置，控制有效。</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3、重点传染病监测管理</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按要求做好手足口病、霍乱、狂犬病、人感染H7N9禽流感、流感等重点传染病监测和调查处置。</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本年度全区报告新冠肺炎病例共18例，开展新冠常态化检测，</w:t>
      </w:r>
      <w:r>
        <w:rPr>
          <w:rFonts w:hint="eastAsia" w:ascii="Times New Roman" w:hAnsi="Times New Roman" w:eastAsia="仿宋_GB2312" w:cs="Times New Roman"/>
          <w:kern w:val="2"/>
          <w:sz w:val="28"/>
          <w:szCs w:val="28"/>
          <w:lang w:val="en-US" w:eastAsia="zh-TW" w:bidi="ar"/>
        </w:rPr>
        <w:t>严格信息报送</w:t>
      </w:r>
      <w:r>
        <w:rPr>
          <w:rFonts w:hint="eastAsia" w:ascii="Times New Roman" w:hAnsi="Times New Roman" w:eastAsia="仿宋_GB2312" w:cs="Times New Roman"/>
          <w:kern w:val="2"/>
          <w:sz w:val="28"/>
          <w:szCs w:val="28"/>
          <w:lang w:val="en-US" w:eastAsia="zh-CN" w:bidi="ar"/>
        </w:rPr>
        <w:t>。2022年1月1日-12月31日止，开展冷库的冷链食品、农贸市场、肉类加工企业、屠宰企业的生食品、外环境和从业人员开展新冠核酸检测工作150余次,累计采集样品8600余份，结果均为阴性；开展哨点医疗机构外环境监测20余次，累计采集样本800余份，结果均为阴性。开展涉外人员、中高风险人员核酸监测500余份，结果均为阴性。</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4、卫生应急演练，平战结合</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2022年新冠肺炎常态化疫情防控下，仍旧是考验我区卫生应急工作之时，中心从上至下高度重视，全中心人财物准备充分，思想高度统一，渌口区委、区政府在我中心建立了应急物资仓库，能够快速补充所需应急物资，机动队成员随时待命,确保了对全区疑似病例的流行病学调查处置及消毒工作有效实施。11月份受株洲市1101疫情波及影响，渌口区再次进入战时状态，我中心与公安组成十支流调溯源专班，集中力量对每起疫情进行流行病学调查，采集人员及环境标本及时进行核酸检测、及时推送相关病例及密切接触者信息至区疫情防控指挥部进行隔离管控，同时还动员全体职工参与到疫情的组织、管理、检测工作中来，科室也安排专人针对性的加强电话值班、赋码解码等工作。应急值班电话确保24小时接听、解答及反馈以及中高风险地区返渌或风险人员红黄码管控、赋码解码等工作，让每位成员熟知每一个步骤、流程，尽最大努力保证自身安全同时尽全力保障全区人民生命安全和身体健康。</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5、强化培训和督导，确保成效</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不断建立和完善培训和督导机制，规范工作程序。一是开展专项培训。疫情期间，中心组织全员参加国家省级组织的各类视频会议，加大业务知识储备及应对能力，疫情前后依托全区公卫专干例会，对传染病报告管理及新冠肺炎疫情第八版防控方案、流行性感冒等重点传染病开展专项培训，内容包括预防控制原则、诊治原则等。二是实施层级管理督导。按要求疾控中心对区级医疗机构每月进行巡查，对各镇卫生院督导2次，超过每年至少一次的要求。7月份组织对全区医疗机构手足口病、霍乱等重点传染病防控及发热门诊、肠道门诊规范化进行了半年考核和全面督导；乡镇卫生院对辖区内村卫生、学校和托幼机构，以及个体诊所进行了传染病防控督导。重点指导托幼机构严格晨午检制度和消毒制度，确保了防控成效。</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6、突发公共卫生事件处置应急能力建设</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1）人才储备：渌口区疾病预防控制中心设独立应急办公室，专职从事应急急传工作人员3人。流行病学调查处置中心常规应急机动队2支，共9人；应急响应时应急机动队8支，共33人。建立了与公安、大数据中心等部门联合流行病学调查机制，能够在24小时完成流行病学调查。</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eastAsia"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（2）物资储备</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560" w:firstLineChars="200"/>
        <w:jc w:val="left"/>
        <w:textAlignment w:val="auto"/>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建立卫生应急物资储备制度，应急物资采取实物储备方式进行储备，储备周期为7天。包括防护用品、现场采送样设备、现场检测试剂和设备、消杀器械和药品等，由疾控科和后勤保障科以实物形式进行储备。为妥善存放应急物资，中心配置了独立的应急物资储备仓库一个，4间库房；中心配置标准化仓库1个，5间库房。建立健全了一整套物资管理、物品发放、清洗消毒管理制度，将各种应急物资分区分类放置、合理摆放，及时检修消毒器械，更新淘汰过期药品，为应急一线工作人员提供必需物资，保证现场疫情处理箱用品不短缺，药品无过期，随时处于备用状态。</w:t>
      </w:r>
    </w:p>
    <w:p>
      <w:pPr>
        <w:pStyle w:val="5"/>
        <w:widowControl/>
        <w:numPr>
          <w:ilvl w:val="0"/>
          <w:numId w:val="2"/>
        </w:numPr>
        <w:spacing w:line="600" w:lineRule="exact"/>
        <w:ind w:left="0" w:firstLine="560" w:firstLineChars="200"/>
        <w:rPr>
          <w:rFonts w:hint="default" w:ascii="Times New Roman" w:hAnsi="Times New Roman" w:eastAsia="方正黑体_GBK" w:cs="Times New Roman"/>
          <w:sz w:val="28"/>
          <w:szCs w:val="28"/>
          <w:lang w:eastAsia="zh-CN"/>
        </w:rPr>
      </w:pPr>
      <w:r>
        <w:rPr>
          <w:rFonts w:hint="default" w:ascii="Times New Roman" w:hAnsi="Times New Roman" w:eastAsia="方正黑体_GBK" w:cs="Times New Roman"/>
          <w:sz w:val="28"/>
          <w:szCs w:val="28"/>
          <w:lang w:eastAsia="zh-CN"/>
        </w:rPr>
        <w:t>偏离绩效目标的原因和下一步改进措施。</w:t>
      </w:r>
    </w:p>
    <w:p>
      <w:pPr>
        <w:pStyle w:val="5"/>
        <w:widowControl/>
        <w:spacing w:line="600" w:lineRule="exact"/>
        <w:ind w:left="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2022年</w:t>
      </w:r>
      <w:r>
        <w:rPr>
          <w:rFonts w:hint="eastAsia" w:ascii="Times New Roman" w:hAnsi="Times New Roman" w:eastAsia="仿宋_GB2312" w:cs="Times New Roman"/>
          <w:kern w:val="2"/>
          <w:sz w:val="28"/>
          <w:szCs w:val="28"/>
          <w:lang w:val="en-US" w:eastAsia="zh-CN" w:bidi="ar"/>
        </w:rPr>
        <w:t>基本公共卫生和计划免疫服务</w:t>
      </w:r>
      <w:r>
        <w:rPr>
          <w:rFonts w:hint="eastAsia" w:ascii="仿宋" w:hAnsi="仿宋" w:eastAsia="仿宋" w:cs="仿宋"/>
          <w:color w:val="000000"/>
          <w:sz w:val="28"/>
          <w:szCs w:val="28"/>
          <w:lang w:val="en-US" w:eastAsia="zh-CN"/>
        </w:rPr>
        <w:t>项目实施未偏离绩效目标。</w:t>
      </w:r>
    </w:p>
    <w:p>
      <w:pPr>
        <w:pStyle w:val="5"/>
        <w:keepNext w:val="0"/>
        <w:keepLines w:val="0"/>
        <w:pageBreakBefore w:val="0"/>
        <w:widowControl/>
        <w:kinsoku/>
        <w:wordWrap/>
        <w:overflowPunct/>
        <w:topLinePunct w:val="0"/>
        <w:autoSpaceDE/>
        <w:autoSpaceDN/>
        <w:bidi w:val="0"/>
        <w:adjustRightInd/>
        <w:snapToGrid/>
        <w:spacing w:line="600" w:lineRule="exact"/>
        <w:ind w:left="0"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eastAsia="zh-CN"/>
        </w:rPr>
        <w:t>四、绩效自评结果拟应用和公开情况</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right="0" w:rightChars="0" w:firstLine="560"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严格执行专项项目支出绩效评价管理暂行办法相关规定，积极探索建立与预算编制相结合，及时做好资金使用的监管，使评价结果得到有效运用，并将相应绩效自评结果，按照相关规定予以公开。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89C7A"/>
    <w:multiLevelType w:val="singleLevel"/>
    <w:tmpl w:val="2BD89C7A"/>
    <w:lvl w:ilvl="0" w:tentative="0">
      <w:start w:val="1"/>
      <w:numFmt w:val="chineseCounting"/>
      <w:suff w:val="nothing"/>
      <w:lvlText w:val="%1、"/>
      <w:lvlJc w:val="left"/>
      <w:rPr>
        <w:rFonts w:hint="eastAsia"/>
      </w:rPr>
    </w:lvl>
  </w:abstractNum>
  <w:abstractNum w:abstractNumId="1">
    <w:nsid w:val="5AAB28FC"/>
    <w:multiLevelType w:val="singleLevel"/>
    <w:tmpl w:val="5AAB28F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mYxODk3OGI1YTk3ZWIzMGY0Mzg4NjA1MTQ5NWEifQ=="/>
  </w:docVars>
  <w:rsids>
    <w:rsidRoot w:val="672B2A8E"/>
    <w:rsid w:val="08A5477A"/>
    <w:rsid w:val="12513E04"/>
    <w:rsid w:val="1363016F"/>
    <w:rsid w:val="177C2F27"/>
    <w:rsid w:val="1BC420D6"/>
    <w:rsid w:val="1C4A2EC3"/>
    <w:rsid w:val="27E11DEE"/>
    <w:rsid w:val="29340371"/>
    <w:rsid w:val="3788109B"/>
    <w:rsid w:val="49E14F29"/>
    <w:rsid w:val="4A9A1550"/>
    <w:rsid w:val="54FD14A1"/>
    <w:rsid w:val="5BA74225"/>
    <w:rsid w:val="5C1E200D"/>
    <w:rsid w:val="5CFF520C"/>
    <w:rsid w:val="62A657F3"/>
    <w:rsid w:val="672B2A8E"/>
    <w:rsid w:val="68033D88"/>
    <w:rsid w:val="6ECE01AD"/>
    <w:rsid w:val="71BC46DD"/>
    <w:rsid w:val="77A01CA9"/>
    <w:rsid w:val="79FA1483"/>
    <w:rsid w:val="7DF601C0"/>
    <w:rsid w:val="7F07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customStyle="1" w:styleId="5">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6">
    <w:name w:val="font01"/>
    <w:basedOn w:val="4"/>
    <w:qFormat/>
    <w:uiPriority w:val="0"/>
    <w:rPr>
      <w:rFonts w:ascii="Arial" w:hAnsi="Arial" w:cs="Arial"/>
      <w:color w:val="000000"/>
      <w:sz w:val="21"/>
      <w:szCs w:val="21"/>
      <w:u w:val="none"/>
    </w:rPr>
  </w:style>
  <w:style w:type="character" w:customStyle="1" w:styleId="7">
    <w:name w:val="font31"/>
    <w:basedOn w:val="4"/>
    <w:qFormat/>
    <w:uiPriority w:val="0"/>
    <w:rPr>
      <w:rFonts w:hint="default" w:ascii="Times New Roman" w:hAnsi="Times New Roman" w:cs="Times New Roman"/>
      <w:color w:val="000000"/>
      <w:sz w:val="21"/>
      <w:szCs w:val="21"/>
      <w:u w:val="none"/>
    </w:rPr>
  </w:style>
  <w:style w:type="character" w:customStyle="1" w:styleId="8">
    <w:name w:val="style61"/>
    <w:basedOn w:val="4"/>
    <w:qFormat/>
    <w:uiPriority w:val="0"/>
    <w:rPr>
      <w:color w:val="000066"/>
      <w:sz w:val="21"/>
      <w:szCs w:val="21"/>
    </w:rPr>
  </w:style>
  <w:style w:type="character" w:customStyle="1" w:styleId="9">
    <w:name w:val="font5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5717</Words>
  <Characters>6209</Characters>
  <Lines>0</Lines>
  <Paragraphs>0</Paragraphs>
  <TotalTime>1</TotalTime>
  <ScaleCrop>false</ScaleCrop>
  <LinksUpToDate>false</LinksUpToDate>
  <CharactersWithSpaces>6303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2023-04-03T06:12:00Z</dcterms:created>
  <dc:creator>少言</dc:creator>
  <cp:lastModifiedBy>少言</cp:lastModifiedBy>
  <dcterms:modified xsi:type="dcterms:W3CDTF">2023-04-13T07:20:19Z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017C16E863AF41C184F6F4095AF38E24</vt:lpwstr>
  </property>
</Properties>
</file>