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6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51"/>
        <w:gridCol w:w="967"/>
        <w:gridCol w:w="1243"/>
        <w:gridCol w:w="1168"/>
        <w:gridCol w:w="1385"/>
        <w:gridCol w:w="854"/>
        <w:gridCol w:w="86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重大传染病防控项目（艾滋病防治、结核病防治等）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渌口区卫生健康局 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渌口区疾病预防控制中心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进一步完善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防治服务体系，提升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防治服务能力，加强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重点人群、重点地区防治措施，提高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规范化诊疗水平，使得公众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对重大传染病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防治知识水平明显上升，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发病和死亡人数进一步减少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shd w:val="clear"/>
                <w:lang w:val="en-US" w:eastAsia="zh-CN" w:bidi="ar"/>
              </w:rPr>
              <w:t>　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基本实现艾滋病预防、治疗、关怀和支持服务普遍可及的目标；确保全区艾滋病工作持续、健康、有力、有序和有效开展，并完成全年各项工作任务和指标。结核病例报告、患者筛查、患者治疗、随防管理、服务能力、公众宣传等规划目标如期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  <w:t>艾滋病检测数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8万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8.1218万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VCT门诊干预检测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565人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567人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性病门诊干预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700人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746人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MSM检测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40人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50人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针具交换干预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50人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50人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暗娼干预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285人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 w:bidi="ar"/>
              </w:rPr>
              <w:t>288人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  <w:t>入学新生肺结核筛查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≧95%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99.6%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val="en-US"/>
              </w:rPr>
              <w:t>各级各类学校结核病防控知识宣教覆盖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艾滋病病毒感染者/病人的配偶/固定性伴的HIV抗体检测率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HIV/AIDS随访检测比例（CD4检测比例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抗病毒治疗比例（含成人和儿童）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≧90%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93.50%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抗病毒治疗成功率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≧90%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98%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艾滋病病毒感染者/病人接受结核病检查的比例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  <w:t>艾滋病性病丙肝病例上报及时率、准确率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报告肺结核患者和疑似肺结核患者总体到位率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≧95%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96%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病原学检查阳性肺结核患者的密切接触者筛查率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≧95%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肺结核患者病原学阳性率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≧55%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65.47%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耐多药肺结核高危人群耐药筛查率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≧95%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新病原学阳性患者耐药筛查率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≧90%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基层医疗卫生机构肺结核患者管理率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≧90%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95.21%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项目资金支付时间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年底部分资金仍未安排支付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财政资金保障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172.28万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社会效益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预防重大传染病，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减少居民医疗负担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，使艾滋病结核病等重大传染病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发病率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持续保持较低水平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预防重大传染病，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减少居民医疗负担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，使艾滋病结核病等重大传染病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发病率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持续保持较低水平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社会效益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提高高危行为人群和青少年艾滋病相关知识知晓率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提高高危行为人群和青少年艾滋病相关知识知晓率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社会效益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公众结核病防治核心知识知晓率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公众结核病防治核心知识知晓率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可持续影响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进一步完善防治服务体系，提升防治服务能力，加强重点人群、重点地区防治措施，提高规范化诊疗水平，使得公众防治知识水平明显上升，发病和死亡人数进一步减少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进一步完善防治服务体系，提升防治服务能力，加强重点人群、重点地区防治措施，提高规范化诊疗水平，使得公众防治知识水平明显上升，发病和死亡人数进一步减少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逐年提高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逐年提高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杨玉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27611157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2023.4.10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自评报告主要以2022年1月1日至12月31日的工作资料，对艾滋病防治、结核病防治等重大传染病防控工作内容开展自评。项目实施主体为渌口区疾控中心，项目覆盖地区为全区8个乡镇，受益人群主要为艾滋病患者、结核病患者等重大传染病防控人群。</w:t>
      </w:r>
    </w:p>
    <w:p>
      <w:pPr>
        <w:pStyle w:val="8"/>
        <w:widowControl/>
        <w:numPr>
          <w:ilvl w:val="0"/>
          <w:numId w:val="1"/>
        </w:numPr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绩效目标自评完成情况分析</w:t>
      </w:r>
    </w:p>
    <w:p>
      <w:pPr>
        <w:pStyle w:val="8"/>
        <w:widowControl/>
        <w:numPr>
          <w:ilvl w:val="0"/>
          <w:numId w:val="2"/>
        </w:numPr>
        <w:spacing w:line="600" w:lineRule="exact"/>
        <w:ind w:left="0" w:firstLine="608" w:firstLineChars="200"/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资金投入情况分析。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项目资金到位情况分析。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截至评价日，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我单位共收到艾滋病防治、结核病防治等重大传染病防控工作经费专项资金172.28万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，资金到位率100%。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项目资金执行情况分析。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2022年艾滋病防治、结核病防治等重大传染病防控工作经费总收入172.28万元，总支出172.28万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，资金执行率100%。项目资金主要用于艾滋病防治、结核病防治等重点传染病防控工作开展。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项目资金管理情况分析。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楷体_GBK" w:cs="Times New Roman"/>
          <w:w w:val="95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项目严格按照专项资金管理办法使用资金，专款专用。</w:t>
      </w:r>
    </w:p>
    <w:p>
      <w:pPr>
        <w:pStyle w:val="4"/>
        <w:widowControl/>
        <w:spacing w:line="600" w:lineRule="exact"/>
        <w:ind w:left="0" w:firstLine="608" w:firstLineChars="200"/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2022年渌口区疾控中心专项经费较好的完成了艾滋病、结核病等重大传染病防治工作。全面实现艾滋病和结核病等重大传染病的预防、治疗、关怀和支持服务普遍可及的目标；确保全区重大传染病防控工作持续、健康、有力、有序和有效开展，并完成全年各项工作任务和指标。具体如下：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一、主要指标完成情况</w:t>
      </w:r>
    </w:p>
    <w:p>
      <w:pPr>
        <w:pStyle w:val="8"/>
        <w:widowControl/>
        <w:numPr>
          <w:ilvl w:val="0"/>
          <w:numId w:val="3"/>
        </w:numPr>
        <w:tabs>
          <w:tab w:val="left" w:pos="1085"/>
        </w:tabs>
        <w:spacing w:line="600" w:lineRule="exact"/>
        <w:ind w:left="1084" w:hanging="327"/>
        <w:jc w:val="left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（一）艾滋病病人发现、诊疗和随访管理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HIV/AIDS随访检测比例（CD4检测比例）：应随访检测123人，实际检测123人，检测率100%；HIV/AIDS配偶检测情况：HIV/AIDS的配偶/固定性伴HIV抗体应检测20人，实际检测20人，检测率100%；HIV/AIDS结核检测情况：本年度可随访到HIV/AIDS应检测123人，实际检测123人，检测率100%；抗病毒治疗比例：本年度新增治疗人数10人，累计符合治疗条件119人，已纳入治疗115人，治疗比例93.50%；抗病毒成功率：本年度已纳入治疗115人，病毒抑制达标113人，治疗成功率为98%；病毒载量检测情况：在治病人应检测105人，实际检测105人，检测率100%；预防机会性服药情况：符合使用复方新诺明标准病人5人，实际服药人数5人，服药比例100%；首次流行病学调查：本年新增10例，首次随访10人，完成率 100.00%；艾滋病病毒抗体全年应筛查8万人次，完成8.1218万人次。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（二）自愿咨询检测门诊（VCT门诊）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根据省级艾滋病防治工作方案，本区应完成565人次的HIV检测，实际检测567人次，HIV确认阳性0例，梅毒抗体检测阳性16人。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（三）高危人群干预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暗娼人群：本区应完成HIV检测285人，实际检测288人次，全年采集血液288人，HIV确认阳性0例，梅毒抗体检测阳性10例，丙肝抗体阳性1例；吸毒者：全年应完成50名吸毒者人群HIV检测实际完成50人，HIV确认阳性0例，梅毒抗体双阳0例，丙肝抗体阳性0例；男男同性性行为者：全年应完成40名，已完成50人，HIV抗体确诊0例；性病门诊就诊者：全年应完成HIV检测700人，已完成HIV检测746人，HIV确认阳性0例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（四）性病、丙肝防治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根据上级相关部门要求，为增强我区性病管理水平，在株洲市疾控中心性艾科的指导下，区疾控中心于2022年7月对区人民医院、区中医院及乡镇卫生院开展了性病、丙肝漏报调查及诊断准确性核查工作。本年度渌口区性病、丙肝报告率100%；无报告不准确病例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（五）丙肝核酸阳性患者均进行了追踪随访管理。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患者发现报告主要指标：报告肺结核患者和疑似肺结核患者总体到位率 96%；病原学检查阳性肺结核患者的密切接触者筛查率100%；肺结核患者病原学阳性率65.47%；耐多药肺结核高危人群耐药筛查100%；新病原学阳性患者耐药筛查率100%。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患者治疗管理主要指标。肺结核患者成功治疗率97.53%；基层医疗卫生机构肺结核患者管理率95.21%；肺结核患者规则服药率97.53%；肺结核患者信息系统患者病案实验室检查和影像学检查、督导访视及治疗转归信息录入完整率95%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重点人群防治主要指标。艾滋病病毒感染者的结核病检查率100%；糖尿病患者、65岁以上老年人肺结核可疑症状者摄片率100%；各级各类学校结核病防控知识宣教覆盖率100%。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（六）重点人群肺结核筛查情况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2022年渌口区共有中小学校、托幼机构99所，应筛查学生9315人，接受筛查学生9278人，筛查率99.6%。本次筛查未发现活动性肺结核病例。筛查出结核分枝杆菌潜伏感染者59人，进行预防性治疗14人。2022年累计报告学校肺结核病例3例，区疾控中心均及时开展流行病学调查和现场处置,并对其进行肺结核密切接触者主动筛查（包括症状询问、PPD筛查、胸部X线检查),共计224人，均无肺结核可疑症状,PPD一般阳性9人，中度阳性7人，强阳性6人，胸部X线片检查233人,233人均未见异常，未发现活动性肺结核患者。6名强阳性师生均未接受预防性服药，将于筛查后3月末、6月末、12月末督促其前往定点医院再次进行胸部X光片检查。2022年1月1日至12月31日，全区累计开展重点人群肺结核筛查81569人次，其中65岁及以上老年人肺结核可疑症状筛查41728人、糖尿病患者肺结核可疑症状筛查39841人次。全区重点人群肺结核筛查发现肺结核可疑症状者762人，拍摄胸部X光片762张，肺结核可疑症状摄片率100%。筛查发现活动性肺结核患者2人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（七）宣传、培训、督导工作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开展了“3、24世界防治结核病日”宣传活动，设咨询点一处，书写横幅一条，发放宣传单1000余份。今年9月到区直属中学进行学校艾滋病结核病防控工作宣传，发放《肺结核防控知识》小册子2万份。利用微信公众号、宣传栏，宣传册等多种手段，积极向公众宣传结核病防控知识。开展了两期防疫专干结核病防治培训班，在今年8月开展了入学新生结核病筛查培训班，全区8个乡镇11家卫生院结核专干全部参加了培训。组织人员参加省、市疾控中心举办的艾滋病抗病毒治疗、HIV初筛实验室检测技术、性病管理等相关会议和培训14人次。组织辖区乡镇卫生院公卫办主任、防疫人员、实验室检测人员、区直医疗机构公卫科人员，举办艾滋病防治知识、艾滋病职业暴露处置培训及艾滋病抗体快速检测培训班，累计培训64人次。区卫生健康局发文认定了渌口镇卫生院等10家乡镇卫生院为艾滋病抗体快速检测点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（八）及时处理艾滋病疫情，做好HIV感染者及病人管理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TW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2022年我区本年度新增报告HIV阳性感染者及病人10人，累计符合治疗条件123人。对所有新发感染者及病人均进行了个案流行病学调查，找到传染来源，要求新发感染者及病人的配偶及性伴及时做HIV初筛，一定程度上控制了艾滋病疫情进一步扩散。通过多种方式（电话、当地卫生院防疫专干上门体检、村医生公共卫生服务签约）与感染者取得联系，定期对其进行了CD4+T淋巴细胞检测，并提供相应关怀服务。对既往、新发的艾滋病病毒感染者及病人及时进行随访，及时随访率达100%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（九）积极治疗艾滋病病毒感染者及病人，落实国家“四免一关怀”政策。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积极对病人进行依从性教育，及时将达到治疗标准病人纳入抗病毒治疗。服药过程中继续加强对治疗病人的进行依从性教育，讲解规律、足量、全程服药对治疗效果的影响，提高治疗病人服药依从性，保证无漏服现象发生。及时为病人提供CD4+T淋巴细胞及病毒载量检测。并将检测结果及时向治疗机构回馈，及时更换治疗方案，从而保证了治疗效果。通过多方努力为符合条件艾滋病感染者及病人争取到低保或补助。2022年新增3对艾滋病双阳家庭的小孩争取到生活补助500元/月，补助到小孩满18岁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（十）大力开展性病、艾滋病健康教育，提升重点艾滋病知识综合知晓率。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kern w:val="0"/>
          <w:sz w:val="28"/>
          <w:szCs w:val="28"/>
          <w:lang w:val="en-US" w:eastAsia="zh-CN"/>
        </w:rPr>
        <w:t>结合12.1“世界艾滋病日”“性病宣传月”等主题，开展线上线下宣传活动，深入、广泛开展大众人群和重点人群宣传，普及防艾知识。2022年累计开展线下宣传12场，发布网络宣传2次，制作播放艾滋病宣传片1部，发放艾滋病宣传册1万余份。携手株洲健坤潇湘学校、渌口区第一中学、渌口区第三中学、南阳桥中学、渌口区五中举办了五场次艾滋病知识宣传讲座，累计约1500余名在校师生参与听讲，发放宣传资料3000余份，邀请市疾控中心艾防科专家进行现场讲座，就关于性与艾滋病、艾滋病的流行形势、主要传播途径及认知误区、预防措施、检测治疗等相关内容的解读，让青年学生人群全面了解艾滋病科普知识，对校园内艾滋病防控工作起到了积极推进作用。同时，开展了现场艾滋病知识知晓率问卷调查，累计调查1000余份，结果显示通过讲座，青少年学生人群艾滋病知识综合知晓率达90%以上。通过援建“青爱小屋”在南洲镇中心学校持续开展艾滋病科普和性教育工作，并培养师资，树立典型，在区内创造艾滋病宣传的良好氛围。我中心携手淦田村淦田社区，累计约300余名老年人，发放宣传资料600余份，邀请市疾控中心艾防科专家进行现场讲座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57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满意度指标完成情况分析。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服务对象满意度逐年上升。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8"/>
        <w:widowControl/>
        <w:spacing w:line="600" w:lineRule="exact"/>
        <w:ind w:left="0"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艾滋病防治、结核病防治等重大传染病防控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项目实施未偏离绩效目标。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13DF8"/>
    <w:multiLevelType w:val="singleLevel"/>
    <w:tmpl w:val="99513D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D1044B"/>
    <w:multiLevelType w:val="singleLevel"/>
    <w:tmpl w:val="CED104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mYxODk3OGI1YTk3ZWIzMGY0Mzg4NjA1MTQ5NWEifQ=="/>
  </w:docVars>
  <w:rsids>
    <w:rsidRoot w:val="672B2A8E"/>
    <w:rsid w:val="0058549E"/>
    <w:rsid w:val="02FD6CFC"/>
    <w:rsid w:val="03887BE8"/>
    <w:rsid w:val="05892A83"/>
    <w:rsid w:val="0FDD063B"/>
    <w:rsid w:val="113327E7"/>
    <w:rsid w:val="11E20E0C"/>
    <w:rsid w:val="14650BDB"/>
    <w:rsid w:val="194D158E"/>
    <w:rsid w:val="210E30BC"/>
    <w:rsid w:val="22467E3D"/>
    <w:rsid w:val="24B13F8C"/>
    <w:rsid w:val="2ACE4696"/>
    <w:rsid w:val="36B54C3A"/>
    <w:rsid w:val="378D1FC0"/>
    <w:rsid w:val="3A4F0BDB"/>
    <w:rsid w:val="3BC55017"/>
    <w:rsid w:val="3C5178CC"/>
    <w:rsid w:val="3F9D21C1"/>
    <w:rsid w:val="3FBF6E37"/>
    <w:rsid w:val="414803DC"/>
    <w:rsid w:val="50BE7D72"/>
    <w:rsid w:val="591E1CF6"/>
    <w:rsid w:val="5A2C4E54"/>
    <w:rsid w:val="5BEE6DDC"/>
    <w:rsid w:val="6323114E"/>
    <w:rsid w:val="671C3677"/>
    <w:rsid w:val="672B2A8E"/>
    <w:rsid w:val="6FF37B21"/>
    <w:rsid w:val="72AA43E8"/>
    <w:rsid w:val="74962C31"/>
    <w:rsid w:val="7A475FE2"/>
    <w:rsid w:val="7C94711A"/>
    <w:rsid w:val="7E260B81"/>
    <w:rsid w:val="7EBE700C"/>
    <w:rsid w:val="7F2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0"/>
      </w:tabs>
      <w:spacing w:after="120"/>
      <w:ind w:left="420" w:leftChars="200"/>
    </w:p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4687</Words>
  <Characters>5226</Characters>
  <Lines>0</Lines>
  <Paragraphs>0</Paragraphs>
  <TotalTime>2</TotalTime>
  <ScaleCrop>false</ScaleCrop>
  <LinksUpToDate>false</LinksUpToDate>
  <CharactersWithSpaces>5313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2023-04-03T06:12:00Z</dcterms:created>
  <dc:creator>少言</dc:creator>
  <cp:lastModifiedBy>少言</cp:lastModifiedBy>
  <dcterms:modified xsi:type="dcterms:W3CDTF">2023-04-13T07:23:25Z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E18DCE96458F41E0A1D5BDA57B9B64B2</vt:lpwstr>
  </property>
</Properties>
</file>