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基本公共卫生服务项目支出绩效自评报告</w:t>
      </w:r>
    </w:p>
    <w:p>
      <w:pPr>
        <w:rPr>
          <w:rFonts w:ascii="仿宋" w:hAnsi="仿宋" w:eastAsia="仿宋"/>
          <w:sz w:val="32"/>
          <w:szCs w:val="32"/>
        </w:rPr>
      </w:pPr>
    </w:p>
    <w:p>
      <w:pPr>
        <w:spacing w:line="560" w:lineRule="exact"/>
        <w:ind w:firstLine="600" w:firstLineChars="200"/>
        <w:rPr>
          <w:rFonts w:ascii="黑体" w:hAnsi="黑体" w:eastAsia="黑体"/>
          <w:sz w:val="30"/>
          <w:szCs w:val="30"/>
        </w:rPr>
      </w:pPr>
      <w:r>
        <w:rPr>
          <w:rFonts w:hint="eastAsia" w:ascii="黑体" w:hAnsi="黑体" w:eastAsia="黑体"/>
          <w:sz w:val="30"/>
          <w:szCs w:val="30"/>
        </w:rPr>
        <w:t>一、绩效自评工作开展情况</w:t>
      </w:r>
    </w:p>
    <w:p>
      <w:pPr>
        <w:spacing w:line="560" w:lineRule="exact"/>
        <w:ind w:firstLine="600" w:firstLineChars="200"/>
        <w:jc w:val="left"/>
        <w:rPr>
          <w:rFonts w:hint="eastAsia" w:ascii="仿宋" w:hAnsi="仿宋" w:eastAsia="仿宋"/>
          <w:sz w:val="30"/>
          <w:szCs w:val="30"/>
        </w:rPr>
      </w:pPr>
      <w:r>
        <w:rPr>
          <w:rFonts w:hint="eastAsia" w:ascii="仿宋" w:hAnsi="仿宋" w:eastAsia="仿宋"/>
          <w:sz w:val="30"/>
          <w:szCs w:val="30"/>
        </w:rPr>
        <w:t>根据渌财通〔2023〕6号株洲市渌口区财政局关于做好2022年本级财政资金及政府专项债券资金绩效自评的通知》要求，我单位组织资金使用业务股室或二级机构，以及系统内各单位财务人员，对我单位2022年预算项目资金使用开展绩效自评工作，自评工作开展时间自2023年3月31日至2023年4月14日。</w:t>
      </w:r>
    </w:p>
    <w:p>
      <w:pPr>
        <w:spacing w:line="560" w:lineRule="exact"/>
        <w:ind w:firstLine="600" w:firstLineChars="200"/>
        <w:jc w:val="left"/>
        <w:rPr>
          <w:rFonts w:ascii="黑体" w:hAnsi="黑体" w:eastAsia="黑体"/>
          <w:sz w:val="30"/>
          <w:szCs w:val="30"/>
        </w:rPr>
      </w:pPr>
      <w:r>
        <w:rPr>
          <w:rFonts w:ascii="黑体" w:hAnsi="黑体" w:eastAsia="黑体"/>
          <w:sz w:val="30"/>
          <w:szCs w:val="30"/>
        </w:rPr>
        <w:t>二、绩效目标自评完成情况分析</w:t>
      </w:r>
    </w:p>
    <w:p>
      <w:pPr>
        <w:spacing w:line="560" w:lineRule="exact"/>
        <w:ind w:firstLine="600" w:firstLineChars="200"/>
        <w:rPr>
          <w:rFonts w:ascii="楷体" w:hAnsi="楷体" w:eastAsia="楷体"/>
          <w:sz w:val="30"/>
          <w:szCs w:val="30"/>
        </w:rPr>
      </w:pPr>
      <w:r>
        <w:rPr>
          <w:rFonts w:hint="eastAsia" w:ascii="楷体" w:hAnsi="楷体" w:eastAsia="楷体"/>
          <w:sz w:val="30"/>
          <w:szCs w:val="30"/>
        </w:rPr>
        <w:t>（一）</w:t>
      </w:r>
      <w:r>
        <w:rPr>
          <w:rFonts w:ascii="楷体" w:hAnsi="楷体" w:eastAsia="楷体"/>
          <w:sz w:val="30"/>
          <w:szCs w:val="30"/>
        </w:rPr>
        <w:t>资金投入情况分析。</w:t>
      </w:r>
    </w:p>
    <w:p>
      <w:pPr>
        <w:spacing w:line="560" w:lineRule="exact"/>
        <w:ind w:firstLine="602" w:firstLineChars="200"/>
        <w:rPr>
          <w:rFonts w:ascii="仿宋" w:hAnsi="仿宋" w:eastAsia="仿宋"/>
          <w:b/>
          <w:bCs/>
          <w:sz w:val="30"/>
          <w:szCs w:val="30"/>
        </w:rPr>
      </w:pPr>
      <w:r>
        <w:rPr>
          <w:rFonts w:ascii="仿宋" w:hAnsi="仿宋" w:eastAsia="仿宋"/>
          <w:b/>
          <w:bCs/>
          <w:sz w:val="30"/>
          <w:szCs w:val="30"/>
        </w:rPr>
        <w:t>1.项目资金到位情况分析。</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年初区级预算</w:t>
      </w:r>
      <w:r>
        <w:rPr>
          <w:rFonts w:hint="eastAsia" w:ascii="仿宋" w:hAnsi="仿宋" w:eastAsia="仿宋"/>
          <w:sz w:val="30"/>
          <w:szCs w:val="30"/>
          <w:lang w:val="en-US" w:eastAsia="zh-CN"/>
        </w:rPr>
        <w:t>255.29</w:t>
      </w:r>
      <w:r>
        <w:rPr>
          <w:rFonts w:hint="eastAsia" w:ascii="仿宋" w:hAnsi="仿宋" w:eastAsia="仿宋"/>
          <w:sz w:val="30"/>
          <w:szCs w:val="30"/>
        </w:rPr>
        <w:t>万元，全年</w:t>
      </w:r>
      <w:r>
        <w:rPr>
          <w:rFonts w:hint="eastAsia" w:ascii="仿宋" w:hAnsi="仿宋" w:eastAsia="仿宋"/>
          <w:sz w:val="30"/>
          <w:szCs w:val="30"/>
          <w:lang w:val="en-US" w:eastAsia="zh-CN"/>
        </w:rPr>
        <w:t>各级财政</w:t>
      </w:r>
      <w:r>
        <w:rPr>
          <w:rFonts w:hint="eastAsia" w:ascii="仿宋" w:hAnsi="仿宋" w:eastAsia="仿宋"/>
          <w:sz w:val="30"/>
          <w:szCs w:val="30"/>
        </w:rPr>
        <w:t>预算1954.005万元（</w:t>
      </w:r>
      <w:r>
        <w:rPr>
          <w:rFonts w:hint="eastAsia" w:ascii="仿宋" w:hAnsi="仿宋" w:eastAsia="仿宋"/>
          <w:sz w:val="30"/>
          <w:szCs w:val="30"/>
          <w:lang w:val="en-US" w:eastAsia="zh-CN"/>
        </w:rPr>
        <w:t>26.0534</w:t>
      </w:r>
      <w:r>
        <w:rPr>
          <w:rFonts w:ascii="仿宋" w:hAnsi="仿宋" w:eastAsia="仿宋"/>
          <w:sz w:val="30"/>
          <w:szCs w:val="30"/>
        </w:rPr>
        <w:t>万人*7</w:t>
      </w:r>
      <w:r>
        <w:rPr>
          <w:rFonts w:hint="eastAsia" w:ascii="仿宋" w:hAnsi="仿宋" w:eastAsia="仿宋"/>
          <w:sz w:val="30"/>
          <w:szCs w:val="30"/>
          <w:lang w:val="en-US" w:eastAsia="zh-CN"/>
        </w:rPr>
        <w:t>5</w:t>
      </w:r>
      <w:r>
        <w:rPr>
          <w:rFonts w:ascii="仿宋" w:hAnsi="仿宋" w:eastAsia="仿宋"/>
          <w:sz w:val="30"/>
          <w:szCs w:val="30"/>
        </w:rPr>
        <w:t>元/人）</w:t>
      </w:r>
      <w:r>
        <w:rPr>
          <w:rFonts w:hint="eastAsia" w:ascii="仿宋" w:hAnsi="仿宋" w:eastAsia="仿宋"/>
          <w:sz w:val="30"/>
          <w:szCs w:val="30"/>
        </w:rPr>
        <w:t>，补助资金已于2</w:t>
      </w:r>
      <w:r>
        <w:rPr>
          <w:rFonts w:ascii="仿宋" w:hAnsi="仿宋" w:eastAsia="仿宋"/>
          <w:sz w:val="30"/>
          <w:szCs w:val="30"/>
        </w:rPr>
        <w:t>022</w:t>
      </w:r>
      <w:r>
        <w:rPr>
          <w:rFonts w:hint="eastAsia" w:ascii="仿宋" w:hAnsi="仿宋" w:eastAsia="仿宋"/>
          <w:sz w:val="30"/>
          <w:szCs w:val="30"/>
        </w:rPr>
        <w:t>年1</w:t>
      </w:r>
      <w:r>
        <w:rPr>
          <w:rFonts w:hint="eastAsia" w:ascii="仿宋" w:hAnsi="仿宋" w:eastAsia="仿宋"/>
          <w:sz w:val="30"/>
          <w:szCs w:val="30"/>
          <w:lang w:val="en-US" w:eastAsia="zh-CN"/>
        </w:rPr>
        <w:t>2</w:t>
      </w:r>
      <w:r>
        <w:rPr>
          <w:rFonts w:hint="eastAsia" w:ascii="仿宋" w:hAnsi="仿宋" w:eastAsia="仿宋"/>
          <w:sz w:val="30"/>
          <w:szCs w:val="30"/>
        </w:rPr>
        <w:t>月足额拨付到位，资金到位率1</w:t>
      </w:r>
      <w:r>
        <w:rPr>
          <w:rFonts w:ascii="仿宋" w:hAnsi="仿宋" w:eastAsia="仿宋"/>
          <w:sz w:val="30"/>
          <w:szCs w:val="30"/>
        </w:rPr>
        <w:t>00%</w:t>
      </w:r>
      <w:r>
        <w:rPr>
          <w:rFonts w:hint="eastAsia" w:ascii="仿宋" w:hAnsi="仿宋" w:eastAsia="仿宋"/>
          <w:sz w:val="30"/>
          <w:szCs w:val="30"/>
        </w:rPr>
        <w:t>。</w:t>
      </w:r>
    </w:p>
    <w:p>
      <w:pPr>
        <w:spacing w:line="560" w:lineRule="exact"/>
        <w:ind w:firstLine="602" w:firstLineChars="200"/>
        <w:rPr>
          <w:rFonts w:ascii="仿宋" w:hAnsi="仿宋" w:eastAsia="仿宋"/>
          <w:b/>
          <w:bCs/>
          <w:sz w:val="30"/>
          <w:szCs w:val="30"/>
        </w:rPr>
      </w:pPr>
      <w:r>
        <w:rPr>
          <w:rFonts w:ascii="仿宋" w:hAnsi="仿宋" w:eastAsia="仿宋"/>
          <w:b/>
          <w:bCs/>
          <w:sz w:val="30"/>
          <w:szCs w:val="30"/>
        </w:rPr>
        <w:t>2.项目资金执行情况分析。</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该项目资金全部拨付至基层医疗卫生机构，用于其开展基本公共卫生服务，资金执行率1</w:t>
      </w:r>
      <w:r>
        <w:rPr>
          <w:rFonts w:ascii="仿宋" w:hAnsi="仿宋" w:eastAsia="仿宋"/>
          <w:sz w:val="30"/>
          <w:szCs w:val="30"/>
        </w:rPr>
        <w:t>00%</w:t>
      </w:r>
      <w:r>
        <w:rPr>
          <w:rFonts w:hint="eastAsia" w:ascii="仿宋" w:hAnsi="仿宋" w:eastAsia="仿宋"/>
          <w:sz w:val="30"/>
          <w:szCs w:val="30"/>
        </w:rPr>
        <w:t>。基层医疗卫生机构全年公卫支出总计为 2475.18 万元，超出资金拨付部分以医疗收入弥补公卫亏损。镇级公卫支出小计 1692.63 万元，其中人员经费（含社保） 1445.42万元，专用材料29.52 万元，劳务费47.92 万元，办公费 15.70 万元，印刷费 39.18万元，水电网络费38.95 万元，下村差旅费 24.79万元，其他公用开支51.15万元；村级公卫开支小计 782.55 万元。</w:t>
      </w:r>
    </w:p>
    <w:p>
      <w:pPr>
        <w:spacing w:line="560" w:lineRule="exact"/>
        <w:ind w:firstLine="602" w:firstLineChars="200"/>
        <w:rPr>
          <w:rFonts w:ascii="仿宋" w:hAnsi="仿宋" w:eastAsia="仿宋"/>
          <w:sz w:val="30"/>
          <w:szCs w:val="30"/>
        </w:rPr>
      </w:pPr>
      <w:r>
        <w:rPr>
          <w:rFonts w:ascii="仿宋" w:hAnsi="仿宋" w:eastAsia="仿宋"/>
          <w:b/>
          <w:bCs/>
          <w:sz w:val="30"/>
          <w:szCs w:val="30"/>
        </w:rPr>
        <w:t>3.项目资金管理情况分析。</w:t>
      </w:r>
      <w:r>
        <w:rPr>
          <w:rFonts w:hint="eastAsia" w:ascii="仿宋" w:hAnsi="仿宋" w:eastAsia="仿宋"/>
          <w:sz w:val="30"/>
          <w:szCs w:val="30"/>
        </w:rPr>
        <w:t>项目资金管理和使用坚持“专款专用”的原则，无截留、挤占、挪用专项资金情况。年初，区级制定并下发《株洲市渌口区国家基本公共卫生服务项目绩点制考核和资金分配实施方案》(渌卫联〔2022〕6号)。各基层医疗机构结合实际，均认真制定了镇级《基本公共卫生服务项目绩点制考核和资金分配方案》,明确镇、村两级目标任务，签订购买服务协议书。彻底打破了按常住人口核算公共卫生服务经费的方式，牢固树立“多劳多得，优绩优酬”,打破“吃大锅饭”的工作思想。持续完善绩点制考核和资金分配使用办法，及时足额将项目资金拨付至基层医疗机构，实现项目资金拨付及时到位率100%。分别将60%、40%的项目经费拨付至镇(中心)卫生院、村卫生室，确保镇、村两级项目资金合理分配。</w:t>
      </w:r>
    </w:p>
    <w:p>
      <w:pPr>
        <w:spacing w:line="560" w:lineRule="exact"/>
        <w:ind w:firstLine="600" w:firstLineChars="200"/>
        <w:rPr>
          <w:rFonts w:ascii="楷体" w:hAnsi="楷体" w:eastAsia="楷体"/>
          <w:color w:val="auto"/>
          <w:sz w:val="30"/>
          <w:szCs w:val="30"/>
        </w:rPr>
      </w:pPr>
      <w:r>
        <w:rPr>
          <w:rFonts w:hint="eastAsia" w:ascii="楷体" w:hAnsi="楷体" w:eastAsia="楷体"/>
          <w:color w:val="auto"/>
          <w:sz w:val="30"/>
          <w:szCs w:val="30"/>
        </w:rPr>
        <w:t>（二）</w:t>
      </w:r>
      <w:r>
        <w:rPr>
          <w:rFonts w:ascii="楷体" w:hAnsi="楷体" w:eastAsia="楷体"/>
          <w:color w:val="auto"/>
          <w:sz w:val="30"/>
          <w:szCs w:val="30"/>
        </w:rPr>
        <w:t>绩效目标完成情况分析。</w:t>
      </w:r>
    </w:p>
    <w:p>
      <w:pPr>
        <w:spacing w:line="560" w:lineRule="exact"/>
        <w:ind w:firstLine="602" w:firstLineChars="200"/>
        <w:rPr>
          <w:rFonts w:ascii="仿宋" w:hAnsi="仿宋" w:eastAsia="仿宋"/>
          <w:b/>
          <w:bCs/>
          <w:color w:val="auto"/>
          <w:sz w:val="30"/>
          <w:szCs w:val="30"/>
        </w:rPr>
      </w:pPr>
      <w:r>
        <w:rPr>
          <w:rFonts w:ascii="仿宋" w:hAnsi="仿宋" w:eastAsia="仿宋"/>
          <w:b/>
          <w:bCs/>
          <w:color w:val="auto"/>
          <w:sz w:val="30"/>
          <w:szCs w:val="30"/>
        </w:rPr>
        <w:t>1.产出指标完成情况分析。</w:t>
      </w:r>
    </w:p>
    <w:p>
      <w:pPr>
        <w:spacing w:line="5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全区累计建立电子健康档案280306份，电子健康建档率达107.58%,全区居民电子健康档案开放280306份，居民已查阅档案197352人，健康档案使用率70.41%;全区家庭医生签约人数103432人，签约服务覆盖率39.70%;全区孕产妇总数1677人，孕产妇健康管理1656人，健康管理率98.75%,产后访视率99.52%;0—6岁儿童总数15355人，0—6岁儿童健康管理14946人，健康管理率97.34%,新生儿访视率97.73%;65岁及以上老年人46238人，健康管理33350人，健康管理率72.13%;高血压患者健康管理3.17万人(目标任务1.898万人),规范管理人数2.6万人，规范管理率82.08%;糖尿病患者健康管理1.02万人(目标任务0.68万人),规范管理人数0.85万人，规范管理率83.84%;严重精神障碍患者管理1384人，有效管理1382人，有效管理率99.86%。肺结核患者管理149人，有效管理148人，有效管理率99.33%。</w:t>
      </w:r>
    </w:p>
    <w:p>
      <w:pPr>
        <w:spacing w:line="560" w:lineRule="exact"/>
        <w:ind w:firstLine="602" w:firstLineChars="200"/>
        <w:rPr>
          <w:rFonts w:ascii="仿宋" w:hAnsi="仿宋" w:eastAsia="仿宋"/>
          <w:b/>
          <w:bCs/>
          <w:color w:val="auto"/>
          <w:sz w:val="30"/>
          <w:szCs w:val="30"/>
        </w:rPr>
      </w:pPr>
      <w:r>
        <w:rPr>
          <w:rFonts w:ascii="仿宋" w:hAnsi="仿宋" w:eastAsia="仿宋"/>
          <w:b/>
          <w:bCs/>
          <w:color w:val="auto"/>
          <w:sz w:val="30"/>
          <w:szCs w:val="30"/>
        </w:rPr>
        <w:t>2.效益指标完成情况分析。</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（1）经济效益：通过项目的实施，在一定程度上减轻了居民日常健康管理的费用负担。</w:t>
      </w:r>
    </w:p>
    <w:p>
      <w:pPr>
        <w:spacing w:line="5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w:t>
      </w:r>
      <w:r>
        <w:rPr>
          <w:rFonts w:ascii="仿宋" w:hAnsi="仿宋" w:eastAsia="仿宋"/>
          <w:color w:val="auto"/>
          <w:sz w:val="30"/>
          <w:szCs w:val="30"/>
        </w:rPr>
        <w:t>2</w:t>
      </w:r>
      <w:r>
        <w:rPr>
          <w:rFonts w:hint="eastAsia" w:ascii="仿宋" w:hAnsi="仿宋" w:eastAsia="仿宋"/>
          <w:color w:val="auto"/>
          <w:sz w:val="30"/>
          <w:szCs w:val="30"/>
        </w:rPr>
        <w:t>）社会效益：通过项目的实施，提高了居民健康意识，改变了不良生活方式，逐步树立起自我健康管理的理念；减少主要健康危险因素，预防和控制传染病及慢性病的发生和流行；建立起维护居民健康的第一道屏障，对于提高居民健康素质有重要促进作用。</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（3）可持续影响效益：通过工作人员对项目的宣传，居民对基本公共卫生服务的政</w:t>
      </w:r>
      <w:bookmarkStart w:id="0" w:name="_GoBack"/>
      <w:bookmarkEnd w:id="0"/>
      <w:r>
        <w:rPr>
          <w:rFonts w:hint="eastAsia" w:ascii="仿宋" w:hAnsi="仿宋" w:eastAsia="仿宋"/>
          <w:color w:val="auto"/>
          <w:sz w:val="30"/>
          <w:szCs w:val="30"/>
        </w:rPr>
        <w:t>策内容理解得更为深入，会更加主动地选择服务，基本公共卫生服务的利用率将会得到提高，从而在一定程度上可以督促基层医务人员加强学习提高业务水平，可持续地发挥服务效益。</w:t>
      </w:r>
    </w:p>
    <w:p>
      <w:pPr>
        <w:spacing w:line="560" w:lineRule="exact"/>
        <w:ind w:firstLine="602" w:firstLineChars="200"/>
        <w:rPr>
          <w:rFonts w:ascii="仿宋" w:hAnsi="仿宋" w:eastAsia="仿宋"/>
          <w:b/>
          <w:bCs/>
          <w:color w:val="auto"/>
          <w:sz w:val="30"/>
          <w:szCs w:val="30"/>
        </w:rPr>
      </w:pPr>
      <w:r>
        <w:rPr>
          <w:rFonts w:ascii="仿宋" w:hAnsi="仿宋" w:eastAsia="仿宋"/>
          <w:b/>
          <w:bCs/>
          <w:color w:val="auto"/>
          <w:sz w:val="30"/>
          <w:szCs w:val="30"/>
        </w:rPr>
        <w:t>3.满意度指标完成情况分析。</w:t>
      </w:r>
    </w:p>
    <w:p>
      <w:pPr>
        <w:spacing w:line="5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服务对象满意度在9</w:t>
      </w:r>
      <w:r>
        <w:rPr>
          <w:rFonts w:ascii="仿宋" w:hAnsi="仿宋" w:eastAsia="仿宋"/>
          <w:color w:val="auto"/>
          <w:sz w:val="30"/>
          <w:szCs w:val="30"/>
        </w:rPr>
        <w:t>5%</w:t>
      </w:r>
      <w:r>
        <w:rPr>
          <w:rFonts w:hint="eastAsia" w:ascii="仿宋" w:hAnsi="仿宋" w:eastAsia="仿宋"/>
          <w:color w:val="auto"/>
          <w:sz w:val="30"/>
          <w:szCs w:val="30"/>
        </w:rPr>
        <w:t>以上。</w:t>
      </w:r>
    </w:p>
    <w:p>
      <w:pPr>
        <w:spacing w:line="560" w:lineRule="exact"/>
        <w:ind w:firstLine="600" w:firstLineChars="200"/>
        <w:rPr>
          <w:rFonts w:ascii="黑体" w:hAnsi="黑体" w:eastAsia="黑体"/>
          <w:color w:val="auto"/>
          <w:sz w:val="30"/>
          <w:szCs w:val="30"/>
        </w:rPr>
      </w:pPr>
      <w:r>
        <w:rPr>
          <w:rFonts w:hint="eastAsia" w:ascii="黑体" w:hAnsi="黑体" w:eastAsia="黑体"/>
          <w:color w:val="auto"/>
          <w:sz w:val="30"/>
          <w:szCs w:val="30"/>
        </w:rPr>
        <w:t>三、偏离绩效目标的原因和下一步改进措施。</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存在的问题：</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1.组织管理方面。一是基本公共卫生服务项目运行管理有待进一步提升，受疫情影响部分基层医疗机构日常工作未按时间节点有效落实；二是镇级绩点制考核方案有待完善，个别单位绩点制考核方案可操作性不强，标准设置不合理；三是存在的问题整改落实有待加强，针对上级考核及日常工作督导中存在的问题，未及时整改落实；四是基本公共卫生服务项目宣传有待进一步加强。</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2.项目执行方面。居民健康档案：根据第7次人口普查数据，常住人口数调整为260534人。全区累计建立居民健康档案280306份，建档率达107.58%,健康档案清理工作进度缓慢。慢性病健康管理：系统核查慢性病管理规范性基本达标，但现场考核发现渌口镇卫生院和朱亭镇中心卫生院，仍存在慢性病患者漏管现象。严重精神病障碍患者健康管理：严重精神病障碍患者体检率偏低。如古岳峰镇卫生院53.6%,渌口镇卫生院64.38%,淦田镇中心卫生院67.2%,龙门镇卫生院68.5%,南洲镇卫生院69%;面访率偏低的有龙潭镇卫生院60%,龙门镇卫生院77.27%。结核病患者健康管理：一是结核病患者健康档案随访记录不规范，未体现分类干预。如古岳峰镇卫生院1例，龙船镇堂市卫生院1例，南洲镇卫生院1例，渌口镇卫生院1例，朱亭镇中心卫生院1例，龙船镇中心卫生院1例，渌口镇城区卫生院1例。二是未进行规范抗结核治疗。如龙门镇卫生院结案患者1例，未按要求完成6-8个月的规范抗结核治疗。三是肺结核可疑症状筛查不到位。截止11月30日，全区65岁及以上老年人肺结核可疑症状筛查41728人，龙门镇卫生院筛查率80%,未达到100%的筛查指标要求。孕产妇健康管理：电话抽查中2名产妇未在规定时间内进行产后访视，如渌口城区卫生院1人，龙潭卫生院1人。高危孕妇漏管1人，渌口镇卫生院1人。部分单位存在产后补录信息现象，孕期未落实系统动态管理。预防接种：建证建卡，卡证相符率未达标。如古岳峰镇卫生院和龙门镇卫生院，卡证相符率80%,未达到100%的指标要求。</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3.服务效果方面。通过开展即时性智能电话调查，发现存在错号、空号或停机现象；档案质量核查存在空项、逻辑错误等问题，重点人群知晓率调查中整体知晓率偏低。</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改进措施：</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1.高度重视，抓好问题整改。一是要进一步统一思想，提高认识。按照基本公共卫生服务项目工作重点目标任务要求，统筹兼顾，全面推进项目工作开展，确保居民享受到高效、便捷、优质的公共卫生服务。二是要针对问题逐级传导压力。制定整改方案和整改时限，明确具体责任人，及时追踪整改情况，有效提升整体服务能力。</w:t>
      </w:r>
    </w:p>
    <w:p>
      <w:pPr>
        <w:spacing w:line="5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2.强化举措，提高工作质量。一是要加强项目管理。定期开展项目质控，加强档案质量核查，落实真实性和规范性自查。二是要加强业务指导。公共卫生专业机构加强对基层医疗机构的业务指导，科学进行健康评价和健康服务，不断提高服务质量。三是要加强家庭医生签约服务工作。基层医疗机构要充分发挥医防融合作用，将签约服务质量与数量并重，不断提高居民满意度。</w:t>
      </w:r>
    </w:p>
    <w:p>
      <w:pPr>
        <w:spacing w:line="5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3.注重宣教，科学宣传引导。一是要加大项目宣传力度。积极开展健康教育宣传活动，针对重点人群开展个性化健康教育，以促进居民养成健康的生活方式，提高居民知晓率。二是重点抓好健康教育和健康管理。加大对高血压，糖尿病等筛查力度，抓好高血压、糖尿病等慢性病医防融合工作，科学指导用药，提高病情稳定率。稳妥扩大儿童、孕产妇以及老年人等重点人群服务覆盖面，提高健康管理质量，切实增强居民健康获得感。</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四、绩效自评结果拟应用和公开情况</w:t>
      </w:r>
    </w:p>
    <w:p>
      <w:pPr>
        <w:spacing w:line="560" w:lineRule="exact"/>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绩效评价主要采取即时性电话调查、公卫3.0系统核查、日常监测与现场综合评价相结合的方式。评价内容分基本公共卫生服务项目综合评价和绩点制评价。其中：基本公共卫生服务项目综合评价，评价结果用于年度综合排名和单项排名；基本公共卫生服务项目(13项)绩点制评价，评价结果用于年度项目经费的具体核算(详见附件)。《株洲市渌口区国家基本公共卫生服务项目绩点制考核和资金分配实施方案》(渌卫联〔2022〕6号)明确，日常监测占比20%与年度评价占比80%,纳入全年基本公共卫生综合评价总成绩，按照总成绩优秀且排前三名予以奖励；单项成绩排名前五名予以奖励。年度奖励资金达97.7万元，充分调动基层医疗机构的工作积极性。年度评价结果经各专业组初核，卫健局公卫股复核，基层医疗机构会计核算中心审核，卫健局主要领导及分管领导审批，及时将项目资金足额拨付到位，充分发挥了绩效评价“指挥棒”的作用。</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绩效自评结果</w:t>
      </w:r>
      <w:r>
        <w:rPr>
          <w:rFonts w:hint="eastAsia" w:ascii="仿宋" w:hAnsi="仿宋" w:eastAsia="仿宋"/>
          <w:sz w:val="30"/>
          <w:szCs w:val="30"/>
          <w:lang w:val="en-US" w:eastAsia="zh-CN"/>
        </w:rPr>
        <w:t>将</w:t>
      </w:r>
      <w:r>
        <w:rPr>
          <w:rFonts w:hint="eastAsia" w:ascii="仿宋" w:hAnsi="仿宋" w:eastAsia="仿宋"/>
          <w:sz w:val="30"/>
          <w:szCs w:val="30"/>
        </w:rPr>
        <w:t>与2022年度部门决算一并公开。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3710285"/>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ZDE5NzdlYTAzMTYzYmZkYzU2ZTA4ZDg2ZTE3MzgifQ=="/>
  </w:docVars>
  <w:rsids>
    <w:rsidRoot w:val="00CE503C"/>
    <w:rsid w:val="00007479"/>
    <w:rsid w:val="000473DC"/>
    <w:rsid w:val="00057CFF"/>
    <w:rsid w:val="000727C3"/>
    <w:rsid w:val="000B3E14"/>
    <w:rsid w:val="00110BC4"/>
    <w:rsid w:val="0011103F"/>
    <w:rsid w:val="001552AE"/>
    <w:rsid w:val="00163B18"/>
    <w:rsid w:val="001A0F7F"/>
    <w:rsid w:val="001B2F7E"/>
    <w:rsid w:val="001C1CC6"/>
    <w:rsid w:val="001C79B2"/>
    <w:rsid w:val="002253DC"/>
    <w:rsid w:val="0025537B"/>
    <w:rsid w:val="00271C08"/>
    <w:rsid w:val="002B243B"/>
    <w:rsid w:val="002E78A1"/>
    <w:rsid w:val="002F1469"/>
    <w:rsid w:val="00314457"/>
    <w:rsid w:val="00322E36"/>
    <w:rsid w:val="0036140E"/>
    <w:rsid w:val="00391651"/>
    <w:rsid w:val="003F450E"/>
    <w:rsid w:val="0042290E"/>
    <w:rsid w:val="00426546"/>
    <w:rsid w:val="00466705"/>
    <w:rsid w:val="004750AF"/>
    <w:rsid w:val="00477E77"/>
    <w:rsid w:val="004C2D5F"/>
    <w:rsid w:val="004E194B"/>
    <w:rsid w:val="004E1971"/>
    <w:rsid w:val="004E3E91"/>
    <w:rsid w:val="00501E33"/>
    <w:rsid w:val="005156D5"/>
    <w:rsid w:val="0053405A"/>
    <w:rsid w:val="00584010"/>
    <w:rsid w:val="005A021E"/>
    <w:rsid w:val="005C4DCE"/>
    <w:rsid w:val="005C500E"/>
    <w:rsid w:val="005E0F09"/>
    <w:rsid w:val="005E4190"/>
    <w:rsid w:val="006242F1"/>
    <w:rsid w:val="00634CB3"/>
    <w:rsid w:val="00656DDD"/>
    <w:rsid w:val="00665A9D"/>
    <w:rsid w:val="00672A67"/>
    <w:rsid w:val="00696512"/>
    <w:rsid w:val="007A7CCA"/>
    <w:rsid w:val="007F2451"/>
    <w:rsid w:val="007F75F2"/>
    <w:rsid w:val="00892A16"/>
    <w:rsid w:val="008A4A7C"/>
    <w:rsid w:val="008C211F"/>
    <w:rsid w:val="008E6F56"/>
    <w:rsid w:val="008F680C"/>
    <w:rsid w:val="00921758"/>
    <w:rsid w:val="009504C5"/>
    <w:rsid w:val="00A5371B"/>
    <w:rsid w:val="00A74A62"/>
    <w:rsid w:val="00A83357"/>
    <w:rsid w:val="00B8022F"/>
    <w:rsid w:val="00B83C8D"/>
    <w:rsid w:val="00BE0ECF"/>
    <w:rsid w:val="00C95569"/>
    <w:rsid w:val="00CC610A"/>
    <w:rsid w:val="00CC6844"/>
    <w:rsid w:val="00CE0FE3"/>
    <w:rsid w:val="00CE503C"/>
    <w:rsid w:val="00D21A51"/>
    <w:rsid w:val="00D75CA4"/>
    <w:rsid w:val="00EB51A7"/>
    <w:rsid w:val="00F07489"/>
    <w:rsid w:val="00F27599"/>
    <w:rsid w:val="00FD3C21"/>
    <w:rsid w:val="00FE1474"/>
    <w:rsid w:val="00FE3975"/>
    <w:rsid w:val="1D78318B"/>
    <w:rsid w:val="213105AD"/>
    <w:rsid w:val="2C7F577D"/>
    <w:rsid w:val="3D854E75"/>
    <w:rsid w:val="496B2EB9"/>
    <w:rsid w:val="546155E5"/>
    <w:rsid w:val="588843A1"/>
    <w:rsid w:val="60D4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1831</Words>
  <Characters>2019</Characters>
  <Lines>10</Lines>
  <Paragraphs>2</Paragraphs>
  <TotalTime>12</TotalTime>
  <ScaleCrop>false</ScaleCrop>
  <LinksUpToDate>false</LinksUpToDate>
  <CharactersWithSpaces>2037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2022-03-03T08:37:00Z</dcterms:created>
  <dc:creator>8618673301187</dc:creator>
  <cp:lastModifiedBy>小琪琪·燚</cp:lastModifiedBy>
  <dcterms:modified xsi:type="dcterms:W3CDTF">2023-04-20T02:26:19Z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233B66F39F7A4B2DAFB84F724CB7CE14_12</vt:lpwstr>
  </property>
</Properties>
</file>