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2"/>
        <w:gridCol w:w="1283"/>
        <w:gridCol w:w="1218"/>
        <w:gridCol w:w="23"/>
        <w:gridCol w:w="1022"/>
        <w:gridCol w:w="26"/>
        <w:gridCol w:w="1175"/>
        <w:gridCol w:w="1196"/>
        <w:gridCol w:w="730"/>
        <w:gridCol w:w="107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05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株洲市渌口区住房保障服务中心</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算申请</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5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623.5</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18015.27</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18015.27</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2967.76</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939.93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14800</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17075.34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247.51</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rPr>
              <w:t>本年度计划完成老旧小区改造766户，白蚁治理30万平方米，完成公租房租金收缴240万元。</w:t>
            </w:r>
          </w:p>
        </w:tc>
        <w:tc>
          <w:tcPr>
            <w:tcW w:w="45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本年度</w:t>
            </w:r>
            <w:r>
              <w:rPr>
                <w:rFonts w:hint="eastAsia" w:ascii="Times New Roman" w:hAnsi="Times New Roman" w:eastAsia="仿宋_GB2312" w:cs="Times New Roman"/>
                <w:kern w:val="0"/>
                <w:sz w:val="21"/>
                <w:szCs w:val="21"/>
                <w:lang w:val="en-US" w:eastAsia="zh-CN" w:bidi="ar"/>
              </w:rPr>
              <w:t>实际</w:t>
            </w:r>
            <w:r>
              <w:rPr>
                <w:rFonts w:hint="default" w:ascii="Times New Roman" w:hAnsi="Times New Roman" w:eastAsia="仿宋_GB2312" w:cs="Times New Roman"/>
                <w:kern w:val="0"/>
                <w:sz w:val="21"/>
                <w:szCs w:val="21"/>
                <w:lang w:val="en-US" w:eastAsia="zh-CN" w:bidi="ar"/>
              </w:rPr>
              <w:t>完成老旧小区改造</w:t>
            </w:r>
            <w:r>
              <w:rPr>
                <w:rFonts w:hint="eastAsia" w:ascii="Times New Roman" w:hAnsi="Times New Roman" w:eastAsia="仿宋_GB2312" w:cs="Times New Roman"/>
                <w:kern w:val="0"/>
                <w:sz w:val="21"/>
                <w:szCs w:val="21"/>
                <w:lang w:val="en-US" w:eastAsia="zh-CN" w:bidi="ar"/>
              </w:rPr>
              <w:t>995</w:t>
            </w:r>
            <w:r>
              <w:rPr>
                <w:rFonts w:hint="default" w:ascii="Times New Roman" w:hAnsi="Times New Roman" w:eastAsia="仿宋_GB2312" w:cs="Times New Roman"/>
                <w:kern w:val="0"/>
                <w:sz w:val="21"/>
                <w:szCs w:val="21"/>
                <w:lang w:val="en-US" w:eastAsia="zh-CN" w:bidi="ar"/>
              </w:rPr>
              <w:t>户，白蚁治理30万平方米，完成公租房租金收缴</w:t>
            </w:r>
            <w:r>
              <w:rPr>
                <w:rFonts w:hint="eastAsia" w:ascii="Times New Roman" w:hAnsi="Times New Roman" w:eastAsia="仿宋_GB2312" w:cs="Times New Roman"/>
                <w:kern w:val="0"/>
                <w:sz w:val="21"/>
                <w:szCs w:val="21"/>
                <w:lang w:val="en-US" w:eastAsia="zh-CN" w:bidi="ar"/>
              </w:rPr>
              <w:t>250.82</w:t>
            </w:r>
            <w:r>
              <w:rPr>
                <w:rFonts w:hint="default" w:ascii="Times New Roman" w:hAnsi="Times New Roman" w:eastAsia="仿宋_GB2312" w:cs="Times New Roman"/>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jc w:val="center"/>
        </w:trPr>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2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改造小区数</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仿宋_GB2312" w:eastAsia="仿宋_GB2312"/>
              </w:rPr>
              <w:t>≥</w:t>
            </w:r>
            <w:r>
              <w:rPr>
                <w:rFonts w:hint="eastAsia" w:ascii="Times New Roman" w:hAnsi="Times New Roman" w:eastAsia="仿宋_GB2312" w:cs="Times New Roman"/>
                <w:kern w:val="0"/>
                <w:sz w:val="21"/>
                <w:szCs w:val="21"/>
                <w:lang w:val="en-US" w:eastAsia="zh-CN" w:bidi="ar"/>
              </w:rPr>
              <w:t>18个</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19个</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5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tabs>
                <w:tab w:val="center" w:pos="687"/>
              </w:tabs>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0"/>
                <w:szCs w:val="20"/>
                <w:highlight w:val="none"/>
                <w:lang w:val="en-US" w:eastAsia="zh-CN" w:bidi="ar"/>
              </w:rPr>
              <w:t>根据建筑面积、居民意愿及相关政策进行调整。（年初计划18个小区，765户，增加1个小区，230户，增加建筑面积3.15万平方米，增加9栋。）</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4"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599"/>
              </w:tabs>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改造户数</w:t>
            </w:r>
            <w:r>
              <w:rPr>
                <w:rFonts w:hint="eastAsia" w:ascii="Times New Roman" w:hAnsi="Times New Roman" w:eastAsia="仿宋_GB2312" w:cs="Times New Roman"/>
                <w:kern w:val="0"/>
                <w:sz w:val="21"/>
                <w:szCs w:val="21"/>
                <w:lang w:val="en-US" w:eastAsia="zh-CN" w:bidi="ar"/>
              </w:rPr>
              <w:tab/>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仿宋_GB2312" w:eastAsia="仿宋_GB2312"/>
              </w:rPr>
              <w:t>≥</w:t>
            </w:r>
            <w:r>
              <w:rPr>
                <w:rFonts w:hint="eastAsia" w:ascii="Times New Roman" w:hAnsi="Times New Roman" w:eastAsia="仿宋_GB2312" w:cs="Times New Roman"/>
                <w:kern w:val="0"/>
                <w:sz w:val="21"/>
                <w:szCs w:val="21"/>
                <w:lang w:val="en-US" w:eastAsia="zh-CN" w:bidi="ar"/>
              </w:rPr>
              <w:t>766户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995户</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59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白蚁治理面积</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30万平方米</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30万平方米</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firstLine="210" w:firstLineChars="10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84" w:firstLine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验收合格率</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完工时间</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2022-12-31</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2022-12-31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3"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资金成本</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623.5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szCs w:val="21"/>
                <w:lang w:val="en-US" w:eastAsia="zh-CN"/>
              </w:rPr>
              <w:t>18015.27</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增加了政府基金拨款等项目资金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0"/>
                <w:szCs w:val="20"/>
                <w:lang w:val="en-US" w:eastAsia="zh-CN"/>
              </w:rPr>
              <w:t>资金收缴及拨付及时到位</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r>
              <w:rPr>
                <w:rFonts w:hint="default" w:ascii="Times New Roman" w:hAnsi="Times New Roman" w:eastAsia="仿宋_GB2312" w:cs="Times New Roman"/>
                <w:kern w:val="0"/>
                <w:sz w:val="21"/>
                <w:szCs w:val="21"/>
                <w:lang w:val="en-US" w:eastAsia="zh-CN" w:bidi="ar"/>
              </w:rPr>
              <w:t>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群众居住条件是否改善</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小区环境是否改善</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 xml:space="preserve">  10</w:t>
            </w:r>
            <w:r>
              <w:rPr>
                <w:rFonts w:hint="default" w:ascii="Times New Roman" w:hAnsi="Times New Roman" w:eastAsia="仿宋_GB2312" w:cs="Times New Roman"/>
                <w:kern w:val="0"/>
                <w:sz w:val="21"/>
                <w:szCs w:val="21"/>
                <w:lang w:val="en-US" w:eastAsia="zh-CN" w:bidi="ar"/>
              </w:rPr>
              <w:t>　</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城市品质是否得到提升</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是</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0分）</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居民满意度</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jc w:val="left"/>
              <w:rPr>
                <w:rFonts w:hint="default" w:ascii="Times New Roman" w:hAnsi="Times New Roman" w:eastAsia="仿宋_GB2312" w:cs="Times New Roman"/>
                <w:kern w:val="0"/>
                <w:szCs w:val="21"/>
                <w:lang w:val="en-US"/>
              </w:rPr>
            </w:pPr>
            <w:r>
              <w:rPr>
                <w:rFonts w:hint="eastAsia" w:ascii="仿宋_GB2312" w:eastAsia="仿宋_GB2312"/>
                <w:lang w:val="en-US" w:eastAsia="zh-CN"/>
              </w:rPr>
              <w:t xml:space="preserve"> </w:t>
            </w:r>
            <w:r>
              <w:rPr>
                <w:rFonts w:hint="eastAsia" w:ascii="仿宋_GB2312" w:eastAsia="仿宋_GB2312"/>
              </w:rPr>
              <w:t>≥</w:t>
            </w:r>
            <w:r>
              <w:rPr>
                <w:rFonts w:hint="eastAsia" w:ascii="Times New Roman" w:hAnsi="Times New Roman" w:eastAsia="仿宋_GB2312" w:cs="Times New Roman"/>
                <w:kern w:val="0"/>
                <w:sz w:val="21"/>
                <w:szCs w:val="21"/>
                <w:lang w:val="en-US" w:eastAsia="zh-CN" w:bidi="ar"/>
              </w:rPr>
              <w:t>95%</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80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100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 xml:space="preserve"> 100</w:t>
            </w:r>
            <w:r>
              <w:rPr>
                <w:rFonts w:hint="default" w:ascii="Times New Roman" w:hAnsi="Times New Roman" w:eastAsia="仿宋_GB2312" w:cs="Times New Roman"/>
                <w:kern w:val="0"/>
                <w:sz w:val="21"/>
                <w:szCs w:val="21"/>
                <w:lang w:val="en-US" w:eastAsia="zh-CN" w:bidi="ar"/>
              </w:rPr>
              <w:t>　</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刘彩蝉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15073356389</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w:t>
      </w:r>
      <w:r>
        <w:rPr>
          <w:rFonts w:hint="default" w:ascii="Times New Roman" w:hAnsi="Times New Roman" w:eastAsia="仿宋_GB2312" w:cs="Times New Roman"/>
          <w:kern w:val="0"/>
          <w:sz w:val="21"/>
          <w:szCs w:val="21"/>
          <w:lang w:val="en-US" w:eastAsia="zh-CN" w:bidi="ar"/>
        </w:rPr>
        <w:t xml:space="preserve">    </w:t>
      </w:r>
      <w:bookmarkStart w:id="0" w:name="_GoBack"/>
      <w:bookmarkEnd w:id="0"/>
      <w:r>
        <w:rPr>
          <w:rFonts w:hint="default" w:ascii="Times New Roman" w:hAnsi="Times New Roman" w:eastAsia="仿宋_GB2312" w:cs="Times New Roman"/>
          <w:kern w:val="0"/>
          <w:sz w:val="21"/>
          <w:szCs w:val="21"/>
          <w:lang w:val="en-US" w:eastAsia="zh-CN" w:bidi="ar"/>
        </w:rPr>
        <w:t>单位负责人签字：</w:t>
      </w:r>
      <w:r>
        <w:rPr>
          <w:rFonts w:hint="eastAsia" w:ascii="Times New Roman" w:hAnsi="Times New Roman" w:eastAsia="仿宋_GB2312" w:cs="Times New Roman"/>
          <w:kern w:val="0"/>
          <w:sz w:val="21"/>
          <w:szCs w:val="21"/>
          <w:lang w:val="en-US" w:eastAsia="zh-CN" w:bidi="ar"/>
        </w:rPr>
        <w:t>陈柏林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一、</w:t>
      </w:r>
      <w:r>
        <w:rPr>
          <w:rFonts w:hint="default" w:ascii="Times New Roman" w:hAnsi="Times New Roman" w:eastAsia="黑体" w:cs="Times New Roman"/>
          <w:kern w:val="2"/>
          <w:sz w:val="32"/>
          <w:szCs w:val="32"/>
          <w:lang w:val="en-US" w:eastAsia="zh-CN" w:bidi="ar"/>
        </w:rPr>
        <w:t>预算单位基本情况</w:t>
      </w:r>
    </w:p>
    <w:p>
      <w:pPr>
        <w:pStyle w:val="7"/>
        <w:spacing w:before="0" w:beforeAutospacing="0" w:after="0" w:afterAutospacing="0" w:line="560" w:lineRule="exact"/>
        <w:ind w:firstLine="640" w:firstLineChars="200"/>
        <w:textAlignment w:val="baseline"/>
        <w:rPr>
          <w:rFonts w:hint="eastAsia" w:ascii="黑体" w:hAnsi="黑体" w:eastAsia="黑体" w:cs="Times New Roman"/>
          <w:color w:val="auto"/>
          <w:sz w:val="32"/>
          <w:szCs w:val="32"/>
        </w:rPr>
      </w:pPr>
      <w:r>
        <w:rPr>
          <w:rFonts w:hint="eastAsia" w:ascii="黑体" w:hAnsi="黑体" w:eastAsia="黑体" w:cs="Times New Roman"/>
          <w:color w:val="auto"/>
          <w:sz w:val="32"/>
          <w:szCs w:val="32"/>
          <w:lang w:val="en-US" w:eastAsia="zh-CN"/>
        </w:rPr>
        <w:t>1</w:t>
      </w:r>
      <w:r>
        <w:rPr>
          <w:rFonts w:hint="eastAsia" w:ascii="黑体" w:hAnsi="黑体" w:eastAsia="黑体" w:cs="Times New Roman"/>
          <w:color w:val="auto"/>
          <w:sz w:val="32"/>
          <w:szCs w:val="32"/>
        </w:rPr>
        <w:t>、单位主要职责</w:t>
      </w:r>
    </w:p>
    <w:p>
      <w:pPr>
        <w:pStyle w:val="7"/>
        <w:spacing w:before="0" w:beforeAutospacing="0" w:after="0" w:afterAutospacing="0" w:line="560" w:lineRule="exact"/>
        <w:ind w:firstLine="640" w:firstLineChars="200"/>
        <w:textAlignment w:val="baseline"/>
        <w:rPr>
          <w:rFonts w:hint="eastAsia" w:ascii="Times New Roman" w:hAnsi="仿宋" w:eastAsia="仿宋" w:cs="Times New Roman"/>
          <w:color w:val="auto"/>
          <w:sz w:val="32"/>
          <w:szCs w:val="32"/>
        </w:rPr>
      </w:pPr>
      <w:r>
        <w:rPr>
          <w:rFonts w:hint="eastAsia" w:ascii="Times New Roman" w:hAnsi="仿宋" w:eastAsia="仿宋" w:cs="Times New Roman"/>
          <w:color w:val="auto"/>
          <w:sz w:val="32"/>
          <w:szCs w:val="32"/>
        </w:rPr>
        <w:t>根据渌编办【2020】9号文件规定，本部门主要职责是：</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（1）贯彻执行国家、省、市有关住房保障的方针、政策和法律法规，拟订全区住房保障地方性政策的实施办法。</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（2）根据区总体规划的要求，负责拟订全区住房保障建设发展规划、计划，并协助实施。</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3）负责全区住房保障服务工作，负责拟订全区保障性住房、城市棚户区和国有工矿棚户区改造计划并协助实施；负责协调全区保障性住房的建设、储备、分配、交易等事务性工作；负责全区保障性住房的后续事务工作；负责全区住房保障对象登记审核备案前期事务工作，承担全区廉租住房租赁补贴发放；负责全区棚户区改造工作的统筹协调服务；负责协调保障性安居工程示范区创建事务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（4）承担深化住房制度改革的事务工作。配合主管部门建立和完善购租并举的住房供应体系。</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5）协调全区房地产开发经营管理事务工作；负责全区房地产开发企业资质审核、报批以及开发项目审定、资本金监管、住宅使用说明书与住宅质量保证书的管理等工作的前期事务性相关工作；负责住宅性能的管理与住宅产业化等工作的前期事务性相关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（6）负责全区房地产业统计和房地产业分析研究；负责房地产市场监测分析、信用信息、预警预报建设，协助主管部门做好管理。</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（7）受委托指导和做好全区国有土地上房屋征收与补偿审核前期事务性工作；负责征收评估管理，征收补偿费用核算前期事务性工作。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（8）负责城市物业管理活动的管理；负责物业维修资金的收缴和使用；指导和规范物业服务市场和物业服务的招标投标事务工作，协助主管部门规范和监督管理物业服务市场。</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（9）负责全区城镇房屋白蚁防治工作。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10）负责全区住房保障信息化工作，负责全区住房保障管理信息系统建设、管理和维护工作；负责全区个人保障住房信息系统建设，负责住房保障管理、房屋安全管理、住宅维修资金管理等房产管理信息平台建设、成果管理和系统维护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（11）负责全区公有住房的管理工作；承担全区国有直管公房、公共租赁住房、廉租住房、直管公房、自管产的产权产籍和营运管理工作。</w:t>
      </w:r>
    </w:p>
    <w:p>
      <w:pPr>
        <w:autoSpaceDE w:val="0"/>
        <w:spacing w:line="560" w:lineRule="exact"/>
        <w:ind w:firstLine="640" w:firstLineChars="200"/>
        <w:rPr>
          <w:rFonts w:hint="eastAsia" w:ascii="仿宋_GB2312" w:hAnsi="Calibri" w:eastAsia="仿宋_GB2312" w:cs="Times New Roman"/>
          <w:bCs/>
          <w:color w:val="auto"/>
          <w:sz w:val="32"/>
          <w:szCs w:val="32"/>
        </w:rPr>
      </w:pPr>
      <w:r>
        <w:rPr>
          <w:rFonts w:hint="eastAsia" w:ascii="仿宋_GB2312" w:hAnsi="Calibri" w:eastAsia="仿宋_GB2312" w:cs="Times New Roman"/>
          <w:bCs/>
          <w:color w:val="auto"/>
          <w:sz w:val="32"/>
          <w:szCs w:val="32"/>
        </w:rPr>
        <w:t>（12）完成区委、区政府和主管部门交办的其他工作。</w:t>
      </w:r>
    </w:p>
    <w:p>
      <w:pPr>
        <w:pStyle w:val="7"/>
        <w:spacing w:before="0" w:beforeAutospacing="0" w:after="0" w:afterAutospacing="0" w:line="560" w:lineRule="exact"/>
        <w:ind w:firstLine="640" w:firstLineChars="200"/>
        <w:textAlignment w:val="baseline"/>
        <w:rPr>
          <w:rFonts w:hint="eastAsia" w:ascii="黑体" w:hAnsi="黑体" w:eastAsia="黑体" w:cs="Times New Roman"/>
          <w:color w:val="auto"/>
          <w:sz w:val="32"/>
          <w:szCs w:val="32"/>
        </w:rPr>
      </w:pPr>
      <w:r>
        <w:rPr>
          <w:rFonts w:hint="eastAsia" w:ascii="黑体" w:hAnsi="黑体" w:eastAsia="黑体" w:cs="Times New Roman"/>
          <w:color w:val="auto"/>
          <w:sz w:val="32"/>
          <w:szCs w:val="32"/>
          <w:lang w:val="en-US" w:eastAsia="zh-CN"/>
        </w:rPr>
        <w:t>2</w:t>
      </w:r>
      <w:r>
        <w:rPr>
          <w:rFonts w:hint="eastAsia" w:ascii="黑体" w:hAnsi="黑体" w:eastAsia="黑体" w:cs="Times New Roman"/>
          <w:color w:val="auto"/>
          <w:sz w:val="32"/>
          <w:szCs w:val="32"/>
        </w:rPr>
        <w:t>、单位机构、人员情况</w:t>
      </w:r>
    </w:p>
    <w:p>
      <w:pPr>
        <w:pStyle w:val="7"/>
        <w:spacing w:before="0" w:beforeAutospacing="0" w:after="0" w:afterAutospacing="0" w:line="560" w:lineRule="exact"/>
        <w:ind w:firstLine="640" w:firstLineChars="200"/>
        <w:textAlignment w:val="baseline"/>
        <w:rPr>
          <w:rFonts w:hint="eastAsia" w:ascii="Times New Roman" w:hAnsi="仿宋" w:eastAsia="仿宋" w:cs="Times New Roman"/>
          <w:color w:val="auto"/>
          <w:sz w:val="32"/>
          <w:szCs w:val="32"/>
        </w:rPr>
      </w:pPr>
      <w:r>
        <w:rPr>
          <w:rFonts w:hint="eastAsia" w:ascii="Times New Roman" w:hAnsi="仿宋" w:eastAsia="仿宋" w:cs="Times New Roman"/>
          <w:color w:val="auto"/>
          <w:sz w:val="32"/>
          <w:szCs w:val="32"/>
        </w:rPr>
        <w:t>渌口区住房保障服务中心是区人民政府主管住房保障工作的正科级事业单位，现有股室6个，在职人员35人</w:t>
      </w:r>
      <w:r>
        <w:rPr>
          <w:rFonts w:hint="eastAsia" w:ascii="Times New Roman" w:hAnsi="仿宋" w:eastAsia="仿宋" w:cs="Times New Roman"/>
          <w:color w:val="auto"/>
          <w:sz w:val="32"/>
          <w:szCs w:val="32"/>
          <w:lang w:eastAsia="zh-CN"/>
        </w:rPr>
        <w:t>（其中预算编制人员</w:t>
      </w:r>
      <w:r>
        <w:rPr>
          <w:rFonts w:hint="eastAsia" w:ascii="Times New Roman" w:hAnsi="仿宋" w:eastAsia="仿宋" w:cs="Times New Roman"/>
          <w:color w:val="auto"/>
          <w:sz w:val="32"/>
          <w:szCs w:val="32"/>
          <w:lang w:val="en-US" w:eastAsia="zh-CN"/>
        </w:rPr>
        <w:t>29人</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rPr>
        <w:t>，离休人员1人，退休人员42人，属区一级预算单位。</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Times New Roman" w:hAnsi="Times New Roman" w:eastAsia="黑体" w:cs="Times New Roman"/>
          <w:kern w:val="2"/>
          <w:sz w:val="32"/>
          <w:szCs w:val="32"/>
          <w:lang w:val="en-US" w:eastAsia="zh-CN" w:bidi="ar"/>
        </w:rPr>
      </w:pPr>
    </w:p>
    <w:p>
      <w:pPr>
        <w:pStyle w:val="12"/>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2"/>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12"/>
        <w:widowControl/>
        <w:spacing w:line="600" w:lineRule="exact"/>
        <w:ind w:left="0" w:leftChars="0" w:firstLine="960" w:firstLineChars="300"/>
        <w:rPr>
          <w:rFonts w:hint="eastAsia" w:ascii="Times New Roman" w:hAnsi="Times New Roman" w:eastAsia="仿宋" w:cs="Times New Roman"/>
          <w:sz w:val="32"/>
          <w:szCs w:val="32"/>
          <w:lang w:val="en-US" w:eastAsia="zh-CN"/>
        </w:rPr>
      </w:pPr>
      <w:r>
        <w:rPr>
          <w:rFonts w:hint="eastAsia" w:ascii="仿宋" w:hAnsi="仿宋" w:eastAsia="仿宋"/>
          <w:sz w:val="32"/>
          <w:lang w:eastAsia="zh-CN"/>
        </w:rPr>
        <w:t>本年度</w:t>
      </w:r>
      <w:r>
        <w:rPr>
          <w:rFonts w:hint="eastAsia" w:ascii="仿宋" w:hAnsi="仿宋" w:eastAsia="仿宋"/>
          <w:sz w:val="32"/>
        </w:rPr>
        <w:t>基本支出决算939.93万元，比年初预算数增加516.43万元，变化的主要原因是</w:t>
      </w:r>
      <w:r>
        <w:rPr>
          <w:rFonts w:hint="eastAsia" w:ascii="仿宋" w:hAnsi="仿宋" w:eastAsia="仿宋"/>
          <w:sz w:val="32"/>
          <w:lang w:eastAsia="zh-CN"/>
        </w:rPr>
        <w:t>人员经费和防疫</w:t>
      </w:r>
      <w:r>
        <w:rPr>
          <w:rFonts w:hint="eastAsia" w:ascii="仿宋" w:hAnsi="仿宋" w:eastAsia="仿宋"/>
          <w:sz w:val="32"/>
        </w:rPr>
        <w:t>等资金增加；人员经费决算553.33万元，比年初预算多386.88万元，变化的主要原因是新增1名人员和工资增加。基本支出完成</w:t>
      </w:r>
      <w:r>
        <w:rPr>
          <w:rFonts w:hint="eastAsia" w:ascii="仿宋" w:hAnsi="仿宋" w:eastAsia="仿宋"/>
          <w:sz w:val="28"/>
        </w:rPr>
        <w:t>939.93</w:t>
      </w:r>
      <w:r>
        <w:rPr>
          <w:rFonts w:hint="eastAsia" w:ascii="仿宋" w:hAnsi="仿宋" w:eastAsia="仿宋"/>
          <w:sz w:val="32"/>
        </w:rPr>
        <w:t>万元，比上年增加162.58万元，增加20.91</w:t>
      </w:r>
      <w:r>
        <w:rPr>
          <w:rFonts w:hint="eastAsia" w:ascii="仿宋" w:hAnsi="仿宋" w:eastAsia="仿宋"/>
          <w:sz w:val="28"/>
        </w:rPr>
        <w:t>%，</w:t>
      </w:r>
      <w:r>
        <w:rPr>
          <w:rFonts w:hint="eastAsia" w:ascii="仿宋" w:hAnsi="仿宋" w:eastAsia="仿宋"/>
          <w:sz w:val="32"/>
          <w:lang w:val="zh-CN"/>
        </w:rPr>
        <w:t>变化的主要原因：</w:t>
      </w:r>
      <w:r>
        <w:rPr>
          <w:rFonts w:hint="eastAsia" w:ascii="仿宋" w:hAnsi="仿宋" w:eastAsia="仿宋"/>
          <w:sz w:val="32"/>
        </w:rPr>
        <w:t>人员经费增加和抗疫支出增加；公用</w:t>
      </w:r>
      <w:r>
        <w:rPr>
          <w:rFonts w:hint="eastAsia" w:ascii="仿宋" w:hAnsi="仿宋" w:eastAsia="仿宋"/>
          <w:sz w:val="32"/>
          <w:lang w:val="zh-CN"/>
        </w:rPr>
        <w:t>经费</w:t>
      </w:r>
      <w:r>
        <w:rPr>
          <w:rFonts w:hint="eastAsia" w:ascii="仿宋" w:hAnsi="仿宋" w:eastAsia="仿宋"/>
          <w:sz w:val="32"/>
        </w:rPr>
        <w:t>完成386.59万元，比上年增加123.89万元，增加47.16%，</w:t>
      </w:r>
      <w:r>
        <w:rPr>
          <w:rFonts w:hint="eastAsia" w:ascii="仿宋" w:hAnsi="仿宋" w:eastAsia="仿宋"/>
          <w:sz w:val="32"/>
          <w:lang w:val="zh-CN"/>
        </w:rPr>
        <w:t>变化的主要原因：</w:t>
      </w:r>
      <w:r>
        <w:rPr>
          <w:rFonts w:hint="eastAsia" w:ascii="仿宋" w:hAnsi="仿宋" w:eastAsia="仿宋"/>
          <w:sz w:val="32"/>
          <w:lang w:eastAsia="zh-CN"/>
        </w:rPr>
        <w:t>防疫和</w:t>
      </w:r>
      <w:r>
        <w:rPr>
          <w:rFonts w:hint="eastAsia" w:ascii="仿宋" w:hAnsi="仿宋" w:eastAsia="仿宋"/>
          <w:sz w:val="32"/>
        </w:rPr>
        <w:t>创文创卫增加</w:t>
      </w:r>
      <w:r>
        <w:rPr>
          <w:rFonts w:hint="eastAsia" w:ascii="仿宋" w:hAnsi="仿宋" w:eastAsia="仿宋"/>
          <w:sz w:val="32"/>
          <w:lang w:eastAsia="zh-CN"/>
        </w:rPr>
        <w:t>及</w:t>
      </w:r>
      <w:r>
        <w:rPr>
          <w:rFonts w:hint="eastAsia" w:ascii="仿宋" w:hAnsi="仿宋" w:eastAsia="仿宋"/>
          <w:sz w:val="32"/>
        </w:rPr>
        <w:t>医疗费补助增加</w:t>
      </w:r>
      <w:r>
        <w:rPr>
          <w:rFonts w:hint="eastAsia" w:ascii="仿宋" w:hAnsi="仿宋" w:eastAsia="仿宋"/>
          <w:sz w:val="32"/>
          <w:lang w:val="en-US" w:eastAsia="zh-CN"/>
        </w:rPr>
        <w:t>.</w:t>
      </w:r>
    </w:p>
    <w:p>
      <w:pPr>
        <w:pStyle w:val="12"/>
        <w:widowControl/>
        <w:numPr>
          <w:ilvl w:val="0"/>
          <w:numId w:val="1"/>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项目支出情况</w:t>
      </w:r>
    </w:p>
    <w:p>
      <w:pPr>
        <w:pStyle w:val="12"/>
        <w:widowControl/>
        <w:numPr>
          <w:ilvl w:val="0"/>
          <w:numId w:val="0"/>
        </w:numPr>
        <w:spacing w:line="600" w:lineRule="exact"/>
        <w:ind w:right="0" w:rightChars="0" w:firstLine="640" w:firstLineChars="200"/>
        <w:rPr>
          <w:rFonts w:hint="default" w:ascii="Times New Roman" w:hAnsi="Times New Roman" w:eastAsia="楷体_GB2312" w:cs="Times New Roman"/>
          <w:sz w:val="32"/>
          <w:szCs w:val="32"/>
          <w:lang w:val="en-US"/>
        </w:rPr>
      </w:pPr>
      <w:r>
        <w:rPr>
          <w:rFonts w:hint="eastAsia" w:ascii="仿宋" w:hAnsi="仿宋" w:eastAsia="仿宋"/>
          <w:sz w:val="32"/>
          <w:lang w:val="en-US" w:eastAsia="zh-CN"/>
        </w:rPr>
        <w:t>1、</w:t>
      </w:r>
      <w:r>
        <w:rPr>
          <w:rFonts w:hint="eastAsia" w:ascii="仿宋" w:hAnsi="仿宋" w:eastAsia="仿宋"/>
          <w:sz w:val="32"/>
        </w:rPr>
        <w:t>项目支出完成17075.3</w:t>
      </w:r>
      <w:r>
        <w:rPr>
          <w:rFonts w:hint="eastAsia" w:ascii="仿宋" w:hAnsi="仿宋" w:eastAsia="仿宋"/>
          <w:sz w:val="32"/>
          <w:lang w:val="en-US" w:eastAsia="zh-CN"/>
        </w:rPr>
        <w:t>5</w:t>
      </w:r>
      <w:r>
        <w:rPr>
          <w:rFonts w:hint="eastAsia" w:ascii="仿宋" w:hAnsi="仿宋" w:eastAsia="仿宋"/>
          <w:sz w:val="32"/>
        </w:rPr>
        <w:t>万元，比上年增加6918.96万元，增加68.12%，变化的主要原因是老旧小区改造等项目支出增加；基本建设类项目支出16273.88万元，比上年增加15998.28万元增加5804.84%，</w:t>
      </w:r>
      <w:r>
        <w:rPr>
          <w:rFonts w:hint="eastAsia" w:ascii="仿宋" w:hAnsi="仿宋" w:eastAsia="仿宋"/>
          <w:sz w:val="32"/>
          <w:lang w:val="zh-CN"/>
        </w:rPr>
        <w:t>变化的主要原因：</w:t>
      </w:r>
      <w:r>
        <w:rPr>
          <w:rFonts w:hint="eastAsia" w:ascii="仿宋" w:hAnsi="仿宋" w:eastAsia="仿宋"/>
          <w:sz w:val="32"/>
        </w:rPr>
        <w:t>增加了526厂老旧小区基础设施建设</w:t>
      </w:r>
      <w:r>
        <w:rPr>
          <w:rFonts w:hint="eastAsia" w:ascii="仿宋" w:hAnsi="仿宋" w:eastAsia="仿宋"/>
          <w:sz w:val="32"/>
          <w:lang w:eastAsia="zh-CN"/>
        </w:rPr>
        <w:t>等</w:t>
      </w:r>
      <w:r>
        <w:rPr>
          <w:rFonts w:hint="eastAsia" w:ascii="仿宋" w:hAnsi="仿宋" w:eastAsia="仿宋"/>
          <w:sz w:val="32"/>
        </w:rPr>
        <w:t>资金。</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本年度实际支付项目资金</w:t>
      </w:r>
      <w:r>
        <w:rPr>
          <w:rFonts w:hint="eastAsia" w:ascii="仿宋_GB2312" w:eastAsia="仿宋_GB2312"/>
          <w:color w:val="auto"/>
          <w:sz w:val="32"/>
          <w:szCs w:val="32"/>
          <w:lang w:val="en-US" w:eastAsia="zh-CN"/>
        </w:rPr>
        <w:t>17075.35万元，其中</w:t>
      </w:r>
      <w:r>
        <w:rPr>
          <w:rFonts w:hint="eastAsia" w:ascii="仿宋_GB2312" w:eastAsia="仿宋_GB2312"/>
          <w:color w:val="auto"/>
          <w:sz w:val="32"/>
          <w:szCs w:val="32"/>
        </w:rPr>
        <w:t>区级财政年初预算安排</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万元专项资金，</w:t>
      </w:r>
      <w:r>
        <w:rPr>
          <w:rFonts w:hint="eastAsia" w:ascii="仿宋_GB2312" w:eastAsia="仿宋_GB2312"/>
          <w:color w:val="auto"/>
          <w:sz w:val="32"/>
          <w:szCs w:val="32"/>
          <w:lang w:eastAsia="zh-CN"/>
        </w:rPr>
        <w:t>由于资金紧张，财政核减后为</w:t>
      </w:r>
      <w:r>
        <w:rPr>
          <w:rFonts w:hint="eastAsia" w:ascii="仿宋_GB2312" w:eastAsia="仿宋_GB2312"/>
          <w:color w:val="auto"/>
          <w:sz w:val="32"/>
          <w:szCs w:val="32"/>
          <w:lang w:val="en-US" w:eastAsia="zh-CN"/>
        </w:rPr>
        <w:t>100万，实际区级资金支付856.59万元，主要用于商品房契税返还和老旧小区改造，支付用于526厂老旧小区改造资金和梅子湖二期项目专项债资金14800万元，支付其他上级资金1418.75万元，主要用于老旧小区改造、棚户区改造及住房补贴资金，资金的拨付严格执行完整的审批程序和手续，资金符合项目预算批复或合同规定的用途，不存在截留、挤占、挪用、虚列支出等情况。</w:t>
      </w:r>
    </w:p>
    <w:p>
      <w:pPr>
        <w:spacing w:line="560" w:lineRule="exact"/>
        <w:ind w:firstLine="630"/>
        <w:rPr>
          <w:rFonts w:hint="eastAsia" w:ascii="仿宋_GB2312" w:eastAsia="仿宋_GB2312"/>
          <w:color w:val="auto"/>
          <w:sz w:val="32"/>
          <w:szCs w:val="32"/>
        </w:rPr>
      </w:pPr>
    </w:p>
    <w:p>
      <w:pPr>
        <w:keepNext w:val="0"/>
        <w:keepLines w:val="0"/>
        <w:widowControl w:val="0"/>
        <w:numPr>
          <w:ilvl w:val="0"/>
          <w:numId w:val="0"/>
        </w:numPr>
        <w:suppressLineNumbers w:val="0"/>
        <w:spacing w:before="0" w:beforeAutospacing="0" w:after="0" w:afterAutospacing="0" w:line="600" w:lineRule="exact"/>
        <w:ind w:leftChars="200" w:right="0" w:rightChars="0" w:firstLine="320" w:firstLineChars="10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三、</w:t>
      </w:r>
      <w:r>
        <w:rPr>
          <w:rFonts w:hint="default" w:ascii="Times New Roman" w:hAnsi="Times New Roman" w:eastAsia="黑体" w:cs="Times New Roman"/>
          <w:kern w:val="2"/>
          <w:sz w:val="32"/>
          <w:szCs w:val="32"/>
          <w:lang w:val="en-US" w:eastAsia="zh-CN" w:bidi="ar"/>
        </w:rPr>
        <w:t>部门整体支出绩效情况</w:t>
      </w:r>
    </w:p>
    <w:p>
      <w:pPr>
        <w:spacing w:line="560" w:lineRule="exact"/>
        <w:ind w:firstLine="643" w:firstLineChars="200"/>
        <w:rPr>
          <w:rFonts w:ascii="楷体" w:hAnsi="楷体" w:eastAsia="楷体"/>
          <w:b/>
          <w:color w:val="auto"/>
          <w:sz w:val="32"/>
          <w:szCs w:val="32"/>
        </w:rPr>
      </w:pPr>
      <w:r>
        <w:rPr>
          <w:rFonts w:ascii="楷体" w:hAnsi="楷体" w:eastAsia="楷体"/>
          <w:b/>
          <w:color w:val="auto"/>
          <w:sz w:val="32"/>
          <w:szCs w:val="32"/>
        </w:rPr>
        <w:t>1.</w:t>
      </w:r>
      <w:r>
        <w:rPr>
          <w:rFonts w:hint="eastAsia" w:ascii="楷体" w:hAnsi="楷体" w:eastAsia="楷体"/>
          <w:b/>
          <w:color w:val="auto"/>
          <w:sz w:val="32"/>
          <w:szCs w:val="32"/>
        </w:rPr>
        <w:t>科学调控，精准施策，确保房地产平稳健康发展</w:t>
      </w:r>
    </w:p>
    <w:p>
      <w:pPr>
        <w:spacing w:line="560" w:lineRule="exact"/>
        <w:ind w:firstLine="640" w:firstLineChars="200"/>
        <w:rPr>
          <w:rFonts w:hint="default" w:ascii="仿宋_GB2312" w:eastAsia="仿宋_GB2312"/>
          <w:color w:val="000000"/>
          <w:sz w:val="32"/>
          <w:szCs w:val="32"/>
          <w:lang w:val="en-US" w:eastAsia="zh-CN"/>
        </w:rPr>
      </w:pPr>
      <w:r>
        <w:rPr>
          <w:rFonts w:hint="eastAsia" w:ascii="楷体" w:hAnsi="楷体" w:eastAsia="楷体"/>
          <w:color w:val="auto"/>
          <w:sz w:val="32"/>
          <w:szCs w:val="32"/>
        </w:rPr>
        <w:t>一是勇担当，敢作为破解发展难题。</w:t>
      </w:r>
      <w:r>
        <w:rPr>
          <w:rFonts w:hint="eastAsia" w:ascii="仿宋_GB2312" w:eastAsia="仿宋_GB2312"/>
          <w:color w:val="auto"/>
          <w:sz w:val="32"/>
          <w:szCs w:val="32"/>
        </w:rPr>
        <w:t>积极主动开展 “保交楼、保稳定、保民生”工作，部门联合，大胆争资，争取国家保交楼资金1.524亿元现已到位，目前正在按照资金使用办法规范管理使用，确保资金使用安全，极大地缓解了房地产当前面临的资金困难。</w:t>
      </w:r>
    </w:p>
    <w:p>
      <w:pPr>
        <w:spacing w:line="560" w:lineRule="exact"/>
        <w:ind w:firstLine="640" w:firstLineChars="200"/>
        <w:rPr>
          <w:rFonts w:ascii="仿宋_GB2312" w:eastAsia="仿宋_GB2312"/>
          <w:color w:val="auto"/>
          <w:sz w:val="30"/>
          <w:szCs w:val="30"/>
        </w:rPr>
      </w:pPr>
      <w:r>
        <w:rPr>
          <w:rFonts w:hint="eastAsia" w:ascii="楷体" w:hAnsi="楷体" w:eastAsia="楷体" w:cs="方正北魏楷书简体"/>
          <w:color w:val="auto"/>
          <w:sz w:val="32"/>
          <w:szCs w:val="32"/>
        </w:rPr>
        <w:t>二是出台惠企惠民政策，提振发展信心。</w:t>
      </w:r>
      <w:r>
        <w:rPr>
          <w:rFonts w:hint="eastAsia" w:ascii="仿宋_GB2312" w:eastAsia="仿宋_GB2312"/>
          <w:color w:val="auto"/>
          <w:sz w:val="32"/>
          <w:szCs w:val="32"/>
        </w:rPr>
        <w:t>为积极应对房地产发展严峻的形势，实时出台《株洲市渌口区促进房地产业良性循环和健康发展的若干措施》、《关于促进房地产项目车位车库销售工作方案》等惠企惠民政策，激发市场潜力，促进房地产市场健康发展。</w:t>
      </w:r>
      <w:r>
        <w:rPr>
          <w:rFonts w:hint="eastAsia" w:ascii="仿宋_GB2312" w:eastAsia="仿宋_GB2312"/>
          <w:color w:val="auto"/>
          <w:kern w:val="0"/>
          <w:sz w:val="32"/>
          <w:szCs w:val="32"/>
        </w:rPr>
        <w:t>认真落实温暖企业政策，</w:t>
      </w:r>
      <w:r>
        <w:rPr>
          <w:rFonts w:hint="eastAsia" w:ascii="仿宋_GB2312" w:eastAsia="仿宋_GB2312"/>
          <w:color w:val="auto"/>
          <w:sz w:val="32"/>
          <w:szCs w:val="32"/>
        </w:rPr>
        <w:t>收集符合契税补贴资料共850份，契税补贴703.9万元；符合车位补贴资料121份，车位补贴36.3万元；符合人才购房补贴279份，人才购房补贴651万元,正在进行联合审核等发放前的准备工作，对留住人才，吸引周边市民来来渌口投资置业取得较好的效果。</w:t>
      </w:r>
    </w:p>
    <w:p>
      <w:pPr>
        <w:spacing w:line="560" w:lineRule="exact"/>
        <w:ind w:firstLine="630"/>
        <w:rPr>
          <w:rFonts w:ascii="仿宋_GB2312" w:eastAsia="仿宋_GB2312"/>
          <w:b/>
          <w:color w:val="auto"/>
          <w:sz w:val="32"/>
          <w:szCs w:val="32"/>
        </w:rPr>
      </w:pPr>
      <w:r>
        <w:rPr>
          <w:rFonts w:hint="eastAsia" w:ascii="楷体" w:hAnsi="楷体" w:eastAsia="楷体"/>
          <w:bCs/>
          <w:color w:val="auto"/>
          <w:sz w:val="32"/>
          <w:szCs w:val="32"/>
        </w:rPr>
        <w:t>三是大力引进“四上”企业，促进房地产品质发展。</w:t>
      </w:r>
      <w:r>
        <w:rPr>
          <w:rFonts w:hint="eastAsia" w:ascii="仿宋_GB2312" w:eastAsia="仿宋_GB2312"/>
          <w:color w:val="auto"/>
          <w:sz w:val="32"/>
          <w:szCs w:val="32"/>
        </w:rPr>
        <w:t>今年计划新增3家“四上”房地产企业，目前已有株洲鸿方置业有限公司1家房地产公司申报成功，湖南伟大青龙湾酒店管理有限公司正在申报房地产开发资质。根据“市场主体培育年”的文件要求，协助成立了53家新增企业</w:t>
      </w:r>
      <w:r>
        <w:rPr>
          <w:rFonts w:hint="eastAsia" w:ascii="仿宋_GB2312" w:eastAsia="仿宋_GB2312"/>
          <w:b/>
          <w:color w:val="auto"/>
          <w:sz w:val="32"/>
          <w:szCs w:val="32"/>
        </w:rPr>
        <w:t xml:space="preserve">。 </w:t>
      </w:r>
    </w:p>
    <w:p>
      <w:pPr>
        <w:spacing w:line="560" w:lineRule="exact"/>
        <w:ind w:firstLine="630" w:firstLineChars="0"/>
        <w:rPr>
          <w:rFonts w:ascii="楷体" w:hAnsi="楷体" w:eastAsia="楷体"/>
          <w:b/>
          <w:color w:val="auto"/>
          <w:sz w:val="32"/>
          <w:szCs w:val="32"/>
          <w:shd w:val="clear" w:color="auto" w:fill="FFFFFF"/>
        </w:rPr>
      </w:pPr>
      <w:r>
        <w:rPr>
          <w:rFonts w:hint="eastAsia" w:ascii="楷体" w:hAnsi="楷体" w:eastAsia="楷体"/>
          <w:b/>
          <w:color w:val="auto"/>
          <w:sz w:val="32"/>
          <w:szCs w:val="32"/>
          <w:shd w:val="clear" w:color="auto" w:fill="FFFFFF"/>
        </w:rPr>
        <w:t>2</w:t>
      </w:r>
      <w:r>
        <w:rPr>
          <w:rFonts w:ascii="楷体" w:hAnsi="楷体" w:eastAsia="楷体"/>
          <w:b/>
          <w:color w:val="auto"/>
          <w:sz w:val="32"/>
          <w:szCs w:val="32"/>
          <w:shd w:val="clear" w:color="auto" w:fill="FFFFFF"/>
        </w:rPr>
        <w:t>.</w:t>
      </w:r>
      <w:r>
        <w:rPr>
          <w:rFonts w:hint="eastAsia" w:ascii="楷体" w:hAnsi="楷体" w:eastAsia="楷体"/>
          <w:b/>
          <w:color w:val="auto"/>
          <w:sz w:val="32"/>
          <w:szCs w:val="32"/>
          <w:shd w:val="clear" w:color="auto" w:fill="FFFFFF"/>
        </w:rPr>
        <w:t>严格审核，强化调度，创新做好住房保障工作</w:t>
      </w:r>
    </w:p>
    <w:p>
      <w:pPr>
        <w:spacing w:line="560" w:lineRule="exact"/>
        <w:ind w:firstLine="643" w:firstLineChars="200"/>
        <w:rPr>
          <w:rFonts w:hint="eastAsia" w:ascii="楷体" w:hAnsi="楷体" w:eastAsia="楷体"/>
          <w:b/>
          <w:bCs/>
          <w:color w:val="auto"/>
          <w:sz w:val="32"/>
          <w:szCs w:val="32"/>
          <w:shd w:val="clear" w:color="auto" w:fill="FFFFFF"/>
        </w:rPr>
      </w:pPr>
      <w:r>
        <w:rPr>
          <w:rFonts w:hint="eastAsia" w:ascii="楷体" w:hAnsi="楷体" w:eastAsia="楷体"/>
          <w:b/>
          <w:bCs/>
          <w:color w:val="auto"/>
          <w:sz w:val="32"/>
          <w:szCs w:val="32"/>
          <w:shd w:val="clear" w:color="auto" w:fill="FFFFFF"/>
          <w:lang w:eastAsia="zh-CN"/>
        </w:rPr>
        <w:t>（</w:t>
      </w:r>
      <w:r>
        <w:rPr>
          <w:rFonts w:hint="eastAsia" w:ascii="楷体" w:hAnsi="楷体" w:eastAsia="楷体"/>
          <w:b/>
          <w:bCs/>
          <w:color w:val="auto"/>
          <w:sz w:val="32"/>
          <w:szCs w:val="32"/>
          <w:shd w:val="clear" w:color="auto" w:fill="FFFFFF"/>
          <w:lang w:val="en-US" w:eastAsia="zh-CN"/>
        </w:rPr>
        <w:t>1</w:t>
      </w:r>
      <w:r>
        <w:rPr>
          <w:rFonts w:hint="eastAsia" w:ascii="楷体" w:hAnsi="楷体" w:eastAsia="楷体"/>
          <w:b/>
          <w:bCs/>
          <w:color w:val="auto"/>
          <w:sz w:val="32"/>
          <w:szCs w:val="32"/>
          <w:shd w:val="clear" w:color="auto" w:fill="FFFFFF"/>
          <w:lang w:eastAsia="zh-CN"/>
        </w:rPr>
        <w:t>）</w:t>
      </w:r>
      <w:r>
        <w:rPr>
          <w:rFonts w:hint="eastAsia" w:ascii="楷体" w:hAnsi="楷体" w:eastAsia="楷体"/>
          <w:b/>
          <w:bCs/>
          <w:color w:val="auto"/>
          <w:sz w:val="32"/>
          <w:szCs w:val="32"/>
          <w:shd w:val="clear" w:color="auto" w:fill="FFFFFF"/>
        </w:rPr>
        <w:t>推进棚改保租房建设</w:t>
      </w:r>
    </w:p>
    <w:p>
      <w:pPr>
        <w:spacing w:line="560" w:lineRule="exact"/>
        <w:ind w:firstLine="643" w:firstLineChars="200"/>
        <w:rPr>
          <w:rFonts w:ascii="仿宋_GB2312" w:eastAsia="仿宋_GB2312"/>
          <w:color w:val="auto"/>
          <w:sz w:val="32"/>
          <w:szCs w:val="32"/>
        </w:rPr>
      </w:pPr>
      <w:r>
        <w:rPr>
          <w:rFonts w:hint="eastAsia" w:ascii="仿宋" w:hAnsi="仿宋" w:eastAsia="仿宋"/>
          <w:b/>
          <w:color w:val="auto"/>
          <w:sz w:val="32"/>
          <w:szCs w:val="32"/>
          <w:shd w:val="clear" w:color="auto" w:fill="FFFFFF"/>
        </w:rPr>
        <w:t>一是</w:t>
      </w:r>
      <w:r>
        <w:rPr>
          <w:rFonts w:hint="eastAsia" w:ascii="仿宋" w:hAnsi="仿宋" w:eastAsia="仿宋"/>
          <w:color w:val="auto"/>
          <w:sz w:val="32"/>
          <w:szCs w:val="32"/>
        </w:rPr>
        <w:t>城镇棚户区改造工作。</w:t>
      </w:r>
      <w:r>
        <w:rPr>
          <w:rFonts w:hint="eastAsia" w:ascii="仿宋_GB2312" w:eastAsia="仿宋_GB2312"/>
          <w:color w:val="auto"/>
          <w:sz w:val="32"/>
          <w:szCs w:val="32"/>
        </w:rPr>
        <w:t>2022年棚户区改造任务2个项目共计368户，改造面积20960平方米，计划投资1.3亿元。</w:t>
      </w:r>
      <w:r>
        <w:rPr>
          <w:rFonts w:hint="eastAsia" w:ascii="仿宋_GB2312" w:eastAsia="仿宋_GB2312"/>
          <w:b w:val="0"/>
          <w:bCs w:val="0"/>
          <w:color w:val="auto"/>
          <w:sz w:val="32"/>
          <w:szCs w:val="32"/>
        </w:rPr>
        <w:t>其中：南塘小区二期棚户区改造项目改扩翻建208户；梅子湖三期城中村改造项目安置160户，</w:t>
      </w:r>
      <w:r>
        <w:rPr>
          <w:rFonts w:hint="eastAsia" w:ascii="仿宋_GB2312" w:eastAsia="仿宋_GB2312"/>
          <w:b w:val="0"/>
          <w:bCs w:val="0"/>
          <w:color w:val="auto"/>
          <w:sz w:val="32"/>
          <w:szCs w:val="32"/>
          <w:lang w:val="en-US" w:eastAsia="zh-CN"/>
        </w:rPr>
        <w:t>均</w:t>
      </w:r>
      <w:r>
        <w:rPr>
          <w:rFonts w:hint="eastAsia" w:ascii="仿宋_GB2312" w:eastAsia="仿宋_GB2312"/>
          <w:b w:val="0"/>
          <w:bCs w:val="0"/>
          <w:color w:val="auto"/>
          <w:sz w:val="32"/>
          <w:szCs w:val="32"/>
        </w:rPr>
        <w:t>已完工。</w:t>
      </w:r>
    </w:p>
    <w:p>
      <w:pPr>
        <w:spacing w:line="560" w:lineRule="exact"/>
        <w:ind w:firstLine="643" w:firstLineChars="200"/>
        <w:rPr>
          <w:rFonts w:ascii="仿宋_GB2312" w:eastAsia="仿宋_GB2312"/>
          <w:color w:val="auto"/>
          <w:sz w:val="32"/>
          <w:szCs w:val="32"/>
          <w:shd w:val="clear" w:color="auto" w:fill="FFFFFF"/>
        </w:rPr>
      </w:pPr>
      <w:r>
        <w:rPr>
          <w:rFonts w:hint="eastAsia" w:ascii="仿宋_GB2312" w:eastAsia="仿宋_GB2312"/>
          <w:b/>
          <w:color w:val="auto"/>
          <w:sz w:val="32"/>
          <w:szCs w:val="32"/>
        </w:rPr>
        <w:t>二是</w:t>
      </w:r>
      <w:r>
        <w:rPr>
          <w:rFonts w:hint="eastAsia" w:ascii="仿宋_GB2312" w:eastAsia="仿宋_GB2312"/>
          <w:color w:val="auto"/>
          <w:sz w:val="32"/>
          <w:szCs w:val="32"/>
        </w:rPr>
        <w:t>保障性租赁住房建设工作。2022年实施保障性租赁住房6个项目共计970套，建筑面积5.16万</w:t>
      </w:r>
      <w:r>
        <w:rPr>
          <w:rFonts w:hint="eastAsia" w:ascii="宋体" w:hAnsi="宋体"/>
          <w:color w:val="auto"/>
          <w:sz w:val="32"/>
          <w:szCs w:val="32"/>
        </w:rPr>
        <w:t>㎡</w:t>
      </w:r>
      <w:r>
        <w:rPr>
          <w:rFonts w:hint="eastAsia" w:ascii="仿宋_GB2312" w:eastAsia="仿宋_GB2312"/>
          <w:color w:val="auto"/>
          <w:sz w:val="32"/>
          <w:szCs w:val="32"/>
        </w:rPr>
        <w:t>，计划投资1.75亿元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项目均已开工建设</w:t>
      </w:r>
      <w:r>
        <w:rPr>
          <w:rFonts w:hint="eastAsia" w:ascii="仿宋_GB2312" w:eastAsia="仿宋_GB2312"/>
          <w:color w:val="auto"/>
          <w:sz w:val="32"/>
          <w:szCs w:val="32"/>
        </w:rPr>
        <w:t>。</w:t>
      </w:r>
    </w:p>
    <w:p>
      <w:pPr>
        <w:numPr>
          <w:ilvl w:val="0"/>
          <w:numId w:val="2"/>
        </w:numPr>
        <w:spacing w:line="560" w:lineRule="exact"/>
        <w:ind w:firstLine="643" w:firstLineChars="200"/>
        <w:rPr>
          <w:rFonts w:hint="eastAsia" w:ascii="楷体" w:hAnsi="楷体" w:eastAsia="楷体"/>
          <w:b/>
          <w:color w:val="auto"/>
          <w:sz w:val="32"/>
          <w:szCs w:val="32"/>
          <w:shd w:val="clear" w:color="auto" w:fill="FFFFFF"/>
        </w:rPr>
      </w:pPr>
      <w:r>
        <w:rPr>
          <w:rFonts w:hint="eastAsia" w:ascii="楷体" w:hAnsi="楷体" w:eastAsia="楷体"/>
          <w:b/>
          <w:color w:val="auto"/>
          <w:sz w:val="32"/>
          <w:szCs w:val="32"/>
          <w:shd w:val="clear" w:color="auto" w:fill="FFFFFF"/>
        </w:rPr>
        <w:t>发放租赁补贴</w:t>
      </w:r>
    </w:p>
    <w:p>
      <w:pPr>
        <w:numPr>
          <w:ilvl w:val="0"/>
          <w:numId w:val="0"/>
        </w:numPr>
        <w:spacing w:line="560" w:lineRule="exact"/>
        <w:ind w:firstLine="640" w:firstLineChars="200"/>
        <w:rPr>
          <w:rFonts w:ascii="仿宋_GB2312" w:eastAsia="仿宋_GB2312"/>
          <w:color w:val="auto"/>
          <w:sz w:val="32"/>
          <w:szCs w:val="32"/>
        </w:rPr>
      </w:pPr>
      <w:r>
        <w:rPr>
          <w:rFonts w:hint="eastAsia" w:ascii="仿宋_GB2312" w:eastAsia="仿宋_GB2312"/>
          <w:bCs/>
          <w:color w:val="auto"/>
          <w:sz w:val="32"/>
          <w:szCs w:val="32"/>
        </w:rPr>
        <w:t>2022年</w:t>
      </w:r>
      <w:r>
        <w:rPr>
          <w:rFonts w:hint="eastAsia" w:ascii="仿宋_GB2312" w:eastAsia="仿宋_GB2312"/>
          <w:color w:val="auto"/>
          <w:sz w:val="32"/>
          <w:szCs w:val="32"/>
        </w:rPr>
        <w:t>计划发放住房租赁补贴450户。</w:t>
      </w:r>
      <w:r>
        <w:rPr>
          <w:rFonts w:hint="eastAsia" w:ascii="仿宋_GB2312" w:eastAsia="仿宋_GB2312"/>
          <w:color w:val="auto"/>
          <w:sz w:val="32"/>
          <w:szCs w:val="32"/>
          <w:lang w:val="en-US" w:eastAsia="zh-CN"/>
        </w:rPr>
        <w:t>全年</w:t>
      </w:r>
      <w:r>
        <w:rPr>
          <w:rFonts w:hint="eastAsia" w:ascii="仿宋_GB2312" w:eastAsia="仿宋_GB2312"/>
          <w:color w:val="auto"/>
          <w:sz w:val="32"/>
          <w:szCs w:val="32"/>
        </w:rPr>
        <w:t>已发放460户住房租赁贴资金</w:t>
      </w:r>
      <w:r>
        <w:rPr>
          <w:rFonts w:hint="eastAsia" w:ascii="仿宋_GB2312" w:eastAsia="仿宋_GB2312"/>
          <w:color w:val="auto"/>
          <w:sz w:val="32"/>
          <w:szCs w:val="32"/>
          <w:lang w:eastAsia="zh-CN"/>
        </w:rPr>
        <w:t>。</w:t>
      </w:r>
    </w:p>
    <w:p>
      <w:pPr>
        <w:spacing w:line="560" w:lineRule="exact"/>
        <w:ind w:firstLine="643" w:firstLineChars="200"/>
        <w:rPr>
          <w:rFonts w:hint="eastAsia" w:ascii="仿宋_GB2312" w:eastAsia="楷体"/>
          <w:bCs/>
          <w:color w:val="auto"/>
          <w:sz w:val="32"/>
          <w:szCs w:val="32"/>
          <w:lang w:eastAsia="zh-CN"/>
        </w:rPr>
      </w:pPr>
      <w:r>
        <w:rPr>
          <w:rFonts w:hint="eastAsia" w:ascii="楷体" w:hAnsi="楷体" w:eastAsia="楷体"/>
          <w:b/>
          <w:color w:val="auto"/>
          <w:sz w:val="32"/>
          <w:szCs w:val="32"/>
        </w:rPr>
        <w:t>(</w:t>
      </w:r>
      <w:r>
        <w:rPr>
          <w:rFonts w:ascii="楷体" w:hAnsi="楷体" w:eastAsia="楷体"/>
          <w:b/>
          <w:color w:val="auto"/>
          <w:sz w:val="32"/>
          <w:szCs w:val="32"/>
        </w:rPr>
        <w:t>3</w:t>
      </w:r>
      <w:r>
        <w:rPr>
          <w:rFonts w:hint="eastAsia" w:ascii="楷体" w:hAnsi="楷体" w:eastAsia="楷体"/>
          <w:b/>
          <w:color w:val="auto"/>
          <w:sz w:val="32"/>
          <w:szCs w:val="32"/>
          <w:lang w:eastAsia="zh-CN"/>
        </w:rPr>
        <w:t>）保障房和直管公房租金收缴和管理</w:t>
      </w:r>
    </w:p>
    <w:p>
      <w:pPr>
        <w:spacing w:line="560" w:lineRule="exact"/>
        <w:ind w:firstLine="640" w:firstLineChars="200"/>
        <w:rPr>
          <w:rFonts w:hint="eastAsia" w:ascii="仿宋_GB2312" w:eastAsia="仿宋_GB2312"/>
          <w:color w:val="auto"/>
          <w:kern w:val="0"/>
          <w:sz w:val="32"/>
          <w:szCs w:val="32"/>
        </w:rPr>
      </w:pPr>
      <w:r>
        <w:rPr>
          <w:rFonts w:hint="eastAsia" w:ascii="仿宋_GB2312" w:eastAsia="仿宋_GB2312"/>
          <w:color w:val="auto"/>
          <w:sz w:val="32"/>
          <w:szCs w:val="32"/>
        </w:rPr>
        <w:t>全年共收房租408.8万元，其中：渌口镇房租收入376.6万元，淦田镇房租收入 13.6万元，朱亭镇房租收入18.6元。追缴欠租22.8万元，代收水电费16.6万元。此外，有</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户公租房租户因购房、工作调动等原因申请更改租户并办理退房手续，该</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套房源现全部重新分配入住。</w:t>
      </w:r>
      <w:r>
        <w:rPr>
          <w:rFonts w:hint="eastAsia" w:ascii="仿宋_GB2312" w:eastAsia="仿宋_GB2312"/>
          <w:color w:val="auto"/>
          <w:kern w:val="0"/>
          <w:sz w:val="32"/>
          <w:szCs w:val="32"/>
        </w:rPr>
        <w:t xml:space="preserve"> </w:t>
      </w:r>
    </w:p>
    <w:p>
      <w:pPr>
        <w:spacing w:line="560" w:lineRule="exact"/>
        <w:ind w:firstLine="643" w:firstLineChars="200"/>
        <w:jc w:val="left"/>
        <w:rPr>
          <w:rFonts w:ascii="楷体" w:hAnsi="楷体" w:eastAsia="楷体"/>
          <w:b/>
          <w:color w:val="auto"/>
          <w:sz w:val="32"/>
          <w:szCs w:val="32"/>
          <w:shd w:val="clear" w:color="auto" w:fill="FFFFFF"/>
        </w:rPr>
      </w:pPr>
      <w:r>
        <w:rPr>
          <w:rFonts w:hint="eastAsia" w:ascii="楷体" w:hAnsi="楷体" w:eastAsia="楷体"/>
          <w:b/>
          <w:color w:val="auto"/>
          <w:sz w:val="32"/>
          <w:szCs w:val="32"/>
          <w:shd w:val="clear" w:color="auto" w:fill="FFFFFF"/>
        </w:rPr>
        <w:t>3</w:t>
      </w:r>
      <w:r>
        <w:rPr>
          <w:rFonts w:ascii="楷体" w:hAnsi="楷体" w:eastAsia="楷体"/>
          <w:b/>
          <w:color w:val="auto"/>
          <w:sz w:val="32"/>
          <w:szCs w:val="32"/>
          <w:shd w:val="clear" w:color="auto" w:fill="FFFFFF"/>
        </w:rPr>
        <w:t>.</w:t>
      </w:r>
      <w:r>
        <w:rPr>
          <w:rFonts w:hint="eastAsia" w:ascii="楷体" w:hAnsi="楷体" w:eastAsia="楷体"/>
          <w:b/>
          <w:color w:val="auto"/>
          <w:sz w:val="32"/>
          <w:szCs w:val="32"/>
          <w:shd w:val="clear" w:color="auto" w:fill="FFFFFF"/>
        </w:rPr>
        <w:t>协调推进城市更新工作</w:t>
      </w:r>
    </w:p>
    <w:p>
      <w:pPr>
        <w:spacing w:line="560" w:lineRule="exact"/>
        <w:ind w:left="0" w:leftChars="0" w:firstLine="321" w:firstLineChars="100"/>
        <w:jc w:val="left"/>
        <w:rPr>
          <w:rFonts w:hint="eastAsia" w:ascii="仿宋_GB2312" w:eastAsia="仿宋_GB2312"/>
          <w:b/>
          <w:bCs/>
          <w:color w:val="auto"/>
          <w:sz w:val="32"/>
          <w:szCs w:val="32"/>
        </w:rPr>
      </w:pPr>
      <w:r>
        <w:rPr>
          <w:rFonts w:hint="eastAsia" w:ascii="仿宋_GB2312" w:eastAsia="仿宋_GB2312"/>
          <w:b/>
          <w:bCs/>
          <w:color w:val="auto"/>
          <w:sz w:val="32"/>
          <w:szCs w:val="32"/>
        </w:rPr>
        <w:t>（1）有序推进老改工程</w:t>
      </w:r>
    </w:p>
    <w:p>
      <w:pPr>
        <w:spacing w:line="560" w:lineRule="exact"/>
        <w:ind w:left="0" w:leftChars="0" w:firstLine="320" w:firstLineChars="100"/>
        <w:jc w:val="left"/>
        <w:rPr>
          <w:rFonts w:ascii="仿宋_GB2312" w:eastAsia="仿宋_GB2312"/>
          <w:color w:val="auto"/>
          <w:kern w:val="0"/>
          <w:sz w:val="32"/>
          <w:szCs w:val="32"/>
        </w:rPr>
      </w:pPr>
      <w:r>
        <w:rPr>
          <w:rFonts w:hint="eastAsia" w:ascii="仿宋_GB2312" w:eastAsia="仿宋_GB2312"/>
          <w:color w:val="auto"/>
          <w:kern w:val="0"/>
          <w:sz w:val="32"/>
          <w:szCs w:val="32"/>
        </w:rPr>
        <w:t xml:space="preserve"> </w:t>
      </w:r>
      <w:r>
        <w:rPr>
          <w:rFonts w:hint="eastAsia" w:ascii="仿宋_GB2312" w:eastAsia="仿宋_GB2312"/>
          <w:color w:val="auto"/>
          <w:sz w:val="32"/>
          <w:szCs w:val="32"/>
        </w:rPr>
        <w:t>2022年老旧小区改造计划实施19个老旧小区改造任务，涉及49栋、995户，建筑面积10.68万平米，计划投资919.2万元。目前，熙园小区230户改造6月份已完工，其余18个小区正在进行施工建设</w:t>
      </w:r>
      <w:r>
        <w:rPr>
          <w:rFonts w:hint="eastAsia" w:ascii="仿宋_GB2312" w:eastAsia="仿宋_GB2312"/>
          <w:color w:val="auto"/>
          <w:sz w:val="32"/>
          <w:szCs w:val="32"/>
          <w:lang w:eastAsia="zh-CN"/>
        </w:rPr>
        <w:t>。</w:t>
      </w:r>
    </w:p>
    <w:p>
      <w:pPr>
        <w:numPr>
          <w:ilvl w:val="0"/>
          <w:numId w:val="3"/>
        </w:numPr>
        <w:spacing w:line="560" w:lineRule="exact"/>
        <w:ind w:firstLine="321" w:firstLineChars="100"/>
        <w:jc w:val="left"/>
        <w:rPr>
          <w:rFonts w:hint="eastAsia" w:ascii="仿宋_GB2312" w:eastAsia="仿宋_GB2312"/>
          <w:b/>
          <w:bCs/>
          <w:color w:val="auto"/>
          <w:kern w:val="0"/>
          <w:sz w:val="32"/>
          <w:szCs w:val="32"/>
          <w:lang w:eastAsia="zh-CN"/>
        </w:rPr>
      </w:pPr>
      <w:r>
        <w:rPr>
          <w:rFonts w:hint="eastAsia" w:ascii="仿宋_GB2312" w:eastAsia="仿宋_GB2312"/>
          <w:b/>
          <w:bCs/>
          <w:color w:val="auto"/>
          <w:kern w:val="0"/>
          <w:sz w:val="32"/>
          <w:szCs w:val="32"/>
        </w:rPr>
        <w:t>乡村振兴</w:t>
      </w:r>
      <w:r>
        <w:rPr>
          <w:rFonts w:hint="eastAsia" w:ascii="仿宋_GB2312" w:eastAsia="仿宋_GB2312"/>
          <w:b/>
          <w:bCs/>
          <w:color w:val="auto"/>
          <w:kern w:val="0"/>
          <w:sz w:val="32"/>
          <w:szCs w:val="32"/>
          <w:lang w:eastAsia="zh-CN"/>
        </w:rPr>
        <w:t>及</w:t>
      </w:r>
      <w:r>
        <w:rPr>
          <w:rFonts w:hint="eastAsia" w:ascii="仿宋_GB2312" w:eastAsia="仿宋_GB2312"/>
          <w:b/>
          <w:bCs/>
          <w:color w:val="auto"/>
          <w:kern w:val="0"/>
          <w:sz w:val="32"/>
          <w:szCs w:val="32"/>
        </w:rPr>
        <w:t>促推村级发展</w:t>
      </w:r>
    </w:p>
    <w:p>
      <w:pPr>
        <w:numPr>
          <w:ilvl w:val="0"/>
          <w:numId w:val="0"/>
        </w:numPr>
        <w:spacing w:line="560" w:lineRule="exact"/>
        <w:ind w:firstLine="960" w:firstLineChars="300"/>
        <w:jc w:val="left"/>
        <w:rPr>
          <w:rFonts w:hint="eastAsia" w:ascii="仿宋_GB2312" w:eastAsia="仿宋_GB2312"/>
          <w:b/>
          <w:bCs/>
          <w:color w:val="auto"/>
          <w:kern w:val="0"/>
          <w:sz w:val="32"/>
          <w:szCs w:val="32"/>
          <w:lang w:eastAsia="zh-CN"/>
        </w:rPr>
      </w:pPr>
      <w:r>
        <w:rPr>
          <w:rFonts w:hint="eastAsia" w:ascii="仿宋_GB2312" w:eastAsia="仿宋_GB2312"/>
          <w:color w:val="auto"/>
          <w:kern w:val="0"/>
          <w:sz w:val="32"/>
          <w:szCs w:val="32"/>
        </w:rPr>
        <w:t>中心帮扶责任人20人，结对村2个，党建帮扶村1个，消薄村1个，全年走访结对户数36户，帮扶工作队坚持发挥党建引领运用，持续巩固脱贫攻坚成果，大力实施乡村振兴，全年共计拨付乡村振兴资金 10.4万元</w:t>
      </w:r>
      <w:r>
        <w:rPr>
          <w:rFonts w:hint="eastAsia" w:ascii="仿宋_GB2312" w:eastAsia="仿宋_GB2312"/>
          <w:b/>
          <w:bCs/>
          <w:color w:val="auto"/>
          <w:kern w:val="0"/>
          <w:sz w:val="32"/>
          <w:szCs w:val="32"/>
          <w:lang w:eastAsia="zh-CN"/>
        </w:rPr>
        <w:t>。</w:t>
      </w:r>
    </w:p>
    <w:p>
      <w:pPr>
        <w:spacing w:line="560" w:lineRule="exact"/>
        <w:ind w:firstLine="321" w:firstLineChars="100"/>
        <w:jc w:val="left"/>
        <w:rPr>
          <w:rFonts w:hint="eastAsia" w:ascii="仿宋_GB2312" w:eastAsia="仿宋_GB2312"/>
          <w:b/>
          <w:bCs/>
          <w:color w:val="auto"/>
          <w:kern w:val="0"/>
          <w:sz w:val="32"/>
          <w:szCs w:val="32"/>
          <w:lang w:val="en-US" w:eastAsia="zh-CN"/>
        </w:rPr>
      </w:pPr>
      <w:r>
        <w:rPr>
          <w:rFonts w:hint="eastAsia" w:ascii="仿宋_GB2312" w:eastAsia="仿宋_GB2312"/>
          <w:b/>
          <w:bCs/>
          <w:color w:val="auto"/>
          <w:kern w:val="0"/>
          <w:sz w:val="32"/>
          <w:szCs w:val="32"/>
        </w:rPr>
        <w:t>（</w:t>
      </w:r>
      <w:r>
        <w:rPr>
          <w:rFonts w:hint="eastAsia" w:ascii="仿宋_GB2312" w:eastAsia="仿宋_GB2312"/>
          <w:b/>
          <w:bCs/>
          <w:color w:val="auto"/>
          <w:kern w:val="0"/>
          <w:sz w:val="32"/>
          <w:szCs w:val="32"/>
          <w:lang w:val="en-US" w:eastAsia="zh-CN"/>
        </w:rPr>
        <w:t>3</w:t>
      </w:r>
      <w:r>
        <w:rPr>
          <w:rFonts w:hint="eastAsia" w:ascii="仿宋_GB2312" w:eastAsia="仿宋_GB2312"/>
          <w:b/>
          <w:bCs/>
          <w:color w:val="auto"/>
          <w:kern w:val="0"/>
          <w:sz w:val="32"/>
          <w:szCs w:val="32"/>
        </w:rPr>
        <w:t>）</w:t>
      </w:r>
      <w:r>
        <w:rPr>
          <w:rFonts w:hint="eastAsia" w:ascii="仿宋_GB2312" w:eastAsia="仿宋_GB2312"/>
          <w:b/>
          <w:bCs/>
          <w:color w:val="auto"/>
          <w:kern w:val="0"/>
          <w:sz w:val="32"/>
          <w:szCs w:val="32"/>
          <w:lang w:eastAsia="zh-CN"/>
        </w:rPr>
        <w:t>做好信访工作</w:t>
      </w:r>
      <w:r>
        <w:rPr>
          <w:rFonts w:hint="eastAsia" w:ascii="仿宋_GB2312" w:eastAsia="仿宋_GB2312"/>
          <w:b/>
          <w:bCs/>
          <w:color w:val="auto"/>
          <w:kern w:val="0"/>
          <w:sz w:val="32"/>
          <w:szCs w:val="32"/>
          <w:lang w:val="en-US" w:eastAsia="zh-CN"/>
        </w:rPr>
        <w:t xml:space="preserve"> </w:t>
      </w:r>
    </w:p>
    <w:p>
      <w:pPr>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认真研判形式，及时处置舆情隐患，防范化解风险，认真办理涉诉涉访事件，共回复处理了各类信访件902件，其中市长热线、区长热线或信箱728件、网格中心20件、信访局56件、网络问政68件，百姓呼声15件、问政湖南12件、领导留言板3件，回复率100%，满意率100%。</w:t>
      </w:r>
    </w:p>
    <w:p>
      <w:pPr>
        <w:numPr>
          <w:ilvl w:val="0"/>
          <w:numId w:val="4"/>
        </w:numPr>
        <w:spacing w:line="560" w:lineRule="exact"/>
        <w:ind w:firstLine="321" w:firstLineChars="100"/>
        <w:rPr>
          <w:rFonts w:hint="eastAsia" w:ascii="仿宋_GB2312" w:eastAsia="仿宋_GB2312"/>
          <w:b/>
          <w:bCs/>
          <w:color w:val="auto"/>
          <w:kern w:val="0"/>
          <w:sz w:val="32"/>
          <w:szCs w:val="32"/>
        </w:rPr>
      </w:pPr>
      <w:r>
        <w:rPr>
          <w:rFonts w:hint="eastAsia" w:ascii="仿宋_GB2312" w:eastAsia="仿宋_GB2312"/>
          <w:b/>
          <w:bCs/>
          <w:color w:val="auto"/>
          <w:kern w:val="0"/>
          <w:sz w:val="32"/>
          <w:szCs w:val="32"/>
        </w:rPr>
        <w:t>创文创卫</w:t>
      </w:r>
    </w:p>
    <w:p>
      <w:pPr>
        <w:numPr>
          <w:ilvl w:val="0"/>
          <w:numId w:val="0"/>
        </w:num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sz w:val="32"/>
          <w:szCs w:val="32"/>
        </w:rPr>
        <w:t>创文创卫期间，采取短信发送温馨提示20次，共计46000人次，</w:t>
      </w:r>
      <w:r>
        <w:rPr>
          <w:rFonts w:hint="eastAsia" w:ascii="仿宋_GB2312" w:eastAsia="仿宋_GB2312"/>
          <w:color w:val="auto"/>
          <w:kern w:val="0"/>
          <w:sz w:val="32"/>
          <w:szCs w:val="32"/>
        </w:rPr>
        <w:t>悬挂宣传横幅和海报120余条(张)，制作宣传窗8个，宣传画16幅，投入3万元，聘请专人吊索清洗10栋540套房屋厨房外墙油污小区。多次深入网格小区，铲除牛皮鲜1000余张，提升老百姓生活幸福指数。</w:t>
      </w:r>
    </w:p>
    <w:p>
      <w:pPr>
        <w:pStyle w:val="12"/>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spacing w:line="560" w:lineRule="exact"/>
        <w:ind w:firstLine="640" w:firstLineChars="200"/>
        <w:rPr>
          <w:rFonts w:hint="default" w:ascii="仿宋_GB2312" w:eastAsia="仿宋_GB2312"/>
          <w:color w:val="auto"/>
          <w:kern w:val="0"/>
          <w:sz w:val="32"/>
          <w:szCs w:val="32"/>
          <w:lang w:val="en-US" w:eastAsia="zh-CN"/>
        </w:rPr>
      </w:pPr>
      <w:r>
        <w:rPr>
          <w:rFonts w:hint="default" w:ascii="仿宋_GB2312" w:eastAsia="仿宋_GB2312"/>
          <w:color w:val="auto"/>
          <w:kern w:val="0"/>
          <w:sz w:val="32"/>
          <w:szCs w:val="32"/>
          <w:lang w:val="en-US" w:eastAsia="zh-CN"/>
        </w:rPr>
        <w:t>由于疫情的影响，</w:t>
      </w:r>
      <w:r>
        <w:rPr>
          <w:rFonts w:hint="eastAsia" w:ascii="仿宋_GB2312" w:eastAsia="仿宋_GB2312"/>
          <w:color w:val="auto"/>
          <w:kern w:val="0"/>
          <w:sz w:val="32"/>
          <w:szCs w:val="32"/>
          <w:lang w:val="en-US" w:eastAsia="zh-CN"/>
        </w:rPr>
        <w:t>造成已完成的项目资金不能按时支付，</w:t>
      </w:r>
      <w:r>
        <w:rPr>
          <w:rFonts w:hint="default" w:ascii="仿宋_GB2312" w:eastAsia="仿宋_GB2312"/>
          <w:color w:val="auto"/>
          <w:kern w:val="0"/>
          <w:sz w:val="32"/>
          <w:szCs w:val="32"/>
          <w:lang w:val="en-US" w:eastAsia="zh-CN"/>
        </w:rPr>
        <w:t>项目部分工程进度滞后。绩效理念有待强化，绩效目标设置不够清晰，绩效评价指标不够细化。</w:t>
      </w:r>
    </w:p>
    <w:p>
      <w:pPr>
        <w:keepNext w:val="0"/>
        <w:keepLines w:val="0"/>
        <w:widowControl w:val="0"/>
        <w:numPr>
          <w:ilvl w:val="0"/>
          <w:numId w:val="5"/>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spacing w:line="560" w:lineRule="exact"/>
        <w:ind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加强绩效管理知识学习，准确提出评价指标。</w:t>
      </w:r>
    </w:p>
    <w:p>
      <w:pPr>
        <w:keepNext w:val="0"/>
        <w:keepLines w:val="0"/>
        <w:widowControl w:val="0"/>
        <w:numPr>
          <w:ilvl w:val="0"/>
          <w:numId w:val="5"/>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numPr>
          <w:ilvl w:val="0"/>
          <w:numId w:val="0"/>
        </w:numPr>
        <w:suppressLineNumbers w:val="0"/>
        <w:spacing w:before="0" w:beforeAutospacing="0" w:after="0" w:afterAutospacing="0" w:line="600" w:lineRule="exact"/>
        <w:ind w:leftChars="200" w:right="0" w:rightChars="0" w:firstLine="320" w:firstLineChars="10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与决算一起在政府网站公布</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北魏楷书简体">
    <w:altName w:val="楷体_GB2312"/>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9877E"/>
    <w:multiLevelType w:val="singleLevel"/>
    <w:tmpl w:val="9F19877E"/>
    <w:lvl w:ilvl="0" w:tentative="0">
      <w:start w:val="5"/>
      <w:numFmt w:val="chineseCounting"/>
      <w:suff w:val="nothing"/>
      <w:lvlText w:val="%1、"/>
      <w:lvlJc w:val="left"/>
      <w:rPr>
        <w:rFonts w:hint="eastAsia"/>
      </w:rPr>
    </w:lvl>
  </w:abstractNum>
  <w:abstractNum w:abstractNumId="1">
    <w:nsid w:val="ABA8EB04"/>
    <w:multiLevelType w:val="singleLevel"/>
    <w:tmpl w:val="ABA8EB04"/>
    <w:lvl w:ilvl="0" w:tentative="0">
      <w:start w:val="2"/>
      <w:numFmt w:val="decimal"/>
      <w:lvlText w:val="(%1)"/>
      <w:lvlJc w:val="left"/>
      <w:pPr>
        <w:tabs>
          <w:tab w:val="left" w:pos="312"/>
        </w:tabs>
      </w:pPr>
    </w:lvl>
  </w:abstractNum>
  <w:abstractNum w:abstractNumId="2">
    <w:nsid w:val="10086F55"/>
    <w:multiLevelType w:val="singleLevel"/>
    <w:tmpl w:val="10086F55"/>
    <w:lvl w:ilvl="0" w:tentative="0">
      <w:start w:val="2"/>
      <w:numFmt w:val="chineseCounting"/>
      <w:suff w:val="nothing"/>
      <w:lvlText w:val="（%1）"/>
      <w:lvlJc w:val="left"/>
      <w:rPr>
        <w:rFonts w:hint="eastAsia"/>
      </w:rPr>
    </w:lvl>
  </w:abstractNum>
  <w:abstractNum w:abstractNumId="3">
    <w:nsid w:val="329DA44E"/>
    <w:multiLevelType w:val="singleLevel"/>
    <w:tmpl w:val="329DA44E"/>
    <w:lvl w:ilvl="0" w:tentative="0">
      <w:start w:val="4"/>
      <w:numFmt w:val="decimal"/>
      <w:suff w:val="nothing"/>
      <w:lvlText w:val="（%1）"/>
      <w:lvlJc w:val="left"/>
    </w:lvl>
  </w:abstractNum>
  <w:abstractNum w:abstractNumId="4">
    <w:nsid w:val="585CF8DB"/>
    <w:multiLevelType w:val="singleLevel"/>
    <w:tmpl w:val="585CF8DB"/>
    <w:lvl w:ilvl="0" w:tentative="0">
      <w:start w:val="2"/>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DUwN2RiYzM1NmVjNTBjMGJiYzk0YmZiNTU3NDIifQ=="/>
  </w:docVars>
  <w:rsids>
    <w:rsidRoot w:val="00000000"/>
    <w:rsid w:val="001D7D62"/>
    <w:rsid w:val="03F214ED"/>
    <w:rsid w:val="05436869"/>
    <w:rsid w:val="054D4C16"/>
    <w:rsid w:val="065B5A88"/>
    <w:rsid w:val="06E964DD"/>
    <w:rsid w:val="08C0428C"/>
    <w:rsid w:val="09374959"/>
    <w:rsid w:val="0AD83203"/>
    <w:rsid w:val="0AE93662"/>
    <w:rsid w:val="0BA825AD"/>
    <w:rsid w:val="0D564DFD"/>
    <w:rsid w:val="0DB57CB4"/>
    <w:rsid w:val="0E8845BE"/>
    <w:rsid w:val="0F8E2A2A"/>
    <w:rsid w:val="0F9242C9"/>
    <w:rsid w:val="10615A49"/>
    <w:rsid w:val="13CC1D73"/>
    <w:rsid w:val="14274190"/>
    <w:rsid w:val="14877AD9"/>
    <w:rsid w:val="15070B72"/>
    <w:rsid w:val="15AC1B55"/>
    <w:rsid w:val="1665769A"/>
    <w:rsid w:val="16A91907"/>
    <w:rsid w:val="174477B4"/>
    <w:rsid w:val="185D11EC"/>
    <w:rsid w:val="18B0756E"/>
    <w:rsid w:val="18BF5A03"/>
    <w:rsid w:val="1C9A5481"/>
    <w:rsid w:val="1CF57C45"/>
    <w:rsid w:val="1D194811"/>
    <w:rsid w:val="20221513"/>
    <w:rsid w:val="208D53C5"/>
    <w:rsid w:val="20AB62E8"/>
    <w:rsid w:val="21C276E9"/>
    <w:rsid w:val="23244DE0"/>
    <w:rsid w:val="23624CBF"/>
    <w:rsid w:val="24355949"/>
    <w:rsid w:val="24613E12"/>
    <w:rsid w:val="275734A5"/>
    <w:rsid w:val="27637EA1"/>
    <w:rsid w:val="290E2EC2"/>
    <w:rsid w:val="2A4D1C04"/>
    <w:rsid w:val="2B95569E"/>
    <w:rsid w:val="2C8B2374"/>
    <w:rsid w:val="2C8B3FEE"/>
    <w:rsid w:val="2E4F2F2D"/>
    <w:rsid w:val="2EFFB905"/>
    <w:rsid w:val="2F1A6C8E"/>
    <w:rsid w:val="31AA4179"/>
    <w:rsid w:val="32F9519F"/>
    <w:rsid w:val="361138EA"/>
    <w:rsid w:val="368E65B6"/>
    <w:rsid w:val="37A570FA"/>
    <w:rsid w:val="3872177A"/>
    <w:rsid w:val="38790A9D"/>
    <w:rsid w:val="38CA5FD2"/>
    <w:rsid w:val="391E1E7A"/>
    <w:rsid w:val="39442A7A"/>
    <w:rsid w:val="39EB1C16"/>
    <w:rsid w:val="3AAA1C17"/>
    <w:rsid w:val="3B596F16"/>
    <w:rsid w:val="3BBB2F20"/>
    <w:rsid w:val="3C4A30DF"/>
    <w:rsid w:val="3CCA034E"/>
    <w:rsid w:val="3D3103CE"/>
    <w:rsid w:val="3E6A6D4F"/>
    <w:rsid w:val="3F141D55"/>
    <w:rsid w:val="3FE693AD"/>
    <w:rsid w:val="40BE466E"/>
    <w:rsid w:val="40C969C8"/>
    <w:rsid w:val="416A0E0D"/>
    <w:rsid w:val="4508410A"/>
    <w:rsid w:val="455137CA"/>
    <w:rsid w:val="46902609"/>
    <w:rsid w:val="472965B9"/>
    <w:rsid w:val="48E629B4"/>
    <w:rsid w:val="4A9A5B32"/>
    <w:rsid w:val="4AB83EDC"/>
    <w:rsid w:val="4AF01932"/>
    <w:rsid w:val="4B430110"/>
    <w:rsid w:val="4B667DDC"/>
    <w:rsid w:val="4BFA0524"/>
    <w:rsid w:val="4C121D12"/>
    <w:rsid w:val="4C426EAB"/>
    <w:rsid w:val="4DD57ADF"/>
    <w:rsid w:val="4E616639"/>
    <w:rsid w:val="4F3BD62E"/>
    <w:rsid w:val="4F7B6C81"/>
    <w:rsid w:val="4FB01F02"/>
    <w:rsid w:val="4FD54B62"/>
    <w:rsid w:val="524C14DA"/>
    <w:rsid w:val="536974C6"/>
    <w:rsid w:val="53CB15B5"/>
    <w:rsid w:val="54321635"/>
    <w:rsid w:val="56DA4D50"/>
    <w:rsid w:val="56E542AB"/>
    <w:rsid w:val="577C6C0C"/>
    <w:rsid w:val="57A53258"/>
    <w:rsid w:val="590F614C"/>
    <w:rsid w:val="5A290952"/>
    <w:rsid w:val="5BEC60DC"/>
    <w:rsid w:val="5C966613"/>
    <w:rsid w:val="5D2E41D4"/>
    <w:rsid w:val="5DF41281"/>
    <w:rsid w:val="5E0F60B1"/>
    <w:rsid w:val="5E341674"/>
    <w:rsid w:val="5F9745B0"/>
    <w:rsid w:val="60480D7A"/>
    <w:rsid w:val="60B46A9C"/>
    <w:rsid w:val="6186789B"/>
    <w:rsid w:val="62B114E5"/>
    <w:rsid w:val="6388493C"/>
    <w:rsid w:val="638E5CCA"/>
    <w:rsid w:val="63B32BC4"/>
    <w:rsid w:val="63ED479F"/>
    <w:rsid w:val="64CB5136"/>
    <w:rsid w:val="652C579B"/>
    <w:rsid w:val="660109D5"/>
    <w:rsid w:val="67397CFB"/>
    <w:rsid w:val="6975655B"/>
    <w:rsid w:val="69D32689"/>
    <w:rsid w:val="69E228CC"/>
    <w:rsid w:val="6AF91C7B"/>
    <w:rsid w:val="6B0851D1"/>
    <w:rsid w:val="6C20595E"/>
    <w:rsid w:val="6F0B01CF"/>
    <w:rsid w:val="6F4022A2"/>
    <w:rsid w:val="71FD4747"/>
    <w:rsid w:val="729D3834"/>
    <w:rsid w:val="74035919"/>
    <w:rsid w:val="74F3598D"/>
    <w:rsid w:val="7653207C"/>
    <w:rsid w:val="77B75398"/>
    <w:rsid w:val="77B909F0"/>
    <w:rsid w:val="78540864"/>
    <w:rsid w:val="78E06AB0"/>
    <w:rsid w:val="799D15C5"/>
    <w:rsid w:val="7A947A86"/>
    <w:rsid w:val="7BE570DB"/>
    <w:rsid w:val="7E226BB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3" w:name="header"/>
    <w:lsdException w:qFormat="1" w:uiPriority="155"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3"/>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155"/>
    <w:pPr>
      <w:tabs>
        <w:tab w:val="center" w:pos="4153"/>
        <w:tab w:val="right" w:pos="8306"/>
      </w:tabs>
      <w:snapToGrid w:val="0"/>
      <w:jc w:val="left"/>
    </w:pPr>
    <w:rPr>
      <w:sz w:val="18"/>
      <w:szCs w:val="18"/>
    </w:rPr>
  </w:style>
  <w:style w:type="paragraph" w:styleId="6">
    <w:name w:val="header"/>
    <w:basedOn w:val="1"/>
    <w:semiHidden/>
    <w:unhideWhenUsed/>
    <w:qFormat/>
    <w:uiPriority w:val="153"/>
    <w:pPr>
      <w:pBdr>
        <w:bottom w:val="single" w:color="000000"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unhideWhenUsed/>
    <w:qFormat/>
    <w:uiPriority w:val="99"/>
    <w:pPr>
      <w:ind w:firstLine="420" w:firstLineChars="200"/>
    </w:pPr>
  </w:style>
  <w:style w:type="character" w:customStyle="1" w:styleId="11">
    <w:name w:val="标题 1 Char"/>
    <w:basedOn w:val="10"/>
    <w:link w:val="2"/>
    <w:qFormat/>
    <w:uiPriority w:val="0"/>
    <w:rPr>
      <w:rFonts w:hint="default" w:ascii="Calibri" w:hAnsi="Calibri" w:cs="Calibri"/>
      <w:b/>
      <w:bCs/>
      <w:kern w:val="44"/>
      <w:sz w:val="44"/>
      <w:szCs w:val="44"/>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3">
    <w:name w:val="正文文本 Char"/>
    <w:basedOn w:val="10"/>
    <w:link w:val="3"/>
    <w:qFormat/>
    <w:uiPriority w:val="0"/>
    <w:rPr>
      <w:rFonts w:hint="eastAsia" w:ascii="宋体" w:hAnsi="宋体" w:eastAsia="宋体" w:cs="宋体"/>
      <w:kern w:val="2"/>
      <w:sz w:val="33"/>
      <w:szCs w:val="33"/>
    </w:rPr>
  </w:style>
  <w:style w:type="paragraph" w:styleId="14">
    <w:name w:val="List Paragraph"/>
    <w:basedOn w:val="1"/>
    <w:qFormat/>
    <w:uiPriority w:val="26"/>
    <w:pPr>
      <w:ind w:left="1079" w:hanging="309"/>
    </w:pPr>
    <w:rPr>
      <w:rFonts w:ascii="宋体" w:hAnsi="宋体" w:cs="宋体"/>
    </w:rPr>
  </w:style>
  <w:style w:type="paragraph" w:customStyle="1" w:styleId="15">
    <w:name w:val="正文文字"/>
    <w:basedOn w:val="1"/>
    <w:next w:val="1"/>
    <w:qFormat/>
    <w:uiPriority w:val="0"/>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3542</Words>
  <Characters>3965</Characters>
  <Lines>0</Lines>
  <Paragraphs>0</Paragraphs>
  <TotalTime>11</TotalTime>
  <ScaleCrop>false</ScaleCrop>
  <LinksUpToDate>false</LinksUpToDate>
  <CharactersWithSpaces>4078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2023-04-07T04:45:00Z</cp:lastPrinted>
  <dcterms:modified xsi:type="dcterms:W3CDTF">2023-08-24T01:09:30Z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EED5D6D83E0944EF85A4087E4EA8D0A2</vt:lpwstr>
  </property>
</Properties>
</file>