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36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kern w:val="2"/>
          <w:sz w:val="44"/>
          <w:szCs w:val="44"/>
          <w:lang w:val="en-US" w:eastAsia="zh-CN" w:bidi="ar-SA"/>
        </w:rPr>
        <w:t>渌口区林业局2022年度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val="en-US" w:eastAsia="zh-CN"/>
        </w:rPr>
        <w:t>县级公益林</w:t>
      </w: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7"/>
        <w:widowControl/>
        <w:spacing w:line="600" w:lineRule="exact"/>
        <w:ind w:left="0" w:firstLine="0"/>
        <w:rPr>
          <w:rFonts w:hint="eastAsia" w:ascii="仿宋" w:hAnsi="仿宋" w:eastAsia="仿宋" w:cs="Times New Roman"/>
          <w:bCs/>
          <w:sz w:val="32"/>
          <w:szCs w:val="32"/>
          <w:lang w:val="en-US"/>
        </w:rPr>
      </w:pPr>
    </w:p>
    <w:p>
      <w:pPr>
        <w:pStyle w:val="7"/>
        <w:widowControl/>
        <w:spacing w:line="600" w:lineRule="exact"/>
        <w:ind w:left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根据【</w:t>
      </w:r>
      <w:r>
        <w:rPr>
          <w:rFonts w:hint="eastAsia" w:ascii="仿宋_GB2312" w:hAnsi="仿宋_GB2312" w:eastAsia="仿宋_GB2312" w:cs="仿宋_GB2312"/>
          <w:sz w:val="32"/>
          <w:szCs w:val="32"/>
        </w:rPr>
        <w:t>渌财通202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3】6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度本级财政资金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自评工作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相关部门及业务科室，对20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度造林苗木项目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资金预算执行情况、年度总体目标完成情况、未完成原因及改进措施等自评指标进行分析评价，得出综合结论，形成本报告。</w:t>
      </w:r>
    </w:p>
    <w:p>
      <w:pPr>
        <w:pStyle w:val="7"/>
        <w:widowControl/>
        <w:spacing w:line="600" w:lineRule="exact"/>
        <w:ind w:left="0"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7"/>
        <w:widowControl/>
        <w:spacing w:line="600" w:lineRule="exact"/>
        <w:ind w:left="0" w:firstLine="608" w:firstLineChars="200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sz w:val="32"/>
          <w:szCs w:val="32"/>
          <w:lang w:eastAsia="zh-CN"/>
        </w:rPr>
        <w:t>（一）资金投入情况分析。</w:t>
      </w:r>
    </w:p>
    <w:p>
      <w:pPr>
        <w:pStyle w:val="7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项目资金到位情况分析。</w:t>
      </w:r>
    </w:p>
    <w:p>
      <w:pPr>
        <w:pStyle w:val="7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2022年初预算安排我局县级公益林补助资金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145.76万元。</w:t>
      </w:r>
    </w:p>
    <w:p>
      <w:pPr>
        <w:pStyle w:val="7"/>
        <w:widowControl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项目资金执行情况分析。</w:t>
      </w:r>
    </w:p>
    <w:p>
      <w:pPr>
        <w:pStyle w:val="7"/>
        <w:widowControl/>
        <w:numPr>
          <w:ilvl w:val="0"/>
          <w:numId w:val="0"/>
        </w:numPr>
        <w:tabs>
          <w:tab w:val="left" w:pos="1080"/>
        </w:tabs>
        <w:spacing w:line="600" w:lineRule="exact"/>
        <w:ind w:left="773" w:leftChars="0" w:right="0" w:right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2022年度支出县级公益林补助资金85.65万元，已全</w:t>
      </w:r>
    </w:p>
    <w:p>
      <w:pPr>
        <w:pStyle w:val="7"/>
        <w:widowControl/>
        <w:numPr>
          <w:ilvl w:val="0"/>
          <w:numId w:val="0"/>
        </w:numPr>
        <w:tabs>
          <w:tab w:val="left" w:pos="1080"/>
        </w:tabs>
        <w:spacing w:line="600" w:lineRule="exact"/>
        <w:ind w:right="0" w:rightChars="0"/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部安排使用支出，待财政支付。执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行率为59%，用于管护县级生态公益林9.4万亩等相关支出。</w:t>
      </w:r>
    </w:p>
    <w:p>
      <w:pPr>
        <w:pStyle w:val="7"/>
        <w:widowControl/>
        <w:numPr>
          <w:ilvl w:val="0"/>
          <w:numId w:val="1"/>
        </w:numPr>
        <w:tabs>
          <w:tab w:val="left" w:pos="1080"/>
        </w:tabs>
        <w:spacing w:line="600" w:lineRule="exact"/>
        <w:ind w:left="1079" w:leftChars="0" w:right="0" w:rightChars="0" w:hanging="306" w:firstLineChars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项目资金管理情况分析。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所有项目资金均通过财政局国库集中支付，实行独立核算。资金安全运行，无截留、挪用等违纪违规现象，项目完成质量较高。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楷体" w:hAnsi="楷体" w:eastAsia="楷体" w:cs="Times New Roman"/>
          <w:w w:val="95"/>
          <w:sz w:val="32"/>
          <w:szCs w:val="32"/>
          <w:lang w:val="en-US"/>
        </w:rPr>
      </w:pPr>
      <w:r>
        <w:rPr>
          <w:rFonts w:hint="eastAsia" w:ascii="方正楷体_GBK" w:hAnsi="方正楷体_GBK" w:eastAsia="方正楷体_GBK" w:cs="方正楷体_GBK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7"/>
        <w:widowControl/>
        <w:numPr>
          <w:ilvl w:val="0"/>
          <w:numId w:val="2"/>
        </w:numPr>
        <w:tabs>
          <w:tab w:val="left" w:pos="1085"/>
        </w:tabs>
        <w:spacing w:line="600" w:lineRule="exact"/>
        <w:ind w:left="1084" w:hanging="327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产出指标完成情况分析。</w:t>
      </w:r>
    </w:p>
    <w:p>
      <w:pPr>
        <w:pStyle w:val="3"/>
        <w:widowControl/>
        <w:spacing w:line="600" w:lineRule="exact"/>
        <w:ind w:firstLine="660" w:firstLineChars="20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完成管护县级生态公益林9.4万亩、</w:t>
      </w:r>
      <w:r>
        <w:rPr>
          <w:rFonts w:hint="default" w:eastAsia="仿宋_GB2312"/>
          <w:kern w:val="0"/>
          <w:szCs w:val="21"/>
          <w:lang w:val="en-US" w:eastAsia="zh-CN"/>
        </w:rPr>
        <w:t>生态公益林内不发生盗伐滥伐林木</w:t>
      </w:r>
      <w:r>
        <w:rPr>
          <w:rFonts w:hint="eastAsia" w:eastAsia="仿宋_GB2312"/>
          <w:kern w:val="0"/>
          <w:szCs w:val="21"/>
          <w:lang w:val="en-US" w:eastAsia="zh-CN"/>
        </w:rPr>
        <w:t>、生态公益林内病虫害发生率≤4%、防控森林火灾≤0.9‰。</w:t>
      </w:r>
    </w:p>
    <w:p>
      <w:pPr>
        <w:pStyle w:val="3"/>
        <w:widowControl/>
        <w:spacing w:line="600" w:lineRule="exact"/>
        <w:ind w:firstLine="660" w:firstLineChars="200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2.效益指标完成情况分析。</w:t>
      </w:r>
    </w:p>
    <w:p>
      <w:pPr>
        <w:pStyle w:val="3"/>
        <w:widowControl/>
        <w:spacing w:line="600" w:lineRule="exact"/>
        <w:ind w:firstLine="660" w:firstLineChars="200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森林资源增长≧3%、保护森林资源，促进林业增效、林农增收、社会经济发展。绿化美化环境，促进绿色发展，</w:t>
      </w:r>
      <w:r>
        <w:rPr>
          <w:rFonts w:hint="eastAsia" w:eastAsia="仿宋_GB2312"/>
          <w:kern w:val="0"/>
          <w:szCs w:val="21"/>
          <w:lang w:val="en-US"/>
        </w:rPr>
        <w:t>推进生态建设，促进森林健康，涵养水源，防范水土流失，保护生态环境，促进绿色发展。保护森林资源，促进森林健康。</w:t>
      </w:r>
    </w:p>
    <w:p>
      <w:pPr>
        <w:pStyle w:val="7"/>
        <w:widowControl/>
        <w:numPr>
          <w:ilvl w:val="0"/>
          <w:numId w:val="2"/>
        </w:numPr>
        <w:tabs>
          <w:tab w:val="left" w:pos="1164"/>
        </w:tabs>
        <w:spacing w:line="600" w:lineRule="exact"/>
        <w:ind w:left="1084" w:leftChars="0" w:right="0" w:rightChars="0" w:hanging="327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满意度指标完成情况分析。</w:t>
      </w:r>
    </w:p>
    <w:p>
      <w:pPr>
        <w:pStyle w:val="7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60" w:firstLineChars="200"/>
        <w:jc w:val="left"/>
        <w:rPr>
          <w:rFonts w:hint="default" w:ascii="宋体" w:hAnsi="宋体" w:eastAsia="仿宋_GB2312" w:cs="宋体"/>
          <w:kern w:val="0"/>
          <w:sz w:val="33"/>
          <w:szCs w:val="21"/>
          <w:lang w:val="en-US" w:eastAsia="zh-CN" w:bidi="ar"/>
        </w:rPr>
      </w:pPr>
      <w:r>
        <w:rPr>
          <w:rFonts w:hint="eastAsia" w:ascii="宋体" w:hAnsi="宋体" w:eastAsia="仿宋_GB2312" w:cs="宋体"/>
          <w:kern w:val="0"/>
          <w:sz w:val="33"/>
          <w:szCs w:val="21"/>
          <w:lang w:val="en-US" w:eastAsia="zh-CN" w:bidi="ar"/>
        </w:rPr>
        <w:t>对全区免费提供造林苗木，大大提高了广大造林农户的积极性，增加全区绿化面积，提高林木蓄积量，具有改良土壤、固碳释氧、净化空气、降低噪音等效益，服务对象满意率</w:t>
      </w:r>
      <w:r>
        <w:rPr>
          <w:rFonts w:hint="eastAsia" w:eastAsia="仿宋_GB2312" w:cs="宋体"/>
          <w:kern w:val="0"/>
          <w:sz w:val="33"/>
          <w:szCs w:val="21"/>
          <w:lang w:val="en-US" w:eastAsia="zh-CN" w:bidi="ar"/>
        </w:rPr>
        <w:t>90</w:t>
      </w:r>
      <w:r>
        <w:rPr>
          <w:rFonts w:hint="eastAsia" w:ascii="宋体" w:hAnsi="宋体" w:eastAsia="仿宋_GB2312" w:cs="宋体"/>
          <w:kern w:val="0"/>
          <w:sz w:val="33"/>
          <w:szCs w:val="21"/>
          <w:lang w:val="en-US" w:eastAsia="zh-CN" w:bidi="ar"/>
        </w:rPr>
        <w:t>%。</w:t>
      </w:r>
    </w:p>
    <w:p>
      <w:pPr>
        <w:pStyle w:val="7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偏离绩效目标的原因和下一步改进措施。</w:t>
      </w:r>
    </w:p>
    <w:p>
      <w:pPr>
        <w:pStyle w:val="3"/>
        <w:widowControl/>
        <w:spacing w:line="600" w:lineRule="exact"/>
        <w:ind w:firstLine="660" w:firstLineChars="20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1、建章立制，确保工作有序运转。建立合同考核机制，即年终对国有林场、村集体、护林员根据护林员与林业局签订的管护合同、林业局与各管护单位签订管护合同或协议、禁（限）伐协议、村委与林农签订管护协议进行考核，考核结果与生效效益补偿资金的发放直接持钩。通过建章立制，使生态公益林管理工作有法可依，有章可循，奖惩有据，确保公益林建设工作有序运转。</w:t>
      </w:r>
    </w:p>
    <w:p>
      <w:pPr>
        <w:pStyle w:val="3"/>
        <w:widowControl/>
        <w:spacing w:line="600" w:lineRule="exact"/>
        <w:ind w:firstLine="660" w:firstLineChars="20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2、加大宣传，争取社会各方支持。利用宣传车、广播、电视新闻、当地报刊等媒体，多方宣传公益林管理制度和相关知识；二是在各村分发、张贴公益林宣传标语，在路口等显眼处树立公益林宣传牌20块，明示公益林范围，公布林业局的监督举报电话，接受广大群众监督。通过广泛深入宣传，做到家喻户晓、人人皆知，提高广大干群对公益林的保护意识、法制意识和参与意识，争取社会各方支持，确保公益林建设工作持续开展。</w:t>
      </w:r>
    </w:p>
    <w:p>
      <w:pPr>
        <w:pStyle w:val="3"/>
        <w:widowControl/>
        <w:spacing w:line="600" w:lineRule="exact"/>
        <w:ind w:firstLine="660" w:firstLineChars="200"/>
        <w:rPr>
          <w:rFonts w:hint="eastAsia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3、规范流程，确保资金足额发放。在资金管理上实行专项管理、分账核算，在发放流程上采取了“村组提供分户花名册、林业局检查汇总、财政局核发、“一卡通”拨付的发放流程，在发放方式上分不同补偿类型不同发放方式，及时将年度生态效益补偿基金进村（场）到户。</w:t>
      </w:r>
    </w:p>
    <w:p>
      <w:pPr>
        <w:pStyle w:val="3"/>
        <w:widowControl/>
        <w:spacing w:line="600" w:lineRule="exact"/>
        <w:ind w:firstLine="660" w:firstLineChars="200"/>
        <w:rPr>
          <w:rFonts w:hint="default" w:eastAsia="仿宋_GB2312"/>
          <w:kern w:val="0"/>
          <w:szCs w:val="21"/>
          <w:lang w:val="en-US" w:eastAsia="zh-CN"/>
        </w:rPr>
      </w:pPr>
      <w:r>
        <w:rPr>
          <w:rFonts w:hint="eastAsia" w:eastAsia="仿宋_GB2312"/>
          <w:kern w:val="0"/>
          <w:szCs w:val="21"/>
          <w:lang w:val="en-US" w:eastAsia="zh-CN"/>
        </w:rPr>
        <w:t>4、强化管理，建设高效护林队伍。强化对护林队伍的管理。选拔聘用程序的公开、公平、公正，选择工作热情高，责任心强的精准贫困户进入护林队伍。加强护林员业务能力提升的学习培训，不断提高队伍整体素质和个人业务工作能力。</w:t>
      </w:r>
    </w:p>
    <w:p>
      <w:pPr>
        <w:pStyle w:val="7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5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1、我单位根据专项绩效评定指标对各项目量化评价，自评指标得分98分。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firstLine="645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2.充分应用预算绩效评价结果，将其作为资金安排、完善政策制度和加强支出管理等工作的重要依据；按要求公开绩效自评情况和整改情况，并在门户网站上全文公开，接受社会公众监督。</w:t>
      </w:r>
    </w:p>
    <w:p>
      <w:pPr>
        <w:pStyle w:val="7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2EF71"/>
    <w:multiLevelType w:val="multilevel"/>
    <w:tmpl w:val="EC52EF71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</w:lvl>
    <w:lvl w:ilvl="2" w:tentative="0">
      <w:start w:val="0"/>
      <w:numFmt w:val="bullet"/>
      <w:lvlText w:val="•"/>
      <w:lvlJc w:val="left"/>
      <w:pPr>
        <w:ind w:left="2577" w:hanging="329"/>
      </w:pPr>
    </w:lvl>
    <w:lvl w:ilvl="3" w:tentative="0">
      <w:start w:val="0"/>
      <w:numFmt w:val="bullet"/>
      <w:lvlText w:val="•"/>
      <w:lvlJc w:val="left"/>
      <w:pPr>
        <w:ind w:left="3326" w:hanging="329"/>
      </w:pPr>
    </w:lvl>
    <w:lvl w:ilvl="4" w:tentative="0">
      <w:start w:val="0"/>
      <w:numFmt w:val="bullet"/>
      <w:lvlText w:val="•"/>
      <w:lvlJc w:val="left"/>
      <w:pPr>
        <w:ind w:left="4075" w:hanging="329"/>
      </w:pPr>
    </w:lvl>
    <w:lvl w:ilvl="5" w:tentative="0">
      <w:start w:val="0"/>
      <w:numFmt w:val="bullet"/>
      <w:lvlText w:val="•"/>
      <w:lvlJc w:val="left"/>
      <w:pPr>
        <w:ind w:left="4824" w:hanging="329"/>
      </w:pPr>
    </w:lvl>
    <w:lvl w:ilvl="6" w:tentative="0">
      <w:start w:val="0"/>
      <w:numFmt w:val="bullet"/>
      <w:lvlText w:val="•"/>
      <w:lvlJc w:val="left"/>
      <w:pPr>
        <w:ind w:left="5572" w:hanging="329"/>
      </w:pPr>
    </w:lvl>
    <w:lvl w:ilvl="7" w:tentative="0">
      <w:start w:val="0"/>
      <w:numFmt w:val="bullet"/>
      <w:lvlText w:val="•"/>
      <w:lvlJc w:val="left"/>
      <w:pPr>
        <w:ind w:left="6321" w:hanging="329"/>
      </w:pPr>
    </w:lvl>
    <w:lvl w:ilvl="8" w:tentative="0">
      <w:start w:val="0"/>
      <w:numFmt w:val="bullet"/>
      <w:lvlText w:val="•"/>
      <w:lvlJc w:val="left"/>
      <w:pPr>
        <w:ind w:left="7070" w:hanging="329"/>
      </w:pPr>
    </w:lvl>
  </w:abstractNum>
  <w:abstractNum w:abstractNumId="1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084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TAzMDAyNDE4ZmY1N2FhNjgxYTVmZGZjYmIxZGEifQ=="/>
  </w:docVars>
  <w:rsids>
    <w:rsidRoot w:val="00000000"/>
    <w:rsid w:val="1A947CC9"/>
    <w:rsid w:val="5A6C7226"/>
    <w:rsid w:val="7E1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1356</Words>
  <Characters>1399</Characters>
  <Lines>0</Lines>
  <Paragraphs>0</Paragraphs>
  <TotalTime>4</TotalTime>
  <ScaleCrop>false</ScaleCrop>
  <LinksUpToDate>false</LinksUpToDate>
  <CharactersWithSpaces>1401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2023-04-12T04:53:00Z</dcterms:created>
  <dc:creator>Administrator</dc:creator>
  <cp:lastModifiedBy>春雨梧桐</cp:lastModifiedBy>
  <dcterms:modified xsi:type="dcterms:W3CDTF">2023-04-17T00:57:07Z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316FB651BF63421E810BB4D71E5204DE_12</vt:lpwstr>
  </property>
</Properties>
</file>