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lang w:val="en-US" w:eastAsia="zh-CN" w:bidi="ar"/>
        </w:rPr>
      </w:pPr>
      <w:r>
        <w:rPr>
          <w:rFonts w:hint="eastAsia" w:ascii="Times New Roman" w:hAnsi="Times New Roman" w:eastAsia="方正小标宋简体" w:cs="Times New Roman"/>
          <w:kern w:val="2"/>
          <w:sz w:val="44"/>
          <w:szCs w:val="44"/>
          <w:lang w:val="en-US" w:eastAsia="zh-CN" w:bidi="ar"/>
        </w:rPr>
        <w:t>渌口区林业局2022年</w:t>
      </w:r>
      <w:r>
        <w:rPr>
          <w:rFonts w:hint="default" w:ascii="Times New Roman" w:hAnsi="Times New Roman" w:eastAsia="方正小标宋简体" w:cs="Times New Roman"/>
          <w:kern w:val="2"/>
          <w:sz w:val="44"/>
          <w:szCs w:val="44"/>
          <w:lang w:val="en-US" w:eastAsia="zh-CN" w:bidi="ar"/>
        </w:rPr>
        <w:t>部门整体支出</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snapToGrid w:val="0"/>
        <w:spacing w:line="520" w:lineRule="exact"/>
        <w:ind w:firstLine="1120" w:firstLineChars="350"/>
        <w:rPr>
          <w:rFonts w:hint="eastAsia" w:ascii="楷体" w:hAnsi="楷体" w:eastAsia="楷体"/>
          <w:b/>
          <w:sz w:val="32"/>
          <w:szCs w:val="32"/>
        </w:rPr>
      </w:pPr>
      <w:r>
        <w:rPr>
          <w:rFonts w:hint="eastAsia" w:ascii="Times New Roman" w:hAnsi="Times New Roman" w:eastAsia="黑体" w:cs="Times New Roman"/>
          <w:kern w:val="2"/>
          <w:sz w:val="32"/>
          <w:szCs w:val="32"/>
          <w:lang w:val="en-US" w:eastAsia="zh-CN" w:bidi="ar"/>
        </w:rPr>
        <w:t xml:space="preserve"> </w:t>
      </w:r>
      <w:r>
        <w:rPr>
          <w:rFonts w:hint="eastAsia" w:ascii="楷体" w:hAnsi="楷体" w:eastAsia="楷体"/>
          <w:b/>
          <w:sz w:val="32"/>
          <w:szCs w:val="32"/>
        </w:rPr>
        <w:t>（一）基本情况。</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1．主要职能：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㈠ 根据党和国家的林业方针、政策、法律法规，研究拟定全县林业工作的发展目标；宣传国家有关法律、法规、政策；监督检查林业政策、法规的贯彻落实情况。</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㈡ 组织、指导植树造林，国土绿化和各类林业基地、工程项目建设；负责全县森林资源调查、监测建档，组织开展森林分类区划界定、编制审查森林分类经营和采伐限额方案并监督执行；负责实行木材凭证采伐、凭证运输、凭证经营等林政管理。依法管理林地、林权、负责森林资源有偿使用和林地综合开发利用管理工作；负责调解处理山林权属纠纷。</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㈢ 开展科技兴林，制定林业发展中、长期规划和年度计划，并组织实施；负责林业科研、林业科技成果申报，负责林业科技培训、咨询和推广应用。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㈣ 对林产品生产经营实行宏观管理；指导林业企业、事业单位技术革新。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㈤ 负责林业资金的投放使用，监督检查林业资金使用情况，依法征缴和管理林业基金；协助有关部门制定林业经济发展调节政策。</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㈥ 组织、指导以植物种草等生物措施防治水土流失和防沙、治沙工作；抓好森林病虫害的测报和防治工作。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㈦ 组织、指导全县陆生野生动物、植物的保护；依法加强陆生野生动、植物流通管理和开发利用工作；清理整顿野生动、植物市场。</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㈧ 指导区森林公安工作；组织协调、指导监督森林防火工作；查处破坏森林资源和野生动、植物资源各类案件。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㈨ 管理和领导直属单位；负责乡镇林业站的业务指导工作。</w:t>
      </w:r>
    </w:p>
    <w:p>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㈩ 完成区委区政府交办的其他工作.</w:t>
      </w:r>
    </w:p>
    <w:p>
      <w:pPr>
        <w:snapToGrid w:val="0"/>
        <w:spacing w:line="520" w:lineRule="exact"/>
        <w:ind w:firstLine="576" w:firstLineChars="180"/>
        <w:rPr>
          <w:rFonts w:hint="eastAsia" w:ascii="仿宋_GB2312" w:hAnsi="宋体" w:eastAsia="仿宋_GB2312"/>
          <w:sz w:val="32"/>
          <w:szCs w:val="32"/>
        </w:rPr>
      </w:pPr>
      <w:r>
        <w:rPr>
          <w:rFonts w:hint="eastAsia" w:ascii="仿宋_GB2312" w:hAnsi="宋体" w:eastAsia="仿宋_GB2312"/>
          <w:sz w:val="32"/>
          <w:szCs w:val="32"/>
        </w:rPr>
        <w:t>2．机构情况：</w:t>
      </w:r>
    </w:p>
    <w:p>
      <w:pPr>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株洲市渌口区林业局是株洲市渌口区人民政府主管林业工作的正科级行政事业单位，现有股室站9个，下设3个二级机构：凤凰山国有林场、军山国有林场、株洲县林业科学研究所。</w:t>
      </w:r>
    </w:p>
    <w:p>
      <w:pPr>
        <w:snapToGrid w:val="0"/>
        <w:spacing w:line="520" w:lineRule="exact"/>
        <w:ind w:firstLine="800" w:firstLineChars="250"/>
        <w:rPr>
          <w:rFonts w:hint="eastAsia" w:ascii="仿宋_GB2312" w:hAnsi="宋体" w:eastAsia="仿宋_GB2312"/>
          <w:sz w:val="32"/>
          <w:szCs w:val="32"/>
        </w:rPr>
      </w:pPr>
      <w:r>
        <w:rPr>
          <w:rFonts w:hint="eastAsia" w:ascii="仿宋_GB2312" w:hAnsi="宋体" w:eastAsia="仿宋_GB2312"/>
          <w:sz w:val="32"/>
          <w:szCs w:val="32"/>
        </w:rPr>
        <w:t>3．人员情况：</w:t>
      </w:r>
    </w:p>
    <w:p>
      <w:pPr>
        <w:pStyle w:val="6"/>
        <w:widowControl/>
        <w:spacing w:line="600" w:lineRule="exact"/>
        <w:ind w:left="0"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区林业局2022年</w:t>
      </w:r>
      <w:r>
        <w:rPr>
          <w:rFonts w:hint="eastAsia" w:ascii="仿宋_GB2312" w:eastAsia="仿宋_GB2312"/>
          <w:sz w:val="32"/>
          <w:szCs w:val="32"/>
          <w:lang w:val="en-US" w:eastAsia="zh-CN"/>
        </w:rPr>
        <w:t>年初预算</w:t>
      </w:r>
      <w:r>
        <w:rPr>
          <w:rFonts w:hint="eastAsia" w:ascii="仿宋_GB2312" w:hAnsi="宋体" w:eastAsia="仿宋_GB2312"/>
          <w:sz w:val="32"/>
          <w:szCs w:val="32"/>
        </w:rPr>
        <w:t>人数</w:t>
      </w:r>
      <w:r>
        <w:rPr>
          <w:rFonts w:hint="eastAsia" w:ascii="仿宋_GB2312" w:eastAsia="仿宋_GB2312"/>
          <w:sz w:val="32"/>
          <w:szCs w:val="32"/>
          <w:lang w:val="en-US" w:eastAsia="zh-CN"/>
        </w:rPr>
        <w:t>82</w:t>
      </w:r>
      <w:r>
        <w:rPr>
          <w:rFonts w:hint="eastAsia" w:ascii="仿宋_GB2312" w:hAnsi="宋体" w:eastAsia="仿宋_GB2312"/>
          <w:sz w:val="32"/>
          <w:szCs w:val="32"/>
        </w:rPr>
        <w:t>人，其中：全额财政拨款局本级行政人员12人，全额财政拨款</w:t>
      </w:r>
      <w:r>
        <w:rPr>
          <w:rFonts w:hint="eastAsia" w:ascii="仿宋_GB2312" w:hAnsi="仿宋" w:eastAsia="仿宋_GB2312" w:cs="仿宋"/>
          <w:color w:val="000000"/>
          <w:sz w:val="32"/>
          <w:szCs w:val="32"/>
        </w:rPr>
        <w:t>非参公事业</w:t>
      </w:r>
      <w:r>
        <w:rPr>
          <w:rFonts w:hint="eastAsia" w:ascii="仿宋_GB2312" w:hAnsi="仿宋" w:eastAsia="仿宋_GB2312" w:cs="仿宋"/>
          <w:color w:val="000000"/>
          <w:sz w:val="32"/>
          <w:szCs w:val="32"/>
          <w:lang w:val="en-US" w:eastAsia="zh-CN"/>
        </w:rPr>
        <w:t>70</w:t>
      </w:r>
      <w:r>
        <w:rPr>
          <w:rFonts w:hint="eastAsia" w:ascii="仿宋_GB2312" w:hAnsi="仿宋" w:eastAsia="仿宋_GB2312" w:cs="仿宋"/>
          <w:color w:val="000000"/>
          <w:sz w:val="32"/>
          <w:szCs w:val="32"/>
        </w:rPr>
        <w:t>人（林业局本级</w:t>
      </w:r>
      <w:r>
        <w:rPr>
          <w:rFonts w:hint="eastAsia" w:ascii="仿宋_GB2312" w:hAnsi="仿宋" w:eastAsia="仿宋_GB2312" w:cs="仿宋"/>
          <w:color w:val="000000"/>
          <w:sz w:val="32"/>
          <w:szCs w:val="32"/>
          <w:lang w:val="en-US" w:eastAsia="zh-CN"/>
        </w:rPr>
        <w:t>44</w:t>
      </w:r>
      <w:r>
        <w:rPr>
          <w:rFonts w:hint="eastAsia" w:ascii="仿宋_GB2312" w:hAnsi="仿宋" w:eastAsia="仿宋_GB2312" w:cs="仿宋"/>
          <w:color w:val="000000"/>
          <w:sz w:val="32"/>
          <w:szCs w:val="32"/>
        </w:rPr>
        <w:t>人，军山国有林场10人、凤凰山国有林场1</w:t>
      </w: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人），</w:t>
      </w:r>
      <w:r>
        <w:rPr>
          <w:rFonts w:hint="eastAsia" w:ascii="仿宋_GB2312" w:hAnsi="宋体" w:eastAsia="仿宋_GB2312"/>
          <w:sz w:val="32"/>
          <w:szCs w:val="32"/>
        </w:rPr>
        <w:t>离休人员1人</w:t>
      </w:r>
      <w:r>
        <w:rPr>
          <w:rFonts w:hint="eastAsia" w:ascii="仿宋_GB2312" w:eastAsia="仿宋_GB2312"/>
          <w:sz w:val="32"/>
          <w:szCs w:val="32"/>
          <w:lang w:eastAsia="zh-CN"/>
        </w:rPr>
        <w:t>，</w:t>
      </w:r>
      <w:r>
        <w:rPr>
          <w:rFonts w:hint="eastAsia" w:ascii="仿宋_GB2312" w:eastAsia="仿宋_GB2312"/>
          <w:sz w:val="32"/>
          <w:szCs w:val="32"/>
          <w:lang w:val="en-US" w:eastAsia="zh-CN"/>
        </w:rPr>
        <w:t>退休人员88人</w:t>
      </w:r>
      <w:r>
        <w:rPr>
          <w:rFonts w:hint="eastAsia" w:ascii="仿宋_GB2312" w:hAnsi="宋体" w:eastAsia="仿宋_GB2312"/>
          <w:sz w:val="32"/>
          <w:szCs w:val="32"/>
          <w:lang w:eastAsia="zh-CN"/>
        </w:rPr>
        <w:t>。</w:t>
      </w:r>
    </w:p>
    <w:p>
      <w:pPr>
        <w:pStyle w:val="6"/>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6"/>
        <w:widowControl/>
        <w:spacing w:line="600" w:lineRule="exact"/>
        <w:rPr>
          <w:rFonts w:hint="eastAsia" w:ascii="仿宋_GB2312" w:hAnsi="宋体" w:eastAsia="仿宋_GB2312"/>
          <w:sz w:val="32"/>
          <w:szCs w:val="32"/>
        </w:rPr>
      </w:pPr>
      <w:r>
        <w:rPr>
          <w:rFonts w:hint="default" w:ascii="Times New Roman" w:hAnsi="Times New Roman" w:eastAsia="楷体_GB2312" w:cs="Times New Roman"/>
          <w:sz w:val="32"/>
          <w:szCs w:val="32"/>
          <w:lang w:eastAsia="zh-CN"/>
        </w:rPr>
        <w:t>（一）基本支出情况</w:t>
      </w:r>
      <w:r>
        <w:rPr>
          <w:rFonts w:hint="eastAsia" w:ascii="Times New Roman" w:hAnsi="Times New Roman" w:eastAsia="楷体_GB2312" w:cs="Times New Roman"/>
          <w:sz w:val="32"/>
          <w:szCs w:val="32"/>
          <w:lang w:val="en-US" w:eastAsia="zh-CN"/>
        </w:rPr>
        <w:t>2022</w:t>
      </w:r>
      <w:r>
        <w:rPr>
          <w:rFonts w:hint="eastAsia" w:ascii="仿宋_GB2312" w:hAnsi="宋体" w:eastAsia="仿宋_GB2312"/>
          <w:sz w:val="32"/>
          <w:szCs w:val="32"/>
        </w:rPr>
        <w:t>年初预算安排情况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区级财政预算安排林业局基本支出12379300元，其中：工资福利支出经费10161900元、商品和服务支出经费2024600元、对个人和家庭补助支出经费192800元。项目支出1857600万元，其中：森林培育（造林苗木费）400000元。森林生态效益补偿（县级公益林补助资金）1457600万元。累计区级财政2022年初预算安排经费14236900元。</w:t>
      </w:r>
    </w:p>
    <w:p>
      <w:pPr>
        <w:snapToGrid w:val="0"/>
        <w:spacing w:line="520" w:lineRule="exact"/>
        <w:ind w:left="210" w:leftChars="100" w:firstLine="480" w:firstLineChars="150"/>
        <w:rPr>
          <w:rFonts w:hint="default" w:ascii="Times New Roman" w:hAnsi="Times New Roman" w:eastAsia="仿宋_GB2312" w:cs="仿宋_GB2312"/>
          <w:kern w:val="2"/>
          <w:sz w:val="32"/>
          <w:szCs w:val="32"/>
          <w:lang w:val="en-US" w:eastAsia="zh-CN" w:bidi="ar"/>
        </w:rPr>
      </w:pPr>
      <w:r>
        <w:rPr>
          <w:rFonts w:hint="eastAsia" w:ascii="仿宋_GB2312" w:hAnsi="宋体" w:eastAsia="仿宋_GB2312"/>
          <w:sz w:val="32"/>
          <w:szCs w:val="32"/>
        </w:rPr>
        <w:t>2022年度株洲市渌口区林业</w:t>
      </w:r>
      <w:r>
        <w:rPr>
          <w:rFonts w:hint="eastAsia" w:ascii="Times New Roman" w:hAnsi="Times New Roman" w:eastAsia="仿宋_GB2312" w:cs="仿宋_GB2312"/>
          <w:kern w:val="2"/>
          <w:sz w:val="32"/>
          <w:szCs w:val="32"/>
          <w:lang w:val="en-US" w:eastAsia="zh-CN" w:bidi="ar"/>
        </w:rPr>
        <w:t>局决算总支出38200018.31</w:t>
      </w:r>
      <w:r>
        <w:rPr>
          <w:rFonts w:hint="eastAsia" w:ascii="仿宋_GB2312" w:hAnsi="宋体" w:eastAsia="仿宋_GB2312"/>
          <w:sz w:val="32"/>
          <w:szCs w:val="32"/>
        </w:rPr>
        <w:t>元，2022</w:t>
      </w:r>
      <w:r>
        <w:rPr>
          <w:rFonts w:hint="eastAsia" w:ascii="Times New Roman" w:hAnsi="Times New Roman" w:eastAsia="仿宋_GB2312" w:cs="仿宋_GB2312"/>
          <w:kern w:val="2"/>
          <w:sz w:val="32"/>
          <w:szCs w:val="32"/>
          <w:lang w:val="en-US" w:eastAsia="zh-CN" w:bidi="ar"/>
        </w:rPr>
        <w:t>年度总支出中基本支出14711573.71元，其中：人员经费支出12075498.10元、日常公用经费支出2636075.61元。</w:t>
      </w:r>
    </w:p>
    <w:p>
      <w:pPr>
        <w:pStyle w:val="6"/>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pStyle w:val="3"/>
        <w:spacing w:before="0" w:beforeAutospacing="0" w:after="0" w:afterAutospacing="0" w:line="450" w:lineRule="atLeast"/>
        <w:ind w:firstLine="800" w:firstLineChars="25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2022年度</w:t>
      </w:r>
      <w:r>
        <w:rPr>
          <w:rFonts w:hint="eastAsia" w:ascii="Times New Roman" w:hAnsi="Times New Roman" w:eastAsia="仿宋_GB2312" w:cs="Times New Roman"/>
          <w:kern w:val="2"/>
          <w:sz w:val="32"/>
          <w:szCs w:val="32"/>
          <w:lang w:val="en-US" w:eastAsia="zh-CN" w:bidi="ar-SA"/>
        </w:rPr>
        <w:t>部门决算项目支出总额</w:t>
      </w:r>
      <w:r>
        <w:rPr>
          <w:rFonts w:hint="eastAsia" w:ascii="Times New Roman" w:hAnsi="Times New Roman" w:eastAsia="仿宋_GB2312" w:cs="仿宋_GB2312"/>
          <w:kern w:val="2"/>
          <w:sz w:val="32"/>
          <w:szCs w:val="32"/>
          <w:lang w:val="en-US" w:eastAsia="zh-CN" w:bidi="ar"/>
        </w:rPr>
        <w:t>23448400元。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1、其他一般公共服务支出280000元，专项用于凤凰山、军山林场林道建设200000元、凤凰山国有资产管理50000元及支农培训30000元。</w:t>
      </w:r>
    </w:p>
    <w:p>
      <w:pPr>
        <w:snapToGrid w:val="0"/>
        <w:spacing w:line="520" w:lineRule="exact"/>
        <w:ind w:firstLine="640" w:firstLineChars="200"/>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2、科学技术支出80000元，专项用于军山林场管护用房建设80000元。</w:t>
      </w:r>
    </w:p>
    <w:p>
      <w:pPr>
        <w:snapToGrid w:val="0"/>
        <w:spacing w:line="520" w:lineRule="exact"/>
        <w:ind w:firstLine="640" w:firstLineChars="200"/>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3、节能环保支出737196.65元，专项用于渌口区2021年南岭山地森林及生物多样</w:t>
      </w:r>
      <w:bookmarkStart w:id="0" w:name="_GoBack"/>
      <w:bookmarkEnd w:id="0"/>
      <w:r>
        <w:rPr>
          <w:rFonts w:hint="eastAsia" w:ascii="Times New Roman" w:hAnsi="Times New Roman" w:eastAsia="仿宋_GB2312" w:cs="仿宋_GB2312"/>
          <w:kern w:val="2"/>
          <w:sz w:val="32"/>
          <w:szCs w:val="32"/>
          <w:lang w:val="en-US" w:eastAsia="zh-CN" w:bidi="ar"/>
        </w:rPr>
        <w:t>性保护工程100000元、中央天然商品林管护补助支出207196.65、国有林场及集体天然林停发管护补助430000元。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4、农林水支出21267307.91元。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（1）农业生产发展520000元，专项用于渌口区农林品牌建设支出520000元。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（2）森林资源培育2775753元，专项用于造林及森林抚育项目支出1805453元林木良种培育支出290900元、中央预算内森林资源培养基建项目支出677400元。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（3）森林生态效益补偿3581401.65元、专项用于渌口区中央和省级生态林补助支出2519400.62元、中央天然林停发补助支出205500.15元、县级公益林补偿支出856500.88元。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（4）产业化管理2352344元，专项用于渌口区油茶小作坊升级改造及油茶低改2352344元。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（5）林业草原防灾减灾169120元，专项用于渌口区中央森林防火补助项目169120元。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6）其他林业和草原支出10989896.86元，专项用于渌口区2020年-2021年油茶大县奖励项目支出8716067.33元，2011年第二批林业生态修复项目及林道修复支出500000元，森林植被费安排的项目支出1436577元，林业行政执法经费项目支出318912.57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5、交通运输支出50000元。军山林场林道维修项目支出50000元。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6、其他支出1092280元。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（1）公益性岗位补贴（护林员工资）687392元，专项用于渌口区护林员工资支出687392元。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（2）大唐华银林地征用项目298000元，专项用于渌口区大唐华银林地征用代理缴费298000元。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（3）森林火险治理项目106888元，专项用于渌口区森林防火物资设备等支出106888元。</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从评价情况来看，有关项目立项程序完整、规范，预算执行及时、有效，绩效目标得到较好实现，绩效管理水平不断提高，绩效指标体系建设逐渐丰富和完善。完成年度预算非税收入征收任务519.80万元；完成年度预算支出数；完成全区造林绿化任务；规范森林资源管理和加强森林保护。全年已办理林地征占用审批 32宗1077.20亩，为大唐华银、娄醴高速等重点项目落地提供了有力保障。</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完成了2022年度区委、区政府下达的各项任务，完成了既定的整体绩效目标，特别是在生态建设中法治环境建设方面工作绩效显著。</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造林绿化工作。完成造林1.0万亩（其中油茶造林0.42万亩）、油茶低产林改造1.6万亩、森林质量精准提升0.67万亩、珍稀树种培育20万株、封山育林3.5万亩，落实森林抚育项目2万亩。造林成活率、造林质量大幅提高，促进森林健康，提高森林质量。按期完成项目进度率100%。</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（2）全年预计增加森林蓄积10万立方米，每年可固定二氧化碳16万吨。全年新增油茶良种苗圃200亩，培育油茶丰产园10个，改造作坊15家，建成“南洲忆”文化展示中心和仓储中心，已线上接受茶油订单200万元。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森林防火工作。强化物资保障，购置了风力灭火机、油锯和20套专业森林防护服配发到凤凰山国有林场半专业队伍，并组织开展了人员培训和演练，向区政府申请经费80万元购置消防车、高压细水雾喷雾器、接力水泵、无人机等一批防扑火装备；完善基础设施，要求各镇（场）全面统计现有防火林道，并对道路和瞭望塔台加以维护，安排联镇技术员联系各乡镇在重点片区拟定新修防火林道线路，为下一步防火林道建设提供基础。凤凰山林场和军山林场清理、拓宽防火林道30余km，全区森林防火形势平稳，森林火灾发生率远低于0.9‰控制指标。</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（3）林地征占用审批工作。共受理并完成32宗使用林地材料上报和审批工作，征占用林地面积71.81公顷，征缴植被恢复费771.99万元。此外，完成了自然保护地的整合优化预案。</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（4）全面推行林长制。在全市率先启动林长制工作，率先印发区级实施方案、考核办法和工作制度，设立区镇村三级林长近300名。</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（5）松材线虫病等重大林业有害生物防控工作。安排镇、场做好全区1万亩竹林赤眼蜂的发放工作，未发生一例林业生物灾害。</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（6）林政秩序方面。积极开展非法收购木材、非法占用林地、森林火灾等案件查处。共侦查刑事案件2起（森林火灾案件）；共立行政案件12起，查处12起，行政处罚 12人次，完成罚没收入60万余元。此外，受理山林纠纷4起，其中裁决、复议各1起，调解2起。</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（7）资源保护工作。</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一是严控限伐。全区每年限伐（即可以采伐）森林资源2.6万立方米，实际申报采伐指标0.99万立方米，全年完成采伐鉴定120起、蓄积0.97立方米；</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二是实施禁伐。对全区23万亩天然林实施全面禁伐；三是主动停伐。两个国有林场4万亩森林资源从2013年停止利用采伐，只开展抚育性质采伐。</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三是生物多样性调查工作：自4月28日正式开工启动至今，已完成春、夏动植物调查，首次发现黄花蝴蝶草在渌口区淦田镇分布，数量约50-60株，野生动物128种，两栖动物16种，外来入侵植物15种。首次发现中国最美小鸟蓝喉蜂虎，并同时在株洲日报和株洲晚报上登报。</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（8）疫情防控工作。按照应接尽接的要求，接种新冠肺炎疫苗40人。</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（9）安全生产工作。对全区40家企业（含林场）进行安全隐患排查走访100余次，排查重大事故隐患18处，整改消除隐患18处，销号率100%。</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10）脱贫攻坚工作。继续提供生态公益林护林员公益岗位249个，从全区各村聘请249名建档立卡贫困劳动力为护林员，护林工资收入由2017-2019年的人平年均4200元增加到5000元，带动脱贫100余人。同时，完成消费扶贫6.0万元、扶贫捐款2万元。</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（11）完成区委、区政府和主管部门交办的其他工作。创文创卫持续值守90余天，为网格责任区的小区规划和新建绿化带200米。</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2022年度全面完成了区乡村振兴中心工作任务和渌口区创文创卫工作任务及疫情防控工作任务。</w:t>
      </w:r>
    </w:p>
    <w:p>
      <w:pPr>
        <w:pStyle w:val="6"/>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工会经费、退休人员慰问、驻村扶贫等支出因没有预算占用行政运转经费，导致行政运转经费严重不足。项目资金支付不及时，导致预算执行率略低。三公经费预算基数少，绩效目标制定略高。要</w:t>
      </w:r>
      <w:r>
        <w:rPr>
          <w:rFonts w:hint="default" w:ascii="Times New Roman" w:hAnsi="Times New Roman" w:eastAsia="仿宋_GB2312" w:cs="Times New Roman"/>
          <w:kern w:val="2"/>
          <w:sz w:val="32"/>
          <w:szCs w:val="32"/>
          <w:lang w:val="en-US" w:eastAsia="zh-CN" w:bidi="ar-SA"/>
        </w:rPr>
        <w:t>合理安排预算支出计划</w:t>
      </w:r>
      <w:r>
        <w:rPr>
          <w:rFonts w:hint="eastAsia" w:ascii="Times New Roman" w:hAnsi="Times New Roman" w:eastAsia="仿宋_GB2312" w:cs="Times New Roman"/>
          <w:kern w:val="2"/>
          <w:sz w:val="32"/>
          <w:szCs w:val="32"/>
          <w:lang w:val="en-US" w:eastAsia="zh-CN" w:bidi="ar-SA"/>
        </w:rPr>
        <w:t>，强化预算执行。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加强财务监督和绩效评价，把绩效管理的理念和方法引入林业项目经费的管理，逐步建立起以强化资金使用效益为核心的绩效评价体系。株洲市渌口区每年的林业惠农补贴、林业发展专项经费、林业扶贫等专项资金都要接受省级和市级财政部门的绩效评价，工作过程全部进行量化考评。</w:t>
      </w:r>
    </w:p>
    <w:p>
      <w:pPr>
        <w:keepNext w:val="0"/>
        <w:keepLines w:val="0"/>
        <w:widowControl w:val="0"/>
        <w:numPr>
          <w:ilvl w:val="0"/>
          <w:numId w:val="2"/>
        </w:numPr>
        <w:suppressLineNumbers w:val="0"/>
        <w:spacing w:before="0" w:beforeAutospacing="0" w:after="0" w:afterAutospacing="0" w:line="600" w:lineRule="exact"/>
        <w:ind w:left="-10" w:leftChars="0" w:right="0" w:firstLine="640" w:firstLineChars="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5"/>
        <w:textAlignment w:val="auto"/>
        <w:rPr>
          <w:rFonts w:hint="default" w:ascii="Times New Roman" w:hAnsi="Times New Roman" w:eastAsia="黑体"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SA"/>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林业项目经费的管理，逐步建立起以强化资金使用效益为核心的绩效评价体系。每年的林业惠农补贴、林业发展专项经费、林业扶贫等专项资金都要接受省级和市级财政部门的绩效评价，工作过程全部进行量化考评。进一步完善财务监督制度，强化重大林业项目经费的全过程审计。</w:t>
      </w:r>
    </w:p>
    <w:p>
      <w:pPr>
        <w:keepNext w:val="0"/>
        <w:keepLines w:val="0"/>
        <w:widowControl w:val="0"/>
        <w:numPr>
          <w:ilvl w:val="0"/>
          <w:numId w:val="2"/>
        </w:numPr>
        <w:suppressLineNumbers w:val="0"/>
        <w:spacing w:before="0" w:beforeAutospacing="0" w:after="0" w:afterAutospacing="0" w:line="600" w:lineRule="exact"/>
        <w:ind w:left="-10" w:leftChars="0" w:right="0" w:firstLine="640" w:firstLineChars="0"/>
        <w:jc w:val="both"/>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
        </w:rPr>
        <w:t>绩效自评结果拟应用和公</w:t>
      </w:r>
      <w:r>
        <w:rPr>
          <w:rFonts w:hint="default" w:ascii="Times New Roman" w:hAnsi="Times New Roman" w:eastAsia="黑体" w:cs="Times New Roman"/>
          <w:kern w:val="2"/>
          <w:sz w:val="32"/>
          <w:szCs w:val="32"/>
          <w:lang w:val="en-US" w:eastAsia="zh-CN" w:bidi="ar"/>
        </w:rPr>
        <w:t>开情况</w:t>
      </w:r>
    </w:p>
    <w:p>
      <w:pPr>
        <w:keepNext w:val="0"/>
        <w:keepLines w:val="0"/>
        <w:widowControl w:val="0"/>
        <w:numPr>
          <w:ilvl w:val="0"/>
          <w:numId w:val="3"/>
        </w:numPr>
        <w:suppressLineNumbers w:val="0"/>
        <w:spacing w:before="0" w:beforeAutospacing="0" w:after="0" w:afterAutospacing="0" w:line="600" w:lineRule="exact"/>
        <w:ind w:leftChars="200" w:right="0" w:rightChars="0" w:firstLine="320" w:firstLineChars="1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我单位根据专项绩效评定指标对各项目量化评价</w:t>
      </w:r>
    </w:p>
    <w:p>
      <w:pPr>
        <w:keepNext w:val="0"/>
        <w:keepLines w:val="0"/>
        <w:widowControl w:val="0"/>
        <w:numPr>
          <w:ilvl w:val="0"/>
          <w:numId w:val="0"/>
        </w:numPr>
        <w:suppressLineNumbers w:val="0"/>
        <w:spacing w:before="0" w:beforeAutospacing="0" w:after="0" w:afterAutospacing="0" w:line="600" w:lineRule="exact"/>
        <w:ind w:right="0" w:rightChars="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自评指标得分96分。</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5"/>
        <w:textAlignment w:val="auto"/>
        <w:rPr>
          <w:rFonts w:hint="eastAsia"/>
        </w:rPr>
      </w:pPr>
      <w:r>
        <w:rPr>
          <w:rFonts w:hint="eastAsia" w:ascii="Times New Roman" w:hAnsi="Times New Roman" w:eastAsia="仿宋_GB2312" w:cs="Times New Roman"/>
          <w:kern w:val="2"/>
          <w:sz w:val="32"/>
          <w:szCs w:val="32"/>
          <w:lang w:val="en-US" w:eastAsia="zh-CN" w:bidi="ar-SA"/>
        </w:rPr>
        <w:t>2.充分应用预算绩效评价结果，将其作为资金安排、完善政策制度和加强支出管理等工作的重要依据；按要求公开绩效自评情况和整改情况，并在门户网站上全文公开，接受社会公众监督。</w:t>
      </w:r>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Times New Roman" w:hAnsi="Times New Roman" w:eastAsia="黑体" w:cs="Times New Roman"/>
          <w:kern w:val="2"/>
          <w:sz w:val="32"/>
          <w:szCs w:val="3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F8CAB"/>
    <w:multiLevelType w:val="singleLevel"/>
    <w:tmpl w:val="AADF8CAB"/>
    <w:lvl w:ilvl="0" w:tentative="0">
      <w:start w:val="1"/>
      <w:numFmt w:val="decimal"/>
      <w:suff w:val="nothing"/>
      <w:lvlText w:val="%1、"/>
      <w:lvlJc w:val="left"/>
    </w:lvl>
  </w:abstractNum>
  <w:abstractNum w:abstractNumId="1">
    <w:nsid w:val="E8625AF5"/>
    <w:multiLevelType w:val="singleLevel"/>
    <w:tmpl w:val="E8625AF5"/>
    <w:lvl w:ilvl="0" w:tentative="0">
      <w:start w:val="5"/>
      <w:numFmt w:val="chineseCounting"/>
      <w:suff w:val="nothing"/>
      <w:lvlText w:val="%1、"/>
      <w:lvlJc w:val="left"/>
      <w:pPr>
        <w:ind w:left="-10"/>
      </w:pPr>
      <w:rPr>
        <w:rFonts w:hint="eastAsia"/>
        <w:b/>
        <w:bCs/>
      </w:rPr>
    </w:lvl>
  </w:abstractNum>
  <w:abstractNum w:abstractNumId="2">
    <w:nsid w:val="004A992D"/>
    <w:multiLevelType w:val="singleLevel"/>
    <w:tmpl w:val="004A992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ZTAzMDAyNDE4ZmY1N2FhNjgxYTVmZGZjYmIxZGEifQ=="/>
  </w:docVars>
  <w:rsids>
    <w:rsidRoot w:val="00000000"/>
    <w:rsid w:val="2C7E7D2B"/>
    <w:rsid w:val="331E5746"/>
    <w:rsid w:val="34E25BA4"/>
    <w:rsid w:val="48E65073"/>
    <w:rsid w:val="64A644AC"/>
    <w:rsid w:val="67493AB4"/>
    <w:rsid w:val="6E917855"/>
    <w:rsid w:val="7732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880" w:firstLineChars="200"/>
    </w:pPr>
    <w:rPr>
      <w:rFonts w:eastAsia="仿宋_GB2312"/>
      <w:sz w:val="32"/>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7">
    <w:name w:val="0"/>
    <w:basedOn w:val="1"/>
    <w:qFormat/>
    <w:uiPriority w:val="0"/>
    <w:pPr>
      <w:widowControl/>
      <w:snapToGrid w:val="0"/>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3880</Words>
  <Characters>4373</Characters>
  <Lines>0</Lines>
  <Paragraphs>0</Paragraphs>
  <TotalTime>75</TotalTime>
  <ScaleCrop>false</ScaleCrop>
  <LinksUpToDate>false</LinksUpToDate>
  <CharactersWithSpaces>4386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2023-04-10T06:12:00Z</dcterms:created>
  <dc:creator>Administrator</dc:creator>
  <cp:lastModifiedBy>春雨梧桐</cp:lastModifiedBy>
  <dcterms:modified xsi:type="dcterms:W3CDTF">2023-04-18T03:20:43Z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86C771A6FBBC4BE6B857B6BE01E79AEB_12</vt:lpwstr>
  </property>
</Properties>
</file>