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750"/>
        <w:gridCol w:w="1395"/>
        <w:gridCol w:w="2509"/>
        <w:gridCol w:w="1050"/>
        <w:gridCol w:w="990"/>
        <w:gridCol w:w="456"/>
        <w:gridCol w:w="59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9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黑体" w:hAnsi="宋体" w:eastAsia="黑体" w:cs="黑体"/>
                <w:i w:val="0"/>
                <w:iCs w:val="0"/>
                <w:color w:val="000000"/>
                <w:sz w:val="32"/>
                <w:szCs w:val="32"/>
                <w:u w:val="none"/>
              </w:rPr>
            </w:pPr>
            <w:r>
              <w:rPr>
                <w:rStyle w:val="28"/>
                <w:lang w:val="en-US" w:eastAsia="zh-CN" w:bidi="ar"/>
              </w:rPr>
              <w:t>附件</w:t>
            </w:r>
            <w:r>
              <w:rPr>
                <w:rFonts w:hint="default" w:ascii="Times New Roman" w:hAnsi="Times New Roman" w:eastAsia="黑体" w:cs="Times New Roman"/>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填报单位：（盖章）</w:t>
            </w:r>
            <w:r>
              <w:rPr>
                <w:rFonts w:hint="default" w:ascii="Times New Roman" w:hAnsi="Times New Roman" w:eastAsia="仿宋_GB2312" w:cs="Times New Roman"/>
                <w:i w:val="0"/>
                <w:iCs w:val="0"/>
                <w:color w:val="000000"/>
                <w:kern w:val="0"/>
                <w:sz w:val="21"/>
                <w:szCs w:val="21"/>
                <w:u w:val="none"/>
                <w:lang w:val="en-US" w:eastAsia="zh-CN" w:bidi="ar"/>
              </w:rPr>
              <w:t xml:space="preserve">                 </w:t>
            </w:r>
            <w:r>
              <w:rPr>
                <w:rFonts w:hint="default" w:ascii="仿宋_GB2312" w:hAnsi="宋体" w:eastAsia="仿宋_GB2312" w:cs="仿宋_GB2312"/>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2022</w:t>
            </w:r>
            <w:r>
              <w:rPr>
                <w:rFonts w:hint="default" w:ascii="仿宋_GB2312" w:hAnsi="宋体" w:eastAsia="仿宋_GB2312" w:cs="仿宋_GB2312"/>
                <w:i w:val="0"/>
                <w:iCs w:val="0"/>
                <w:color w:val="000000"/>
                <w:kern w:val="0"/>
                <w:sz w:val="21"/>
                <w:szCs w:val="21"/>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预算部门名称</w:t>
            </w:r>
          </w:p>
        </w:tc>
        <w:tc>
          <w:tcPr>
            <w:tcW w:w="7950" w:type="dxa"/>
            <w:gridSpan w:val="7"/>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株洲市渌口区农业农村局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年度预算申请（万元）</w:t>
            </w:r>
          </w:p>
        </w:tc>
        <w:tc>
          <w:tcPr>
            <w:tcW w:w="2145"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年度资金总额</w:t>
            </w:r>
          </w:p>
        </w:tc>
        <w:tc>
          <w:tcPr>
            <w:tcW w:w="2670" w:type="dxa"/>
            <w:tcBorders>
              <w:top w:val="single" w:color="000000" w:sz="8"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年初</w:t>
            </w:r>
          </w:p>
        </w:tc>
        <w:tc>
          <w:tcPr>
            <w:tcW w:w="10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全年</w:t>
            </w:r>
            <w:r>
              <w:rPr>
                <w:rFonts w:hint="default" w:ascii="Times New Roman" w:hAnsi="Times New Roman" w:eastAsia="仿宋_GB2312" w:cs="Times New Roman"/>
                <w:i w:val="0"/>
                <w:iCs w:val="0"/>
                <w:color w:val="000000"/>
                <w:kern w:val="0"/>
                <w:sz w:val="16"/>
                <w:szCs w:val="16"/>
                <w:u w:val="none"/>
                <w:lang w:val="en-US" w:eastAsia="zh-CN" w:bidi="ar"/>
              </w:rPr>
              <w:t xml:space="preserve">  </w:t>
            </w:r>
            <w:r>
              <w:rPr>
                <w:rStyle w:val="29"/>
                <w:rFonts w:hAnsi="宋体"/>
                <w:lang w:val="en-US" w:eastAsia="zh-CN" w:bidi="ar"/>
              </w:rPr>
              <w:t>预算数</w:t>
            </w:r>
          </w:p>
        </w:tc>
        <w:tc>
          <w:tcPr>
            <w:tcW w:w="99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全年</w:t>
            </w:r>
          </w:p>
        </w:tc>
        <w:tc>
          <w:tcPr>
            <w:tcW w:w="43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分值</w:t>
            </w:r>
          </w:p>
        </w:tc>
        <w:tc>
          <w:tcPr>
            <w:tcW w:w="4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执行率</w:t>
            </w:r>
          </w:p>
        </w:tc>
        <w:tc>
          <w:tcPr>
            <w:tcW w:w="9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2145" w:type="dxa"/>
            <w:gridSpan w:val="2"/>
            <w:vMerge w:val="continue"/>
            <w:tcBorders>
              <w:top w:val="nil"/>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2670" w:type="dxa"/>
            <w:tcBorders>
              <w:top w:val="nil"/>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预算数</w:t>
            </w:r>
          </w:p>
        </w:tc>
        <w:tc>
          <w:tcPr>
            <w:tcW w:w="105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执行数</w:t>
            </w:r>
          </w:p>
        </w:tc>
        <w:tc>
          <w:tcPr>
            <w:tcW w:w="43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45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96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2145" w:type="dxa"/>
            <w:gridSpan w:val="2"/>
            <w:vMerge w:val="continue"/>
            <w:tcBorders>
              <w:top w:val="nil"/>
              <w:left w:val="nil"/>
              <w:bottom w:val="single" w:color="000000" w:sz="8"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26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1435.39</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11159.67</w:t>
            </w:r>
          </w:p>
        </w:tc>
        <w:tc>
          <w:tcPr>
            <w:tcW w:w="9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11159.67</w:t>
            </w:r>
          </w:p>
        </w:tc>
        <w:tc>
          <w:tcPr>
            <w:tcW w:w="4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r>
              <w:rPr>
                <w:rStyle w:val="29"/>
                <w:rFonts w:hAnsi="Times New Roman"/>
                <w:lang w:val="en-US" w:eastAsia="zh-CN" w:bidi="ar"/>
              </w:rPr>
              <w:t>分</w:t>
            </w:r>
          </w:p>
        </w:tc>
        <w:tc>
          <w:tcPr>
            <w:tcW w:w="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9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按收入性质分：</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29"/>
                <w:rFonts w:hAnsi="Times New Roman"/>
                <w:lang w:val="en-US" w:eastAsia="zh-CN" w:bidi="ar"/>
              </w:rPr>
              <w:t>其中：</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29"/>
                <w:rFonts w:hAnsi="Times New Roman"/>
                <w:lang w:val="en-US" w:eastAsia="zh-CN" w:bidi="ar"/>
              </w:rPr>
              <w:t>一般公共预算：</w:t>
            </w:r>
            <w:r>
              <w:rPr>
                <w:rFonts w:hint="eastAsia" w:ascii="Times New Roman" w:hAnsi="Times New Roman" w:eastAsia="宋体" w:cs="Times New Roman"/>
                <w:i w:val="0"/>
                <w:iCs w:val="0"/>
                <w:color w:val="000000"/>
                <w:kern w:val="0"/>
                <w:sz w:val="16"/>
                <w:szCs w:val="16"/>
                <w:u w:val="none"/>
                <w:lang w:val="en-US" w:eastAsia="zh-CN" w:bidi="ar"/>
              </w:rPr>
              <w:t>10100.42</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其中：基本支出：</w:t>
            </w:r>
            <w:r>
              <w:rPr>
                <w:rFonts w:hint="eastAsia" w:ascii="仿宋_GB2312" w:hAnsi="宋体" w:eastAsia="仿宋_GB2312" w:cs="仿宋_GB2312"/>
                <w:i w:val="0"/>
                <w:iCs w:val="0"/>
                <w:color w:val="000000"/>
                <w:kern w:val="0"/>
                <w:sz w:val="16"/>
                <w:szCs w:val="16"/>
                <w:u w:val="none"/>
                <w:lang w:val="en-US" w:eastAsia="zh-CN" w:bidi="ar"/>
              </w:rPr>
              <w:t>1608.92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Chars="40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政府性基金拨款：</w:t>
            </w:r>
            <w:r>
              <w:rPr>
                <w:rFonts w:hint="eastAsia" w:ascii="仿宋_GB2312" w:hAnsi="宋体" w:eastAsia="仿宋_GB2312" w:cs="仿宋_GB2312"/>
                <w:i w:val="0"/>
                <w:iCs w:val="0"/>
                <w:color w:val="000000"/>
                <w:kern w:val="0"/>
                <w:sz w:val="16"/>
                <w:szCs w:val="16"/>
                <w:u w:val="none"/>
                <w:lang w:val="en-US" w:eastAsia="zh-CN" w:bidi="ar"/>
              </w:rPr>
              <w:t>5</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Chars="30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项目支出：</w:t>
            </w:r>
            <w:r>
              <w:rPr>
                <w:rFonts w:hint="eastAsia" w:ascii="仿宋_GB2312" w:hAnsi="宋体" w:eastAsia="仿宋_GB2312" w:cs="仿宋_GB2312"/>
                <w:i w:val="0"/>
                <w:iCs w:val="0"/>
                <w:color w:val="000000"/>
                <w:kern w:val="0"/>
                <w:sz w:val="16"/>
                <w:szCs w:val="16"/>
                <w:u w:val="none"/>
                <w:lang w:val="en-US" w:eastAsia="zh-CN" w:bidi="ar"/>
              </w:rPr>
              <w:t>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纳入专户管理的非税收入拨款：</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Chars="70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其他资金：</w:t>
            </w:r>
            <w:r>
              <w:rPr>
                <w:rFonts w:hint="eastAsia" w:ascii="仿宋_GB2312" w:hAnsi="宋体" w:eastAsia="仿宋_GB2312" w:cs="仿宋_GB2312"/>
                <w:i w:val="0"/>
                <w:iCs w:val="0"/>
                <w:color w:val="000000"/>
                <w:kern w:val="0"/>
                <w:sz w:val="16"/>
                <w:szCs w:val="16"/>
                <w:u w:val="none"/>
                <w:lang w:val="en-US" w:eastAsia="zh-CN" w:bidi="ar"/>
              </w:rPr>
              <w:t>1054.25</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年度总体目标</w:t>
            </w:r>
          </w:p>
        </w:tc>
        <w:tc>
          <w:tcPr>
            <w:tcW w:w="586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预期目标</w:t>
            </w:r>
          </w:p>
        </w:tc>
        <w:tc>
          <w:tcPr>
            <w:tcW w:w="2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5865" w:type="dxa"/>
            <w:gridSpan w:val="4"/>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1.稳牢粮食安全责任。</w:t>
            </w:r>
          </w:p>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2.加强生猪稳产保供</w:t>
            </w:r>
          </w:p>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3.发展富民乡村产业</w:t>
            </w:r>
          </w:p>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4.扎实推进乡村建设行动</w:t>
            </w:r>
          </w:p>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5.常态化做好退捕禁捕工作</w:t>
            </w:r>
          </w:p>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6.抓好农村重点改革任务　　</w:t>
            </w:r>
          </w:p>
        </w:tc>
        <w:tc>
          <w:tcPr>
            <w:tcW w:w="2835" w:type="dxa"/>
            <w:gridSpan w:val="4"/>
            <w:tcBorders>
              <w:top w:val="nil"/>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绩效指标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一级指标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二级指标</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实际</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分值</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得分</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完成值</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产出指标(50分)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完成生猪出栏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36.4万头左右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55.16万头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建设农产品质量安全追溯点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5</w:t>
            </w:r>
            <w:r>
              <w:rPr>
                <w:rFonts w:hint="eastAsia" w:ascii="仿宋_GB2312" w:hAnsi="宋体" w:eastAsia="仿宋_GB2312" w:cs="仿宋_GB2312"/>
                <w:i w:val="0"/>
                <w:iCs w:val="0"/>
                <w:color w:val="000000"/>
                <w:kern w:val="0"/>
                <w:sz w:val="16"/>
                <w:szCs w:val="16"/>
                <w:u w:val="none"/>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实现农产品加工业总产值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力争实现120亿元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95</w:t>
            </w:r>
            <w:r>
              <w:rPr>
                <w:rFonts w:hint="eastAsia" w:ascii="仿宋_GB2312" w:hAnsi="宋体" w:eastAsia="仿宋_GB2312" w:cs="仿宋_GB2312"/>
                <w:i w:val="0"/>
                <w:iCs w:val="0"/>
                <w:color w:val="000000"/>
                <w:kern w:val="0"/>
                <w:sz w:val="16"/>
                <w:szCs w:val="16"/>
                <w:u w:val="none"/>
                <w:lang w:val="en-US" w:eastAsia="zh-CN" w:bidi="ar"/>
              </w:rPr>
              <w:t>亿元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重点扶持全产业链标杆型龙头企业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2</w:t>
            </w:r>
            <w:r>
              <w:rPr>
                <w:rFonts w:hint="eastAsia" w:ascii="仿宋_GB2312" w:hAnsi="宋体" w:eastAsia="仿宋_GB2312" w:cs="仿宋_GB2312"/>
                <w:i w:val="0"/>
                <w:iCs w:val="0"/>
                <w:color w:val="000000"/>
                <w:kern w:val="0"/>
                <w:sz w:val="16"/>
                <w:szCs w:val="16"/>
                <w:u w:val="none"/>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培育农业区域公用品牌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2</w:t>
            </w:r>
            <w:r>
              <w:rPr>
                <w:rFonts w:hint="eastAsia" w:ascii="仿宋_GB2312" w:hAnsi="宋体" w:eastAsia="仿宋_GB2312" w:cs="仿宋_GB2312"/>
                <w:i w:val="0"/>
                <w:iCs w:val="0"/>
                <w:color w:val="000000"/>
                <w:kern w:val="0"/>
                <w:sz w:val="16"/>
                <w:szCs w:val="16"/>
                <w:u w:val="none"/>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打造各层级产品品牌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50个左右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50</w:t>
            </w:r>
            <w:r>
              <w:rPr>
                <w:rFonts w:hint="eastAsia" w:ascii="仿宋_GB2312" w:hAnsi="宋体" w:eastAsia="仿宋_GB2312" w:cs="仿宋_GB2312"/>
                <w:i w:val="0"/>
                <w:iCs w:val="0"/>
                <w:color w:val="000000"/>
                <w:kern w:val="0"/>
                <w:sz w:val="16"/>
                <w:szCs w:val="16"/>
                <w:u w:val="none"/>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建设农产品产地冷藏保鲜设施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5处以上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8</w:t>
            </w:r>
            <w:r>
              <w:rPr>
                <w:rFonts w:hint="eastAsia" w:ascii="仿宋_GB2312" w:hAnsi="宋体" w:eastAsia="仿宋_GB2312" w:cs="仿宋_GB2312"/>
                <w:i w:val="0"/>
                <w:iCs w:val="0"/>
                <w:color w:val="000000"/>
                <w:kern w:val="0"/>
                <w:sz w:val="16"/>
                <w:szCs w:val="16"/>
                <w:u w:val="none"/>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农产品质量安全监测次数（批次）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11492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增加了定量任务，减少了速测任务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实现一产业增加值增长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一产业固定资产投资增长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62%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主要农产品检测合格率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水稻生产综合机械化水平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82%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水稻生产综合机械化水平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82%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default" w:ascii="仿宋_GB2312" w:hAnsi="宋体" w:eastAsia="仿宋_GB2312" w:cs="仿宋_GB2312"/>
                <w:i w:val="0"/>
                <w:iCs w:val="0"/>
                <w:color w:val="000000"/>
                <w:kern w:val="0"/>
                <w:sz w:val="16"/>
                <w:szCs w:val="16"/>
                <w:u w:val="none"/>
                <w:lang w:val="en-US" w:eastAsia="zh-CN" w:bidi="ar"/>
              </w:rPr>
              <w:t>效益指标</w:t>
            </w:r>
          </w:p>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农村居民人均可支配收入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增长8.7%以上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6.30%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确保粮食种植面积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稳定在44万亩以上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42.7</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受旱情严重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农村卫生厕所普及率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秸秆综合利用率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86%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保障国家粮食安全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持续、安全、可靠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持续、安全、可靠</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lang w:val="en-US"/>
              </w:rPr>
            </w:pPr>
            <w:r>
              <w:rPr>
                <w:rFonts w:hint="default" w:ascii="仿宋_GB2312" w:hAnsi="宋体" w:eastAsia="仿宋_GB2312" w:cs="仿宋_GB2312"/>
                <w:i w:val="0"/>
                <w:iCs w:val="0"/>
                <w:color w:val="000000"/>
                <w:kern w:val="0"/>
                <w:sz w:val="16"/>
                <w:szCs w:val="16"/>
                <w:u w:val="none"/>
                <w:lang w:val="en-US" w:eastAsia="zh-CN" w:bidi="ar"/>
              </w:rPr>
              <w:t>受旱情严重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推进农业农村现代化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加快推进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加快推进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满意度指标（10分）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社会公众及服务对象满意度</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“三农”服务对象满意度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稳步提升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稳步提升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社会公众及服务对象满意度</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社会公众满意度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稳步提升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稳步提升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45"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总分</w:t>
            </w:r>
          </w:p>
        </w:tc>
        <w:tc>
          <w:tcPr>
            <w:tcW w:w="4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4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98</w:t>
            </w:r>
          </w:p>
        </w:tc>
        <w:tc>
          <w:tcPr>
            <w:tcW w:w="960" w:type="dxa"/>
            <w:tcBorders>
              <w:top w:val="nil"/>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填报人：</w:t>
            </w:r>
            <w:r>
              <w:rPr>
                <w:rFonts w:hint="default" w:ascii="Times New Roman" w:hAnsi="Times New Roman" w:eastAsia="仿宋_GB2312"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郭美容</w:t>
            </w:r>
            <w:r>
              <w:rPr>
                <w:rFonts w:hint="default" w:ascii="Times New Roman" w:hAnsi="Times New Roman" w:eastAsia="仿宋_GB2312" w:cs="Times New Roman"/>
                <w:i w:val="0"/>
                <w:iCs w:val="0"/>
                <w:color w:val="000000"/>
                <w:kern w:val="0"/>
                <w:sz w:val="21"/>
                <w:szCs w:val="21"/>
                <w:u w:val="none"/>
                <w:lang w:val="en-US" w:eastAsia="zh-CN" w:bidi="ar"/>
              </w:rPr>
              <w:t xml:space="preserve"> </w:t>
            </w:r>
            <w:r>
              <w:rPr>
                <w:rFonts w:hint="default" w:ascii="仿宋_GB2312" w:hAnsi="宋体" w:eastAsia="仿宋_GB2312" w:cs="仿宋_GB2312"/>
                <w:i w:val="0"/>
                <w:iCs w:val="0"/>
                <w:color w:val="000000"/>
                <w:kern w:val="0"/>
                <w:sz w:val="21"/>
                <w:szCs w:val="21"/>
                <w:u w:val="none"/>
                <w:lang w:val="en-US" w:eastAsia="zh-CN" w:bidi="ar"/>
              </w:rPr>
              <w:t>联系电话：</w:t>
            </w:r>
            <w:r>
              <w:rPr>
                <w:rFonts w:hint="default" w:ascii="Times New Roman" w:hAnsi="Times New Roman" w:eastAsia="仿宋_GB2312" w:cs="Times New Roman"/>
                <w:i w:val="0"/>
                <w:iCs w:val="0"/>
                <w:color w:val="000000"/>
                <w:kern w:val="0"/>
                <w:sz w:val="21"/>
                <w:szCs w:val="21"/>
                <w:u w:val="none"/>
                <w:lang w:val="en-US" w:eastAsia="zh-CN" w:bidi="ar"/>
              </w:rPr>
              <w:t xml:space="preserve">  13974197335 </w:t>
            </w:r>
            <w:r>
              <w:rPr>
                <w:rFonts w:hint="default" w:ascii="仿宋_GB2312" w:hAnsi="宋体" w:eastAsia="仿宋_GB2312" w:cs="仿宋_GB2312"/>
                <w:i w:val="0"/>
                <w:iCs w:val="0"/>
                <w:color w:val="000000"/>
                <w:kern w:val="0"/>
                <w:sz w:val="21"/>
                <w:szCs w:val="21"/>
                <w:u w:val="none"/>
                <w:lang w:val="en-US" w:eastAsia="zh-CN" w:bidi="ar"/>
              </w:rPr>
              <w:t>填报日期：2023.4.14</w:t>
            </w:r>
            <w:r>
              <w:rPr>
                <w:rFonts w:hint="default" w:ascii="Times New Roman" w:hAnsi="Times New Roman" w:eastAsia="仿宋_GB2312" w:cs="Times New Roman"/>
                <w:i w:val="0"/>
                <w:iCs w:val="0"/>
                <w:color w:val="000000"/>
                <w:kern w:val="0"/>
                <w:sz w:val="21"/>
                <w:szCs w:val="21"/>
                <w:u w:val="none"/>
                <w:lang w:val="en-US" w:eastAsia="zh-CN" w:bidi="ar"/>
              </w:rPr>
              <w:t xml:space="preserve">  </w:t>
            </w:r>
            <w:r>
              <w:rPr>
                <w:rFonts w:hint="default" w:ascii="仿宋_GB2312" w:hAnsi="宋体" w:eastAsia="仿宋_GB2312" w:cs="仿宋_GB2312"/>
                <w:i w:val="0"/>
                <w:iCs w:val="0"/>
                <w:color w:val="000000"/>
                <w:kern w:val="0"/>
                <w:sz w:val="21"/>
                <w:szCs w:val="21"/>
                <w:u w:val="none"/>
                <w:lang w:val="en-US" w:eastAsia="zh-CN" w:bidi="ar"/>
              </w:rPr>
              <w:t>单位负责人签字：</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Times New Roman" w:hAnsi="Times New Roman" w:eastAsia="黑体" w:cs="Times New Roman"/>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eastAsia" w:asciiTheme="majorEastAsia" w:hAnsiTheme="majorEastAsia" w:eastAsiaTheme="majorEastAsia" w:cstheme="majorEastAsia"/>
          <w:b/>
          <w:bCs/>
          <w:kern w:val="2"/>
          <w:sz w:val="32"/>
          <w:szCs w:val="32"/>
          <w:lang w:val="en-US" w:eastAsia="zh-CN" w:bidi="ar"/>
        </w:rPr>
      </w:pPr>
      <w:r>
        <w:rPr>
          <w:rFonts w:hint="eastAsia" w:asciiTheme="majorEastAsia" w:hAnsiTheme="majorEastAsia" w:eastAsiaTheme="majorEastAsia" w:cstheme="majorEastAsia"/>
          <w:b/>
          <w:bCs/>
          <w:kern w:val="2"/>
          <w:sz w:val="32"/>
          <w:szCs w:val="32"/>
          <w:lang w:val="en-US" w:eastAsia="zh-CN" w:bidi="ar"/>
        </w:rPr>
        <w:t>一、预算单位基本情况</w:t>
      </w:r>
    </w:p>
    <w:p>
      <w:pPr>
        <w:snapToGrid w:val="0"/>
        <w:spacing w:line="52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一</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主要职能</w:t>
      </w:r>
    </w:p>
    <w:p>
      <w:pPr>
        <w:numPr>
          <w:ilvl w:val="0"/>
          <w:numId w:val="0"/>
        </w:numPr>
        <w:snapToGrid w:val="0"/>
        <w:spacing w:line="520" w:lineRule="exact"/>
        <w:ind w:firstLine="600" w:firstLineChars="200"/>
        <w:rPr>
          <w:rFonts w:hint="eastAsia" w:ascii="仿宋_GB2312" w:hAnsi="仿宋" w:eastAsia="仿宋_GB2312" w:cs="Times New Roman"/>
          <w:sz w:val="32"/>
          <w:szCs w:val="32"/>
        </w:rPr>
      </w:pPr>
      <w:r>
        <w:rPr>
          <w:rFonts w:hint="eastAsia" w:ascii="仿宋_GB2312" w:hAnsi="仿宋" w:eastAsia="仿宋_GB2312" w:cs="Times New Roman"/>
          <w:kern w:val="2"/>
          <w:sz w:val="30"/>
          <w:szCs w:val="30"/>
          <w:lang w:val="en-US" w:eastAsia="zh-CN" w:bidi="ar-SA"/>
        </w:rPr>
        <w:t>株洲市渌口区农业农村局作为区人民政府农业行政主管部门担负着发展全区农业和农村经济，提高农业的整体素质和效益，建设社会主义新农村，实施乡村振兴战略的重任。作为区级农业技术推广机构担负着推进全区农业技术推广工作，促使农业科研成果实用技术尽快应用于农业生产，保证农业持续、稳定发展，确保农产品供应和质量安全的重任。</w:t>
      </w:r>
    </w:p>
    <w:p>
      <w:pPr>
        <w:numPr>
          <w:ilvl w:val="0"/>
          <w:numId w:val="0"/>
        </w:numPr>
        <w:snapToGrid w:val="0"/>
        <w:spacing w:line="52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二</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机构情况</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包括当年变动情况及原因</w:t>
      </w:r>
    </w:p>
    <w:p>
      <w:pPr>
        <w:numPr>
          <w:ilvl w:val="0"/>
          <w:numId w:val="0"/>
        </w:numPr>
        <w:snapToGrid w:val="0"/>
        <w:spacing w:line="520" w:lineRule="exact"/>
        <w:ind w:firstLine="600" w:firstLineChars="200"/>
        <w:rPr>
          <w:rFonts w:hint="eastAsia" w:ascii="仿宋_GB2312" w:hAnsi="仿宋" w:eastAsia="仿宋_GB2312" w:cs="Times New Roman"/>
          <w:sz w:val="32"/>
          <w:szCs w:val="32"/>
        </w:rPr>
      </w:pPr>
      <w:r>
        <w:rPr>
          <w:rFonts w:hint="eastAsia" w:ascii="仿宋_GB2312" w:hAnsi="仿宋" w:eastAsia="仿宋_GB2312" w:cs="Times New Roman"/>
          <w:sz w:val="30"/>
          <w:szCs w:val="30"/>
        </w:rPr>
        <w:t>株洲市渌口区农业农村局内设机构11个包括：办公室、发展计划与财务股、法规与政策改革股、农村社会事业促进股、科技教育股、农产品质量安全监管股、种植业管理股、畜牧兽医与渔业渔政股、农田建设管理股、党建工作办公室（人事股）、农业综合行政执法大队。本部门共有编制人数85人,实有人数9</w:t>
      </w:r>
      <w:r>
        <w:rPr>
          <w:rFonts w:hint="eastAsia" w:ascii="仿宋_GB2312" w:hAnsi="仿宋" w:eastAsia="仿宋_GB2312" w:cs="Times New Roman"/>
          <w:sz w:val="30"/>
          <w:szCs w:val="30"/>
          <w:lang w:val="en-US" w:eastAsia="zh-CN"/>
        </w:rPr>
        <w:t>4</w:t>
      </w:r>
      <w:r>
        <w:rPr>
          <w:rFonts w:hint="eastAsia" w:ascii="仿宋_GB2312" w:hAnsi="仿宋" w:eastAsia="仿宋_GB2312" w:cs="Times New Roman"/>
          <w:sz w:val="30"/>
          <w:szCs w:val="30"/>
        </w:rPr>
        <w:t>人。</w:t>
      </w:r>
    </w:p>
    <w:p>
      <w:pPr>
        <w:numPr>
          <w:ilvl w:val="0"/>
          <w:numId w:val="0"/>
        </w:numPr>
        <w:snapToGrid w:val="0"/>
        <w:spacing w:line="52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三</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人员情况，包括当年变动情况及原因</w:t>
      </w:r>
    </w:p>
    <w:p>
      <w:pPr>
        <w:snapToGrid w:val="0"/>
        <w:spacing w:line="520" w:lineRule="exact"/>
        <w:ind w:firstLine="600" w:firstLineChars="200"/>
        <w:rPr>
          <w:rFonts w:hint="eastAsia" w:ascii="仿宋_GB2312" w:hAnsi="仿宋" w:eastAsia="仿宋_GB2312"/>
          <w:sz w:val="32"/>
          <w:szCs w:val="32"/>
          <w:lang w:val="en-US" w:eastAsia="zh-CN"/>
        </w:rPr>
      </w:pPr>
      <w:r>
        <w:rPr>
          <w:rFonts w:hint="eastAsia" w:ascii="仿宋_GB2312" w:hAnsi="微软雅黑" w:eastAsia="仿宋_GB2312" w:cs="宋体"/>
          <w:sz w:val="30"/>
          <w:szCs w:val="30"/>
        </w:rPr>
        <w:t>20</w:t>
      </w:r>
      <w:r>
        <w:rPr>
          <w:rFonts w:hint="eastAsia" w:ascii="仿宋_GB2312" w:hAnsi="微软雅黑" w:eastAsia="仿宋_GB2312" w:cs="宋体"/>
          <w:sz w:val="30"/>
          <w:szCs w:val="30"/>
          <w:lang w:val="en-US" w:eastAsia="zh-CN"/>
        </w:rPr>
        <w:t>22</w:t>
      </w:r>
      <w:r>
        <w:rPr>
          <w:rFonts w:hint="eastAsia" w:ascii="仿宋_GB2312" w:hAnsi="微软雅黑" w:eastAsia="仿宋_GB2312" w:cs="宋体"/>
          <w:sz w:val="30"/>
          <w:szCs w:val="30"/>
        </w:rPr>
        <w:t>年度我单位共有人员</w:t>
      </w:r>
      <w:r>
        <w:rPr>
          <w:rFonts w:hint="eastAsia" w:ascii="仿宋_GB2312" w:hAnsi="微软雅黑" w:eastAsia="仿宋_GB2312" w:cs="宋体"/>
          <w:sz w:val="30"/>
          <w:szCs w:val="30"/>
          <w:lang w:val="en-US" w:eastAsia="zh-CN"/>
        </w:rPr>
        <w:t>228</w:t>
      </w:r>
      <w:r>
        <w:rPr>
          <w:rFonts w:hint="eastAsia" w:ascii="仿宋_GB2312" w:hAnsi="微软雅黑" w:eastAsia="仿宋_GB2312" w:cs="宋体"/>
          <w:sz w:val="30"/>
          <w:szCs w:val="30"/>
        </w:rPr>
        <w:t>人，其中：在职人员</w:t>
      </w:r>
      <w:r>
        <w:rPr>
          <w:rFonts w:hint="eastAsia" w:ascii="仿宋_GB2312" w:hAnsi="微软雅黑" w:eastAsia="仿宋_GB2312" w:cs="宋体"/>
          <w:sz w:val="30"/>
          <w:szCs w:val="30"/>
          <w:lang w:val="en-US" w:eastAsia="zh-CN"/>
        </w:rPr>
        <w:t>94</w:t>
      </w:r>
      <w:r>
        <w:rPr>
          <w:rFonts w:hint="eastAsia" w:ascii="仿宋_GB2312" w:hAnsi="微软雅黑" w:eastAsia="仿宋_GB2312" w:cs="宋体"/>
          <w:sz w:val="30"/>
          <w:szCs w:val="30"/>
        </w:rPr>
        <w:t>人，退休人员</w:t>
      </w:r>
      <w:r>
        <w:rPr>
          <w:rFonts w:hint="eastAsia" w:ascii="仿宋_GB2312" w:hAnsi="微软雅黑" w:eastAsia="仿宋_GB2312" w:cs="宋体"/>
          <w:sz w:val="30"/>
          <w:szCs w:val="30"/>
          <w:lang w:val="en-US" w:eastAsia="zh-CN"/>
        </w:rPr>
        <w:t>133</w:t>
      </w:r>
      <w:r>
        <w:rPr>
          <w:rFonts w:hint="eastAsia" w:ascii="仿宋_GB2312" w:hAnsi="微软雅黑" w:eastAsia="仿宋_GB2312" w:cs="宋体"/>
          <w:sz w:val="30"/>
          <w:szCs w:val="30"/>
        </w:rPr>
        <w:t>人，</w:t>
      </w:r>
      <w:r>
        <w:rPr>
          <w:rFonts w:hint="eastAsia" w:ascii="仿宋_GB2312" w:hAnsi="微软雅黑" w:eastAsia="仿宋_GB2312" w:cs="宋体"/>
          <w:sz w:val="30"/>
          <w:szCs w:val="30"/>
          <w:lang w:eastAsia="zh-CN"/>
        </w:rPr>
        <w:t>离休人员</w:t>
      </w:r>
      <w:r>
        <w:rPr>
          <w:rFonts w:hint="eastAsia" w:ascii="仿宋_GB2312" w:hAnsi="微软雅黑" w:eastAsia="仿宋_GB2312" w:cs="宋体"/>
          <w:sz w:val="30"/>
          <w:szCs w:val="30"/>
          <w:lang w:val="en-US" w:eastAsia="zh-CN"/>
        </w:rPr>
        <w:t>1人</w:t>
      </w:r>
      <w:r>
        <w:rPr>
          <w:rFonts w:hint="eastAsia" w:ascii="仿宋_GB2312" w:hAnsi="微软雅黑" w:eastAsia="仿宋_GB2312" w:cs="宋体"/>
          <w:sz w:val="30"/>
          <w:szCs w:val="30"/>
        </w:rPr>
        <w:t>；相比</w:t>
      </w:r>
      <w:r>
        <w:rPr>
          <w:rFonts w:hint="eastAsia" w:ascii="仿宋_GB2312" w:hAnsi="微软雅黑" w:eastAsia="仿宋_GB2312" w:cs="宋体"/>
          <w:sz w:val="30"/>
          <w:szCs w:val="30"/>
          <w:lang w:val="en-US" w:eastAsia="zh-CN"/>
        </w:rPr>
        <w:t>2021</w:t>
      </w:r>
      <w:r>
        <w:rPr>
          <w:rFonts w:hint="eastAsia" w:ascii="仿宋_GB2312" w:hAnsi="微软雅黑" w:eastAsia="仿宋_GB2312" w:cs="宋体"/>
          <w:sz w:val="30"/>
          <w:szCs w:val="30"/>
        </w:rPr>
        <w:t>年，在职人员减少</w:t>
      </w:r>
      <w:r>
        <w:rPr>
          <w:rFonts w:hint="eastAsia" w:ascii="仿宋_GB2312" w:hAnsi="微软雅黑" w:eastAsia="仿宋_GB2312" w:cs="宋体"/>
          <w:sz w:val="30"/>
          <w:szCs w:val="30"/>
          <w:lang w:val="en-US" w:eastAsia="zh-CN"/>
        </w:rPr>
        <w:t>2</w:t>
      </w:r>
      <w:r>
        <w:rPr>
          <w:rFonts w:hint="eastAsia" w:ascii="仿宋_GB2312" w:hAnsi="微软雅黑" w:eastAsia="仿宋_GB2312" w:cs="宋体"/>
          <w:sz w:val="30"/>
          <w:szCs w:val="30"/>
        </w:rPr>
        <w:t>人，其中调进</w:t>
      </w:r>
      <w:r>
        <w:rPr>
          <w:rFonts w:hint="eastAsia" w:ascii="仿宋_GB2312" w:hAnsi="微软雅黑" w:eastAsia="仿宋_GB2312" w:cs="宋体"/>
          <w:sz w:val="30"/>
          <w:szCs w:val="30"/>
          <w:lang w:val="en-US" w:eastAsia="zh-CN"/>
        </w:rPr>
        <w:t>2</w:t>
      </w:r>
      <w:r>
        <w:rPr>
          <w:rFonts w:hint="eastAsia" w:ascii="仿宋_GB2312" w:hAnsi="微软雅黑" w:eastAsia="仿宋_GB2312" w:cs="宋体"/>
          <w:sz w:val="30"/>
          <w:szCs w:val="30"/>
        </w:rPr>
        <w:t>人，调出</w:t>
      </w:r>
      <w:r>
        <w:rPr>
          <w:rFonts w:hint="eastAsia" w:ascii="仿宋_GB2312" w:hAnsi="微软雅黑" w:eastAsia="仿宋_GB2312" w:cs="宋体"/>
          <w:sz w:val="30"/>
          <w:szCs w:val="30"/>
          <w:lang w:val="en-US" w:eastAsia="zh-CN"/>
        </w:rPr>
        <w:t>1</w:t>
      </w:r>
      <w:r>
        <w:rPr>
          <w:rFonts w:hint="eastAsia" w:ascii="仿宋_GB2312" w:hAnsi="微软雅黑" w:eastAsia="仿宋_GB2312" w:cs="宋体"/>
          <w:sz w:val="30"/>
          <w:szCs w:val="30"/>
        </w:rPr>
        <w:t>人，</w:t>
      </w:r>
      <w:r>
        <w:rPr>
          <w:rFonts w:hint="eastAsia" w:ascii="仿宋_GB2312" w:hAnsi="微软雅黑" w:eastAsia="仿宋_GB2312" w:cs="宋体"/>
          <w:sz w:val="30"/>
          <w:szCs w:val="30"/>
          <w:lang w:val="en-US" w:eastAsia="zh-CN"/>
        </w:rPr>
        <w:t>在职人员转退休3人</w:t>
      </w:r>
      <w:r>
        <w:rPr>
          <w:rFonts w:hint="eastAsia" w:ascii="仿宋_GB2312" w:hAnsi="微软雅黑" w:eastAsia="仿宋_GB2312" w:cs="宋体"/>
          <w:sz w:val="30"/>
          <w:szCs w:val="30"/>
          <w:lang w:eastAsia="zh-CN"/>
        </w:rPr>
        <w:t>；</w:t>
      </w:r>
      <w:r>
        <w:rPr>
          <w:rFonts w:hint="eastAsia" w:ascii="仿宋_GB2312" w:hAnsi="微软雅黑" w:eastAsia="仿宋_GB2312" w:cs="宋体"/>
          <w:sz w:val="30"/>
          <w:szCs w:val="30"/>
          <w:lang w:val="en-US" w:eastAsia="zh-CN"/>
        </w:rPr>
        <w:t>2021</w:t>
      </w:r>
      <w:r>
        <w:rPr>
          <w:rFonts w:hint="eastAsia" w:ascii="仿宋_GB2312" w:hAnsi="微软雅黑" w:eastAsia="仿宋_GB2312" w:cs="宋体"/>
          <w:sz w:val="30"/>
          <w:szCs w:val="30"/>
        </w:rPr>
        <w:t>年退休人员</w:t>
      </w:r>
      <w:r>
        <w:rPr>
          <w:rFonts w:hint="eastAsia" w:ascii="仿宋_GB2312" w:hAnsi="微软雅黑" w:eastAsia="仿宋_GB2312" w:cs="宋体"/>
          <w:sz w:val="30"/>
          <w:szCs w:val="30"/>
          <w:lang w:val="en-US" w:eastAsia="zh-CN"/>
        </w:rPr>
        <w:t>131人，离休人员1人，</w:t>
      </w:r>
      <w:r>
        <w:rPr>
          <w:rFonts w:hint="eastAsia" w:ascii="仿宋_GB2312" w:hAnsi="微软雅黑" w:eastAsia="仿宋_GB2312" w:cs="宋体"/>
          <w:sz w:val="30"/>
          <w:szCs w:val="30"/>
        </w:rPr>
        <w:t>相比</w:t>
      </w:r>
      <w:r>
        <w:rPr>
          <w:rFonts w:hint="eastAsia" w:ascii="仿宋_GB2312" w:hAnsi="微软雅黑" w:eastAsia="仿宋_GB2312" w:cs="宋体"/>
          <w:sz w:val="30"/>
          <w:szCs w:val="30"/>
          <w:lang w:val="en-US" w:eastAsia="zh-CN"/>
        </w:rPr>
        <w:t>2021</w:t>
      </w:r>
      <w:r>
        <w:rPr>
          <w:rFonts w:hint="eastAsia" w:ascii="仿宋_GB2312" w:hAnsi="微软雅黑" w:eastAsia="仿宋_GB2312" w:cs="宋体"/>
          <w:sz w:val="30"/>
          <w:szCs w:val="30"/>
        </w:rPr>
        <w:t>年</w:t>
      </w:r>
      <w:r>
        <w:rPr>
          <w:rFonts w:hint="eastAsia" w:ascii="仿宋_GB2312" w:hAnsi="微软雅黑" w:eastAsia="仿宋_GB2312" w:cs="宋体"/>
          <w:sz w:val="30"/>
          <w:szCs w:val="30"/>
          <w:lang w:eastAsia="zh-CN"/>
        </w:rPr>
        <w:t>，</w:t>
      </w:r>
      <w:r>
        <w:rPr>
          <w:rFonts w:hint="eastAsia" w:ascii="仿宋_GB2312" w:hAnsi="微软雅黑" w:eastAsia="仿宋_GB2312" w:cs="宋体"/>
          <w:sz w:val="30"/>
          <w:szCs w:val="30"/>
          <w:lang w:val="en-US" w:eastAsia="zh-CN"/>
        </w:rPr>
        <w:t>2022年退休增加3人，</w:t>
      </w:r>
      <w:r>
        <w:rPr>
          <w:rFonts w:hint="eastAsia" w:ascii="仿宋_GB2312" w:hAnsi="微软雅黑" w:eastAsia="仿宋_GB2312" w:cs="宋体"/>
          <w:sz w:val="30"/>
          <w:szCs w:val="30"/>
        </w:rPr>
        <w:t>死亡</w:t>
      </w:r>
      <w:r>
        <w:rPr>
          <w:rFonts w:hint="eastAsia" w:ascii="仿宋_GB2312" w:hAnsi="微软雅黑" w:eastAsia="仿宋_GB2312" w:cs="宋体"/>
          <w:sz w:val="30"/>
          <w:szCs w:val="30"/>
          <w:lang w:val="en-US" w:eastAsia="zh-CN"/>
        </w:rPr>
        <w:t>1</w:t>
      </w:r>
      <w:r>
        <w:rPr>
          <w:rFonts w:hint="eastAsia" w:ascii="仿宋_GB2312" w:hAnsi="微软雅黑" w:eastAsia="仿宋_GB2312" w:cs="宋体"/>
          <w:sz w:val="30"/>
          <w:szCs w:val="30"/>
        </w:rPr>
        <w:t>人</w:t>
      </w:r>
      <w:r>
        <w:rPr>
          <w:rFonts w:hint="eastAsia" w:ascii="仿宋_GB2312" w:hAnsi="微软雅黑" w:eastAsia="仿宋_GB2312" w:cs="宋体"/>
          <w:sz w:val="30"/>
          <w:szCs w:val="30"/>
          <w:lang w:val="en-US" w:eastAsia="zh-CN"/>
        </w:rPr>
        <w:t>。</w:t>
      </w: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default" w:asciiTheme="majorEastAsia" w:hAnsiTheme="majorEastAsia" w:eastAsiaTheme="majorEastAsia" w:cstheme="majorEastAsia"/>
          <w:b/>
          <w:bCs/>
          <w:kern w:val="2"/>
          <w:sz w:val="32"/>
          <w:szCs w:val="32"/>
          <w:lang w:val="en-US" w:eastAsia="zh-CN" w:bidi="ar"/>
        </w:rPr>
      </w:pPr>
      <w:r>
        <w:rPr>
          <w:rFonts w:hint="eastAsia" w:asciiTheme="majorEastAsia" w:hAnsiTheme="majorEastAsia" w:eastAsiaTheme="majorEastAsia" w:cstheme="majorEastAsia"/>
          <w:b/>
          <w:bCs/>
          <w:kern w:val="2"/>
          <w:sz w:val="32"/>
          <w:szCs w:val="32"/>
          <w:lang w:val="en-US" w:eastAsia="zh-CN" w:bidi="ar"/>
        </w:rPr>
        <w:t>二、</w:t>
      </w:r>
      <w:r>
        <w:rPr>
          <w:rFonts w:hint="default" w:asciiTheme="majorEastAsia" w:hAnsiTheme="majorEastAsia" w:eastAsiaTheme="majorEastAsia" w:cstheme="majorEastAsia"/>
          <w:b/>
          <w:bCs/>
          <w:kern w:val="2"/>
          <w:sz w:val="32"/>
          <w:szCs w:val="32"/>
          <w:lang w:val="en-US" w:eastAsia="zh-CN" w:bidi="ar"/>
        </w:rPr>
        <w:t>一般公共预算支出情况</w:t>
      </w:r>
    </w:p>
    <w:p>
      <w:pPr>
        <w:snapToGrid w:val="0"/>
        <w:spacing w:line="520" w:lineRule="exact"/>
        <w:ind w:firstLine="643" w:firstLineChars="200"/>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lang w:eastAsia="zh-CN"/>
        </w:rPr>
        <w:t>基本支出情况</w:t>
      </w:r>
    </w:p>
    <w:p>
      <w:pPr>
        <w:snapToGrid w:val="0"/>
        <w:spacing w:line="520" w:lineRule="exact"/>
        <w:ind w:firstLine="640" w:firstLineChars="200"/>
        <w:rPr>
          <w:rFonts w:hint="default" w:ascii="仿宋_GB2312" w:hAnsi="微软雅黑" w:eastAsia="仿宋_GB2312" w:cs="宋体"/>
          <w:sz w:val="30"/>
          <w:szCs w:val="30"/>
          <w:lang w:val="en-US" w:eastAsia="zh-CN"/>
        </w:rPr>
      </w:pPr>
      <w:r>
        <w:rPr>
          <w:rFonts w:hint="eastAsia" w:ascii="Times New Roman" w:hAnsi="Times New Roman" w:eastAsia="楷体_GB2312" w:cs="Times New Roman"/>
          <w:sz w:val="32"/>
          <w:szCs w:val="32"/>
          <w:lang w:val="en-US" w:eastAsia="zh-CN"/>
        </w:rPr>
        <w:t>2022年基本支</w:t>
      </w:r>
      <w:r>
        <w:rPr>
          <w:rFonts w:hint="eastAsia" w:ascii="仿宋_GB2312" w:hAnsi="微软雅黑" w:eastAsia="仿宋_GB2312" w:cs="宋体"/>
          <w:sz w:val="30"/>
          <w:szCs w:val="30"/>
          <w:lang w:val="en-US" w:eastAsia="zh-CN"/>
        </w:rPr>
        <w:t>出1608.92万元，其中年初预算1374.18万元，</w:t>
      </w:r>
      <w:r>
        <w:rPr>
          <w:rFonts w:hint="eastAsia" w:ascii="仿宋_GB2312" w:hAnsi="微软雅黑" w:eastAsia="仿宋_GB2312" w:cs="宋体"/>
          <w:sz w:val="30"/>
          <w:szCs w:val="30"/>
        </w:rPr>
        <w:t>财政调整追加</w:t>
      </w:r>
      <w:r>
        <w:rPr>
          <w:rFonts w:hint="eastAsia" w:ascii="仿宋_GB2312" w:hAnsi="微软雅黑" w:eastAsia="仿宋_GB2312" w:cs="宋体"/>
          <w:sz w:val="30"/>
          <w:szCs w:val="30"/>
          <w:lang w:val="en-US" w:eastAsia="zh-CN"/>
        </w:rPr>
        <w:t>234.74万元。</w:t>
      </w:r>
    </w:p>
    <w:p>
      <w:pPr>
        <w:snapToGrid w:val="0"/>
        <w:spacing w:line="520" w:lineRule="exact"/>
        <w:ind w:firstLine="602" w:firstLineChars="200"/>
        <w:rPr>
          <w:rFonts w:hint="default" w:ascii="仿宋_GB2312" w:hAnsi="微软雅黑" w:eastAsia="仿宋_GB2312" w:cs="宋体"/>
          <w:b/>
          <w:bCs/>
          <w:sz w:val="30"/>
          <w:szCs w:val="30"/>
          <w:lang w:eastAsia="zh-CN"/>
        </w:rPr>
      </w:pPr>
      <w:r>
        <w:rPr>
          <w:rFonts w:hint="eastAsia" w:ascii="仿宋_GB2312" w:hAnsi="微软雅黑" w:eastAsia="仿宋_GB2312" w:cs="宋体"/>
          <w:b/>
          <w:bCs/>
          <w:sz w:val="30"/>
          <w:szCs w:val="30"/>
          <w:lang w:eastAsia="zh-CN"/>
        </w:rPr>
        <w:t>（二）</w:t>
      </w:r>
      <w:r>
        <w:rPr>
          <w:rFonts w:hint="default" w:ascii="仿宋_GB2312" w:hAnsi="微软雅黑" w:eastAsia="仿宋_GB2312" w:cs="宋体"/>
          <w:b/>
          <w:bCs/>
          <w:sz w:val="30"/>
          <w:szCs w:val="30"/>
          <w:lang w:eastAsia="zh-CN"/>
        </w:rPr>
        <w:t>项目支出情况</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2022年度项目支出9550.75万元。1.年初预算61.21万元。主要包括：农业综合行政执法30万元，农产品质量安全监管26万元，种子公司改制人员保险</w:t>
      </w:r>
      <w:r>
        <w:rPr>
          <w:rFonts w:hint="eastAsia" w:ascii="仿宋_GB2312" w:hAnsi="微软雅黑" w:eastAsia="仿宋_GB2312" w:cs="宋体"/>
          <w:color w:val="auto"/>
          <w:sz w:val="30"/>
          <w:szCs w:val="30"/>
          <w:lang w:val="en-US" w:eastAsia="zh-CN"/>
        </w:rPr>
        <w:t>5.21万元。</w:t>
      </w:r>
      <w:r>
        <w:rPr>
          <w:rFonts w:hint="eastAsia" w:ascii="仿宋_GB2312" w:hAnsi="微软雅黑" w:eastAsia="仿宋_GB2312" w:cs="宋体"/>
          <w:sz w:val="30"/>
          <w:szCs w:val="30"/>
          <w:lang w:val="en-US" w:eastAsia="zh-CN"/>
        </w:rPr>
        <w:t>2.</w:t>
      </w:r>
      <w:r>
        <w:rPr>
          <w:rFonts w:hint="eastAsia" w:ascii="仿宋_GB2312" w:hAnsi="微软雅黑" w:eastAsia="仿宋_GB2312" w:cs="宋体"/>
          <w:sz w:val="30"/>
          <w:szCs w:val="30"/>
        </w:rPr>
        <w:t>财政调整追加</w:t>
      </w:r>
      <w:r>
        <w:rPr>
          <w:rFonts w:hint="eastAsia" w:ascii="仿宋_GB2312" w:hAnsi="微软雅黑" w:eastAsia="仿宋_GB2312" w:cs="宋体"/>
          <w:sz w:val="30"/>
          <w:szCs w:val="30"/>
          <w:lang w:eastAsia="zh-CN"/>
        </w:rPr>
        <w:t>专项</w:t>
      </w:r>
      <w:r>
        <w:rPr>
          <w:rFonts w:hint="eastAsia" w:ascii="仿宋_GB2312" w:hAnsi="微软雅黑" w:eastAsia="仿宋_GB2312" w:cs="宋体"/>
          <w:sz w:val="30"/>
          <w:szCs w:val="30"/>
          <w:lang w:val="en-US" w:eastAsia="zh-CN"/>
        </w:rPr>
        <w:t>9489.54万元。主要包括：具体专项分布情况其他财政事务支出2.19万元，其他一般公共服务支出20.8万元，其他城乡社区支出21万元，科技转化与推广服务212.5万元，病虫害控制46.68万元，农产品质量安全54.38万元，执法监管20万元，防灾救灾209万元，稳定农民收入补贴60万元，农业结构调整补贴333.33万元，农业生产发展1334.08万元，农村合作经济135万元，农村社会事业659.5万元，农业资源保护修复与利用19.25万元，农田建设2681.7万元，其他农业农村支出1410.97万元，农村水利360.15万元，其他巩固脱贫衔接乡村振兴支出27.9万元，农业保险保费补贴890.79万元，其他农林水支出1.5万元，其他粮油物资事务支出19.22万元，其他国有土地使用权出让收入安排的支付5万元，其他支出1025.81万元。</w:t>
      </w: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eastAsia" w:asciiTheme="majorEastAsia" w:hAnsiTheme="majorEastAsia" w:eastAsiaTheme="majorEastAsia" w:cstheme="majorEastAsia"/>
          <w:b/>
          <w:bCs/>
          <w:kern w:val="2"/>
          <w:sz w:val="32"/>
          <w:szCs w:val="32"/>
          <w:lang w:val="en-US" w:eastAsia="zh-CN" w:bidi="ar"/>
        </w:rPr>
      </w:pPr>
      <w:r>
        <w:rPr>
          <w:rFonts w:hint="eastAsia" w:asciiTheme="majorEastAsia" w:hAnsiTheme="majorEastAsia" w:eastAsiaTheme="majorEastAsia" w:cstheme="majorEastAsia"/>
          <w:b/>
          <w:bCs/>
          <w:kern w:val="2"/>
          <w:sz w:val="32"/>
          <w:szCs w:val="32"/>
          <w:lang w:val="en-US" w:eastAsia="zh-CN" w:bidi="ar"/>
        </w:rPr>
        <w:t>三、部门整体支出绩效情况</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2022年，我局深入贯彻习近平总书记关于“三农”工作重要论述，以深化农业供给侧结构性改革为主线，以实施乡村振兴战略为总抓手，坚持农业农村优先发展总方针，克服疫情和罕见旱情的双重挑战，年初各项指标任务圆满完成，农业高质高效、乡村宜居宜业、农民富裕富足稳步实现。为应变局、开新局、稳大局发挥了重要作用。</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1.以稳产保供为底线，强化三农压舱石新担当。</w:t>
      </w:r>
    </w:p>
    <w:p>
      <w:pPr>
        <w:snapToGrid w:val="0"/>
        <w:spacing w:line="520" w:lineRule="exact"/>
        <w:ind w:firstLine="600" w:firstLineChars="200"/>
        <w:rPr>
          <w:rFonts w:hint="eastAsia" w:ascii="仿宋" w:hAnsi="仿宋" w:eastAsia="仿宋" w:cs="仿宋"/>
          <w:sz w:val="28"/>
          <w:szCs w:val="28"/>
          <w:lang w:val="en-US" w:eastAsia="zh-CN"/>
        </w:rPr>
      </w:pPr>
      <w:r>
        <w:rPr>
          <w:rFonts w:hint="eastAsia" w:ascii="仿宋_GB2312" w:hAnsi="微软雅黑" w:eastAsia="仿宋_GB2312" w:cs="宋体"/>
          <w:sz w:val="30"/>
          <w:szCs w:val="30"/>
          <w:lang w:val="en-US" w:eastAsia="zh-CN"/>
        </w:rPr>
        <w:t>饭碗端的更稳。全年粮食播种面积43.41万亩，产量20.05万吨。蔬菜播栽面积近20万亩，近总产值达7亿元，经济作物总面积超过30万亩，总产值突破11亿元。生猪存栏32.58万头、出栏55.16万头。水产品、水果、蛋奶制品等种类丰富、价格稳定且供应充足。基础筑的更牢。创新在全市率先开展“院地合作”，成立柏连阳院士创新团队工作室，实现科技支撑与产业需求之间的 “同频共振”。全面完成2.12万亩耕地抛荒治理任务。把提高农业综合生产能力放在更加突出的位置，不断夯实粮食生产物质基础，建成高标准农田20余万亩，年节约水量近100万立方米，粮食亩产增加近10%。大力推行全程机械化，全区机械化率达80%以上。质量保的更优。实现区、镇、村三级农产品质量安全监管到地头、全覆盖。2022年共抽检农产品11492批次，合格率100%。93个农产品纳入两证+追溯，面积超过5万亩。赋码销售农产品30余个，开具承诺达标合格证上市</w:t>
      </w:r>
      <w:r>
        <w:rPr>
          <w:rFonts w:hint="eastAsia" w:ascii="仿宋" w:hAnsi="仿宋" w:eastAsia="仿宋" w:cs="仿宋"/>
          <w:sz w:val="28"/>
          <w:szCs w:val="28"/>
        </w:rPr>
        <w:t>9951张，服务产品 13240吨。</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2.以产业提质增效为核心，迈上农业现代化新台阶</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农业品牌建设初见成效。不断擦亮株洲王十万黄辣椒、红美人柑橘等特色品牌，实现农业发展由“卖产品”到“卖品牌”的转变。“株洲王十万黄辣椒”获评株洲市十大公用品牌，入库株洲市文旅素材，推荐为湖南省名优食材，获中国中部（湖南）农业博览会最受欢迎农产品奖。现有3个全国“一村一品”示范村、4个省级“一村一品”重点村。新增“两品一标”农产品3个，总数达到31个，建成农业标准化生产示范基地6万余亩。新型经营主体持续壮大。围绕农产品生产、深加工、农村电商全产业链条，加快裂变出了一批市场主体，2022年新增培育农业市场主体144家。全区现有省星级休闲农庄10家，省级农头企业5家，市级农头企业37家，区级农头企业14家。国家级示范社3家、省级示范社9家、市级示范社37家，省级示范家庭农场11家，市级示范家庭农场33家，合作社总数达1064家，家庭农场总数达1839家。2022年农业全产业链产值近95亿元，同比增长7%。产业集聚效应不断凸显。辐射带动能力强的龙船镇黄辣椒、松西子柑橘现代农业产业集群初见雏形，通过联农带农实现强农富农，推动特色优势产业全链条融合、全方位延伸、全环节增值。朱亭、三旺现代农业产业园等综合产业园初具规模，建成农业特色产业园21家。功申报创建农村一二三产业融合示范县和农业产业强镇，与乐禾集团签订1.5亿元的投资合作协议，完成农业固定资产投资2亿元。成功申报农业产业发展及三产融合项目5个、1个省级和1个市级现代农业特色产业园、1个市级特色小镇。建设仓储冷藏保鲜设施2000多个立方米，全面补齐农产品仓储保鲜冷链 “卡脖子”短板，获评全省农产品产地冷藏保鲜设施建设优秀县区。</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3.以深化农村改革为引擎，激活农村发展新动能</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 xml:space="preserve"> “三块地”改革趟新路。 2022年区级农村产权交易平台入场交易23宗，交易金额达到2396万元，预计全年交易额可突破2500万元。农村集体产权制度改革和土地确权成果凸显，全区土地流转率达到20%以上。村集体经济发展出新招。全面完成72个销薄任务，全覆盖制定“一村一策”，搭建“党建＋金融”服务平台，对130个村授信4.5亿元，为盘活村集体资产资源提供资金保障。以发展特色产业、盘活闲置土地资源等为抓手，拓宽农村集体经济发展路径，预计2022年全年村集体经营性收入可突破1200万元大关，同比增长50%以上，创历史新高。农业绿色可持续发展展新颜。打造了梅子湖片区农业面源污染综合治理示范区样板，完成受污染耕地安全利用17万余亩，秸秆还田率90%以上，主要农作物病虫绿色防控覆盖率达45%以上，化肥利用率达40%以上，农药减量保持在3%左右。</w:t>
      </w: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eastAsia" w:asciiTheme="majorEastAsia" w:hAnsiTheme="majorEastAsia" w:eastAsiaTheme="majorEastAsia" w:cstheme="majorEastAsia"/>
          <w:b/>
          <w:bCs/>
          <w:kern w:val="2"/>
          <w:sz w:val="32"/>
          <w:szCs w:val="32"/>
          <w:lang w:val="en-US" w:eastAsia="zh-CN" w:bidi="ar"/>
        </w:rPr>
      </w:pPr>
      <w:r>
        <w:rPr>
          <w:rFonts w:hint="eastAsia" w:asciiTheme="majorEastAsia" w:hAnsiTheme="majorEastAsia" w:eastAsiaTheme="majorEastAsia" w:cstheme="majorEastAsia"/>
          <w:b/>
          <w:bCs/>
          <w:kern w:val="2"/>
          <w:sz w:val="32"/>
          <w:szCs w:val="32"/>
          <w:lang w:val="en-US" w:eastAsia="zh-CN" w:bidi="ar"/>
        </w:rPr>
        <w:t>四、存在的问题及原因分析</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虽然我区“三农”工作取得了一定的成绩，但由于基础不强、规模偏小，投入不足，受长株潭重金属污染影响，加上未纳入湘赣边乡村振兴示范片项目区内等客观原因，还存在农业现代化水平不高、发展粮食生产压力大、品牌影响力不大、城乡资源要素流动不顺畅、农业经济总量不大等困难和不足。</w:t>
      </w: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eastAsia" w:asciiTheme="majorEastAsia" w:hAnsiTheme="majorEastAsia" w:eastAsiaTheme="majorEastAsia" w:cstheme="majorEastAsia"/>
          <w:b/>
          <w:bCs/>
          <w:kern w:val="2"/>
          <w:sz w:val="32"/>
          <w:szCs w:val="32"/>
          <w:lang w:val="en-US" w:eastAsia="zh-CN" w:bidi="ar"/>
        </w:rPr>
      </w:pPr>
      <w:r>
        <w:rPr>
          <w:rFonts w:hint="eastAsia" w:asciiTheme="majorEastAsia" w:hAnsiTheme="majorEastAsia" w:eastAsiaTheme="majorEastAsia" w:cstheme="majorEastAsia"/>
          <w:b/>
          <w:bCs/>
          <w:kern w:val="2"/>
          <w:sz w:val="32"/>
          <w:szCs w:val="32"/>
          <w:lang w:val="en-US" w:eastAsia="zh-CN" w:bidi="ar"/>
        </w:rPr>
        <w:t xml:space="preserve"> 五、下阶段工作措施</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2023年是贯彻党的二十大精神开局之年，也是“十四五”承上启下之年，更是我区农业农村现代化高质量发展的关键之年。要持续将“稳”作为“三农”工作的关键词，稳定当头、三农是底盘，稳中求进、三农是底气，共同富裕、三农是底色。要坚持“多往前半步”主动对接，加强全盘分析研判，有针对性地精准精细锻长板、补短板，以先行一步推动领先一步，激发奋斗的精气神，跑出发展的加速度，为如期实现全年目标打下坚实基础，为全区经济发展增添活力和后劲。</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 xml:space="preserve">（一）“守底线”，筑牢乡村振兴底盘。把抓好粮食生产和重要农产品有效供给摆在首要位置。“粮、菜、猪”齐发力。从责任、耕地、种业、科技、利益、供给等全领域、全过程、全环节、全要素、全链条夯实粮食安全根基，千方百计完成上级指标任务，持续擦亮产量大县和生猪调出大县金字招牌。进一步优化产业结构，合理扩种大豆和油料等经济作物，确保蔬菜、水果、水产品等供给安全。“面子、里子”双提升。牢牢守住耕地红线，巩固提升农业综合生产能力，如质如量完成高标准农田建设任务，逐步把永久基本农田全部建成高标准农田；持续深入开展“院地、校地、企地合作，强化农业科技和装备支撑，提高粮食生产良种化、机械化、科技化、信息化水平。健全种粮农民收益保障机制和种粮补贴动态调整机制，让真正种粮农民有钱赚、得实惠。“人才、科技”全赋能。组织新型经营主体种养殖培训20期1000人次。遴选80个辐射带动强的农业示范主体，组织6名特聘农技员和40名农技人员开展对口精准指导服务。选派科技特派员下沉到一线，从生产需求、技术咨询、政策落实、创业指导、信息共享等方面,为农业产业发展提供指导和服务。遴选发布稻油轮作三化栽培技术、绿色生态稻田综合种养技术、再生稻高产高效栽培技术、农作物病虫绿色防控技术等主推技术，实现增产增收10%以上。  </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二）“兴产业”，增强乡村振兴动能。乡村振兴，关键是产业要振兴。分步分类，规划引领打头阵。充分挖掘特色优势和资源禀赋，聚焦打造松西子现代休闲农业示范区、菜篮子保障集成区、新兴业态集聚区，下足绣花功夫，做好区域定位、功能定位、形态定位等科学顶层规划设计。实打实干，品牌建设举旗帜。在稳产保供的基础上，一以贯之发展精细农业，深入实施“六大强农”行动。树牢品牌意识，探索以特优单品突破带动整体产业发展的新路子，培育一批市场影响力大、产业稳定性强的渌字号名优特农业品牌，形成“美美与共”的品牌效应。做优做强，全产业链吹号角。以工业化、品牌化思维抓农业产业发展，聚焦新业态拓展增值增效空间，推进一二三产深度融合发展。打造一批辐射带动能力强的现代农业产业集群，通过联农带农实现强农富农，推动株洲王十万黄辣椒、红美人柑橘等特色优势产业全链条融合、全方位延伸、全环节增值。</w:t>
      </w:r>
    </w:p>
    <w:p>
      <w:pPr>
        <w:snapToGrid w:val="0"/>
        <w:spacing w:line="520" w:lineRule="exact"/>
        <w:ind w:firstLine="600" w:firstLineChars="200"/>
        <w:rPr>
          <w:rFonts w:hint="eastAsia" w:ascii="仿宋_GB2312" w:hAnsi="微软雅黑" w:eastAsia="仿宋_GB2312" w:cs="宋体"/>
          <w:sz w:val="30"/>
          <w:szCs w:val="30"/>
          <w:lang w:val="en-US" w:eastAsia="zh-CN"/>
        </w:rPr>
      </w:pPr>
      <w:r>
        <w:rPr>
          <w:rFonts w:hint="eastAsia" w:ascii="仿宋_GB2312" w:hAnsi="微软雅黑" w:eastAsia="仿宋_GB2312" w:cs="宋体"/>
          <w:sz w:val="30"/>
          <w:szCs w:val="30"/>
          <w:lang w:val="en-US" w:eastAsia="zh-CN"/>
        </w:rPr>
        <w:t>（三）“促改革”，激发乡村振兴活力。按照扩面、提速、集成要求，保持改革、求变、创新的快节奏，为乡村振兴增添更大活力。一步连一步的改革。巩固完善农村基本经营制度和农业支持保护制度，守正创新、蹄疾步稳深化“三块地”的改革，激活土地资源要素，引导更多社会资本投入农村、金融更好服务农村；巩固土地确权和农村集体产权制度改革成果，更好发挥产权交易平台作用，以发展特色产业、盘活闲置土地资源等为抓手，拓宽村集体经济发展路径。一年复一年的求变。坚持“硬件”“软件”一起抓，大力实施乡村建设行动，统筹加强农村精神文明建设和改进乡村治理，促进乡村发展和谐、乡风和畅、生态和美、社会和乐，打造宜居宜业和美乡村渌湘样板，为发展三农“硬实力”提供“软环境”。一场接一场的创新。持续深化市场主体培育行动，加快培育合作社、家庭农场等新型农业经营主体，为农业农村现代化提供有力的人才支撑；聚焦农民增收这个关键，创新探索多种途径构建农民持续较快增收的长效机制。健全专业化社会化服务体系，发展多形式适度规模经营，实现小农户和现代农业有机衔接；加速农业农村现代化发展的质量变革、效率变革、动力变革，探索一条以数字化赋能、撬动乡村振兴的农业农村数字化改革新路子，让数字农业、智慧农业成为渌口区现代农业发展的新引擎和增长极。</w:t>
      </w:r>
    </w:p>
    <w:p>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default" w:asciiTheme="majorEastAsia" w:hAnsiTheme="majorEastAsia" w:eastAsiaTheme="majorEastAsia" w:cstheme="majorEastAsia"/>
          <w:b/>
          <w:bCs/>
          <w:kern w:val="2"/>
          <w:sz w:val="32"/>
          <w:szCs w:val="32"/>
          <w:lang w:val="en-US" w:eastAsia="zh-CN" w:bidi="ar"/>
        </w:rPr>
      </w:pPr>
      <w:r>
        <w:rPr>
          <w:rFonts w:hint="default" w:asciiTheme="majorEastAsia" w:hAnsiTheme="majorEastAsia" w:eastAsiaTheme="majorEastAsia" w:cstheme="majorEastAsia"/>
          <w:b/>
          <w:bCs/>
          <w:kern w:val="2"/>
          <w:sz w:val="32"/>
          <w:szCs w:val="32"/>
          <w:lang w:val="en-US" w:eastAsia="zh-CN" w:bidi="ar"/>
        </w:rPr>
        <w:t>六、绩效自评结果拟应用和公开情况</w:t>
      </w:r>
    </w:p>
    <w:p>
      <w:pPr>
        <w:pStyle w:val="2"/>
        <w:rPr>
          <w:rFonts w:hint="default" w:ascii="Times New Roman" w:hAnsi="Times New Roman" w:eastAsia="黑体" w:cs="Times New Roman"/>
          <w:kern w:val="2"/>
          <w:sz w:val="32"/>
          <w:szCs w:val="32"/>
          <w:lang w:val="en-US" w:eastAsia="zh-CN" w:bidi="ar"/>
        </w:rPr>
      </w:pPr>
      <w:r>
        <w:rPr>
          <w:rFonts w:hint="eastAsia"/>
          <w:lang w:val="en-US" w:eastAsia="zh-CN"/>
        </w:rPr>
        <w:t xml:space="preserve">           </w:t>
      </w:r>
      <w:r>
        <w:rPr>
          <w:rStyle w:val="13"/>
          <w:rFonts w:hint="default" w:ascii="Times New Roman" w:hAnsi="Times New Roman" w:eastAsia="方正仿宋_GBK" w:cs="Times New Roman"/>
          <w:kern w:val="2"/>
          <w:sz w:val="32"/>
          <w:szCs w:val="32"/>
          <w:lang w:val="en-US" w:eastAsia="zh-CN" w:bidi="ar-SA"/>
        </w:rPr>
        <w:t>拟</w:t>
      </w:r>
      <w:r>
        <w:rPr>
          <w:rStyle w:val="13"/>
          <w:rFonts w:hint="eastAsia" w:ascii="Times New Roman" w:hAnsi="Times New Roman" w:eastAsia="方正仿宋_GBK" w:cs="Times New Roman"/>
          <w:kern w:val="2"/>
          <w:sz w:val="32"/>
          <w:szCs w:val="32"/>
          <w:lang w:val="en-US" w:eastAsia="zh-CN" w:bidi="ar-SA"/>
        </w:rPr>
        <w:t>与2022年部门决算同时公开</w:t>
      </w:r>
      <w:bookmarkStart w:id="0" w:name="_GoBack"/>
      <w:bookmarkEnd w:id="0"/>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default" w:ascii="Times New Roman" w:hAnsi="Times New Roman" w:eastAsia="黑体" w:cs="Times New Roman"/>
          <w:kern w:val="2"/>
          <w:sz w:val="32"/>
          <w:szCs w:val="32"/>
          <w:lang w:val="en-US" w:eastAsia="zh-CN" w:bidi="ar"/>
        </w:rPr>
      </w:pPr>
    </w:p>
    <w:p>
      <w:pPr>
        <w:pStyle w:val="2"/>
        <w:rPr>
          <w:rFonts w:hint="eastAsia" w:ascii="Times New Roman" w:hAnsi="Times New Roman" w:eastAsia="黑体" w:cs="Times New Roman"/>
          <w:kern w:val="2"/>
          <w:sz w:val="32"/>
          <w:szCs w:val="32"/>
          <w:lang w:val="en-US" w:eastAsia="zh-CN" w:bidi="ar"/>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OTIzOTQxODdjMmIzYTA3YzZhMjM0YTQzOTc4MTYifQ=="/>
  </w:docVars>
  <w:rsids>
    <w:rsidRoot w:val="00000000"/>
    <w:rsid w:val="05436869"/>
    <w:rsid w:val="0D564DFD"/>
    <w:rsid w:val="0DB57CB4"/>
    <w:rsid w:val="0E8845BE"/>
    <w:rsid w:val="14274190"/>
    <w:rsid w:val="17B510FE"/>
    <w:rsid w:val="1C9A5481"/>
    <w:rsid w:val="20221513"/>
    <w:rsid w:val="21196670"/>
    <w:rsid w:val="21C276E9"/>
    <w:rsid w:val="24F5278A"/>
    <w:rsid w:val="26025181"/>
    <w:rsid w:val="2A3C4717"/>
    <w:rsid w:val="2B95569E"/>
    <w:rsid w:val="2D0D51DE"/>
    <w:rsid w:val="2EFFB905"/>
    <w:rsid w:val="32C03301"/>
    <w:rsid w:val="33883435"/>
    <w:rsid w:val="35093660"/>
    <w:rsid w:val="37A570FA"/>
    <w:rsid w:val="3B8C756F"/>
    <w:rsid w:val="3E6A6D4F"/>
    <w:rsid w:val="3FE693AD"/>
    <w:rsid w:val="402C30CE"/>
    <w:rsid w:val="455137CA"/>
    <w:rsid w:val="4A9A5B32"/>
    <w:rsid w:val="4AF01932"/>
    <w:rsid w:val="4C5E4ACB"/>
    <w:rsid w:val="4DD57ADF"/>
    <w:rsid w:val="4DE438B0"/>
    <w:rsid w:val="4F3BD62E"/>
    <w:rsid w:val="524C14DA"/>
    <w:rsid w:val="536974C6"/>
    <w:rsid w:val="536E1C4C"/>
    <w:rsid w:val="53A00616"/>
    <w:rsid w:val="53CB15B5"/>
    <w:rsid w:val="577C6C0C"/>
    <w:rsid w:val="590F614C"/>
    <w:rsid w:val="5F076D88"/>
    <w:rsid w:val="6186789B"/>
    <w:rsid w:val="63447223"/>
    <w:rsid w:val="63A60C38"/>
    <w:rsid w:val="63B32BC4"/>
    <w:rsid w:val="63C90DAA"/>
    <w:rsid w:val="64CB5136"/>
    <w:rsid w:val="65BB17BF"/>
    <w:rsid w:val="6B0851D1"/>
    <w:rsid w:val="6B4D1FC7"/>
    <w:rsid w:val="6D6B4986"/>
    <w:rsid w:val="6EF01AA6"/>
    <w:rsid w:val="6F323C8B"/>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paragraph" w:styleId="4">
    <w:name w:val="heading 2"/>
    <w:basedOn w:val="1"/>
    <w:next w:val="1"/>
    <w:qFormat/>
    <w:uiPriority w:val="99"/>
    <w:pPr>
      <w:outlineLvl w:val="1"/>
    </w:pPr>
    <w:rPr>
      <w:rFonts w:eastAsia="黑体"/>
      <w:bCs/>
      <w:szCs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index 8"/>
    <w:basedOn w:val="1"/>
    <w:next w:val="1"/>
    <w:semiHidden/>
    <w:qFormat/>
    <w:uiPriority w:val="0"/>
    <w:pPr>
      <w:spacing w:line="520" w:lineRule="exact"/>
      <w:ind w:firstLine="643"/>
      <w:jc w:val="left"/>
    </w:pPr>
    <w:rPr>
      <w:rFonts w:ascii="宋体" w:hAnsi="宋体"/>
      <w:b/>
      <w:bCs/>
      <w:szCs w:val="32"/>
      <w:shd w:val="clear" w:color="auto" w:fill="FFFFFF"/>
    </w:rPr>
  </w:style>
  <w:style w:type="paragraph" w:styleId="6">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9">
    <w:name w:val="标题 1 Char"/>
    <w:basedOn w:val="8"/>
    <w:link w:val="3"/>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6"/>
    <w:qFormat/>
    <w:uiPriority w:val="0"/>
    <w:rPr>
      <w:rFonts w:hint="eastAsia" w:ascii="宋体" w:hAnsi="宋体" w:eastAsia="宋体" w:cs="宋体"/>
      <w:kern w:val="2"/>
      <w:sz w:val="33"/>
      <w:szCs w:val="33"/>
    </w:rPr>
  </w:style>
  <w:style w:type="paragraph" w:customStyle="1" w:styleId="1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3">
    <w:name w:val="NormalCharacter"/>
    <w:qFormat/>
    <w:uiPriority w:val="0"/>
    <w:rPr>
      <w:rFonts w:ascii="Calibri" w:hAnsi="Calibri" w:eastAsia="宋体"/>
    </w:rPr>
  </w:style>
  <w:style w:type="character" w:customStyle="1" w:styleId="14">
    <w:name w:val="font112"/>
    <w:basedOn w:val="8"/>
    <w:uiPriority w:val="0"/>
    <w:rPr>
      <w:rFonts w:hint="default" w:ascii="Times New Roman" w:hAnsi="Times New Roman" w:cs="Times New Roman"/>
      <w:color w:val="000000"/>
      <w:sz w:val="28"/>
      <w:szCs w:val="28"/>
      <w:u w:val="none"/>
    </w:rPr>
  </w:style>
  <w:style w:type="character" w:customStyle="1" w:styleId="15">
    <w:name w:val="font121"/>
    <w:basedOn w:val="8"/>
    <w:uiPriority w:val="0"/>
    <w:rPr>
      <w:rFonts w:ascii="方正小标宋简体" w:hAnsi="方正小标宋简体" w:eastAsia="方正小标宋简体" w:cs="方正小标宋简体"/>
      <w:color w:val="000000"/>
      <w:sz w:val="28"/>
      <w:szCs w:val="28"/>
      <w:u w:val="none"/>
    </w:rPr>
  </w:style>
  <w:style w:type="character" w:customStyle="1" w:styleId="16">
    <w:name w:val="font31"/>
    <w:basedOn w:val="8"/>
    <w:qFormat/>
    <w:uiPriority w:val="0"/>
    <w:rPr>
      <w:rFonts w:hint="default" w:ascii="仿宋_GB2312" w:eastAsia="仿宋_GB2312" w:cs="仿宋_GB2312"/>
      <w:color w:val="000000"/>
      <w:sz w:val="21"/>
      <w:szCs w:val="21"/>
      <w:u w:val="none"/>
    </w:rPr>
  </w:style>
  <w:style w:type="character" w:customStyle="1" w:styleId="17">
    <w:name w:val="font21"/>
    <w:basedOn w:val="8"/>
    <w:qFormat/>
    <w:uiPriority w:val="0"/>
    <w:rPr>
      <w:rFonts w:hint="default" w:ascii="Times New Roman" w:hAnsi="Times New Roman" w:cs="Times New Roman"/>
      <w:color w:val="000000"/>
      <w:sz w:val="21"/>
      <w:szCs w:val="21"/>
      <w:u w:val="none"/>
    </w:rPr>
  </w:style>
  <w:style w:type="character" w:customStyle="1" w:styleId="18">
    <w:name w:val="font131"/>
    <w:basedOn w:val="8"/>
    <w:qFormat/>
    <w:uiPriority w:val="0"/>
    <w:rPr>
      <w:rFonts w:hint="default" w:ascii="Times New Roman" w:hAnsi="Times New Roman" w:cs="Times New Roman"/>
      <w:color w:val="000000"/>
      <w:sz w:val="18"/>
      <w:szCs w:val="18"/>
      <w:u w:val="none"/>
    </w:rPr>
  </w:style>
  <w:style w:type="character" w:customStyle="1" w:styleId="19">
    <w:name w:val="font141"/>
    <w:basedOn w:val="8"/>
    <w:qFormat/>
    <w:uiPriority w:val="0"/>
    <w:rPr>
      <w:rFonts w:hint="eastAsia" w:ascii="宋体" w:hAnsi="宋体" w:eastAsia="宋体" w:cs="宋体"/>
      <w:color w:val="000000"/>
      <w:sz w:val="21"/>
      <w:szCs w:val="21"/>
      <w:u w:val="none"/>
    </w:rPr>
  </w:style>
  <w:style w:type="character" w:customStyle="1" w:styleId="20">
    <w:name w:val="font81"/>
    <w:basedOn w:val="8"/>
    <w:qFormat/>
    <w:uiPriority w:val="0"/>
    <w:rPr>
      <w:rFonts w:hint="default" w:ascii="Times New Roman" w:hAnsi="Times New Roman" w:cs="Times New Roman"/>
      <w:color w:val="000000"/>
      <w:sz w:val="21"/>
      <w:szCs w:val="21"/>
      <w:u w:val="none"/>
    </w:rPr>
  </w:style>
  <w:style w:type="character" w:customStyle="1" w:styleId="21">
    <w:name w:val="font41"/>
    <w:basedOn w:val="8"/>
    <w:qFormat/>
    <w:uiPriority w:val="0"/>
    <w:rPr>
      <w:rFonts w:hint="eastAsia" w:ascii="宋体" w:hAnsi="宋体" w:eastAsia="宋体" w:cs="宋体"/>
      <w:color w:val="000000"/>
      <w:sz w:val="18"/>
      <w:szCs w:val="18"/>
      <w:u w:val="none"/>
    </w:rPr>
  </w:style>
  <w:style w:type="character" w:customStyle="1" w:styleId="22">
    <w:name w:val="font101"/>
    <w:basedOn w:val="8"/>
    <w:qFormat/>
    <w:uiPriority w:val="0"/>
    <w:rPr>
      <w:rFonts w:hint="default" w:ascii="Times New Roman" w:hAnsi="Times New Roman" w:cs="Times New Roman"/>
      <w:color w:val="000000"/>
      <w:sz w:val="21"/>
      <w:szCs w:val="21"/>
      <w:u w:val="none"/>
    </w:rPr>
  </w:style>
  <w:style w:type="character" w:customStyle="1" w:styleId="23">
    <w:name w:val="font91"/>
    <w:basedOn w:val="8"/>
    <w:qFormat/>
    <w:uiPriority w:val="0"/>
    <w:rPr>
      <w:rFonts w:hint="eastAsia" w:ascii="宋体" w:hAnsi="宋体" w:eastAsia="宋体" w:cs="宋体"/>
      <w:color w:val="000000"/>
      <w:sz w:val="16"/>
      <w:szCs w:val="16"/>
      <w:u w:val="none"/>
    </w:rPr>
  </w:style>
  <w:style w:type="character" w:customStyle="1" w:styleId="24">
    <w:name w:val="font151"/>
    <w:basedOn w:val="8"/>
    <w:qFormat/>
    <w:uiPriority w:val="0"/>
    <w:rPr>
      <w:rFonts w:hint="eastAsia" w:ascii="宋体" w:hAnsi="宋体" w:eastAsia="宋体" w:cs="宋体"/>
      <w:color w:val="000000"/>
      <w:sz w:val="16"/>
      <w:szCs w:val="16"/>
      <w:u w:val="none"/>
    </w:rPr>
  </w:style>
  <w:style w:type="character" w:customStyle="1" w:styleId="25">
    <w:name w:val="font161"/>
    <w:basedOn w:val="8"/>
    <w:qFormat/>
    <w:uiPriority w:val="0"/>
    <w:rPr>
      <w:rFonts w:hint="eastAsia" w:ascii="宋体" w:hAnsi="宋体" w:eastAsia="宋体" w:cs="宋体"/>
      <w:color w:val="000000"/>
      <w:sz w:val="21"/>
      <w:szCs w:val="21"/>
      <w:u w:val="none"/>
    </w:rPr>
  </w:style>
  <w:style w:type="character" w:customStyle="1" w:styleId="26">
    <w:name w:val="font61"/>
    <w:basedOn w:val="8"/>
    <w:qFormat/>
    <w:uiPriority w:val="0"/>
    <w:rPr>
      <w:rFonts w:hint="default" w:ascii="仿宋_GB2312" w:eastAsia="仿宋_GB2312" w:cs="仿宋_GB2312"/>
      <w:color w:val="000000"/>
      <w:sz w:val="21"/>
      <w:szCs w:val="21"/>
      <w:u w:val="none"/>
    </w:rPr>
  </w:style>
  <w:style w:type="character" w:customStyle="1" w:styleId="27">
    <w:name w:val="font71"/>
    <w:basedOn w:val="8"/>
    <w:qFormat/>
    <w:uiPriority w:val="0"/>
    <w:rPr>
      <w:rFonts w:hint="default" w:ascii="Times New Roman" w:hAnsi="Times New Roman" w:cs="Times New Roman"/>
      <w:color w:val="000000"/>
      <w:sz w:val="21"/>
      <w:szCs w:val="21"/>
      <w:u w:val="none"/>
    </w:rPr>
  </w:style>
  <w:style w:type="character" w:customStyle="1" w:styleId="28">
    <w:name w:val="font13"/>
    <w:basedOn w:val="8"/>
    <w:qFormat/>
    <w:uiPriority w:val="0"/>
    <w:rPr>
      <w:rFonts w:hint="eastAsia" w:ascii="黑体" w:hAnsi="宋体" w:eastAsia="黑体" w:cs="黑体"/>
      <w:color w:val="000000"/>
      <w:sz w:val="32"/>
      <w:szCs w:val="32"/>
      <w:u w:val="none"/>
    </w:rPr>
  </w:style>
  <w:style w:type="character" w:customStyle="1" w:styleId="29">
    <w:name w:val="font51"/>
    <w:basedOn w:val="8"/>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7474</Words>
  <Characters>8152</Characters>
  <Lines>0</Lines>
  <Paragraphs>0</Paragraphs>
  <TotalTime>5</TotalTime>
  <ScaleCrop>false</ScaleCrop>
  <LinksUpToDate>false</LinksUpToDate>
  <CharactersWithSpaces>8347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2023-08-28T09:02:23Z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3B78EE25281C4D03A588AF1650761CEB_13</vt:lpwstr>
  </property>
</Properties>
</file>