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仿宋" w:hAnsi="仿宋" w:eastAsia="仿宋" w:cs="仿宋"/>
          <w:sz w:val="28"/>
          <w:szCs w:val="28"/>
        </w:rPr>
        <w:t>附件2</w:t>
      </w:r>
    </w:p>
    <w:p>
      <w:pPr>
        <w:jc w:val="center"/>
        <w:rPr>
          <w:rFonts w:hint="eastAsia"/>
        </w:rPr>
      </w:pPr>
      <w:bookmarkStart w:id="1" w:name="_GoBack"/>
      <w:r>
        <w:rPr>
          <w:rFonts w:hint="eastAsia" w:ascii="黑体" w:hAnsi="黑体" w:eastAsia="黑体" w:cs="黑体"/>
          <w:sz w:val="44"/>
          <w:szCs w:val="44"/>
        </w:rPr>
        <w:t>部门整体支出绩效自评报告</w:t>
      </w:r>
      <w:bookmarkEnd w:id="1"/>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株洲市渌口区</w:t>
      </w:r>
      <w:r>
        <w:rPr>
          <w:rFonts w:hint="eastAsia" w:ascii="仿宋" w:hAnsi="仿宋" w:eastAsia="仿宋" w:cs="仿宋"/>
          <w:sz w:val="32"/>
          <w:szCs w:val="32"/>
        </w:rPr>
        <w:t>财政局《关于</w:t>
      </w:r>
      <w:r>
        <w:rPr>
          <w:rFonts w:hint="eastAsia" w:ascii="仿宋" w:hAnsi="仿宋" w:eastAsia="仿宋" w:cs="仿宋"/>
          <w:sz w:val="32"/>
          <w:szCs w:val="32"/>
          <w:lang w:val="en-US" w:eastAsia="zh-CN"/>
        </w:rPr>
        <w:t>做好2022</w:t>
      </w:r>
      <w:r>
        <w:rPr>
          <w:rFonts w:hint="eastAsia" w:ascii="仿宋" w:hAnsi="仿宋" w:eastAsia="仿宋" w:cs="仿宋"/>
          <w:sz w:val="32"/>
          <w:szCs w:val="32"/>
        </w:rPr>
        <w:t>年度</w:t>
      </w:r>
      <w:r>
        <w:rPr>
          <w:rFonts w:hint="eastAsia" w:ascii="仿宋" w:hAnsi="仿宋" w:eastAsia="仿宋" w:cs="仿宋"/>
          <w:sz w:val="32"/>
          <w:szCs w:val="32"/>
          <w:lang w:val="en-US" w:eastAsia="zh-CN"/>
        </w:rPr>
        <w:t>区本级财政资金</w:t>
      </w:r>
      <w:r>
        <w:rPr>
          <w:rFonts w:hint="eastAsia" w:ascii="仿宋" w:hAnsi="仿宋" w:eastAsia="仿宋" w:cs="仿宋"/>
          <w:sz w:val="32"/>
          <w:szCs w:val="32"/>
        </w:rPr>
        <w:t>整体支出绩效</w:t>
      </w:r>
      <w:r>
        <w:rPr>
          <w:rFonts w:hint="eastAsia" w:ascii="仿宋" w:hAnsi="仿宋" w:eastAsia="仿宋" w:cs="仿宋"/>
          <w:sz w:val="32"/>
          <w:szCs w:val="32"/>
          <w:lang w:val="en-US" w:eastAsia="zh-CN"/>
        </w:rPr>
        <w:t>自</w:t>
      </w:r>
      <w:r>
        <w:rPr>
          <w:rFonts w:hint="eastAsia" w:ascii="仿宋" w:hAnsi="仿宋" w:eastAsia="仿宋" w:cs="仿宋"/>
          <w:sz w:val="32"/>
          <w:szCs w:val="32"/>
        </w:rPr>
        <w:t>评工作的通知》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渌财通【2023】6号</w:t>
      </w:r>
      <w:r>
        <w:rPr>
          <w:rFonts w:hint="eastAsia" w:ascii="仿宋" w:hAnsi="仿宋" w:eastAsia="仿宋" w:cs="仿宋"/>
          <w:sz w:val="32"/>
          <w:szCs w:val="32"/>
          <w:lang w:eastAsia="zh-CN"/>
        </w:rPr>
        <w:t>）</w:t>
      </w:r>
      <w:r>
        <w:rPr>
          <w:rFonts w:hint="eastAsia" w:ascii="仿宋" w:hAnsi="仿宋" w:eastAsia="仿宋" w:cs="仿宋"/>
          <w:sz w:val="32"/>
          <w:szCs w:val="32"/>
        </w:rPr>
        <w:t>精神</w:t>
      </w:r>
      <w:r>
        <w:rPr>
          <w:rFonts w:hint="eastAsia" w:ascii="仿宋" w:hAnsi="仿宋" w:eastAsia="仿宋" w:cs="仿宋"/>
          <w:sz w:val="32"/>
          <w:szCs w:val="32"/>
          <w:lang w:eastAsia="zh-CN"/>
        </w:rPr>
        <w:t>，</w:t>
      </w:r>
      <w:r>
        <w:rPr>
          <w:rFonts w:hint="eastAsia" w:ascii="仿宋" w:hAnsi="仿宋" w:eastAsia="仿宋" w:cs="仿宋"/>
          <w:sz w:val="32"/>
          <w:szCs w:val="32"/>
        </w:rPr>
        <w:t>我们对</w:t>
      </w:r>
      <w:r>
        <w:rPr>
          <w:rFonts w:hint="eastAsia" w:ascii="仿宋" w:hAnsi="仿宋" w:eastAsia="仿宋" w:cs="仿宋"/>
          <w:sz w:val="32"/>
          <w:szCs w:val="32"/>
          <w:lang w:val="en-US" w:eastAsia="zh-CN"/>
        </w:rPr>
        <w:t>区本级</w:t>
      </w:r>
      <w:r>
        <w:rPr>
          <w:rFonts w:hint="eastAsia" w:ascii="仿宋" w:hAnsi="仿宋" w:eastAsia="仿宋" w:cs="仿宋"/>
          <w:sz w:val="32"/>
          <w:szCs w:val="32"/>
        </w:rPr>
        <w:t>财政资金整体支出绩效进行了认真自评</w:t>
      </w:r>
      <w:r>
        <w:rPr>
          <w:rFonts w:hint="eastAsia" w:ascii="仿宋" w:hAnsi="仿宋" w:eastAsia="仿宋" w:cs="仿宋"/>
          <w:sz w:val="32"/>
          <w:szCs w:val="32"/>
          <w:lang w:eastAsia="zh-CN"/>
        </w:rPr>
        <w:t>，</w:t>
      </w:r>
      <w:r>
        <w:rPr>
          <w:rFonts w:hint="eastAsia" w:ascii="仿宋" w:hAnsi="仿宋" w:eastAsia="仿宋" w:cs="仿宋"/>
          <w:sz w:val="32"/>
          <w:szCs w:val="32"/>
        </w:rPr>
        <w:t>总体自我评价是：财政资金预算配置合理合规，预算执行严格有序，预算管理规范可控，资金效益合乎预期。具体自评情况如下：</w:t>
      </w:r>
    </w:p>
    <w:p>
      <w:pPr>
        <w:numPr>
          <w:numId w:val="0"/>
        </w:numPr>
        <w:ind w:firstLine="643" w:firstLineChars="200"/>
        <w:rPr>
          <w:rFonts w:hint="eastAsia" w:ascii="仿宋" w:hAnsi="仿宋" w:eastAsia="仿宋" w:cs="仿宋"/>
          <w:sz w:val="32"/>
          <w:szCs w:val="32"/>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预算单位基本情况</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株洲市渌口区教育局为的正科级行政单位。</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主要职责：</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(一)、贯彻执行国家、省、市有关教育工作的方针、政策和法律、法规；负责拟订全区教育事业发展规划、实施办法、年度计划和教育体制改革方案并组织实施。</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(二)、负责拟订全区义务教育的发展规划并组织实施；统筹规划和协调管理全区学前教育、义务教育、普通高中教育、职业与成人教育、特殊教育、民办教育、服务社区学校及终身教育。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负责统筹管理本部门教育经费，监督管理全区教育经费的筹措和使用情况；指导和组织实施教育系统内部审计；指导管理全区资助经济困难学生工作，统筹管理生源地信用助学贷款等政策性资助工作，负责优惠生报名组织、优惠信息录入、学籍审查、信息公开公示工作。</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(四)、主管全区教师工作。组织指导全区中小学、幼儿园教师的资格认定、招聘录用、职务评聘、培养培训、调配交流、档案管理和考核奖惩等工作；指导教育系统人才队伍建设工作。</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(五)、指导各级各类学校教育教学的研究与改革，全面实施素质教育。</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(六)、指导各级各类学校的思想政治、德育、体育卫生、艺术教育及国防教育工作。</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(七)、负责组织各类高等、中等学历教育的招生考试工作；负责组织普通高中学业水平考试；制定全区普通中小学、中等职业学校招生计划。</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(八)、负责全区教育基本信息的统计、分析和发布。</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(九)、负责监督管理全区学校危房改造和学校建设。</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(十)、指导和管理全区学校的教育技术装备、勤工俭学、卫生保健、安全保卫和稳定工作。</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(十一)、统筹管理区县教育督导工作；承办区人民政府交办的其他事项。</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内设机构及局属事业单位</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根据上述职责，株洲市渌口区教育局设8 个内设机构和四个正股级局属事业单位：</w:t>
      </w:r>
    </w:p>
    <w:p>
      <w:pPr>
        <w:numPr>
          <w:numId w:val="0"/>
        </w:numPr>
        <w:ind w:left="210" w:leftChars="0"/>
        <w:rPr>
          <w:rFonts w:hint="eastAsia" w:ascii="仿宋" w:hAnsi="仿宋" w:eastAsia="仿宋" w:cs="仿宋"/>
          <w:sz w:val="32"/>
          <w:szCs w:val="32"/>
        </w:rPr>
      </w:pPr>
      <w:r>
        <w:rPr>
          <w:rFonts w:hint="eastAsia" w:ascii="仿宋" w:hAnsi="仿宋" w:eastAsia="仿宋" w:cs="仿宋"/>
          <w:sz w:val="32"/>
          <w:szCs w:val="32"/>
        </w:rPr>
        <w:t>（一）办公室</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区委教育工作领导小组秘书组的日常工作；承担区教育改革与发展战略等重大问题的调查研究工作。全面协调各有关部门，统筹安排局机关各项事宜；负责局机关文电、会务、接待、应急、机要、档案等日常工作。协助局党政领导、各股室、基层学校做好全局性工作，组织调研工作，提出合理化建议和处理意见。负责局长办公会议、党委会议、局务会议的组织及议定事项的督办与协调工作；负责机关安全、保密、信访、建议提案办理、政务公开、后勤服务等工作。负责系统宣传工作（意识形态工作）；负责局党委日常工作、机关党支部、机关工会工作和机关离退休人员的管理与服务工作；负责“阳光服务”中心工作（接待与处理信访等），教育史志编撰工作。</w:t>
      </w:r>
    </w:p>
    <w:p>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基层党建和人事股</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新时代教师队伍建设规划、教育系统人才培养工作规划、乡村教师支持计划。承担系统人事管理、队伍建设、干部培养选拔、考核任免、人事改革等工作。负责教职工劳动工资、保险福利、优抚等工作；负责教职工年度考核、奖惩工作，统筹做好各级学校行政人员政绩考核考查和教职工的绩效考核工作。负责指导、协调、组织教师的培训工作；负责区本级骨干教师考核和认定工作和省、市级骨干教师的推荐工作，协助市级做好学科带头人推荐评审考核工作。负责师德师风建设与教育工作；承办教师信访工作。负责系统统战、老干工作；负责组织对口援助和乡村教师交流支持工作。负责拟定语言文字工作计划，推广普通话、规范使用汉字、做好普通话师资培训与测试工作；负责系统各级专业技术职务推荐评审工作，教师资格证认定与定期注册工作。负责教职工档案管理、编制信息管理工作。负责下属事业单位党建工作的指导、检查和考核；负责系统工会工作。</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（三）计划财务股</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中小学教育发展规划、中小学校招生计划等；拟订教育经费筹措和管理办法；参与拟订中小学校收费标准，规范收费行为。会同有关部门管理中央和省教育专项经费、各种外资和国内捐赠款等；会同有关部门监督、管理区教育经费投入、执行情况和教师工资发放情况。承担区本级教育部门财务管理工作，编制部门预决算；承担农村义务教育经费新机制管理工作；承担系统国有资产管理及财务管理工作。承担区教育系统内基层单位建设项目的立项、招投标、预算编制、决算初审和质量管理等工作；承担学校危房改造、标准化校舍和教师周转房建设工作。拟订资助困难学生名额分配方案；负责高校学生生源地信用贷款工作，负责高中贫困生、义务教育阶段贫困寄宿生生活补助费发放及其他资助工作；负责指导各类学校建立贫困学生信息，多渠道筹措贫困学生资助资金，拟订资金分配使用方案；指导、监督、检查各类学校国家助学金发放和政策落实情况。负责机关财务工作；承担区教育事业统计及建库上网工作；承办资助、项目建设方面的信访工作。</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（四）基础教育股（加挂教育团工委牌子）</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拟订中小学教育发展规划，承担中小学校招生工作；指导学校教育教学工作和开展校外实践活动工作，指导执行课程计划与教育教学改革工作。承担中小学教材、教学配套用书、音像图书的选择、使用与管理工作。严格执行国家招生考试政策，做好政策的宣传与指导，落实“阳光招考”有关政策；负责修订和完善中小学招生考试工作管理制度；负责各级各类教育招生考试的报名、资格审查、信息管理、宣传咨询、安全与保密和组考等工作，处理有关问题。负责系统团工委工作、中小学德育、生态文明、环境保护教育工作；参与学校办学督导评估工作；参与师资队伍建设与教师培训工作。指导示范学校创建、特色学校创建、文明城市创建、文明校园创建工作；负责学校食堂、商店、饮水、食品安全卫生管理和食品安全险参保理赔工作；承办学生、家长方面的信访工作。</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（五）社办职成幼教股（加挂行政审批股牌子）</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拟订学前教育、特殊教育、职业与成人教育的发展规划并组织实施；指导学前教育、职业与成人教育、特殊教育学生的安全管理与教育、技能训练、集体活动等工作，协助幼儿园、民办学校校车安全的管理工作。承担民办学校办学许可审批、招生广告审批和校外机构培训许可审批工作；指导和预防处置学前教育、职业与成人教育、特殊教育、校外培训机构等引发的安全稳定事件，并承办其信访工作。负责指导中等职业学校毕业生的就业、创业工作；指导中职学校开设老年服务与管理类专业及相关课程，推进养老人才培养。负责指导乡村成人教育中心和农民文化技术学校人员培训和“两后生”的技能培训工作，负责扶贫技能培训工作。负责局行政审批事项的受理和处理工作。</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（六）综治安全股</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负责系统综治安全、应急管理、周边环境的排查与治理、中小学幼儿园的校车管理、学校校外实践活动的安全管理工作；监督、指导各级各类学校、幼儿园开展交通安全、消防、防溺水、校园欺凌、禁毒、应急逃生等安全教育专题活动。制定系统应急制度、措施、预案并监督实施，做好系统突发公共事件应急救援的指导、协调、监督与重大突发公共事件的应急处置。负责组织建设系统突发公共事件应急指挥平台和应急体系；统筹、协调系统应急救援队伍建设、应急救援基地建设及物资储备工作；加强防灾减灾知识的宣传培训与教育，负责应急值守和信息报送工作、校方责任险参保理赔及管理工作。</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（七）监察审计股</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监督机关及教育基层单位贯彻执行党的路线方针政策、决议和遵守国家法律、法规、执行上级决定等情况；监督机关及教育基层单位贯彻落实党风廉政建设责任制情况；监督机关及教育基层单位贯彻民主集中制、落实领导干部选拔任用工作条例、规范“三重一大”事项决策和运行情况；按照管理权限核实违反党纪政纪相关人员案件问题并参与调查；受理对局机关及教育基层单位单位党组织、党员和行政监察对象的检举、控告及其有关申诉等事项；负责指导区教育系统内部审计工作；负责对教育基层单位的财务收支、基本建设投资和重大经济合同的审计工作；负责国家免学费和资助资金专账审核工作；对教育基层单位领导进行任中和离任经济责任审计。</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（八）教育督导和法规室（加挂株洲市渌口区人民政府教育督导委员会办公室牌子）</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区人民政府教育督导委员会的日常工作；承担全区教育督导工作。拟订各级各类学校评估考核规章制度和实施方案；承担对区人民政府有关部门、镇人民政府依法履行教育工作职责情况的督导与考核，承担对学校及其他教育机构办学情况的监督、检查、评估、指导，提出教育奖惩、学校管理干部任免的合理建议。负责督学责任区建设与管理工作；牵头组织实施对教育基层单位年度管理工作考核。负责政策法规、法制建设的宣传与教育工作，协调、指导教育行政执法、学校法制教育与建设工作；承担教育行政被复议、应诉事项。</w:t>
      </w:r>
    </w:p>
    <w:p>
      <w:pPr>
        <w:numPr>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（九）株洲市渌口区教育服务中心</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承担教育行业扶贫和结对帮扶工作；协助局股室做好学校教育教学管理等工作；完成局党政交办的其他中心工作。</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（十）株洲市渌口区教育技术装备站</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中小学现代教育技术装备与功能教室发展建设工作；参与学校实验电化教学目标管理、评估、检查、验收等工作。中小学功能教室建设、技术装备和电化教学器材、资料的采购配备及安全管理与维护使用提供技术服务等；参与中小学实验教师、信息技术教师参加专业培训工作。为中小学实验电化教学的资源开发、应用与管理等、教育信息平台的使用、维护、管理及中小学校园网建设提供技术性服务等。</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（十一）株洲市渌口区教研室</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全面贯彻党的教育方针、紧紧围绕基础教育改革，紧密结合本区实际情况，深入扎实开展教学研究、指导、服务工作。根据教育改革及本区中小幼教学的需要，研究教育思想、教学理论、课程标准、教学内容、教学方法、教学手段和学科教学评价等，积极推动教学改革，全面提高教育教学质量。协助组织多层次、多形式的教学研究活动，对全区教师执行课程计划、掌握钻研课程标准和教材、改进教学方法、开展课程教材改革实验提出指导性建议，总结和推广先进教学经验。调查研究，为学校教育教学提供指导意见，为教育行政部门决策提供依据。发现教学骨干，培养学科带头人，充分发挥教学骨干、学科带头人的带动辐射作用。参与教材、教学辅导用书的选定工作，参与教育教学质量监测工作。</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（十二）株洲市渌口区勤工俭学管理服务中心</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参与勤工俭学年度工作计划制定并组织实施；指导劳动基地和生产实习基地的建设工作，协助开展劳动技术教育的教学研究工作；发展教育产业和社会化服务，承担教育市场的开发和管理工作，培育和发展教育产业；落实学校体育器材配备计划要求，按时、按需为学校配送体育器材，指导学校安全使用、保管器材的方法。</w:t>
      </w:r>
    </w:p>
    <w:p>
      <w:pPr>
        <w:numPr>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人员情况</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全局编制共53人，实际在职人员4</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pPr>
        <w:numPr>
          <w:numId w:val="0"/>
        </w:numPr>
        <w:ind w:firstLine="643" w:firstLineChars="200"/>
        <w:rPr>
          <w:rFonts w:hint="eastAsia" w:ascii="仿宋" w:hAnsi="仿宋" w:eastAsia="仿宋" w:cs="仿宋"/>
          <w:b/>
          <w:bCs/>
          <w:i w:val="0"/>
          <w:iCs w:val="0"/>
          <w:caps w:val="0"/>
          <w:color w:val="333333"/>
          <w:spacing w:val="0"/>
          <w:sz w:val="32"/>
          <w:szCs w:val="32"/>
          <w:shd w:val="clear" w:fill="FFFFFF"/>
          <w:vertAlign w:val="baseline"/>
        </w:rPr>
      </w:pPr>
      <w:r>
        <w:rPr>
          <w:rFonts w:hint="eastAsia" w:ascii="仿宋" w:hAnsi="仿宋" w:eastAsia="仿宋" w:cs="仿宋"/>
          <w:b/>
          <w:bCs/>
          <w:sz w:val="32"/>
          <w:szCs w:val="32"/>
          <w:lang w:val="en-US" w:eastAsia="zh-CN"/>
        </w:rPr>
        <w:t>4、</w:t>
      </w:r>
      <w:r>
        <w:rPr>
          <w:rFonts w:hint="eastAsia" w:ascii="仿宋" w:hAnsi="仿宋" w:eastAsia="仿宋" w:cs="仿宋"/>
          <w:b/>
          <w:bCs/>
          <w:i w:val="0"/>
          <w:iCs w:val="0"/>
          <w:caps w:val="0"/>
          <w:color w:val="333333"/>
          <w:spacing w:val="0"/>
          <w:sz w:val="32"/>
          <w:szCs w:val="32"/>
          <w:shd w:val="clear" w:fill="FFFFFF"/>
          <w:vertAlign w:val="baseline"/>
          <w:lang w:val="en-US" w:eastAsia="zh-CN"/>
        </w:rPr>
        <w:t>2022</w:t>
      </w:r>
      <w:r>
        <w:rPr>
          <w:rFonts w:hint="eastAsia" w:ascii="仿宋" w:hAnsi="仿宋" w:eastAsia="仿宋" w:cs="仿宋"/>
          <w:b/>
          <w:bCs/>
          <w:i w:val="0"/>
          <w:iCs w:val="0"/>
          <w:caps w:val="0"/>
          <w:color w:val="333333"/>
          <w:spacing w:val="0"/>
          <w:sz w:val="32"/>
          <w:szCs w:val="32"/>
          <w:shd w:val="clear" w:fill="FFFFFF"/>
          <w:vertAlign w:val="baseline"/>
        </w:rPr>
        <w:t>年重点工作</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（一）重教氛围日益浓厚。</w:t>
      </w:r>
      <w:r>
        <w:rPr>
          <w:rFonts w:hint="eastAsia" w:ascii="仿宋" w:hAnsi="仿宋" w:eastAsia="仿宋" w:cs="仿宋"/>
          <w:sz w:val="32"/>
          <w:szCs w:val="32"/>
          <w:lang w:val="en-US" w:eastAsia="zh-CN"/>
        </w:rPr>
        <w:t>区委、区政府高度重视教育工作，区委常委会、区政府常务会、区委教育工作领导小组定期研究教育工作，为教育排忧解难。在经济社会发展规划上优先谋划教育，在财政资金安排上优先保障教育，在公共资源配置上优先满足教育。持续推行区级领导干部兼任“第一校长”制度，26名区领导兼任“第一书记”“第一校长”，对接35所学校。《株洲市渌口区建立“第一校长”制度，推动区级领导联系学校工作走深走实》荣获湖南省教育厅深化新时代教育评价改革省级典型案例。“建立第一校长制度，创新教育管理模式”荣获株洲市十大改革典型案例。为全面实施教育振兴提供坚强组织保证。高质量举办了“迎接党的二十大 培根铸魂育新人”第38个教师节表彰活动，教育基金会奖励了一批优秀教师及优秀教育管理者。全区在教育投入、教育规划、教育编制、学校建设及校园周边环境治理等方面积极支持，政府部门各司其职形成良好的工作局面。</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（二）教育资源不断优化。</w:t>
      </w:r>
      <w:r>
        <w:rPr>
          <w:rFonts w:hint="eastAsia" w:ascii="仿宋" w:hAnsi="仿宋" w:eastAsia="仿宋" w:cs="仿宋"/>
          <w:sz w:val="32"/>
          <w:szCs w:val="32"/>
          <w:lang w:val="en-US" w:eastAsia="zh-CN"/>
        </w:rPr>
        <w:t>教育城乡一体化蹄疾步稳，从“有书读”到“读好书”，从“基本均衡”到“优质均衡”。全年建设基建项目30余个，区人大票决民生实事项目，鸿仙中学宿舍楼即将封顶，区五中学生宿舍建设工程已于11月份开工，五中双电源建设及厕所改造工程已如期完成。推行“更新课桌椅”“安装护眼灯”“改善热水设备”“升级实验室”“空调进寝室”五大装备提质工程，校园设施设备焕然一新。在城市片区，以合作办学为抓手，充分发挥“名校”的品牌效应，引进了优质教育资源。青龙湾小学、青龙湾中学、南洲小学已经成为引领渌口教育振兴的新兴力量，也迅速成长为全市义务教育的闪亮名片。株洲市幼儿园南洲园如期开园，积极打造渌口学前教育的新榜样。与湖南师大合作办学，建设投资2.2亿元的湖南师大附属渌口实验学校，有力推动了梅子湖片区教育资源的提升，让更多渌口人能在家门口享受高品质教育资源。在农村片区，以资源整合为导向，制定了学校优化布局三年计划，改善农村地区办学条件，积极稳妥撤并乡村小规模学校，集中力量建优配强乡村寄宿制学校。同时，积极推动中职恢复招生，引进高品质民办职校，铁航卫校成功入驻，区域教育体系更加健全。</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（三）队伍建设全面加强。</w:t>
      </w:r>
      <w:r>
        <w:rPr>
          <w:rFonts w:hint="eastAsia" w:ascii="仿宋" w:hAnsi="仿宋" w:eastAsia="仿宋" w:cs="仿宋"/>
          <w:sz w:val="32"/>
          <w:szCs w:val="32"/>
          <w:lang w:val="en-US" w:eastAsia="zh-CN"/>
        </w:rPr>
        <w:t>按照“激活内驱动力，建强教师队伍，提升整体水平”的工作思路，以规范为主线，以改革为核心，积极稳妥推进人事制度改革工作，开创了人员机构精简、干部职工精干的良好局面。一是“消超”去存量。通过停止新招聘教师、停止送培免费师范生、区直单位面向教师招聘、退休、调出等多项举措开展消超工作。截至2022年10月，全区累计消化基础教育超编人员433人，完成消超任务的75.8%。二是改革强队伍。精简机关股室，缩减股长职数5个，副股长职数11个，交流任职机关干部25人，股室干部平均年龄较调整前降低6岁。对镇中心校班子进行调整，进一步压缩管理人员规模，逐步实现学校扁平化管理，中心校班子成员人数较之前减少59.1%。15所局直管学校管理层共32人，平均年龄降低8岁。三是创新培干部。通过层层选拔，确定67名优秀年轻教师为教育系统后备干部培养对象。在区委党校高规格开班培训，先后开展了“干部能力提升集中培训”“后备干部座谈会”“教育振兴典型案例大讨论”等系列活动。15名优秀年轻干部在今年秋季走上校长岗位。四是坚持研培一体化。以研促培、以培促教、研培兴教，不断提升教师的教研教学能力。开展课堂教学大比武、优质课评比、作业设计竞赛等活动。今年有4项省级课题结题，12个课题获省市立项，9人次获市级教学竞赛一等奖以上奖励。2人在省小学英语优秀作业案例中获奖。</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（四）办学水平稳步提升。</w:t>
      </w:r>
      <w:r>
        <w:rPr>
          <w:rFonts w:hint="eastAsia" w:ascii="仿宋" w:hAnsi="仿宋" w:eastAsia="仿宋" w:cs="仿宋"/>
          <w:sz w:val="32"/>
          <w:szCs w:val="32"/>
          <w:lang w:val="en-US" w:eastAsia="zh-CN"/>
        </w:rPr>
        <w:t>坚持“五育”并举，全面发展素质教育。突出思想政治课关键地位，组织教育系统学习“青春渌口我代言”视频，发挥思政课铸魂育人主渠道作用，“第一校长”们亲自上好思政课。丰富校园美育活动，以“合唱”为抓手师生同训，开展“班班唱”活动，举办“一渌高歌”合唱比赛，推动全区艺术教育品质提升。认真落实“双减”政策，积极开展课后服务，学校社团活动特色鲜明，促进了学生的全面发展。创新开展劳动教育，渌口区获评株洲市劳动教育实验区，青龙湾小学、松西子学校、龙船镇王十万中学被评为市级劳动教育实验校，在全市五育并举现场推进会上作渌口区经验发言。区五中篮球专业优势逐步凸显，在2022年“新浪3×3黄金联赛”湖南省总决赛上勇夺冠军；区三中体教融合喜结硕果，在今年全国体育单招考试中，5名摔跤运动员取得13人次单项满分，居湖南省榜首；南洲镇中心幼儿园获评全国足球特色幼儿园；湘骏文武学校参加国际国内各级各类武术比赛100多场，斩金夺银，屡获佳绩。深化教学改革，加强课程建设，提升智育水平。区五中、一中高考成绩再创新高，高考、学考成绩获全市优秀质量表彰。</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（五）全力维护安全稳定。</w:t>
      </w:r>
      <w:r>
        <w:rPr>
          <w:rFonts w:hint="eastAsia" w:ascii="仿宋" w:hAnsi="仿宋" w:eastAsia="仿宋" w:cs="仿宋"/>
          <w:sz w:val="32"/>
          <w:szCs w:val="32"/>
          <w:lang w:val="en-US" w:eastAsia="zh-CN"/>
        </w:rPr>
        <w:t>严肃做好各类安全隐患排查与整改工作。建立健全学校安全隐患教职工岗位自查、学校普查、教育局抽查、专家细查的四级排查机制。扎实开展专项安全治理。一是防溺水专项治理。扎实开展防溺水安全警示教育“十个一”活动，确保学生做到“七不两会”。7、8月区委督查室、政府督查室牵头组织教育、应急等部门进行了2轮督查，下发督查通报。二是校车专项治理。开展“强执法防事故”行动，突出路面联合执法检查，严厉打击校车违法行为和“黑校车”接送学生行为。开展常态化检查督查，消除安全隐患，校车安全检查全市排名第一。三是校园周边环境专项治理。完善综治委校园及周边治安综合治理专项组工作机制，联合公安、综治部门等部门力量开展校园周边治安环境专项行动，创建一批省市级平安校园。四是科学防疫平安复学。静默管理期间，做好9000余名留校寄宿生的疫情防控和后勤保障，确保安全稳定。局机关60余人参与无物业小区值守，组织6轮小区定点核酸检测，平均每次检测1500余人。350名教师、86名机关干部挺身而出争当志愿者，到疫情最前线守卡巡逻、核酸检测。渌口区在株洲市城区率先实现全学段复学，区委书记进课堂亲自讲授复学第一课，获得广大师生点赞。</w:t>
      </w:r>
    </w:p>
    <w:p>
      <w:pPr>
        <w:numPr>
          <w:numId w:val="0"/>
        </w:num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（六）教育口碑越来越好。</w:t>
      </w:r>
      <w:r>
        <w:rPr>
          <w:rFonts w:hint="eastAsia" w:ascii="仿宋" w:hAnsi="仿宋" w:eastAsia="仿宋" w:cs="仿宋"/>
          <w:sz w:val="32"/>
          <w:szCs w:val="32"/>
          <w:lang w:val="en-US" w:eastAsia="zh-CN"/>
        </w:rPr>
        <w:t>充分发掘我区教育的鲜活素材，广泛宣传教育振兴的好做法及好成就，切实提高渌口教育的社会影响力和知名度，营造了全区教育改革发展的良好社会环境和舆论氛围。2022年，在新湖南、华声在线、湖南教育新闻网、株洲日报、红网、株洲新闻网等省市媒体刊发渌口教育新闻报道356篇。今年6月份，《株洲市渌口区建立“第一校长”制度推动区级领导联系学校工作走深走实》在《湖南教育快讯》发表，省委副书记朱国贤、市委书记曹慧泉专门作出了批示，湖南卫视《新闻联播》进行了专题报道，湖南日报对“第一校长”制度相继进行头条、专版报道。“鸡蛋计划”“牛肉计划”丰富了孩子们的食谱，株洲市新闻频道、湖南卫视、新湖南等媒体广泛宣传报道。同时，广大家长、市民纷纷转发渌口教育的好故事好声音，主动为渌口教育点赞，特别是广大学生“用脚投票”，渌口区“小升初”直升率首次达到100%，有效遏制了生源持续外流现象。</w:t>
      </w:r>
    </w:p>
    <w:p>
      <w:pPr>
        <w:numPr>
          <w:numId w:val="0"/>
        </w:numPr>
        <w:ind w:firstLine="643" w:firstLineChars="200"/>
        <w:jc w:val="left"/>
        <w:rPr>
          <w:rFonts w:hint="eastAsia" w:ascii="仿宋" w:hAnsi="仿宋" w:eastAsia="仿宋" w:cs="仿宋"/>
          <w:sz w:val="32"/>
          <w:szCs w:val="32"/>
        </w:rPr>
      </w:pPr>
      <w:r>
        <w:rPr>
          <w:rFonts w:hint="eastAsia" w:ascii="宋体" w:hAnsi="宋体" w:eastAsia="宋体" w:cs="宋体"/>
          <w:b/>
          <w:bCs/>
          <w:sz w:val="32"/>
          <w:szCs w:val="32"/>
        </w:rPr>
        <w:t>二、一般公共预算支出情况</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(一)基本支出情况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年初财政批复的整体支出合计：</w:t>
      </w:r>
      <w:r>
        <w:rPr>
          <w:rFonts w:hint="eastAsia" w:ascii="仿宋" w:hAnsi="仿宋" w:eastAsia="仿宋" w:cs="仿宋"/>
          <w:sz w:val="32"/>
          <w:szCs w:val="32"/>
          <w:lang w:val="en-US" w:eastAsia="zh-CN"/>
        </w:rPr>
        <w:t>815</w:t>
      </w:r>
      <w:r>
        <w:rPr>
          <w:rFonts w:hint="eastAsia" w:ascii="仿宋" w:hAnsi="仿宋" w:eastAsia="仿宋" w:cs="仿宋"/>
          <w:sz w:val="32"/>
          <w:szCs w:val="32"/>
        </w:rPr>
        <w:t>.</w:t>
      </w:r>
      <w:r>
        <w:rPr>
          <w:rFonts w:hint="eastAsia" w:ascii="仿宋" w:hAnsi="仿宋" w:eastAsia="仿宋" w:cs="仿宋"/>
          <w:sz w:val="32"/>
          <w:szCs w:val="32"/>
          <w:lang w:val="en-US" w:eastAsia="zh-CN"/>
        </w:rPr>
        <w:t>76</w:t>
      </w:r>
      <w:r>
        <w:rPr>
          <w:rFonts w:hint="eastAsia" w:ascii="仿宋" w:hAnsi="仿宋" w:eastAsia="仿宋" w:cs="仿宋"/>
          <w:sz w:val="32"/>
          <w:szCs w:val="32"/>
        </w:rPr>
        <w:t>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部门预算基本支出</w:t>
      </w:r>
      <w:r>
        <w:rPr>
          <w:rFonts w:hint="eastAsia" w:ascii="仿宋" w:hAnsi="仿宋" w:eastAsia="仿宋" w:cs="仿宋"/>
          <w:sz w:val="32"/>
          <w:szCs w:val="32"/>
          <w:lang w:val="en-US" w:eastAsia="zh-CN"/>
        </w:rPr>
        <w:t>815</w:t>
      </w:r>
      <w:r>
        <w:rPr>
          <w:rFonts w:hint="eastAsia" w:ascii="仿宋" w:hAnsi="仿宋" w:eastAsia="仿宋" w:cs="仿宋"/>
          <w:sz w:val="32"/>
          <w:szCs w:val="32"/>
        </w:rPr>
        <w:t>.</w:t>
      </w:r>
      <w:r>
        <w:rPr>
          <w:rFonts w:hint="eastAsia" w:ascii="仿宋" w:hAnsi="仿宋" w:eastAsia="仿宋" w:cs="仿宋"/>
          <w:sz w:val="32"/>
          <w:szCs w:val="32"/>
          <w:lang w:val="en-US" w:eastAsia="zh-CN"/>
        </w:rPr>
        <w:t>76</w:t>
      </w:r>
      <w:r>
        <w:rPr>
          <w:rFonts w:hint="eastAsia" w:ascii="仿宋" w:hAnsi="仿宋" w:eastAsia="仿宋" w:cs="仿宋"/>
          <w:sz w:val="32"/>
          <w:szCs w:val="32"/>
        </w:rPr>
        <w:t>万元， 其中：人员支出</w:t>
      </w:r>
      <w:r>
        <w:rPr>
          <w:rFonts w:hint="eastAsia" w:ascii="仿宋" w:hAnsi="仿宋" w:eastAsia="仿宋" w:cs="仿宋"/>
          <w:sz w:val="32"/>
          <w:szCs w:val="32"/>
          <w:lang w:val="en-US" w:eastAsia="zh-CN"/>
        </w:rPr>
        <w:t>731.19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公用支出</w:t>
      </w:r>
      <w:r>
        <w:rPr>
          <w:rFonts w:hint="eastAsia" w:ascii="仿宋" w:hAnsi="仿宋" w:eastAsia="仿宋" w:cs="仿宋"/>
          <w:sz w:val="32"/>
          <w:szCs w:val="32"/>
          <w:lang w:val="en-US" w:eastAsia="zh-CN"/>
        </w:rPr>
        <w:t>84.57</w:t>
      </w:r>
      <w:r>
        <w:rPr>
          <w:rFonts w:hint="eastAsia" w:ascii="仿宋" w:hAnsi="仿宋" w:eastAsia="仿宋" w:cs="仿宋"/>
          <w:sz w:val="32"/>
          <w:szCs w:val="32"/>
        </w:rPr>
        <w:t>万元。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(二)项目支出情况</w:t>
      </w:r>
    </w:p>
    <w:p>
      <w:pPr>
        <w:ind w:firstLine="640" w:firstLineChars="200"/>
        <w:rPr>
          <w:rFonts w:hint="eastAsia"/>
        </w:rPr>
      </w:pPr>
      <w:r>
        <w:rPr>
          <w:rFonts w:hint="eastAsia" w:ascii="仿宋" w:hAnsi="仿宋" w:eastAsia="仿宋" w:cs="仿宋"/>
          <w:sz w:val="32"/>
          <w:szCs w:val="32"/>
        </w:rPr>
        <w:t>部门预算项目支出为 0.00万元， 其中： 专项商品和服务支出0.00万元。</w:t>
      </w:r>
      <w:r>
        <w:rPr>
          <w:rFonts w:hint="eastAsia"/>
        </w:rPr>
        <w:t xml:space="preserve"> </w:t>
      </w:r>
    </w:p>
    <w:p>
      <w:pPr>
        <w:ind w:firstLine="643" w:firstLineChars="200"/>
        <w:rPr>
          <w:rFonts w:hint="eastAsia"/>
        </w:rPr>
      </w:pPr>
      <w:r>
        <w:rPr>
          <w:rFonts w:hint="eastAsia" w:ascii="宋体" w:hAnsi="宋体" w:eastAsia="宋体" w:cs="宋体"/>
          <w:b/>
          <w:bCs/>
          <w:sz w:val="32"/>
          <w:szCs w:val="32"/>
        </w:rPr>
        <w:t>三、部门整体支出绩效情况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绩效评价工作由局长</w:t>
      </w:r>
      <w:r>
        <w:rPr>
          <w:rFonts w:hint="eastAsia" w:ascii="仿宋" w:hAnsi="仿宋" w:eastAsia="仿宋" w:cs="仿宋"/>
          <w:sz w:val="32"/>
          <w:szCs w:val="32"/>
          <w:lang w:val="en-US" w:eastAsia="zh-CN"/>
        </w:rPr>
        <w:t>胡岚</w:t>
      </w:r>
      <w:r>
        <w:rPr>
          <w:rFonts w:hint="eastAsia" w:ascii="仿宋" w:hAnsi="仿宋" w:eastAsia="仿宋" w:cs="仿宋"/>
          <w:sz w:val="32"/>
          <w:szCs w:val="32"/>
        </w:rPr>
        <w:t>同志任组长，副局长</w:t>
      </w:r>
      <w:r>
        <w:rPr>
          <w:rFonts w:hint="eastAsia" w:ascii="仿宋" w:hAnsi="仿宋" w:eastAsia="仿宋" w:cs="仿宋"/>
          <w:sz w:val="32"/>
          <w:szCs w:val="32"/>
          <w:lang w:val="en-US" w:eastAsia="zh-CN"/>
        </w:rPr>
        <w:t>彭中辉</w:t>
      </w:r>
      <w:r>
        <w:rPr>
          <w:rFonts w:hint="eastAsia" w:ascii="仿宋" w:hAnsi="仿宋" w:eastAsia="仿宋" w:cs="仿宋"/>
          <w:sz w:val="32"/>
          <w:szCs w:val="32"/>
        </w:rPr>
        <w:t>为副组长，</w:t>
      </w:r>
      <w:r>
        <w:rPr>
          <w:rFonts w:hint="eastAsia" w:ascii="仿宋" w:hAnsi="仿宋" w:eastAsia="仿宋" w:cs="仿宋"/>
          <w:sz w:val="32"/>
          <w:szCs w:val="32"/>
          <w:lang w:val="en-US" w:eastAsia="zh-CN"/>
        </w:rPr>
        <w:t>罗水清、蓝健科、唐学文、刘姚凤、姜见雨</w:t>
      </w:r>
      <w:r>
        <w:rPr>
          <w:rFonts w:hint="eastAsia" w:ascii="仿宋" w:hAnsi="仿宋" w:eastAsia="仿宋" w:cs="仿宋"/>
          <w:sz w:val="32"/>
          <w:szCs w:val="32"/>
        </w:rPr>
        <w:t>为成员。由会计收集相关资料，检查财务会计记录。</w:t>
      </w:r>
      <w:r>
        <w:rPr>
          <w:rFonts w:hint="eastAsia" w:ascii="仿宋" w:hAnsi="仿宋" w:eastAsia="仿宋" w:cs="仿宋"/>
          <w:sz w:val="32"/>
          <w:szCs w:val="32"/>
          <w:lang w:val="en-US" w:eastAsia="zh-CN"/>
        </w:rPr>
        <w:t>全年资金</w:t>
      </w:r>
      <w:r>
        <w:rPr>
          <w:rFonts w:hint="eastAsia" w:ascii="仿宋" w:hAnsi="仿宋" w:eastAsia="仿宋" w:cs="仿宋"/>
          <w:sz w:val="32"/>
          <w:szCs w:val="32"/>
        </w:rPr>
        <w:t>主要用于在职人员的工资福利，保障正常运转的公用支出</w:t>
      </w:r>
      <w:r>
        <w:rPr>
          <w:rFonts w:hint="eastAsia" w:ascii="仿宋" w:hAnsi="仿宋" w:eastAsia="仿宋" w:cs="仿宋"/>
          <w:sz w:val="32"/>
          <w:szCs w:val="32"/>
          <w:lang w:eastAsia="zh-CN"/>
        </w:rPr>
        <w:t>、</w:t>
      </w:r>
      <w:r>
        <w:rPr>
          <w:rFonts w:hint="eastAsia" w:ascii="仿宋" w:hAnsi="仿宋" w:eastAsia="仿宋" w:cs="仿宋"/>
          <w:sz w:val="32"/>
          <w:szCs w:val="32"/>
        </w:rPr>
        <w:t>业务支出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项目支出</w:t>
      </w:r>
      <w:r>
        <w:rPr>
          <w:rFonts w:hint="eastAsia" w:ascii="仿宋" w:hAnsi="仿宋" w:eastAsia="仿宋" w:cs="仿宋"/>
          <w:sz w:val="32"/>
          <w:szCs w:val="32"/>
        </w:rPr>
        <w:t>。</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rPr>
        <w:t>四、存在的问题及原因分析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640" w:firstLineChars="20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一年来，我们虽然做了大量工作，取得了一定成效，但</w:t>
      </w:r>
      <w:r>
        <w:rPr>
          <w:rFonts w:hint="eastAsia" w:ascii="仿宋" w:hAnsi="仿宋" w:eastAsia="仿宋" w:cs="仿宋"/>
          <w:i w:val="0"/>
          <w:iCs w:val="0"/>
          <w:caps w:val="0"/>
          <w:color w:val="333333"/>
          <w:spacing w:val="0"/>
          <w:sz w:val="32"/>
          <w:szCs w:val="32"/>
          <w:shd w:val="clear" w:fill="FFFFFF"/>
          <w:vertAlign w:val="baseline"/>
          <w:lang w:val="en-US" w:eastAsia="zh-CN"/>
        </w:rPr>
        <w:t>由于受疫情影响，资金无法及时拨付到位，影响了工作进度。</w:t>
      </w:r>
      <w:r>
        <w:rPr>
          <w:rFonts w:hint="eastAsia" w:ascii="仿宋" w:hAnsi="仿宋" w:eastAsia="仿宋" w:cs="仿宋"/>
          <w:i w:val="0"/>
          <w:iCs w:val="0"/>
          <w:caps w:val="0"/>
          <w:color w:val="333333"/>
          <w:spacing w:val="0"/>
          <w:sz w:val="32"/>
          <w:szCs w:val="32"/>
          <w:shd w:val="clear" w:fill="FFFFFF"/>
          <w:vertAlign w:val="baseline"/>
        </w:rPr>
        <w:t>今后我局要继续围绕中心，服务大局，以更高的标准和要求抓好工作。</w:t>
      </w:r>
    </w:p>
    <w:p>
      <w:pPr>
        <w:numPr>
          <w:ilvl w:val="0"/>
          <w:numId w:val="2"/>
        </w:num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党的二十大报告首次将“实施科教兴国战略，强化现代化建设人才支撑”单独作为一个部分，也首次将教育、科技、人才作为一个整体进行论述，充分体现了党对教育、科技、人才的高度重视，进一步理顺了建设教育强国、科技强国、人才强国的内在联系。展望2023年，</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渌口教育人将以更足的干劲、更好的状态投入工作、学习中，深刻领会党的二十大对教育工作提出的新部署、新要求，全面推进教育振兴三年行动计划、以区级领导兼任“第一校长”制度为核心保障，合力推进渌口教育事业发展，办好人民满意的教育。</w:t>
      </w:r>
    </w:p>
    <w:p>
      <w:pPr>
        <w:pStyle w:val="9"/>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（一）继续实施“第一校长”制度，毫不动摇地坚持党对教育工作的全面领导。</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坚定政治方向，扛起第一责任。继续将区级领导兼任“第一书记”“第一校长”制度作为推动教育振兴的核心保障措施，确保党的教育方针政策不折不扣得到贯彻落实。</w:t>
      </w:r>
      <w:r>
        <w:rPr>
          <w:rFonts w:hint="eastAsia" w:ascii="仿宋" w:hAnsi="仿宋" w:eastAsia="仿宋" w:cs="仿宋"/>
          <w:kern w:val="0"/>
          <w:sz w:val="32"/>
          <w:szCs w:val="32"/>
          <w:lang w:val="en-US" w:eastAsia="zh-CN" w:bidi="ar-SA"/>
        </w:rPr>
        <w:t>深化党建品牌内涵，全面落实“三会一课”、主题党日、组织生活会等基本制度，创建一批“可学、可看、可复制”的基层学校党组织示范点，开展党建系统品牌清廉学校建设。</w:t>
      </w:r>
      <w:r>
        <w:rPr>
          <w:rFonts w:hint="eastAsia" w:ascii="仿宋" w:hAnsi="仿宋" w:eastAsia="仿宋" w:cs="仿宋"/>
          <w:b w:val="0"/>
          <w:bCs w:val="0"/>
          <w:kern w:val="0"/>
          <w:sz w:val="32"/>
          <w:szCs w:val="32"/>
          <w:lang w:val="en-US" w:eastAsia="zh-CN" w:bidi="ar-SA"/>
        </w:rPr>
        <w:t>积极推行中小学校党组织领导的校长负责制。</w:t>
      </w:r>
      <w:r>
        <w:rPr>
          <w:rFonts w:hint="eastAsia" w:ascii="仿宋" w:hAnsi="仿宋" w:eastAsia="仿宋" w:cs="仿宋"/>
          <w:kern w:val="0"/>
          <w:sz w:val="32"/>
          <w:szCs w:val="32"/>
          <w:lang w:val="en-US" w:eastAsia="zh-CN" w:bidi="ar-SA"/>
        </w:rPr>
        <w:t>持续在学校党组织职责定位、学校党政主要负责人选配、学校议事决策机制和管理体制建设、开展党组织活动等方面开展积极探索，推动学校治理体系创新，夯实学校党建工作基层，强化党组织战斗堡垒作用。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（二）补齐教育短板，推动义务教育优质均衡发展。</w:t>
      </w:r>
      <w:r>
        <w:rPr>
          <w:rFonts w:hint="eastAsia" w:ascii="仿宋" w:hAnsi="仿宋" w:eastAsia="仿宋" w:cs="仿宋"/>
          <w:kern w:val="0"/>
          <w:sz w:val="32"/>
          <w:szCs w:val="32"/>
          <w:lang w:val="en-US" w:eastAsia="zh-CN" w:bidi="ar-SA"/>
        </w:rPr>
        <w:t>保基本、补短板、促公平，重中之重是</w:t>
      </w:r>
      <w:bookmarkStart w:id="0" w:name="OLE_LINK1"/>
      <w:r>
        <w:rPr>
          <w:rFonts w:hint="eastAsia" w:ascii="仿宋" w:hAnsi="仿宋" w:eastAsia="仿宋" w:cs="仿宋"/>
          <w:kern w:val="0"/>
          <w:sz w:val="32"/>
          <w:szCs w:val="32"/>
          <w:lang w:val="en-US" w:eastAsia="zh-CN" w:bidi="ar-SA"/>
        </w:rPr>
        <w:t>推动城乡义务教育一体化发展，高度重视农村义务教育，进一步缩小教育资源分配的城乡、地域差异</w:t>
      </w:r>
      <w:bookmarkEnd w:id="0"/>
      <w:r>
        <w:rPr>
          <w:rFonts w:hint="eastAsia" w:ascii="仿宋" w:hAnsi="仿宋" w:eastAsia="仿宋" w:cs="仿宋"/>
          <w:kern w:val="0"/>
          <w:sz w:val="32"/>
          <w:szCs w:val="32"/>
          <w:lang w:val="en-US" w:eastAsia="zh-CN" w:bidi="ar-SA"/>
        </w:rPr>
        <w:t>。抓住全体师生最关心最直接最现实的利益问题，不断满足人民过上美好生活的需要。一</w:t>
      </w:r>
      <w:r>
        <w:rPr>
          <w:rFonts w:hint="eastAsia" w:ascii="仿宋" w:hAnsi="仿宋" w:eastAsia="仿宋" w:cs="仿宋"/>
          <w:b/>
          <w:bCs/>
          <w:sz w:val="32"/>
          <w:szCs w:val="32"/>
          <w:lang w:eastAsia="zh-CN"/>
        </w:rPr>
        <w:t>是继续</w:t>
      </w:r>
      <w:r>
        <w:rPr>
          <w:rFonts w:hint="eastAsia" w:ascii="仿宋" w:hAnsi="仿宋" w:eastAsia="仿宋" w:cs="仿宋"/>
          <w:b/>
          <w:bCs/>
          <w:sz w:val="32"/>
          <w:szCs w:val="32"/>
        </w:rPr>
        <w:t>整合办学资源</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年计划整合</w:t>
      </w:r>
      <w:r>
        <w:rPr>
          <w:rFonts w:hint="eastAsia" w:ascii="仿宋" w:hAnsi="仿宋" w:eastAsia="仿宋" w:cs="仿宋"/>
          <w:b w:val="0"/>
          <w:bCs w:val="0"/>
          <w:sz w:val="32"/>
          <w:szCs w:val="32"/>
          <w:lang w:val="en-US" w:eastAsia="zh-CN"/>
        </w:rPr>
        <w:t>2-3</w:t>
      </w:r>
      <w:r>
        <w:rPr>
          <w:rFonts w:hint="eastAsia" w:ascii="仿宋" w:hAnsi="仿宋" w:eastAsia="仿宋" w:cs="仿宋"/>
          <w:b w:val="0"/>
          <w:bCs w:val="0"/>
          <w:sz w:val="32"/>
          <w:szCs w:val="32"/>
        </w:rPr>
        <w:t>所学校，整合过程中力争将方案做到科学可行，将思想发动工作做到深入细致，确保</w:t>
      </w:r>
      <w:r>
        <w:rPr>
          <w:rFonts w:hint="eastAsia" w:ascii="仿宋" w:hAnsi="仿宋" w:eastAsia="仿宋" w:cs="仿宋"/>
          <w:b w:val="0"/>
          <w:bCs w:val="0"/>
          <w:sz w:val="32"/>
          <w:szCs w:val="32"/>
          <w:lang w:eastAsia="zh-CN"/>
        </w:rPr>
        <w:t>学校优化提质工作顺利推进</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二</w:t>
      </w:r>
      <w:r>
        <w:rPr>
          <w:rFonts w:hint="eastAsia" w:ascii="仿宋" w:hAnsi="仿宋" w:eastAsia="仿宋" w:cs="仿宋"/>
          <w:b/>
          <w:bCs/>
          <w:sz w:val="32"/>
          <w:szCs w:val="32"/>
        </w:rPr>
        <w:t>是改革教师绩效考核体系。</w:t>
      </w:r>
      <w:r>
        <w:rPr>
          <w:rFonts w:hint="eastAsia" w:ascii="仿宋" w:hAnsi="仿宋" w:eastAsia="仿宋" w:cs="仿宋"/>
          <w:b w:val="0"/>
          <w:bCs w:val="0"/>
          <w:kern w:val="0"/>
          <w:sz w:val="32"/>
          <w:szCs w:val="32"/>
          <w:lang w:val="en-US" w:eastAsia="zh-CN" w:bidi="ar-SA"/>
        </w:rPr>
        <w:t>对高中、义务教育及学前教育阶段实行分类管理，分别启动绩效工资改革。鼓励高中学校建立“一校一策” 绩效考核体系，发放绩效工资。强化岗位管理，加快推进职称评聘分离。将班主任津贴、学校管理人员津贴等纳入预算，提高班主任、管理人员工作津贴。按距城区远近发放乡村工作津贴，让教师“下得去、留得住、教得好”。</w:t>
      </w:r>
      <w:r>
        <w:rPr>
          <w:rFonts w:hint="eastAsia" w:ascii="仿宋" w:hAnsi="仿宋" w:eastAsia="仿宋" w:cs="仿宋"/>
          <w:b/>
          <w:bCs/>
          <w:kern w:val="0"/>
          <w:sz w:val="32"/>
          <w:szCs w:val="32"/>
          <w:lang w:val="en-US" w:eastAsia="zh-CN" w:bidi="ar-SA"/>
        </w:rPr>
        <w:t>三是深化课程教学改革。</w:t>
      </w:r>
      <w:r>
        <w:rPr>
          <w:rFonts w:hint="eastAsia" w:ascii="仿宋" w:hAnsi="仿宋" w:eastAsia="仿宋" w:cs="仿宋"/>
          <w:b w:val="0"/>
          <w:bCs w:val="0"/>
          <w:kern w:val="0"/>
          <w:sz w:val="32"/>
          <w:szCs w:val="32"/>
          <w:lang w:val="en-US" w:eastAsia="zh-CN" w:bidi="ar-SA"/>
        </w:rPr>
        <w:t>以“一中心五路径”为核心，即以课堂教学为中心，提高教育质量；解读新课程标准为路径，明确方向；深化课堂评价机制为路径，增强课堂活力；研培一体为路径，提升教师育人水平；开展课题研究为路径，突破课程改革难点；加强学段衔接为路径，提高育人实效。</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bCs/>
          <w:color w:val="auto"/>
          <w:kern w:val="2"/>
          <w:sz w:val="32"/>
          <w:szCs w:val="32"/>
          <w:lang w:val="en-US" w:eastAsia="zh-CN" w:bidi="ar-SA"/>
        </w:rPr>
        <w:t>（三）坚持五育并举，全面发展素质教育。</w:t>
      </w:r>
      <w:r>
        <w:rPr>
          <w:rFonts w:hint="eastAsia" w:ascii="仿宋" w:hAnsi="仿宋" w:eastAsia="仿宋" w:cs="仿宋"/>
          <w:b w:val="0"/>
          <w:bCs w:val="0"/>
          <w:kern w:val="0"/>
          <w:sz w:val="32"/>
          <w:szCs w:val="32"/>
          <w:lang w:val="en-US" w:eastAsia="zh-CN" w:bidi="ar-SA"/>
        </w:rPr>
        <w:t>把立德树人摆在首要位置，作为检验学校一切工作的根本标准，统筹推进中小学思政课一体化建设，落实主要负责人为学生讲思政课机制，打造思政“精品课”和优秀案例。开展“学习新思想，做好接班人”主题教育活动，传承红色基因，厚植爱国主义情怀。</w:t>
      </w:r>
      <w:r>
        <w:rPr>
          <w:rFonts w:hint="eastAsia" w:ascii="仿宋" w:hAnsi="仿宋" w:eastAsia="仿宋" w:cs="仿宋"/>
          <w:bCs/>
          <w:sz w:val="32"/>
          <w:szCs w:val="32"/>
        </w:rPr>
        <w:t>全面落实“五项管理”规定和《株洲市渌口区教育局关于进一步减轻义务教育阶段学生作业负担和校外培训负担的实施办法》等文件精神，</w:t>
      </w:r>
      <w:r>
        <w:rPr>
          <w:rFonts w:hint="eastAsia" w:ascii="仿宋" w:hAnsi="仿宋" w:eastAsia="仿宋" w:cs="仿宋"/>
          <w:bCs/>
          <w:sz w:val="32"/>
          <w:szCs w:val="32"/>
          <w:lang w:eastAsia="zh-CN"/>
        </w:rPr>
        <w:t>让“双减”政策扎实落地，课后服务提质增效。</w:t>
      </w:r>
      <w:r>
        <w:rPr>
          <w:rFonts w:hint="eastAsia" w:ascii="仿宋" w:hAnsi="仿宋" w:eastAsia="仿宋" w:cs="仿宋"/>
          <w:b w:val="0"/>
          <w:bCs w:val="0"/>
          <w:kern w:val="0"/>
          <w:sz w:val="32"/>
          <w:szCs w:val="32"/>
          <w:lang w:val="en-US" w:eastAsia="zh-CN" w:bidi="ar-SA"/>
        </w:rPr>
        <w:t>全面提升学生体质，聚焦“教会、勤练、常赛”，线上线下结合，构建智能化、趣味化体育新模式。全面落实每天锻炼一小时工作要求，切实加强学生体质健康监测，加强防近教育。对标新高考、新中考，突出一校一特色，大力普及篮球、足球、排球、乒乓球、羽毛球及体育赛事，培育学生掌握1-2项运动技能。</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举办全区中小学生“体育节”“足球赛”等大型体育活动。</w:t>
      </w:r>
      <w:r>
        <w:rPr>
          <w:rFonts w:hint="eastAsia" w:ascii="仿宋" w:hAnsi="仿宋" w:eastAsia="仿宋" w:cs="仿宋"/>
          <w:b w:val="0"/>
          <w:bCs w:val="0"/>
          <w:kern w:val="0"/>
          <w:sz w:val="32"/>
          <w:szCs w:val="32"/>
          <w:lang w:val="en-US" w:eastAsia="zh-CN" w:bidi="ar-SA"/>
        </w:rPr>
        <w:t>强化美育育人功能。把艺术素养融入成长基因，开齐课程、开足课时，提升美育教学水平。推动艺术家、社会达人、民间艺人进校园活动，大力开展中小学校园艺术节、合唱展演等活动，发展学生1-2项艺术</w:t>
      </w:r>
      <w:r>
        <w:rPr>
          <w:rFonts w:hint="eastAsia" w:ascii="仿宋" w:hAnsi="仿宋" w:eastAsia="仿宋" w:cs="仿宋"/>
          <w:b w:val="0"/>
          <w:bCs w:val="0"/>
          <w:color w:val="000000" w:themeColor="text1"/>
          <w:kern w:val="0"/>
          <w:sz w:val="32"/>
          <w:szCs w:val="32"/>
          <w:lang w:val="en-US" w:eastAsia="zh-CN" w:bidi="ar-SA"/>
          <w14:textFill>
            <w14:solidFill>
              <w14:schemeClr w14:val="tx1"/>
            </w14:solidFill>
          </w14:textFill>
        </w:rPr>
        <w:t>特长。</w:t>
      </w:r>
      <w:r>
        <w:rPr>
          <w:rFonts w:hint="eastAsia" w:ascii="仿宋" w:hAnsi="仿宋" w:eastAsia="仿宋" w:cs="仿宋"/>
          <w:b w:val="0"/>
          <w:bCs w:val="0"/>
          <w:kern w:val="0"/>
          <w:sz w:val="32"/>
          <w:szCs w:val="32"/>
          <w:lang w:val="en-US" w:eastAsia="zh-CN" w:bidi="ar-SA"/>
        </w:rPr>
        <w:t>创建劳动教育特色。加强劳动教育校本课程建设，打造中小学生劳动教育和社会实践大课堂。探索将劳动教育融入育人全过程、贯通各学段，细化劳动任务清单。继续培育一批市级劳动教育实验校，争创省级劳动教育实验区。</w:t>
      </w:r>
    </w:p>
    <w:p>
      <w:pPr>
        <w:numPr>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color w:val="auto"/>
          <w:kern w:val="2"/>
          <w:sz w:val="32"/>
          <w:szCs w:val="32"/>
          <w:lang w:val="en-US" w:eastAsia="zh-CN" w:bidi="ar-SA"/>
        </w:rPr>
        <w:t>（四）加强队伍建设，夯实教育发展基石。</w:t>
      </w:r>
      <w:r>
        <w:rPr>
          <w:rFonts w:hint="eastAsia" w:ascii="仿宋" w:hAnsi="仿宋" w:eastAsia="仿宋" w:cs="仿宋"/>
          <w:b w:val="0"/>
          <w:bCs w:val="0"/>
          <w:color w:val="auto"/>
          <w:kern w:val="2"/>
          <w:sz w:val="32"/>
          <w:szCs w:val="32"/>
          <w:lang w:val="en-US" w:eastAsia="zh-CN" w:bidi="ar-SA"/>
        </w:rPr>
        <w:t>党的二十大报告就建设教育强国、科技强国、人才强国作出了重要部署。教师是教育高质量发展的第一资源，是科技自立自强的关键支撑，是人才队伍建设的重要保障。</w:t>
      </w: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i w:val="0"/>
          <w:iCs w:val="0"/>
          <w:caps w:val="0"/>
          <w:color w:val="131516"/>
          <w:spacing w:val="0"/>
          <w:sz w:val="32"/>
          <w:szCs w:val="32"/>
          <w:lang w:val="en-US" w:eastAsia="zh-CN"/>
        </w:rPr>
        <w:t>是抓牢师资队伍建设。</w:t>
      </w:r>
      <w:r>
        <w:rPr>
          <w:rFonts w:hint="eastAsia" w:ascii="仿宋" w:hAnsi="仿宋" w:eastAsia="仿宋" w:cs="仿宋"/>
          <w:b w:val="0"/>
          <w:bCs w:val="0"/>
          <w:kern w:val="0"/>
          <w:sz w:val="32"/>
          <w:szCs w:val="32"/>
          <w:lang w:val="en-US" w:eastAsia="zh-CN" w:bidi="ar-SA"/>
        </w:rPr>
        <w:t>创新机制“引”教师。采取“公开招聘+定向培养”方式，每年招聘一批优秀教师，巩固公费师范生培养成果。每年引进一批名校长、名教师，建立新聘教师到乡村学校任教制度。</w:t>
      </w:r>
      <w:r>
        <w:rPr>
          <w:rFonts w:hint="eastAsia" w:ascii="仿宋" w:hAnsi="仿宋" w:eastAsia="仿宋" w:cs="仿宋"/>
          <w:color w:val="000000" w:themeColor="text1"/>
          <w:kern w:val="0"/>
          <w:sz w:val="32"/>
          <w:szCs w:val="32"/>
          <w14:textFill>
            <w14:solidFill>
              <w14:schemeClr w14:val="tx1"/>
            </w14:solidFill>
          </w14:textFill>
        </w:rPr>
        <w:t>加快软件建设</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通过制定政策、创新机制、改善环境、提供服务，促进青年人才健康成长，营造有利于青年人才脱颖而出、健康成长的大环境。</w:t>
      </w:r>
      <w:r>
        <w:rPr>
          <w:rFonts w:hint="eastAsia" w:ascii="仿宋" w:hAnsi="仿宋" w:eastAsia="仿宋" w:cs="仿宋"/>
          <w:b/>
          <w:bCs/>
          <w:color w:val="000000" w:themeColor="text1"/>
          <w:kern w:val="0"/>
          <w:sz w:val="32"/>
          <w:szCs w:val="32"/>
          <w:lang w:eastAsia="zh-CN"/>
          <w14:textFill>
            <w14:solidFill>
              <w14:schemeClr w14:val="tx1"/>
            </w14:solidFill>
          </w14:textFill>
        </w:rPr>
        <w:t>二是</w:t>
      </w:r>
      <w:r>
        <w:rPr>
          <w:rFonts w:hint="eastAsia" w:ascii="仿宋" w:hAnsi="仿宋" w:eastAsia="仿宋" w:cs="仿宋"/>
          <w:b/>
          <w:bCs/>
          <w:sz w:val="32"/>
          <w:szCs w:val="32"/>
        </w:rPr>
        <w:t>精简</w:t>
      </w:r>
      <w:r>
        <w:rPr>
          <w:rFonts w:hint="eastAsia" w:ascii="仿宋" w:hAnsi="仿宋" w:eastAsia="仿宋" w:cs="仿宋"/>
          <w:b/>
          <w:bCs/>
          <w:sz w:val="32"/>
          <w:szCs w:val="32"/>
          <w:lang w:eastAsia="zh-CN"/>
        </w:rPr>
        <w:t>学校</w:t>
      </w:r>
      <w:r>
        <w:rPr>
          <w:rFonts w:hint="eastAsia" w:ascii="仿宋" w:hAnsi="仿宋" w:eastAsia="仿宋" w:cs="仿宋"/>
          <w:b/>
          <w:bCs/>
          <w:sz w:val="32"/>
          <w:szCs w:val="32"/>
        </w:rPr>
        <w:t>管理人员。</w:t>
      </w:r>
      <w:r>
        <w:rPr>
          <w:rFonts w:hint="eastAsia" w:ascii="仿宋" w:hAnsi="仿宋" w:eastAsia="仿宋" w:cs="仿宋"/>
          <w:bCs/>
          <w:sz w:val="32"/>
          <w:szCs w:val="32"/>
        </w:rPr>
        <w:t>完善中小学校长管理办法，规范学校管理人员职数，控制学校教辅人员数量，争取在2</w:t>
      </w:r>
      <w:r>
        <w:rPr>
          <w:rFonts w:hint="eastAsia" w:ascii="仿宋" w:hAnsi="仿宋" w:eastAsia="仿宋" w:cs="仿宋"/>
          <w:color w:val="000000" w:themeColor="text1"/>
          <w:sz w:val="32"/>
          <w:szCs w:val="32"/>
          <w14:textFill>
            <w14:solidFill>
              <w14:schemeClr w14:val="tx1"/>
            </w14:solidFill>
          </w14:textFill>
        </w:rPr>
        <w:t>年内撤销全部中心校，每个乡镇中心幼儿园、中心小学</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全部初中由教育局直管。</w:t>
      </w: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b/>
          <w:bCs/>
          <w:kern w:val="0"/>
          <w:sz w:val="32"/>
          <w:szCs w:val="32"/>
          <w:lang w:val="en-US" w:eastAsia="zh-CN" w:bidi="ar-SA"/>
        </w:rPr>
        <w:t>是打造学校特色品牌。</w:t>
      </w:r>
      <w:r>
        <w:rPr>
          <w:rFonts w:hint="eastAsia" w:ascii="仿宋" w:hAnsi="仿宋" w:eastAsia="仿宋" w:cs="仿宋"/>
          <w:i w:val="0"/>
          <w:iCs w:val="0"/>
          <w:caps w:val="0"/>
          <w:color w:val="131516"/>
          <w:spacing w:val="0"/>
          <w:sz w:val="32"/>
          <w:szCs w:val="32"/>
        </w:rPr>
        <w:t>深化集团办学，采取“名校+”“联盟+”等方式推进名校建设。按照市党代会精神，在全</w:t>
      </w:r>
      <w:r>
        <w:rPr>
          <w:rFonts w:hint="eastAsia" w:ascii="仿宋" w:hAnsi="仿宋" w:eastAsia="仿宋" w:cs="仿宋"/>
          <w:i w:val="0"/>
          <w:iCs w:val="0"/>
          <w:caps w:val="0"/>
          <w:color w:val="131516"/>
          <w:spacing w:val="0"/>
          <w:sz w:val="32"/>
          <w:szCs w:val="32"/>
          <w:lang w:eastAsia="zh-CN"/>
        </w:rPr>
        <w:t>区</w:t>
      </w:r>
      <w:r>
        <w:rPr>
          <w:rFonts w:hint="eastAsia" w:ascii="仿宋" w:hAnsi="仿宋" w:eastAsia="仿宋" w:cs="仿宋"/>
          <w:i w:val="0"/>
          <w:iCs w:val="0"/>
          <w:caps w:val="0"/>
          <w:color w:val="131516"/>
          <w:spacing w:val="0"/>
          <w:sz w:val="32"/>
          <w:szCs w:val="32"/>
        </w:rPr>
        <w:t>教育系统继续实施“品牌与创新项目”，围绕教师队伍管理、体教融合、劳动教育、家校共育等方面大胆实践，争取做到每校有特色、有品牌。加大学校品牌宣传推广，提高品牌学校和品牌项目的知名度、美誉度</w:t>
      </w:r>
      <w:r>
        <w:rPr>
          <w:rFonts w:hint="eastAsia" w:ascii="仿宋" w:hAnsi="仿宋" w:eastAsia="仿宋" w:cs="仿宋"/>
          <w:i w:val="0"/>
          <w:iCs w:val="0"/>
          <w:caps w:val="0"/>
          <w:color w:val="131516"/>
          <w:spacing w:val="0"/>
          <w:sz w:val="32"/>
          <w:szCs w:val="32"/>
          <w:lang w:val="en-US" w:eastAsia="zh-CN"/>
        </w:rPr>
        <w:t>打造渌口教育新名片。</w:t>
      </w:r>
    </w:p>
    <w:p>
      <w:pPr>
        <w:ind w:firstLine="640"/>
        <w:rPr>
          <w:rFonts w:hint="eastAsia" w:ascii="宋体" w:hAnsi="宋体" w:eastAsia="宋体" w:cs="宋体"/>
          <w:b/>
          <w:bCs/>
          <w:sz w:val="32"/>
          <w:szCs w:val="32"/>
        </w:rPr>
      </w:pPr>
      <w:r>
        <w:rPr>
          <w:rFonts w:hint="eastAsia" w:ascii="宋体" w:hAnsi="宋体" w:eastAsia="宋体" w:cs="宋体"/>
          <w:b/>
          <w:bCs/>
          <w:sz w:val="32"/>
          <w:szCs w:val="32"/>
        </w:rPr>
        <w:t>六、绩效自评结果拟应用和公开情况</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我局对2022年度对财政资金的使用情况进行了公开。</w:t>
      </w:r>
    </w:p>
    <w:p>
      <w:pPr>
        <w:rPr>
          <w:rFonts w:hint="eastAsia"/>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446B9"/>
    <w:multiLevelType w:val="singleLevel"/>
    <w:tmpl w:val="32B446B9"/>
    <w:lvl w:ilvl="0" w:tentative="0">
      <w:start w:val="5"/>
      <w:numFmt w:val="chineseCounting"/>
      <w:suff w:val="nothing"/>
      <w:lvlText w:val="%1、"/>
      <w:lvlJc w:val="left"/>
      <w:rPr>
        <w:rFonts w:hint="eastAsia"/>
      </w:rPr>
    </w:lvl>
  </w:abstractNum>
  <w:abstractNum w:abstractNumId="1">
    <w:nsid w:val="3CC32942"/>
    <w:multiLevelType w:val="singleLevel"/>
    <w:tmpl w:val="3CC3294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mNkMmQ4ZTNmMGY5ZDA1YjFiNDI3NjZkYjgyMGUifQ=="/>
  </w:docVars>
  <w:rsids>
    <w:rsidRoot w:val="13956A62"/>
    <w:rsid w:val="1395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note text"/>
    <w:basedOn w:val="1"/>
    <w:qFormat/>
    <w:uiPriority w:val="0"/>
    <w:pPr>
      <w:snapToGrid w:val="0"/>
      <w:jc w:val="left"/>
    </w:pPr>
    <w:rPr>
      <w:rFonts w:cs="Calibri"/>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1"/>
    <w:next w:val="6"/>
    <w:qFormat/>
    <w:uiPriority w:val="0"/>
    <w:pPr>
      <w:ind w:firstLine="880" w:firstLineChars="200"/>
    </w:pPr>
  </w:style>
  <w:style w:type="paragraph" w:styleId="6">
    <w:name w:val="Body Text First Indent 2"/>
    <w:basedOn w:val="2"/>
    <w:next w:val="5"/>
    <w:qFormat/>
    <w:uiPriority w:val="99"/>
    <w:pPr>
      <w:ind w:firstLine="420" w:firstLineChars="200"/>
    </w:pPr>
    <w:rPr>
      <w:rFonts w:ascii="Times New Roman" w:hAnsi="Times New Roman" w:cs="Times New Roman"/>
    </w:rPr>
  </w:style>
  <w:style w:type="paragraph" w:customStyle="1" w:styleId="9">
    <w:name w:val="正文文字"/>
    <w:basedOn w:val="10"/>
    <w:next w:val="1"/>
    <w:qFormat/>
    <w:uiPriority w:val="99"/>
    <w:pPr>
      <w:spacing w:after="120"/>
    </w:pPr>
    <w:rPr>
      <w:rFonts w:ascii="Calibri" w:hAnsi="Calibri" w:eastAsia="宋体" w:cs="Times New Roman"/>
      <w:szCs w:val="24"/>
    </w:rPr>
  </w:style>
  <w:style w:type="paragraph" w:customStyle="1" w:styleId="10">
    <w:name w:val="正文12"/>
    <w:next w:val="9"/>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9502</Words>
  <Characters>9605</Characters>
  <Lines>0</Lines>
  <Paragraphs>0</Paragraphs>
  <TotalTime>20</TotalTime>
  <ScaleCrop>false</ScaleCrop>
  <LinksUpToDate>false</LinksUpToDate>
  <CharactersWithSpaces>9620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2023-04-10T10:19:00Z</dcterms:created>
  <dc:creator>蓝健科</dc:creator>
  <cp:lastModifiedBy>蓝健科</cp:lastModifiedBy>
  <cp:lastPrinted>2023-04-10T10:58:42Z</cp:lastPrinted>
  <dcterms:modified xsi:type="dcterms:W3CDTF">2023-04-10T11:13:19Z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45E51B6AF02C40BC8DBA671DB0ADDC83_11</vt:lpwstr>
  </property>
</Properties>
</file>