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部门整体支出绩效自评报告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tLeast"/>
        <w:ind w:left="0" w:leftChars="0" w:right="0" w:firstLine="560" w:firstLineChars="20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预算单位基本情况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line="24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主要职能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2" w:afterAutospacing="0" w:line="240" w:lineRule="atLeast"/>
        <w:ind w:left="0" w:right="0" w:firstLine="641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财务部门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保障人员经费发放。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2" w:afterAutospacing="0" w:line="240" w:lineRule="atLeast"/>
        <w:ind w:left="0" w:right="0" w:firstLine="641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总务部门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高度重视安全、消防、财务、人事等工作，积极谋划，防范风险，确保学校教育教学正常运行、高效运行。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2" w:afterAutospacing="0" w:line="240" w:lineRule="atLeast"/>
        <w:ind w:left="0" w:right="0" w:firstLine="641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教学部门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加强教师培训，积极开展教学和学法研究，整体提升教育教学水平，促进教师专业发展。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tLeast"/>
        <w:ind w:firstLine="280" w:firstLineChars="1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（二）机构情况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株洲市渌口区育红小学内设部门3个包括：财务部门，总务部门，教学部门。本部门共有编制人数115人,实有人数115人。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一般公共预算支出情况</w:t>
      </w:r>
    </w:p>
    <w:p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tLeast"/>
        <w:ind w:leftChars="200" w:right="0" w:rightChars="0" w:firstLine="280" w:firstLineChars="1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2022年度财政拨款基本支出2,050.99万元，其中：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00" w:beforeAutospacing="0" w:after="100" w:afterAutospacing="0" w:line="24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人员经费1,736.87万元，占基本支出的84.68%，主要包括：基本工资、奖金、绩效工资、机关事业单位基本养老保险缴费、职工基本医疗保险缴费、其他社会保障缴费、住房公积金、医疗费、其他工资福利支出、抚恤金、生活补助、助学金、其他对个人和家庭的补助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00" w:beforeAutospacing="0" w:after="100" w:afterAutospacing="0" w:line="24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公用经费314.12万元，占基本支出的15.32%，主要包括：办公设备购置、专用设备购置、办公费、印刷费、水费、电费、维修（护）费、培训费、劳务费、工会经费、福利费、其他商品和服务支出。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tLeast"/>
        <w:ind w:left="638" w:leftChars="304" w:firstLine="145" w:firstLineChars="52"/>
        <w:textAlignment w:val="auto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（二）项目支出情况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tLeast"/>
        <w:ind w:left="0" w:leftChars="0" w:right="0" w:firstLine="560" w:firstLineChars="20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tLeast"/>
        <w:ind w:left="0" w:leftChars="0" w:right="0" w:firstLine="560" w:firstLineChars="20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部门整体支出绩效情况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tLeast"/>
        <w:ind w:leftChars="20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株洲市渌口区育红小学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严格遵守各项财经纪律，加强学校财务管理工作，制定了相关规章制度，加强和细化了预算编制，严格按照预算执行，确保财务收支平衡，保障学校工作正常开展和教育教学目标的完成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存在的问题及原因分析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tLeast"/>
        <w:ind w:leftChars="10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1、对预算绩效评价的关注度不足，无法满足绩效管理工作的发展要求。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2、预算绩效专业人员欠缺乏，导致预算绩效管理工作不能有效控制。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tLeast"/>
        <w:ind w:left="0" w:leftChars="0" w:right="0" w:firstLine="560" w:firstLineChars="20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五、下一步改进措施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规范财务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收支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管理,督促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进一步对完善财务管理制度，规范资金支出，同时加强项目过程管理。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tLeast"/>
        <w:ind w:left="0" w:leftChars="0" w:right="0" w:firstLine="560" w:firstLineChars="20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绩效自评结果拟应用和公开情况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tLeas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绩效自评结果良好，所有项目信息在学校公开，接受互联网+监督和社会监督。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tyle:normal;font-variant-ligatures:normal;font-variant-cap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E3E100"/>
    <w:multiLevelType w:val="singleLevel"/>
    <w:tmpl w:val="DAE3E10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5D8140"/>
    <w:multiLevelType w:val="singleLevel"/>
    <w:tmpl w:val="DE5D814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BBB7395"/>
    <w:multiLevelType w:val="singleLevel"/>
    <w:tmpl w:val="EBBB73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NGJmYzU2Mzk1NmUwNzY5NWQwYThkMTc0ODE5YzIifQ=="/>
  </w:docVars>
  <w:rsids>
    <w:rsidRoot w:val="6BAF335A"/>
    <w:rsid w:val="3B0501DD"/>
    <w:rsid w:val="6BA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955</Words>
  <Characters>995</Characters>
  <Lines>0</Lines>
  <Paragraphs>0</Paragraphs>
  <TotalTime>2</TotalTime>
  <ScaleCrop>false</ScaleCrop>
  <LinksUpToDate>false</LinksUpToDate>
  <CharactersWithSpaces>995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2023-08-28T09:17:00Z</dcterms:created>
  <dc:creator>争飞</dc:creator>
  <cp:lastModifiedBy>争飞</cp:lastModifiedBy>
  <dcterms:modified xsi:type="dcterms:W3CDTF">2023-08-28T09:33:54Z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F03EBB1DB34D43308DE0F0353DAD4A7C_13</vt:lpwstr>
  </property>
</Properties>
</file>