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附件1</w:t>
      </w:r>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6"/>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6"/>
        <w:gridCol w:w="1399"/>
        <w:gridCol w:w="1417"/>
        <w:gridCol w:w="27"/>
        <w:gridCol w:w="1108"/>
        <w:gridCol w:w="27"/>
        <w:gridCol w:w="908"/>
        <w:gridCol w:w="935"/>
        <w:gridCol w:w="777"/>
        <w:gridCol w:w="897"/>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97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株洲市渌口区行政审批服务局</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lang w:val="en-US" w:eastAsia="zh-CN" w:bidi="ar"/>
              </w:rPr>
            </w:pPr>
            <w:r>
              <w:rPr>
                <w:rFonts w:hint="eastAsia" w:ascii="Times New Roman" w:hAnsi="Times New Roman" w:eastAsia="仿宋_GB2312" w:cs="Times New Roman"/>
                <w:kern w:val="2"/>
                <w:sz w:val="21"/>
                <w:szCs w:val="21"/>
                <w:lang w:val="en-US" w:eastAsia="zh-CN" w:bidi="ar"/>
              </w:rPr>
              <w:t>485.88</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lang w:val="en-US" w:eastAsia="zh-CN" w:bidi="ar"/>
              </w:rPr>
            </w:pPr>
            <w:r>
              <w:rPr>
                <w:rFonts w:hint="eastAsia" w:ascii="Times New Roman" w:hAnsi="Times New Roman" w:eastAsia="仿宋_GB2312" w:cs="Times New Roman"/>
                <w:kern w:val="2"/>
                <w:sz w:val="21"/>
                <w:szCs w:val="21"/>
                <w:lang w:val="en-US" w:eastAsia="zh-CN" w:bidi="ar"/>
              </w:rPr>
              <w:t>817.29</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817.29</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817.29</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817.29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eastAsia="仿宋_GB2312"/>
                <w:kern w:val="0"/>
                <w:szCs w:val="21"/>
              </w:rPr>
              <w:t>根据年初预算严格执行，规范资金列支，保障机关正常运转，</w:t>
            </w:r>
            <w:r>
              <w:rPr>
                <w:rFonts w:hint="eastAsia" w:eastAsia="仿宋_GB2312"/>
                <w:kern w:val="0"/>
                <w:szCs w:val="21"/>
              </w:rPr>
              <w:t>履行好本部门的职能和职责</w:t>
            </w:r>
            <w:r>
              <w:rPr>
                <w:rFonts w:hint="eastAsia" w:eastAsia="仿宋_GB2312"/>
                <w:kern w:val="0"/>
                <w:szCs w:val="21"/>
                <w:lang w:eastAsia="zh-CN"/>
              </w:rPr>
              <w:t>。</w:t>
            </w:r>
            <w:r>
              <w:rPr>
                <w:rFonts w:hint="eastAsia" w:ascii="Times New Roman" w:hAnsi="Times New Roman" w:eastAsia="仿宋_GB2312" w:cs="仿宋_GB2312"/>
                <w:kern w:val="0"/>
                <w:sz w:val="21"/>
                <w:szCs w:val="21"/>
                <w:lang w:val="en-US" w:eastAsia="zh-CN" w:bidi="ar"/>
              </w:rPr>
              <w:t>　</w:t>
            </w:r>
            <w:r>
              <w:rPr>
                <w:rFonts w:hint="default" w:ascii="Times New Roman" w:hAnsi="Times New Roman" w:eastAsia="仿宋_GB2312" w:cs="Times New Roman"/>
                <w:kern w:val="0"/>
                <w:sz w:val="21"/>
                <w:szCs w:val="21"/>
                <w:lang w:val="en-US" w:eastAsia="zh-CN" w:bidi="ar"/>
              </w:rPr>
              <w:t>　　</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21"/>
                <w:szCs w:val="21"/>
                <w:lang w:val="en-US" w:eastAsia="zh-CN" w:bidi="ar-SA"/>
              </w:rPr>
            </w:pPr>
            <w:r>
              <w:rPr>
                <w:rFonts w:eastAsia="仿宋_GB2312"/>
                <w:kern w:val="0"/>
                <w:szCs w:val="21"/>
              </w:rPr>
              <w:t>严格资金列支手续，及时支付机关人员经费、</w:t>
            </w:r>
            <w:r>
              <w:rPr>
                <w:rFonts w:hint="eastAsia" w:eastAsia="仿宋_GB2312"/>
                <w:kern w:val="0"/>
                <w:szCs w:val="21"/>
                <w:lang w:eastAsia="zh-CN"/>
              </w:rPr>
              <w:t>公用经费</w:t>
            </w:r>
            <w:r>
              <w:rPr>
                <w:rFonts w:eastAsia="仿宋_GB2312"/>
                <w:kern w:val="0"/>
                <w:szCs w:val="21"/>
              </w:rPr>
              <w:t>等，有效保障机关正常运转，</w:t>
            </w:r>
            <w:r>
              <w:rPr>
                <w:rFonts w:hint="eastAsia" w:eastAsia="仿宋_GB2312"/>
                <w:kern w:val="0"/>
                <w:szCs w:val="21"/>
              </w:rPr>
              <w:t>如期如质的完成了本部门的职能和职责</w:t>
            </w:r>
            <w:r>
              <w:rPr>
                <w:rFonts w:hint="eastAsia" w:eastAsia="仿宋_GB2312"/>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政务大厅办件数量</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10万件</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14.52万件</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highlight w:val="none"/>
                <w:lang w:val="en-US" w:eastAsia="zh-CN" w:bidi="ar"/>
              </w:rPr>
            </w:pPr>
            <w:r>
              <w:rPr>
                <w:rFonts w:hint="eastAsia" w:eastAsia="仿宋_GB2312"/>
                <w:kern w:val="0"/>
                <w:szCs w:val="21"/>
                <w:lang w:val="en-US" w:eastAsia="zh-CN"/>
              </w:rPr>
              <w:t>政务大厅办证数量</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仿宋_GB2312"/>
                <w:kern w:val="0"/>
                <w:sz w:val="21"/>
                <w:szCs w:val="21"/>
                <w:highlight w:val="none"/>
                <w:lang w:val="en-US" w:eastAsia="zh-CN" w:bidi="ar"/>
              </w:rPr>
            </w:pPr>
            <w:r>
              <w:rPr>
                <w:rFonts w:hint="eastAsia" w:ascii="Times New Roman" w:hAnsi="Times New Roman" w:eastAsia="仿宋_GB2312" w:cs="仿宋_GB2312"/>
                <w:kern w:val="0"/>
                <w:sz w:val="21"/>
                <w:szCs w:val="21"/>
                <w:highlight w:val="none"/>
                <w:lang w:val="en-US" w:eastAsia="zh-CN" w:bidi="ar"/>
              </w:rPr>
              <w:t>1万件</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仿宋_GB2312"/>
                <w:kern w:val="0"/>
                <w:sz w:val="21"/>
                <w:szCs w:val="21"/>
                <w:highlight w:val="none"/>
                <w:lang w:val="en-US" w:eastAsia="zh-CN" w:bidi="ar"/>
              </w:rPr>
            </w:pPr>
            <w:r>
              <w:rPr>
                <w:rFonts w:hint="eastAsia" w:ascii="Times New Roman" w:hAnsi="Times New Roman" w:eastAsia="仿宋_GB2312" w:cs="仿宋_GB2312"/>
                <w:kern w:val="0"/>
                <w:sz w:val="21"/>
                <w:szCs w:val="21"/>
                <w:highlight w:val="none"/>
                <w:lang w:val="en-US" w:eastAsia="zh-CN" w:bidi="ar"/>
              </w:rPr>
              <w:t>1.11万件</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仿宋_GB2312"/>
                <w:kern w:val="0"/>
                <w:sz w:val="21"/>
                <w:szCs w:val="21"/>
                <w:highlight w:val="none"/>
                <w:lang w:val="en-US" w:eastAsia="zh-CN" w:bidi="ar"/>
              </w:rPr>
            </w:pPr>
            <w:r>
              <w:rPr>
                <w:rFonts w:hint="eastAsia" w:ascii="Times New Roman" w:hAnsi="Times New Roman" w:eastAsia="仿宋_GB2312" w:cs="仿宋_GB2312"/>
                <w:kern w:val="0"/>
                <w:sz w:val="21"/>
                <w:szCs w:val="21"/>
                <w:highlight w:val="none"/>
                <w:lang w:val="en-US" w:eastAsia="zh-CN" w:bidi="ar"/>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仿宋_GB2312"/>
                <w:kern w:val="0"/>
                <w:sz w:val="21"/>
                <w:szCs w:val="21"/>
                <w:highlight w:val="none"/>
                <w:lang w:val="en-US" w:eastAsia="zh-CN" w:bidi="ar"/>
              </w:rPr>
            </w:pPr>
            <w:r>
              <w:rPr>
                <w:rFonts w:hint="eastAsia" w:ascii="Times New Roman" w:hAnsi="Times New Roman" w:eastAsia="仿宋_GB2312" w:cs="仿宋_GB2312"/>
                <w:kern w:val="0"/>
                <w:sz w:val="21"/>
                <w:szCs w:val="21"/>
                <w:highlight w:val="none"/>
                <w:lang w:val="en-US" w:eastAsia="zh-CN" w:bidi="ar"/>
              </w:rPr>
              <w:t>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highlight w:val="none"/>
                <w:lang w:val="en-US" w:eastAsia="zh-CN" w:bidi="ar"/>
              </w:rPr>
            </w:pPr>
            <w:r>
              <w:rPr>
                <w:rFonts w:hint="eastAsia" w:eastAsia="仿宋_GB2312"/>
                <w:kern w:val="0"/>
                <w:szCs w:val="21"/>
                <w:lang w:val="en-US" w:eastAsia="zh-CN"/>
              </w:rPr>
              <w:t>政务大厅咨询数量</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仿宋_GB2312"/>
                <w:kern w:val="0"/>
                <w:sz w:val="21"/>
                <w:szCs w:val="21"/>
                <w:highlight w:val="none"/>
                <w:lang w:val="en-US" w:eastAsia="zh-CN" w:bidi="ar"/>
              </w:rPr>
            </w:pPr>
            <w:r>
              <w:rPr>
                <w:rFonts w:hint="eastAsia" w:ascii="Times New Roman" w:hAnsi="Times New Roman" w:eastAsia="仿宋_GB2312" w:cs="仿宋_GB2312"/>
                <w:kern w:val="0"/>
                <w:sz w:val="21"/>
                <w:szCs w:val="21"/>
                <w:highlight w:val="none"/>
                <w:lang w:val="en-US" w:eastAsia="zh-CN" w:bidi="ar"/>
              </w:rPr>
              <w:t>8万件</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仿宋_GB2312"/>
                <w:kern w:val="0"/>
                <w:sz w:val="21"/>
                <w:szCs w:val="21"/>
                <w:highlight w:val="none"/>
                <w:lang w:val="en-US" w:eastAsia="zh-CN" w:bidi="ar"/>
              </w:rPr>
            </w:pPr>
            <w:r>
              <w:rPr>
                <w:rFonts w:hint="eastAsia" w:ascii="Times New Roman" w:hAnsi="Times New Roman" w:eastAsia="仿宋_GB2312" w:cs="仿宋_GB2312"/>
                <w:kern w:val="0"/>
                <w:sz w:val="21"/>
                <w:szCs w:val="21"/>
                <w:highlight w:val="none"/>
                <w:lang w:val="en-US" w:eastAsia="zh-CN" w:bidi="ar"/>
              </w:rPr>
              <w:t>10.71万件</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仿宋_GB2312"/>
                <w:kern w:val="0"/>
                <w:sz w:val="21"/>
                <w:szCs w:val="21"/>
                <w:highlight w:val="none"/>
                <w:lang w:val="en-US" w:eastAsia="zh-CN" w:bidi="ar"/>
              </w:rPr>
            </w:pPr>
            <w:r>
              <w:rPr>
                <w:rFonts w:hint="eastAsia" w:ascii="Times New Roman" w:hAnsi="Times New Roman" w:eastAsia="仿宋_GB2312" w:cs="仿宋_GB2312"/>
                <w:kern w:val="0"/>
                <w:sz w:val="21"/>
                <w:szCs w:val="21"/>
                <w:highlight w:val="none"/>
                <w:lang w:val="en-US" w:eastAsia="zh-CN" w:bidi="ar"/>
              </w:rPr>
              <w:t>3</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仿宋_GB2312"/>
                <w:kern w:val="0"/>
                <w:sz w:val="21"/>
                <w:szCs w:val="21"/>
                <w:highlight w:val="none"/>
                <w:lang w:val="en-US" w:eastAsia="zh-CN" w:bidi="ar"/>
              </w:rPr>
            </w:pPr>
            <w:r>
              <w:rPr>
                <w:rFonts w:hint="eastAsia" w:ascii="Times New Roman" w:hAnsi="Times New Roman" w:eastAsia="仿宋_GB2312" w:cs="仿宋_GB2312"/>
                <w:kern w:val="0"/>
                <w:sz w:val="21"/>
                <w:szCs w:val="21"/>
                <w:highlight w:val="none"/>
                <w:lang w:val="en-US" w:eastAsia="zh-CN" w:bidi="ar"/>
              </w:rPr>
              <w:t>3</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培训场次</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仿宋_GB2312"/>
                <w:kern w:val="0"/>
                <w:sz w:val="21"/>
                <w:szCs w:val="21"/>
                <w:highlight w:val="none"/>
                <w:lang w:val="en-US" w:eastAsia="zh-CN" w:bidi="ar"/>
              </w:rPr>
            </w:pPr>
            <w:r>
              <w:rPr>
                <w:rFonts w:hint="eastAsia" w:ascii="Times New Roman" w:hAnsi="Times New Roman" w:eastAsia="仿宋_GB2312" w:cs="仿宋_GB2312"/>
                <w:kern w:val="0"/>
                <w:sz w:val="21"/>
                <w:szCs w:val="21"/>
                <w:highlight w:val="none"/>
                <w:lang w:val="en-US" w:eastAsia="zh-CN" w:bidi="ar"/>
              </w:rPr>
              <w:t>30场</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仿宋_GB2312"/>
                <w:kern w:val="0"/>
                <w:sz w:val="21"/>
                <w:szCs w:val="21"/>
                <w:highlight w:val="yellow"/>
                <w:lang w:val="en-US" w:eastAsia="zh-CN" w:bidi="ar"/>
              </w:rPr>
            </w:pPr>
            <w:r>
              <w:rPr>
                <w:rFonts w:hint="eastAsia" w:ascii="Times New Roman" w:hAnsi="Times New Roman" w:eastAsia="仿宋_GB2312" w:cs="仿宋_GB2312"/>
                <w:kern w:val="0"/>
                <w:sz w:val="21"/>
                <w:szCs w:val="21"/>
                <w:highlight w:val="none"/>
                <w:lang w:val="en-US" w:eastAsia="zh-CN" w:bidi="ar"/>
              </w:rPr>
              <w:t>53场</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仿宋_GB2312"/>
                <w:kern w:val="0"/>
                <w:sz w:val="21"/>
                <w:szCs w:val="21"/>
                <w:highlight w:val="none"/>
                <w:lang w:val="en-US" w:eastAsia="zh-CN" w:bidi="ar"/>
              </w:rPr>
            </w:pPr>
            <w:r>
              <w:rPr>
                <w:rFonts w:hint="eastAsia" w:ascii="Times New Roman" w:hAnsi="Times New Roman" w:eastAsia="仿宋_GB2312" w:cs="仿宋_GB2312"/>
                <w:kern w:val="0"/>
                <w:sz w:val="21"/>
                <w:szCs w:val="21"/>
                <w:highlight w:val="none"/>
                <w:lang w:val="en-US" w:eastAsia="zh-CN" w:bidi="ar"/>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仿宋_GB2312"/>
                <w:kern w:val="0"/>
                <w:sz w:val="21"/>
                <w:szCs w:val="21"/>
                <w:highlight w:val="none"/>
                <w:lang w:val="en-US" w:eastAsia="zh-CN" w:bidi="ar"/>
              </w:rPr>
            </w:pPr>
            <w:r>
              <w:rPr>
                <w:rFonts w:hint="eastAsia" w:ascii="Times New Roman" w:hAnsi="Times New Roman" w:eastAsia="仿宋_GB2312" w:cs="仿宋_GB2312"/>
                <w:kern w:val="0"/>
                <w:sz w:val="21"/>
                <w:szCs w:val="21"/>
                <w:highlight w:val="none"/>
                <w:lang w:val="en-US" w:eastAsia="zh-CN" w:bidi="ar"/>
              </w:rPr>
              <w:t>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
              </w:rPr>
              <w:t>培训人数</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1000人</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yellow"/>
                <w:lang w:val="en-US" w:eastAsia="zh-CN" w:bidi="ar-SA"/>
              </w:rPr>
            </w:pPr>
            <w:r>
              <w:rPr>
                <w:rFonts w:hint="eastAsia" w:ascii="Times New Roman" w:hAnsi="Times New Roman" w:eastAsia="仿宋_GB2312" w:cs="仿宋_GB2312"/>
                <w:kern w:val="0"/>
                <w:sz w:val="21"/>
                <w:szCs w:val="21"/>
                <w:highlight w:val="none"/>
                <w:lang w:val="en-US" w:eastAsia="zh-CN" w:bidi="ar"/>
              </w:rPr>
              <w:t>1950人</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eastAsia="仿宋_GB2312" w:asciiTheme="minorHAnsi" w:hAnsiTheme="minorHAnsi" w:cstheme="minorBidi"/>
                <w:kern w:val="0"/>
                <w:sz w:val="21"/>
                <w:szCs w:val="21"/>
                <w:lang w:val="en-US" w:eastAsia="zh-CN" w:bidi="ar-SA"/>
              </w:rPr>
            </w:pPr>
            <w:r>
              <w:rPr>
                <w:rFonts w:hint="default" w:ascii="Times New Roman" w:hAnsi="Times New Roman" w:eastAsia="仿宋_GB2312" w:cs="Times New Roman"/>
                <w:kern w:val="0"/>
                <w:sz w:val="21"/>
                <w:szCs w:val="21"/>
                <w:highlight w:val="none"/>
                <w:lang w:val="en-US" w:eastAsia="zh-CN" w:bidi="ar"/>
              </w:rPr>
              <w:t>工作</w:t>
            </w:r>
            <w:r>
              <w:rPr>
                <w:rFonts w:hint="eastAsia" w:ascii="Times New Roman" w:hAnsi="Times New Roman" w:eastAsia="仿宋_GB2312" w:cs="Times New Roman"/>
                <w:kern w:val="0"/>
                <w:sz w:val="21"/>
                <w:szCs w:val="21"/>
                <w:highlight w:val="none"/>
                <w:lang w:val="en-US" w:eastAsia="zh-CN" w:bidi="ar"/>
              </w:rPr>
              <w:t>完成度</w:t>
            </w:r>
            <w:r>
              <w:rPr>
                <w:rFonts w:hint="default" w:ascii="Times New Roman" w:hAnsi="Times New Roman" w:eastAsia="仿宋_GB2312" w:cs="Times New Roman"/>
                <w:kern w:val="0"/>
                <w:sz w:val="21"/>
                <w:szCs w:val="21"/>
                <w:highlight w:val="none"/>
                <w:lang w:val="en-US" w:eastAsia="zh-CN" w:bidi="ar"/>
              </w:rPr>
              <w:t>和</w:t>
            </w:r>
            <w:r>
              <w:rPr>
                <w:rFonts w:hint="eastAsia" w:eastAsia="仿宋_GB2312"/>
                <w:kern w:val="0"/>
                <w:szCs w:val="21"/>
                <w:lang w:val="en-US" w:eastAsia="zh-CN"/>
              </w:rPr>
              <w:t>群众满意度</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eastAsia" w:ascii="仿宋" w:hAnsi="仿宋" w:eastAsia="仿宋" w:cs="仿宋"/>
                <w:kern w:val="0"/>
                <w:sz w:val="21"/>
                <w:szCs w:val="21"/>
                <w:lang w:val="en-US" w:eastAsia="zh-CN" w:bidi="ar"/>
              </w:rPr>
              <w:t>＞=90%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98%以上</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9</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8</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政务</w:t>
            </w:r>
            <w:r>
              <w:rPr>
                <w:rFonts w:hint="default" w:ascii="Times New Roman" w:hAnsi="Times New Roman" w:eastAsia="仿宋_GB2312" w:cs="Times New Roman"/>
                <w:kern w:val="0"/>
                <w:sz w:val="21"/>
                <w:szCs w:val="21"/>
                <w:lang w:val="en-US" w:eastAsia="zh-CN" w:bidi="ar"/>
              </w:rPr>
              <w:t>服务</w:t>
            </w:r>
            <w:r>
              <w:rPr>
                <w:rFonts w:hint="eastAsia" w:ascii="Times New Roman" w:hAnsi="Times New Roman" w:eastAsia="仿宋_GB2312" w:cs="Times New Roman"/>
                <w:kern w:val="0"/>
                <w:sz w:val="21"/>
                <w:szCs w:val="21"/>
                <w:lang w:val="en-US" w:eastAsia="zh-CN" w:bidi="ar"/>
              </w:rPr>
              <w:t>工作</w:t>
            </w:r>
            <w:r>
              <w:rPr>
                <w:rFonts w:hint="default" w:ascii="Times New Roman" w:hAnsi="Times New Roman" w:eastAsia="仿宋_GB2312" w:cs="Times New Roman"/>
                <w:kern w:val="0"/>
                <w:sz w:val="21"/>
                <w:szCs w:val="21"/>
                <w:lang w:val="en-US" w:eastAsia="zh-CN" w:bidi="ar"/>
              </w:rPr>
              <w:t>效率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eastAsia" w:ascii="仿宋" w:hAnsi="仿宋" w:eastAsia="仿宋" w:cs="仿宋"/>
                <w:kern w:val="0"/>
                <w:sz w:val="21"/>
                <w:szCs w:val="21"/>
                <w:lang w:val="en-US" w:eastAsia="zh-CN" w:bidi="ar"/>
              </w:rPr>
              <w:t>＞=90%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98%以上</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9</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8</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政务服务工作</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817.29万元</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817.29万元</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9</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9</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仿宋_GB2312" w:cs="Times New Roman"/>
                <w:kern w:val="0"/>
                <w:sz w:val="21"/>
                <w:szCs w:val="21"/>
                <w:lang w:val="en-US" w:eastAsia="zh-CN" w:bidi="ar"/>
              </w:rPr>
              <w:t>（30分）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
              </w:rPr>
              <w:t>工作效率和</w:t>
            </w:r>
            <w:r>
              <w:rPr>
                <w:rFonts w:hint="eastAsia" w:ascii="Times New Roman" w:hAnsi="Times New Roman" w:eastAsia="仿宋_GB2312" w:cs="Times New Roman"/>
                <w:kern w:val="0"/>
                <w:sz w:val="21"/>
                <w:szCs w:val="21"/>
                <w:highlight w:val="none"/>
                <w:lang w:val="en-US" w:eastAsia="zh-CN" w:bidi="ar"/>
              </w:rPr>
              <w:t>群众</w:t>
            </w:r>
            <w:r>
              <w:rPr>
                <w:rFonts w:hint="default" w:ascii="Times New Roman" w:hAnsi="Times New Roman" w:eastAsia="仿宋_GB2312" w:cs="Times New Roman"/>
                <w:kern w:val="0"/>
                <w:sz w:val="21"/>
                <w:szCs w:val="21"/>
                <w:highlight w:val="none"/>
                <w:lang w:val="en-US" w:eastAsia="zh-CN" w:bidi="ar"/>
              </w:rPr>
              <w:t>满意度</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仿宋" w:hAnsi="仿宋" w:eastAsia="仿宋" w:cs="仿宋"/>
                <w:kern w:val="0"/>
                <w:sz w:val="21"/>
                <w:szCs w:val="21"/>
                <w:lang w:val="en-US" w:eastAsia="zh-CN" w:bidi="ar"/>
              </w:rPr>
              <w:t>＞=90%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kern w:val="0"/>
                <w:sz w:val="21"/>
                <w:szCs w:val="21"/>
                <w:highlight w:val="none"/>
                <w:lang w:val="en-US" w:eastAsia="zh-CN" w:bidi="ar"/>
              </w:rPr>
            </w:pPr>
          </w:p>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98%以上</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15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14</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群众</w:t>
            </w:r>
            <w:r>
              <w:rPr>
                <w:rFonts w:hint="default" w:ascii="Times New Roman" w:hAnsi="Times New Roman" w:eastAsia="仿宋_GB2312" w:cs="Times New Roman"/>
                <w:kern w:val="0"/>
                <w:sz w:val="21"/>
                <w:szCs w:val="21"/>
                <w:lang w:val="en-US" w:eastAsia="zh-CN" w:bidi="ar"/>
              </w:rPr>
              <w:t>办事效率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持续提升</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　提升</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ascii="Times New Roman" w:hAnsi="Times New Roman" w:eastAsia="仿宋_GB2312" w:cs="仿宋_GB2312"/>
                <w:kern w:val="0"/>
                <w:sz w:val="21"/>
                <w:szCs w:val="21"/>
                <w:highlight w:val="none"/>
                <w:lang w:val="en-US" w:eastAsia="zh-CN" w:bidi="ar"/>
              </w:rPr>
              <w:t>15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14</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群众满意</w:t>
            </w:r>
            <w:r>
              <w:rPr>
                <w:rFonts w:hint="eastAsia" w:ascii="Times New Roman" w:hAnsi="Times New Roman" w:eastAsia="仿宋_GB2312" w:cs="Times New Roman"/>
                <w:kern w:val="0"/>
                <w:sz w:val="21"/>
                <w:szCs w:val="21"/>
                <w:lang w:val="en-US" w:eastAsia="zh-CN" w:bidi="ar"/>
              </w:rPr>
              <w:t>度</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＞=90%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98%以上</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　10　</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　10　</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96</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eastAsia" w:ascii="仿宋" w:hAnsi="仿宋" w:eastAsia="仿宋" w:cs="仿宋"/>
          <w:kern w:val="0"/>
          <w:sz w:val="21"/>
          <w:szCs w:val="21"/>
          <w:lang w:val="en-US" w:eastAsia="zh-CN" w:bidi="ar"/>
        </w:rPr>
        <w:t>填报人：齐星    联系电话：15886320886    填报日期：2023年4月13日    单位负责人签字：</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小标宋简体" w:cs="Times New Roman"/>
          <w:sz w:val="44"/>
          <w:szCs w:val="44"/>
          <w:lang w:val="en-US"/>
        </w:rPr>
      </w:pPr>
      <w:r>
        <w:rPr>
          <w:rFonts w:hint="default" w:ascii="Times New Roman" w:hAnsi="Times New Roman" w:eastAsia="黑体" w:cs="Times New Roman"/>
          <w:kern w:val="2"/>
          <w:sz w:val="32"/>
          <w:szCs w:val="32"/>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cs="Times New Roman"/>
          <w:sz w:val="32"/>
          <w:szCs w:val="32"/>
          <w:lang w:val="en-US"/>
        </w:rPr>
      </w:pPr>
      <w:r>
        <w:rPr>
          <w:rFonts w:hint="eastAsia" w:ascii="Times New Roman" w:hAnsi="Times New Roman" w:eastAsia="仿宋" w:cs="Times New Roman"/>
          <w:kern w:val="2"/>
          <w:sz w:val="32"/>
          <w:szCs w:val="32"/>
          <w:lang w:val="en-US" w:eastAsia="zh-CN" w:bidi="ar"/>
        </w:rPr>
        <w:t xml:space="preserve"> </w:t>
      </w:r>
    </w:p>
    <w:p>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预算单位基本情况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（一）主要职能：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根据渌办〔2019〕52号文件规定，本部门主要职责是：</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1、牵头负责全区行政审批制度改革工作；负责全区重点项目行政审批事项督办工作；负责全区行政许可、公共服务事项、网络审批运行监督工作。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2、统筹协调、监督评估全区电子政务信息化建设工作；统筹推进、监督协调全区“互联网+政务服务”工作；负责全区大数据管理工作。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3、负责全区集中统一办事大厅标准化、规范化建设，负责区政务服务中心进驻部门和人员的日常管理、培训、监督和考核工作。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4、指导推进跨领域、跨部门“放管服”改革工作；维护营商政务、法制等环境；协调、推进全区行政效能工作。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5、统筹推进全区数字化建设工作，拟订并组织实施全区数字化建设发展规划、计划、政策、措施；负责推进产业数字化、数字产业化发展，推动新一代数字技术与实体经济深度融合。</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6、完成区委、区政府交办的其他任务。</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（二）机构情况：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株洲市渌口区行政审批服务局是株洲市渌口区人民政府工作部门，为正科级。下设内设机构5个，包括办公室、行政审批制度改革股、电子政务管理股、窗ロ管理股、信息化服务股。所属事业单位1个，渌口区政务服务中心为副科级公益一类全额拨款事业单位。</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（三）人员情况：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株洲市渌口区行政审批服务局现有编制7人，在职人员6人。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渌口区政务服务中心现有编制13人，在职人员10人（其中参公事业人员2人，非参公事业人员8人），离休人员0人，退休人员2人。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聘请政府雇员18人，劳务派遣工11人，物业公司人员4人，其中：负责“互联网+政务服务”相关工作23人，负责窗口非税收入集中收缴2人，负责“帮代办”相关工作4人，保安1人，保洁3人。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全系统共有人员183人，其中在职在编人员16人，离休人员0人，退休人员2人，合同工18人，劳务派遣工11人，保安1人，保洁3人，进驻部门人员132人。</w:t>
      </w:r>
    </w:p>
    <w:p>
      <w:pPr>
        <w:pStyle w:val="9"/>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pStyle w:val="9"/>
        <w:widowControl/>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640" w:firstLineChars="200"/>
        <w:textAlignment w:val="center"/>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1、收入支出预算安排情况：</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仿宋" w:hAnsi="仿宋" w:eastAsia="仿宋" w:cs="仿宋"/>
          <w:kern w:val="2"/>
          <w:sz w:val="32"/>
          <w:szCs w:val="32"/>
          <w:highlight w:val="yellow"/>
          <w:lang w:val="en-US" w:eastAsia="zh-CN" w:bidi="ar"/>
        </w:rPr>
      </w:pPr>
      <w:r>
        <w:rPr>
          <w:rFonts w:hint="eastAsia" w:ascii="仿宋" w:hAnsi="仿宋" w:eastAsia="仿宋" w:cs="仿宋"/>
          <w:sz w:val="32"/>
          <w:szCs w:val="32"/>
          <w:highlight w:val="none"/>
          <w:lang w:val="en-US" w:eastAsia="zh-CN"/>
        </w:rPr>
        <w:t>2022</w:t>
      </w:r>
      <w:r>
        <w:rPr>
          <w:rFonts w:hint="eastAsia" w:ascii="仿宋" w:hAnsi="仿宋" w:eastAsia="仿宋" w:cs="仿宋"/>
          <w:sz w:val="32"/>
          <w:szCs w:val="32"/>
          <w:highlight w:val="none"/>
        </w:rPr>
        <w:t>年度年初预算本年收入</w:t>
      </w:r>
      <w:r>
        <w:rPr>
          <w:rFonts w:hint="eastAsia" w:ascii="仿宋" w:hAnsi="仿宋" w:eastAsia="仿宋" w:cs="仿宋"/>
          <w:sz w:val="32"/>
          <w:szCs w:val="32"/>
          <w:highlight w:val="none"/>
          <w:lang w:val="en-US" w:eastAsia="zh-CN"/>
        </w:rPr>
        <w:t>485.88万元，本年</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val="en-US" w:eastAsia="zh-CN"/>
        </w:rPr>
        <w:t>485.88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kern w:val="2"/>
          <w:sz w:val="32"/>
          <w:szCs w:val="32"/>
          <w:highlight w:val="none"/>
        </w:rPr>
        <w:t>收、支总计与上年</w:t>
      </w:r>
      <w:r>
        <w:rPr>
          <w:rFonts w:hint="eastAsia" w:ascii="仿宋" w:hAnsi="仿宋" w:eastAsia="仿宋" w:cs="仿宋"/>
          <w:sz w:val="32"/>
          <w:szCs w:val="32"/>
          <w:highlight w:val="none"/>
        </w:rPr>
        <w:t>年初预算</w:t>
      </w:r>
      <w:r>
        <w:rPr>
          <w:rFonts w:hint="eastAsia" w:ascii="仿宋" w:hAnsi="仿宋" w:eastAsia="仿宋" w:cs="仿宋"/>
          <w:kern w:val="2"/>
          <w:sz w:val="32"/>
          <w:szCs w:val="32"/>
          <w:highlight w:val="none"/>
        </w:rPr>
        <w:t>数比</w:t>
      </w:r>
      <w:r>
        <w:rPr>
          <w:rFonts w:hint="eastAsia" w:ascii="仿宋" w:hAnsi="仿宋" w:eastAsia="仿宋" w:cs="仿宋"/>
          <w:kern w:val="2"/>
          <w:sz w:val="32"/>
          <w:szCs w:val="32"/>
          <w:highlight w:val="none"/>
          <w:lang w:eastAsia="zh-CN"/>
        </w:rPr>
        <w:t>减少</w:t>
      </w:r>
      <w:r>
        <w:rPr>
          <w:rFonts w:hint="eastAsia" w:ascii="仿宋" w:hAnsi="仿宋" w:eastAsia="仿宋" w:cs="仿宋"/>
          <w:kern w:val="2"/>
          <w:sz w:val="32"/>
          <w:szCs w:val="32"/>
          <w:highlight w:val="none"/>
          <w:lang w:val="en-US" w:eastAsia="zh-CN"/>
        </w:rPr>
        <w:t>5.75</w:t>
      </w:r>
      <w:r>
        <w:rPr>
          <w:rFonts w:hint="eastAsia" w:ascii="仿宋" w:hAnsi="仿宋" w:eastAsia="仿宋" w:cs="仿宋"/>
          <w:kern w:val="2"/>
          <w:sz w:val="32"/>
          <w:szCs w:val="32"/>
          <w:highlight w:val="none"/>
        </w:rPr>
        <w:t>万元，</w:t>
      </w:r>
      <w:r>
        <w:rPr>
          <w:rFonts w:hint="eastAsia" w:ascii="仿宋" w:hAnsi="仿宋" w:eastAsia="仿宋" w:cs="仿宋"/>
          <w:sz w:val="32"/>
          <w:szCs w:val="32"/>
          <w:highlight w:val="none"/>
        </w:rPr>
        <w:t>与上年对比</w:t>
      </w:r>
      <w:r>
        <w:rPr>
          <w:rFonts w:hint="eastAsia" w:ascii="仿宋" w:hAnsi="仿宋" w:eastAsia="仿宋" w:cs="仿宋"/>
          <w:kern w:val="2"/>
          <w:sz w:val="32"/>
          <w:szCs w:val="32"/>
          <w:highlight w:val="none"/>
          <w:lang w:eastAsia="zh-CN"/>
        </w:rPr>
        <w:t>减少</w:t>
      </w:r>
      <w:r>
        <w:rPr>
          <w:rFonts w:hint="eastAsia" w:ascii="仿宋" w:hAnsi="仿宋" w:eastAsia="仿宋" w:cs="仿宋"/>
          <w:kern w:val="2"/>
          <w:sz w:val="32"/>
          <w:szCs w:val="32"/>
          <w:highlight w:val="none"/>
          <w:lang w:val="en-US" w:eastAsia="zh-CN"/>
        </w:rPr>
        <w:t>1.17</w:t>
      </w:r>
      <w:r>
        <w:rPr>
          <w:rFonts w:hint="eastAsia" w:ascii="仿宋" w:hAnsi="仿宋" w:eastAsia="仿宋" w:cs="仿宋"/>
          <w:kern w:val="2"/>
          <w:sz w:val="32"/>
          <w:szCs w:val="32"/>
          <w:highlight w:val="none"/>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rightChars="0" w:firstLine="640" w:firstLineChars="200"/>
        <w:textAlignment w:val="center"/>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2、收入支出预、决算执行情况：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2022</w:t>
      </w:r>
      <w:r>
        <w:rPr>
          <w:rFonts w:hint="eastAsia" w:ascii="仿宋" w:hAnsi="仿宋" w:eastAsia="仿宋" w:cs="仿宋"/>
          <w:sz w:val="32"/>
          <w:szCs w:val="32"/>
        </w:rPr>
        <w:t>年度收入</w:t>
      </w:r>
      <w:r>
        <w:rPr>
          <w:rFonts w:hint="eastAsia" w:ascii="仿宋" w:hAnsi="仿宋" w:eastAsia="仿宋" w:cs="仿宋"/>
          <w:sz w:val="32"/>
          <w:szCs w:val="32"/>
          <w:lang w:eastAsia="zh-CN"/>
        </w:rPr>
        <w:t>、</w:t>
      </w:r>
      <w:r>
        <w:rPr>
          <w:rFonts w:hint="eastAsia" w:ascii="仿宋" w:hAnsi="仿宋" w:eastAsia="仿宋" w:cs="仿宋"/>
          <w:sz w:val="32"/>
          <w:szCs w:val="32"/>
        </w:rPr>
        <w:t>支出</w:t>
      </w:r>
      <w:r>
        <w:rPr>
          <w:rFonts w:hint="eastAsia" w:ascii="仿宋" w:hAnsi="仿宋" w:eastAsia="仿宋" w:cs="仿宋"/>
          <w:sz w:val="32"/>
          <w:szCs w:val="32"/>
          <w:lang w:eastAsia="zh-CN"/>
        </w:rPr>
        <w:t>决算数</w:t>
      </w:r>
      <w:r>
        <w:rPr>
          <w:rFonts w:hint="eastAsia" w:ascii="仿宋" w:hAnsi="仿宋" w:eastAsia="仿宋" w:cs="仿宋"/>
          <w:sz w:val="32"/>
          <w:szCs w:val="32"/>
          <w:lang w:val="en-US" w:eastAsia="zh-CN"/>
        </w:rPr>
        <w:t>817.29</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kern w:val="2"/>
          <w:sz w:val="32"/>
          <w:szCs w:val="32"/>
        </w:rPr>
        <w:t>收、支总计与上年决算数比增加</w:t>
      </w:r>
      <w:r>
        <w:rPr>
          <w:rFonts w:hint="eastAsia" w:ascii="仿宋" w:hAnsi="仿宋" w:eastAsia="仿宋" w:cs="仿宋"/>
          <w:kern w:val="2"/>
          <w:sz w:val="32"/>
          <w:szCs w:val="32"/>
          <w:highlight w:val="none"/>
          <w:lang w:val="en-US" w:eastAsia="zh-CN"/>
        </w:rPr>
        <w:t>65.44</w:t>
      </w:r>
      <w:r>
        <w:rPr>
          <w:rFonts w:hint="eastAsia" w:ascii="仿宋" w:hAnsi="仿宋" w:eastAsia="仿宋" w:cs="仿宋"/>
          <w:kern w:val="2"/>
          <w:sz w:val="32"/>
          <w:szCs w:val="32"/>
        </w:rPr>
        <w:t>万元，与上年对比增</w:t>
      </w:r>
      <w:r>
        <w:rPr>
          <w:rFonts w:hint="eastAsia" w:ascii="仿宋" w:hAnsi="仿宋" w:eastAsia="仿宋" w:cs="仿宋"/>
          <w:kern w:val="2"/>
          <w:sz w:val="32"/>
          <w:szCs w:val="32"/>
          <w:lang w:eastAsia="zh-CN"/>
        </w:rPr>
        <w:t>长</w:t>
      </w:r>
      <w:r>
        <w:rPr>
          <w:rFonts w:hint="eastAsia" w:ascii="仿宋" w:hAnsi="仿宋" w:eastAsia="仿宋" w:cs="仿宋"/>
          <w:kern w:val="2"/>
          <w:sz w:val="32"/>
          <w:szCs w:val="32"/>
          <w:lang w:val="en-US" w:eastAsia="zh-CN"/>
        </w:rPr>
        <w:t>8.7</w:t>
      </w:r>
      <w:r>
        <w:rPr>
          <w:rFonts w:hint="eastAsia" w:ascii="仿宋" w:hAnsi="仿宋" w:eastAsia="仿宋" w:cs="仿宋"/>
          <w:kern w:val="2"/>
          <w:sz w:val="32"/>
          <w:szCs w:val="32"/>
        </w:rPr>
        <w:t>%。</w:t>
      </w:r>
      <w:r>
        <w:rPr>
          <w:rFonts w:hint="eastAsia" w:ascii="仿宋" w:hAnsi="仿宋" w:eastAsia="仿宋" w:cs="仿宋"/>
          <w:sz w:val="32"/>
          <w:szCs w:val="32"/>
        </w:rPr>
        <w:t>调整原因是：</w:t>
      </w:r>
      <w:r>
        <w:rPr>
          <w:rFonts w:hint="eastAsia" w:ascii="仿宋" w:hAnsi="仿宋" w:eastAsia="仿宋" w:cs="仿宋"/>
          <w:sz w:val="32"/>
          <w:szCs w:val="32"/>
          <w:lang w:val="en-US" w:eastAsia="zh-CN"/>
        </w:rPr>
        <w:t>2022年承接“智慧渌口”建设职能，</w:t>
      </w:r>
      <w:r>
        <w:rPr>
          <w:rFonts w:hint="eastAsia" w:ascii="仿宋" w:hAnsi="仿宋" w:eastAsia="仿宋" w:cs="仿宋"/>
          <w:strike w:val="0"/>
          <w:sz w:val="32"/>
          <w:szCs w:val="32"/>
          <w:highlight w:val="none"/>
          <w:lang w:eastAsia="zh-CN"/>
        </w:rPr>
        <w:t>单位</w:t>
      </w:r>
      <w:r>
        <w:rPr>
          <w:rFonts w:hint="eastAsia" w:ascii="仿宋" w:hAnsi="仿宋" w:eastAsia="仿宋" w:cs="仿宋"/>
          <w:color w:val="000000"/>
          <w:sz w:val="32"/>
          <w:szCs w:val="32"/>
          <w:highlight w:val="none"/>
        </w:rPr>
        <w:t>职能调整增加</w:t>
      </w:r>
      <w:r>
        <w:rPr>
          <w:rFonts w:hint="eastAsia" w:ascii="仿宋" w:hAnsi="仿宋" w:eastAsia="仿宋" w:cs="仿宋"/>
          <w:color w:val="000000"/>
          <w:sz w:val="32"/>
          <w:szCs w:val="32"/>
          <w:highlight w:val="none"/>
          <w:lang w:eastAsia="zh-CN"/>
        </w:rPr>
        <w:t>。</w:t>
      </w:r>
      <w:r>
        <w:rPr>
          <w:rFonts w:hint="eastAsia" w:ascii="仿宋" w:hAnsi="仿宋" w:eastAsia="仿宋" w:cs="仿宋"/>
          <w:sz w:val="32"/>
          <w:szCs w:val="32"/>
          <w:highlight w:val="none"/>
          <w:lang w:val="en-US" w:eastAsia="zh-CN"/>
        </w:rPr>
        <w:t>7月</w:t>
      </w:r>
      <w:r>
        <w:rPr>
          <w:rFonts w:hint="eastAsia" w:ascii="仿宋" w:hAnsi="仿宋" w:eastAsia="仿宋" w:cs="仿宋"/>
          <w:sz w:val="32"/>
          <w:szCs w:val="32"/>
          <w:highlight w:val="none"/>
        </w:rPr>
        <w:t>局机关和政务服务中心搬迁至</w:t>
      </w:r>
      <w:r>
        <w:rPr>
          <w:rFonts w:hint="eastAsia" w:ascii="仿宋" w:hAnsi="仿宋" w:eastAsia="仿宋" w:cs="仿宋"/>
          <w:b w:val="0"/>
          <w:bCs w:val="0"/>
          <w:sz w:val="32"/>
          <w:szCs w:val="32"/>
          <w:highlight w:val="none"/>
          <w:lang w:val="en-US" w:eastAsia="zh-CN"/>
        </w:rPr>
        <w:t>南洲创新创业园，新</w:t>
      </w:r>
      <w:r>
        <w:rPr>
          <w:rFonts w:hint="eastAsia" w:ascii="仿宋" w:hAnsi="仿宋" w:eastAsia="仿宋" w:cs="仿宋"/>
          <w:color w:val="000000"/>
          <w:sz w:val="32"/>
          <w:szCs w:val="32"/>
          <w:highlight w:val="none"/>
        </w:rPr>
        <w:t>政务大厅入驻部门和工作人员增加</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业务工作经费增加。</w:t>
      </w:r>
    </w:p>
    <w:p>
      <w:pPr>
        <w:pStyle w:val="11"/>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3、一般公共预算财政拨款基本支出决算情况说明：</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2022年度一般公共预算财政拨款基本支出817.29万元（</w:t>
      </w:r>
      <w:r>
        <w:rPr>
          <w:rFonts w:hint="eastAsia" w:ascii="仿宋" w:hAnsi="仿宋" w:eastAsia="仿宋" w:cs="仿宋"/>
          <w:i w:val="0"/>
          <w:iCs w:val="0"/>
          <w:caps w:val="0"/>
          <w:color w:val="000000"/>
          <w:spacing w:val="0"/>
          <w:sz w:val="32"/>
          <w:szCs w:val="32"/>
          <w:shd w:val="clear" w:fill="FFFFFF"/>
        </w:rPr>
        <w:t>因四舍五入的原因，</w:t>
      </w:r>
      <w:r>
        <w:rPr>
          <w:rFonts w:hint="eastAsia" w:ascii="仿宋" w:hAnsi="仿宋" w:eastAsia="仿宋" w:cs="仿宋"/>
          <w:color w:val="000000"/>
          <w:kern w:val="2"/>
          <w:sz w:val="32"/>
          <w:szCs w:val="32"/>
          <w:lang w:val="en-US" w:eastAsia="zh-CN" w:bidi="ar-SA"/>
        </w:rPr>
        <w:t>一般公共预算财政拨款基本支出817.29万元</w:t>
      </w:r>
      <w:r>
        <w:rPr>
          <w:rFonts w:hint="eastAsia" w:ascii="仿宋" w:hAnsi="仿宋" w:eastAsia="仿宋" w:cs="仿宋"/>
          <w:i w:val="0"/>
          <w:iCs w:val="0"/>
          <w:caps w:val="0"/>
          <w:color w:val="000000"/>
          <w:spacing w:val="0"/>
          <w:sz w:val="32"/>
          <w:szCs w:val="32"/>
          <w:shd w:val="clear" w:fill="FFFFFF"/>
        </w:rPr>
        <w:t>和明细数合计总数</w:t>
      </w:r>
      <w:r>
        <w:rPr>
          <w:rFonts w:hint="eastAsia" w:ascii="仿宋" w:hAnsi="仿宋" w:eastAsia="仿宋" w:cs="仿宋"/>
          <w:i w:val="0"/>
          <w:iCs w:val="0"/>
          <w:caps w:val="0"/>
          <w:color w:val="000000"/>
          <w:spacing w:val="0"/>
          <w:sz w:val="32"/>
          <w:szCs w:val="32"/>
          <w:shd w:val="clear" w:fill="FFFFFF"/>
          <w:lang w:val="en-US" w:eastAsia="zh-CN"/>
        </w:rPr>
        <w:t>817.3万元</w:t>
      </w:r>
      <w:r>
        <w:rPr>
          <w:rFonts w:hint="eastAsia" w:ascii="仿宋" w:hAnsi="仿宋" w:eastAsia="仿宋" w:cs="仿宋"/>
          <w:i w:val="0"/>
          <w:iCs w:val="0"/>
          <w:caps w:val="0"/>
          <w:color w:val="000000"/>
          <w:spacing w:val="0"/>
          <w:sz w:val="32"/>
          <w:szCs w:val="32"/>
          <w:shd w:val="clear" w:fill="FFFFFF"/>
        </w:rPr>
        <w:t>相差0.0</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color w:val="000000"/>
          <w:kern w:val="2"/>
          <w:sz w:val="32"/>
          <w:szCs w:val="32"/>
          <w:lang w:val="en-US" w:eastAsia="zh-CN" w:bidi="ar-SA"/>
        </w:rPr>
        <w:t>），主要包括：</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工资福利支出312.96万元，其中基本工资59.2万元，津贴补贴20.07万元，奖金51.8万元，绩效工资19.85万元，机关事业单位基本养老保险缴费16.3万元，职工基本医疗保险缴费9.13万元，公务员医疗补助缴费3.2万元，其他社会保障缴费0.49万元，住房公积金15.84万元，其他工资福利支出117.08万元。</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（2）商品和服务支出439.82万元，其中办公费</w:t>
      </w:r>
      <w:r>
        <w:rPr>
          <w:rFonts w:hint="eastAsia" w:ascii="仿宋" w:hAnsi="仿宋" w:eastAsia="仿宋" w:cs="仿宋"/>
          <w:color w:val="000000"/>
          <w:kern w:val="2"/>
          <w:sz w:val="32"/>
          <w:szCs w:val="32"/>
          <w:highlight w:val="none"/>
          <w:lang w:val="en-US" w:eastAsia="zh-CN" w:bidi="ar-SA"/>
        </w:rPr>
        <w:t>113.16</w:t>
      </w:r>
      <w:r>
        <w:rPr>
          <w:rFonts w:hint="eastAsia" w:ascii="仿宋" w:hAnsi="仿宋" w:eastAsia="仿宋" w:cs="仿宋"/>
          <w:color w:val="000000"/>
          <w:kern w:val="2"/>
          <w:sz w:val="32"/>
          <w:szCs w:val="32"/>
          <w:lang w:val="en-US" w:eastAsia="zh-CN" w:bidi="ar-SA"/>
        </w:rPr>
        <w:t>万元，印刷费</w:t>
      </w:r>
      <w:r>
        <w:rPr>
          <w:rFonts w:hint="eastAsia" w:ascii="仿宋" w:hAnsi="仿宋" w:eastAsia="仿宋" w:cs="仿宋"/>
          <w:color w:val="000000"/>
          <w:kern w:val="2"/>
          <w:sz w:val="32"/>
          <w:szCs w:val="32"/>
          <w:highlight w:val="none"/>
          <w:lang w:val="en-US" w:eastAsia="zh-CN" w:bidi="ar-SA"/>
        </w:rPr>
        <w:t>32.26</w:t>
      </w:r>
      <w:r>
        <w:rPr>
          <w:rFonts w:hint="eastAsia" w:ascii="仿宋" w:hAnsi="仿宋" w:eastAsia="仿宋" w:cs="仿宋"/>
          <w:color w:val="000000"/>
          <w:kern w:val="2"/>
          <w:sz w:val="32"/>
          <w:szCs w:val="32"/>
          <w:lang w:val="en-US" w:eastAsia="zh-CN" w:bidi="ar-SA"/>
        </w:rPr>
        <w:t>万元，咨询费1.5万元，水费1.43万元，电费9.9万元，邮电费</w:t>
      </w:r>
      <w:r>
        <w:rPr>
          <w:rFonts w:hint="eastAsia" w:ascii="仿宋" w:hAnsi="仿宋" w:eastAsia="仿宋" w:cs="仿宋"/>
          <w:color w:val="000000"/>
          <w:kern w:val="2"/>
          <w:sz w:val="32"/>
          <w:szCs w:val="32"/>
          <w:highlight w:val="none"/>
          <w:lang w:val="en-US" w:eastAsia="zh-CN" w:bidi="ar-SA"/>
        </w:rPr>
        <w:t>1.68</w:t>
      </w:r>
      <w:r>
        <w:rPr>
          <w:rFonts w:hint="eastAsia" w:ascii="仿宋" w:hAnsi="仿宋" w:eastAsia="仿宋" w:cs="仿宋"/>
          <w:color w:val="000000"/>
          <w:kern w:val="2"/>
          <w:sz w:val="32"/>
          <w:szCs w:val="32"/>
          <w:lang w:val="en-US" w:eastAsia="zh-CN" w:bidi="ar-SA"/>
        </w:rPr>
        <w:t>万元，物业管理费</w:t>
      </w:r>
      <w:r>
        <w:rPr>
          <w:rFonts w:hint="eastAsia" w:ascii="仿宋" w:hAnsi="仿宋" w:eastAsia="仿宋" w:cs="仿宋"/>
          <w:color w:val="000000"/>
          <w:kern w:val="2"/>
          <w:sz w:val="32"/>
          <w:szCs w:val="32"/>
          <w:highlight w:val="none"/>
          <w:lang w:val="en-US" w:eastAsia="zh-CN" w:bidi="ar-SA"/>
        </w:rPr>
        <w:t>17.37</w:t>
      </w:r>
      <w:r>
        <w:rPr>
          <w:rFonts w:hint="eastAsia" w:ascii="仿宋" w:hAnsi="仿宋" w:eastAsia="仿宋" w:cs="仿宋"/>
          <w:color w:val="000000"/>
          <w:kern w:val="2"/>
          <w:sz w:val="32"/>
          <w:szCs w:val="32"/>
          <w:lang w:val="en-US" w:eastAsia="zh-CN" w:bidi="ar-SA"/>
        </w:rPr>
        <w:t>万元，差旅费7.72万元，维修（护）费</w:t>
      </w:r>
      <w:r>
        <w:rPr>
          <w:rFonts w:hint="eastAsia" w:ascii="仿宋" w:hAnsi="仿宋" w:eastAsia="仿宋" w:cs="仿宋"/>
          <w:color w:val="000000"/>
          <w:kern w:val="2"/>
          <w:sz w:val="32"/>
          <w:szCs w:val="32"/>
          <w:highlight w:val="none"/>
          <w:lang w:val="en-US" w:eastAsia="zh-CN" w:bidi="ar-SA"/>
        </w:rPr>
        <w:t>4.51</w:t>
      </w:r>
      <w:r>
        <w:rPr>
          <w:rFonts w:hint="eastAsia" w:ascii="仿宋" w:hAnsi="仿宋" w:eastAsia="仿宋" w:cs="仿宋"/>
          <w:color w:val="000000"/>
          <w:kern w:val="2"/>
          <w:sz w:val="32"/>
          <w:szCs w:val="32"/>
          <w:lang w:val="en-US" w:eastAsia="zh-CN" w:bidi="ar-SA"/>
        </w:rPr>
        <w:t>万元，租赁费</w:t>
      </w:r>
      <w:r>
        <w:rPr>
          <w:rFonts w:hint="eastAsia" w:ascii="仿宋" w:hAnsi="仿宋" w:eastAsia="仿宋" w:cs="仿宋"/>
          <w:color w:val="000000"/>
          <w:kern w:val="2"/>
          <w:sz w:val="32"/>
          <w:szCs w:val="32"/>
          <w:highlight w:val="none"/>
          <w:lang w:val="en-US" w:eastAsia="zh-CN" w:bidi="ar-SA"/>
        </w:rPr>
        <w:t>35.8</w:t>
      </w:r>
      <w:r>
        <w:rPr>
          <w:rFonts w:hint="eastAsia" w:ascii="仿宋" w:hAnsi="仿宋" w:eastAsia="仿宋" w:cs="仿宋"/>
          <w:color w:val="000000"/>
          <w:kern w:val="2"/>
          <w:sz w:val="32"/>
          <w:szCs w:val="32"/>
          <w:lang w:val="en-US" w:eastAsia="zh-CN" w:bidi="ar-SA"/>
        </w:rPr>
        <w:t>万元，培训费</w:t>
      </w:r>
      <w:r>
        <w:rPr>
          <w:rFonts w:hint="eastAsia" w:ascii="仿宋" w:hAnsi="仿宋" w:eastAsia="仿宋" w:cs="仿宋"/>
          <w:color w:val="000000"/>
          <w:kern w:val="2"/>
          <w:sz w:val="32"/>
          <w:szCs w:val="32"/>
          <w:highlight w:val="none"/>
          <w:lang w:val="en-US" w:eastAsia="zh-CN" w:bidi="ar-SA"/>
        </w:rPr>
        <w:t>16.17</w:t>
      </w:r>
      <w:r>
        <w:rPr>
          <w:rFonts w:hint="eastAsia" w:ascii="仿宋" w:hAnsi="仿宋" w:eastAsia="仿宋" w:cs="仿宋"/>
          <w:color w:val="000000"/>
          <w:kern w:val="2"/>
          <w:sz w:val="32"/>
          <w:szCs w:val="32"/>
          <w:lang w:val="en-US" w:eastAsia="zh-CN" w:bidi="ar-SA"/>
        </w:rPr>
        <w:t>万元，公务招待费0.5万元，劳务费</w:t>
      </w:r>
      <w:r>
        <w:rPr>
          <w:rFonts w:hint="eastAsia" w:ascii="仿宋" w:hAnsi="仿宋" w:eastAsia="仿宋" w:cs="仿宋"/>
          <w:color w:val="000000"/>
          <w:kern w:val="2"/>
          <w:sz w:val="32"/>
          <w:szCs w:val="32"/>
          <w:highlight w:val="none"/>
          <w:lang w:val="en-US" w:eastAsia="zh-CN" w:bidi="ar-SA"/>
        </w:rPr>
        <w:t>60.67</w:t>
      </w:r>
      <w:r>
        <w:rPr>
          <w:rFonts w:hint="eastAsia" w:ascii="仿宋" w:hAnsi="仿宋" w:eastAsia="仿宋" w:cs="仿宋"/>
          <w:color w:val="000000"/>
          <w:kern w:val="2"/>
          <w:sz w:val="32"/>
          <w:szCs w:val="32"/>
          <w:lang w:val="en-US" w:eastAsia="zh-CN" w:bidi="ar-SA"/>
        </w:rPr>
        <w:t>万元，委托业务费22.81万元，工会经费</w:t>
      </w:r>
      <w:r>
        <w:rPr>
          <w:rFonts w:hint="eastAsia" w:ascii="仿宋" w:hAnsi="仿宋" w:eastAsia="仿宋" w:cs="仿宋"/>
          <w:color w:val="000000"/>
          <w:kern w:val="2"/>
          <w:sz w:val="32"/>
          <w:szCs w:val="32"/>
          <w:highlight w:val="none"/>
          <w:lang w:val="en-US" w:eastAsia="zh-CN" w:bidi="ar-SA"/>
        </w:rPr>
        <w:t>17.34</w:t>
      </w:r>
      <w:r>
        <w:rPr>
          <w:rFonts w:hint="eastAsia" w:ascii="仿宋" w:hAnsi="仿宋" w:eastAsia="仿宋" w:cs="仿宋"/>
          <w:color w:val="000000"/>
          <w:kern w:val="2"/>
          <w:sz w:val="32"/>
          <w:szCs w:val="32"/>
          <w:lang w:val="en-US" w:eastAsia="zh-CN" w:bidi="ar-SA"/>
        </w:rPr>
        <w:t>万元,福利费4.58万元，其他交通费用</w:t>
      </w:r>
      <w:r>
        <w:rPr>
          <w:rFonts w:hint="eastAsia" w:ascii="仿宋" w:hAnsi="仿宋" w:eastAsia="仿宋" w:cs="仿宋"/>
          <w:color w:val="000000"/>
          <w:kern w:val="2"/>
          <w:sz w:val="32"/>
          <w:szCs w:val="32"/>
          <w:highlight w:val="none"/>
          <w:lang w:val="en-US" w:eastAsia="zh-CN" w:bidi="ar-SA"/>
        </w:rPr>
        <w:t>10.52</w:t>
      </w:r>
      <w:r>
        <w:rPr>
          <w:rFonts w:hint="eastAsia" w:ascii="仿宋" w:hAnsi="仿宋" w:eastAsia="仿宋" w:cs="仿宋"/>
          <w:color w:val="000000"/>
          <w:kern w:val="2"/>
          <w:sz w:val="32"/>
          <w:szCs w:val="32"/>
          <w:lang w:val="en-US" w:eastAsia="zh-CN" w:bidi="ar-SA"/>
        </w:rPr>
        <w:t>万元，其他商品和服务支出</w:t>
      </w:r>
      <w:r>
        <w:rPr>
          <w:rFonts w:hint="eastAsia" w:ascii="仿宋" w:hAnsi="仿宋" w:eastAsia="仿宋" w:cs="仿宋"/>
          <w:color w:val="000000"/>
          <w:kern w:val="2"/>
          <w:sz w:val="32"/>
          <w:szCs w:val="32"/>
          <w:highlight w:val="none"/>
          <w:lang w:val="en-US" w:eastAsia="zh-CN" w:bidi="ar-SA"/>
        </w:rPr>
        <w:t>81.92</w:t>
      </w:r>
      <w:r>
        <w:rPr>
          <w:rFonts w:hint="eastAsia" w:ascii="仿宋" w:hAnsi="仿宋" w:eastAsia="仿宋" w:cs="仿宋"/>
          <w:color w:val="000000"/>
          <w:kern w:val="2"/>
          <w:sz w:val="32"/>
          <w:szCs w:val="32"/>
          <w:lang w:val="en-US" w:eastAsia="zh-CN" w:bidi="ar-SA"/>
        </w:rPr>
        <w:t>万元（</w:t>
      </w:r>
      <w:r>
        <w:rPr>
          <w:rFonts w:hint="eastAsia" w:ascii="仿宋" w:hAnsi="仿宋" w:eastAsia="仿宋" w:cs="仿宋"/>
          <w:i w:val="0"/>
          <w:iCs w:val="0"/>
          <w:caps w:val="0"/>
          <w:color w:val="000000"/>
          <w:spacing w:val="0"/>
          <w:sz w:val="32"/>
          <w:szCs w:val="32"/>
          <w:shd w:val="clear" w:fill="FFFFFF"/>
        </w:rPr>
        <w:t>因四舍五入的原因，</w:t>
      </w:r>
      <w:r>
        <w:rPr>
          <w:rFonts w:hint="eastAsia" w:ascii="仿宋" w:hAnsi="仿宋" w:eastAsia="仿宋" w:cs="仿宋"/>
          <w:color w:val="000000"/>
          <w:kern w:val="2"/>
          <w:sz w:val="32"/>
          <w:szCs w:val="32"/>
          <w:lang w:val="en-US" w:eastAsia="zh-CN" w:bidi="ar-SA"/>
        </w:rPr>
        <w:t>商品和服务支出439.82万元</w:t>
      </w:r>
      <w:r>
        <w:rPr>
          <w:rFonts w:hint="eastAsia" w:ascii="仿宋" w:hAnsi="仿宋" w:eastAsia="仿宋" w:cs="仿宋"/>
          <w:i w:val="0"/>
          <w:iCs w:val="0"/>
          <w:caps w:val="0"/>
          <w:color w:val="000000"/>
          <w:spacing w:val="0"/>
          <w:sz w:val="32"/>
          <w:szCs w:val="32"/>
          <w:shd w:val="clear" w:fill="FFFFFF"/>
        </w:rPr>
        <w:t>和明细数合计总数</w:t>
      </w:r>
      <w:r>
        <w:rPr>
          <w:rFonts w:hint="eastAsia" w:ascii="仿宋" w:hAnsi="仿宋" w:eastAsia="仿宋" w:cs="仿宋"/>
          <w:i w:val="0"/>
          <w:iCs w:val="0"/>
          <w:caps w:val="0"/>
          <w:color w:val="000000"/>
          <w:spacing w:val="0"/>
          <w:sz w:val="32"/>
          <w:szCs w:val="32"/>
          <w:shd w:val="clear" w:fill="FFFFFF"/>
          <w:lang w:val="en-US" w:eastAsia="zh-CN"/>
        </w:rPr>
        <w:t>439.84万元</w:t>
      </w:r>
      <w:r>
        <w:rPr>
          <w:rFonts w:hint="eastAsia" w:ascii="仿宋" w:hAnsi="仿宋" w:eastAsia="仿宋" w:cs="仿宋"/>
          <w:i w:val="0"/>
          <w:iCs w:val="0"/>
          <w:caps w:val="0"/>
          <w:color w:val="000000"/>
          <w:spacing w:val="0"/>
          <w:sz w:val="32"/>
          <w:szCs w:val="32"/>
          <w:shd w:val="clear" w:fill="FFFFFF"/>
        </w:rPr>
        <w:t>相差0.0</w:t>
      </w: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color w:val="000000"/>
          <w:kern w:val="2"/>
          <w:sz w:val="32"/>
          <w:szCs w:val="32"/>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（3）对个人和家庭的补助1.44万元,其中奖励金1.24万元，其他对个人和家庭的补助0.2万元。</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eastAsia" w:ascii="仿宋" w:hAnsi="仿宋" w:eastAsia="仿宋" w:cs="仿宋"/>
          <w:color w:val="000000"/>
          <w:kern w:val="2"/>
          <w:sz w:val="32"/>
          <w:szCs w:val="32"/>
          <w:lang w:val="en-US" w:eastAsia="zh-CN" w:bidi="ar-SA"/>
        </w:rPr>
        <w:t>（4）资本性支出63.08万元，其中办公设备购置63.08万元。</w:t>
      </w:r>
    </w:p>
    <w:p>
      <w:pPr>
        <w:pStyle w:val="9"/>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pPr>
        <w:widowControl/>
        <w:spacing w:line="579" w:lineRule="exact"/>
        <w:ind w:firstLine="640" w:firstLineChars="200"/>
        <w:rPr>
          <w:rFonts w:hint="eastAsia" w:ascii="仿宋" w:hAnsi="仿宋" w:eastAsia="仿宋" w:cs="仿宋"/>
          <w:kern w:val="0"/>
          <w:sz w:val="32"/>
          <w:szCs w:val="32"/>
          <w:highlight w:val="none"/>
          <w:lang w:val="zh-CN" w:bidi="hi-IN"/>
        </w:rPr>
      </w:pPr>
      <w:r>
        <w:rPr>
          <w:rFonts w:hint="eastAsia" w:ascii="仿宋" w:hAnsi="仿宋" w:eastAsia="仿宋" w:cs="仿宋"/>
          <w:kern w:val="0"/>
          <w:sz w:val="32"/>
          <w:szCs w:val="32"/>
          <w:highlight w:val="none"/>
          <w:lang w:val="en-US" w:eastAsia="zh-CN" w:bidi="hi-IN"/>
        </w:rPr>
        <w:t>2022年</w:t>
      </w:r>
      <w:r>
        <w:rPr>
          <w:rFonts w:hint="eastAsia" w:ascii="仿宋" w:hAnsi="仿宋" w:eastAsia="仿宋" w:cs="仿宋"/>
          <w:kern w:val="0"/>
          <w:sz w:val="32"/>
          <w:szCs w:val="32"/>
          <w:highlight w:val="none"/>
          <w:lang w:val="zh-CN" w:bidi="hi-IN"/>
        </w:rPr>
        <w:t>度项目支出预算资金总额为</w:t>
      </w:r>
      <w:r>
        <w:rPr>
          <w:rFonts w:hint="eastAsia" w:ascii="仿宋" w:hAnsi="仿宋" w:eastAsia="仿宋" w:cs="仿宋"/>
          <w:kern w:val="0"/>
          <w:sz w:val="32"/>
          <w:szCs w:val="32"/>
          <w:highlight w:val="none"/>
          <w:lang w:val="en-US" w:eastAsia="zh-CN" w:bidi="hi-IN"/>
        </w:rPr>
        <w:t>18.64</w:t>
      </w:r>
      <w:r>
        <w:rPr>
          <w:rFonts w:hint="eastAsia" w:ascii="仿宋" w:hAnsi="仿宋" w:eastAsia="仿宋" w:cs="仿宋"/>
          <w:kern w:val="0"/>
          <w:sz w:val="32"/>
          <w:szCs w:val="32"/>
          <w:highlight w:val="none"/>
          <w:lang w:val="zh-CN" w:bidi="hi-IN"/>
        </w:rPr>
        <w:t>万元，202</w:t>
      </w:r>
      <w:r>
        <w:rPr>
          <w:rFonts w:hint="eastAsia" w:ascii="仿宋" w:hAnsi="仿宋" w:eastAsia="仿宋" w:cs="仿宋"/>
          <w:kern w:val="0"/>
          <w:sz w:val="32"/>
          <w:szCs w:val="32"/>
          <w:highlight w:val="none"/>
          <w:lang w:val="en-US" w:eastAsia="zh-CN" w:bidi="hi-IN"/>
        </w:rPr>
        <w:t>2</w:t>
      </w:r>
      <w:r>
        <w:rPr>
          <w:rFonts w:hint="eastAsia" w:ascii="仿宋" w:hAnsi="仿宋" w:eastAsia="仿宋" w:cs="仿宋"/>
          <w:kern w:val="0"/>
          <w:sz w:val="32"/>
          <w:szCs w:val="32"/>
          <w:highlight w:val="none"/>
          <w:lang w:val="zh-CN" w:bidi="hi-IN"/>
        </w:rPr>
        <w:t>年度决算数为</w:t>
      </w:r>
      <w:r>
        <w:rPr>
          <w:rFonts w:hint="eastAsia" w:ascii="仿宋" w:hAnsi="仿宋" w:eastAsia="仿宋" w:cs="仿宋"/>
          <w:kern w:val="0"/>
          <w:sz w:val="32"/>
          <w:szCs w:val="32"/>
          <w:highlight w:val="none"/>
          <w:lang w:val="en-US" w:eastAsia="zh-CN" w:bidi="hi-IN"/>
        </w:rPr>
        <w:t>0.00</w:t>
      </w:r>
      <w:r>
        <w:rPr>
          <w:rFonts w:hint="eastAsia" w:ascii="仿宋" w:hAnsi="仿宋" w:eastAsia="仿宋" w:cs="仿宋"/>
          <w:kern w:val="0"/>
          <w:sz w:val="32"/>
          <w:szCs w:val="32"/>
          <w:highlight w:val="none"/>
          <w:lang w:val="zh-CN" w:bidi="hi-IN"/>
        </w:rPr>
        <w:t>万元，</w:t>
      </w:r>
      <w:r>
        <w:rPr>
          <w:rFonts w:hint="eastAsia" w:ascii="仿宋" w:hAnsi="仿宋" w:eastAsia="仿宋" w:cs="仿宋"/>
          <w:kern w:val="0"/>
          <w:sz w:val="32"/>
          <w:szCs w:val="32"/>
          <w:highlight w:val="none"/>
          <w:lang w:val="en-US" w:eastAsia="zh-CN" w:bidi="hi-IN"/>
        </w:rPr>
        <w:t>年初项目预算均调剂至基本支出</w:t>
      </w:r>
      <w:r>
        <w:rPr>
          <w:rFonts w:hint="eastAsia" w:ascii="仿宋" w:hAnsi="仿宋" w:eastAsia="仿宋" w:cs="仿宋"/>
          <w:kern w:val="0"/>
          <w:sz w:val="32"/>
          <w:szCs w:val="32"/>
          <w:highlight w:val="none"/>
          <w:lang w:val="zh-CN" w:bidi="hi-IN"/>
        </w:rPr>
        <w:t>。</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1.推行政务大厅搬迁暨综窗大改革。</w:t>
      </w:r>
      <w:r>
        <w:rPr>
          <w:rFonts w:hint="eastAsia" w:ascii="方正仿宋_GBK" w:hAnsi="方正仿宋_GBK" w:eastAsia="方正仿宋_GBK" w:cs="方正仿宋_GBK"/>
          <w:b w:val="0"/>
          <w:bCs w:val="0"/>
          <w:sz w:val="32"/>
          <w:szCs w:val="32"/>
          <w:lang w:val="en-US" w:eastAsia="zh-CN"/>
        </w:rPr>
        <w:t>今年来，根据区委区政府部署要求，在行政审批局及相关部门的共同努力下，用时100来天，完成了流程改革、设计装修、大厅搬迁等多项重点工作，创造了一个渌口的新速度，同时在市领导、区主要领导和相关部门的共同见证下，7月份在南洲创新创业园隆重举行了新厅启用仪式，政务大厅搬迁主要突显一是“极简办事”，以搬迁为契机，各单位内部整合并授权政务中心，原则上实现服务类事项全部由综合窗口受理，极大方便企业群众来厅办事；二是“聚焦惠企”，围绕“青春渌口、创业新城”目标，重新整合建设工程联合审批专区，通过相关职能部门派驻专人驻点审批，实现建设工程领域事项全流程审批均在大厅一站式完成，更好利企惠企；新设园区政策兑现专区，实现招商引资政策、人才政策等现场兑现。新设置的跨省（域）通办专区、企业开办“一窗通办”专区、政务公开专区、自助专区和24小时不打烊专区将更好满足企业群众办事期盼，创造一流的营商环境。</w:t>
      </w:r>
      <w:r>
        <w:rPr>
          <w:rFonts w:hint="eastAsia" w:ascii="方正仿宋_GBK" w:hAnsi="方正仿宋_GBK" w:eastAsia="方正仿宋_GBK" w:cs="方正仿宋_GBK"/>
          <w:sz w:val="32"/>
          <w:szCs w:val="32"/>
          <w:lang w:val="en-US" w:eastAsia="zh-CN"/>
        </w:rPr>
        <w:t>由以往“一事跑多窗”变“一窗办多事”，除涉密、下放乡镇、全程网上办等特殊情况外，其他所有政务服务事项原则上都进大综窗，736个事项实现前台无差别综合受理，</w:t>
      </w:r>
      <w:r>
        <w:rPr>
          <w:rFonts w:hint="eastAsia" w:ascii="方正仿宋_GBK" w:hAnsi="方正仿宋_GBK" w:eastAsia="方正仿宋_GBK" w:cs="方正仿宋_GBK"/>
          <w:color w:val="auto"/>
          <w:sz w:val="32"/>
          <w:szCs w:val="32"/>
          <w:lang w:val="en-US" w:eastAsia="zh-CN"/>
        </w:rPr>
        <w:t>逐事项优化，进一步压缩审批服务时限、精简办事材料，累计381个事项缩减时限1009.5天，143个事项精简材料268份，</w:t>
      </w:r>
      <w:r>
        <w:rPr>
          <w:rFonts w:hint="eastAsia" w:ascii="方正仿宋_GBK" w:hAnsi="方正仿宋_GBK" w:eastAsia="方正仿宋_GBK" w:cs="方正仿宋_GBK"/>
          <w:sz w:val="32"/>
          <w:szCs w:val="32"/>
          <w:lang w:val="en-US" w:eastAsia="zh-CN"/>
        </w:rPr>
        <w:t>后台推行“双首席”负责制，综合窗口事项受理时限提速50%，实现“100%园区事在园区办”。同时</w:t>
      </w:r>
      <w:r>
        <w:rPr>
          <w:rFonts w:hint="eastAsia" w:ascii="方正仿宋_GBK" w:hAnsi="方正仿宋_GBK" w:eastAsia="方正仿宋_GBK" w:cs="方正仿宋_GBK"/>
          <w:sz w:val="32"/>
          <w:szCs w:val="32"/>
          <w:lang w:val="en-US" w:eastAsia="zh-Hans"/>
        </w:rPr>
        <w:t>全面推进政务服务事项集成改革，继率先在全市推出“出生一件事”“身后一件事”后，又集成“四险一窗通办”、“特殊群体”、“不动产登记与水电气过户联动办理”、“城区破占道”“公益广告”等多个特色“一件事”应用场景，实现群众、企业“只到一个窗，办好所有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方正仿宋_GBK" w:hAnsi="方正仿宋_GBK" w:eastAsia="方正仿宋_GBK" w:cs="方正仿宋_GBK"/>
          <w:b/>
          <w:bCs/>
          <w:sz w:val="32"/>
          <w:szCs w:val="32"/>
          <w:lang w:val="en-US" w:eastAsia="zh-CN"/>
        </w:rPr>
        <w:t>2.推进数字化应用水平。</w:t>
      </w:r>
      <w:r>
        <w:rPr>
          <w:rFonts w:hint="eastAsia" w:ascii="方正仿宋_GBK" w:hAnsi="方正仿宋_GBK" w:eastAsia="方正仿宋_GBK" w:cs="方正仿宋_GBK"/>
          <w:sz w:val="32"/>
          <w:szCs w:val="32"/>
          <w:lang w:val="en-US" w:eastAsia="zh-CN"/>
        </w:rPr>
        <w:t>今年，市数字化工作专班下发了</w:t>
      </w:r>
      <w:r>
        <w:rPr>
          <w:rFonts w:hint="eastAsia" w:ascii="方正仿宋_GBK" w:hAnsi="方正仿宋_GBK" w:eastAsia="方正仿宋_GBK" w:cs="方正仿宋_GBK"/>
          <w:sz w:val="32"/>
          <w:szCs w:val="32"/>
        </w:rPr>
        <w:t>《株洲市数字化建设2022年工作方案》</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区行政审批局</w:t>
      </w:r>
      <w:r>
        <w:rPr>
          <w:rFonts w:hint="eastAsia" w:ascii="方正仿宋_GBK" w:hAnsi="方正仿宋_GBK" w:eastAsia="方正仿宋_GBK" w:cs="方正仿宋_GBK"/>
          <w:sz w:val="32"/>
          <w:szCs w:val="32"/>
          <w:lang w:val="en-US" w:eastAsia="zh-CN"/>
        </w:rPr>
        <w:t>按照</w:t>
      </w:r>
      <w:r>
        <w:rPr>
          <w:rFonts w:hint="eastAsia" w:ascii="方正仿宋_GBK" w:hAnsi="方正仿宋_GBK" w:eastAsia="方正仿宋_GBK" w:cs="方正仿宋_GBK"/>
          <w:sz w:val="32"/>
          <w:szCs w:val="32"/>
        </w:rPr>
        <w:t>《株洲市数字化建设2022年工作方案》要求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把工作任务进行细化，对照各个部门的职责职能，制作了责任分解表，把任务分解到各个单位。</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lang w:val="en-US" w:eastAsia="zh-CN"/>
        </w:rPr>
        <w:t>是认真开展电子证照工作。</w:t>
      </w:r>
      <w:r>
        <w:rPr>
          <w:rFonts w:hint="eastAsia" w:ascii="方正仿宋_GBK" w:hAnsi="方正仿宋_GBK" w:eastAsia="方正仿宋_GBK" w:cs="方正仿宋_GBK"/>
          <w:sz w:val="32"/>
          <w:szCs w:val="32"/>
        </w:rPr>
        <w:t>认真梳理全区政务数据，分类收集共享数据。</w:t>
      </w:r>
      <w:r>
        <w:rPr>
          <w:rFonts w:hint="eastAsia" w:ascii="方正仿宋_GBK" w:hAnsi="方正仿宋_GBK" w:eastAsia="方正仿宋_GBK" w:cs="方正仿宋_GBK"/>
          <w:sz w:val="32"/>
          <w:szCs w:val="32"/>
          <w:lang w:val="en-US" w:eastAsia="zh-CN"/>
        </w:rPr>
        <w:t>9月28日，召开了全区营商政务环境“一网通办”三项工作推进会，下发了工作提示，</w:t>
      </w:r>
      <w:r>
        <w:rPr>
          <w:rFonts w:hint="eastAsia" w:ascii="方正仿宋_GBK" w:hAnsi="方正仿宋_GBK" w:eastAsia="方正仿宋_GBK" w:cs="方正仿宋_GBK"/>
          <w:sz w:val="32"/>
          <w:szCs w:val="32"/>
        </w:rPr>
        <w:t>收集</w:t>
      </w:r>
      <w:r>
        <w:rPr>
          <w:rFonts w:hint="eastAsia" w:ascii="方正仿宋_GBK" w:hAnsi="方正仿宋_GBK" w:eastAsia="方正仿宋_GBK" w:cs="方正仿宋_GBK"/>
          <w:sz w:val="32"/>
          <w:szCs w:val="32"/>
          <w:lang w:val="en-US" w:eastAsia="zh-CN"/>
        </w:rPr>
        <w:t>了48</w:t>
      </w:r>
      <w:r>
        <w:rPr>
          <w:rFonts w:hint="eastAsia" w:ascii="方正仿宋_GBK" w:hAnsi="方正仿宋_GBK" w:eastAsia="方正仿宋_GBK" w:cs="方正仿宋_GBK"/>
          <w:sz w:val="32"/>
          <w:szCs w:val="32"/>
        </w:rPr>
        <w:t>家单位的电子印章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并已报送市行政审批局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lang w:val="en-US" w:eastAsia="zh-CN"/>
        </w:rPr>
        <w:t>是着力打造“诸事达”渌口版。</w:t>
      </w:r>
      <w:r>
        <w:rPr>
          <w:rFonts w:hint="eastAsia" w:ascii="方正仿宋_GBK" w:hAnsi="方正仿宋_GBK" w:eastAsia="方正仿宋_GBK" w:cs="方正仿宋_GBK"/>
          <w:sz w:val="32"/>
          <w:szCs w:val="32"/>
        </w:rPr>
        <w:t>与市国投合作，依托“诸事达”平台，定制“诸事达”APP渌口版，优化升级“两会”服务平台，开设会议、名册、资讯等模块，</w:t>
      </w:r>
      <w:r>
        <w:rPr>
          <w:rFonts w:hint="eastAsia" w:ascii="方正仿宋_GBK" w:hAnsi="方正仿宋_GBK" w:eastAsia="方正仿宋_GBK" w:cs="方正仿宋_GBK"/>
          <w:sz w:val="32"/>
          <w:szCs w:val="32"/>
          <w:lang w:val="en-US" w:eastAsia="zh-CN"/>
        </w:rPr>
        <w:t>新增了“渌口旅游”栏目，发布了“精选线路”“主题游玩”“特产美食”等模块，着力推介渌口旅游项目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是持续推进视频融合平台建设。视频融合平台已融合公安、交警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渔政、医疗、政务大厅</w:t>
      </w:r>
      <w:r>
        <w:rPr>
          <w:rFonts w:hint="eastAsia" w:ascii="方正仿宋_GBK" w:hAnsi="方正仿宋_GBK" w:eastAsia="方正仿宋_GBK" w:cs="方正仿宋_GBK"/>
          <w:sz w:val="32"/>
          <w:szCs w:val="32"/>
        </w:rPr>
        <w:t>等视频资源近</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00路，实现了通过输入关键要素，对目标进行全区域检索和比对，通过视频资料周期性存储和分析，实现应急可视化指挥和部门联动处置，提升了应急处置能力和视频管控能力。</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是加快推进全域“</w:t>
      </w:r>
      <w:r>
        <w:rPr>
          <w:rFonts w:hint="eastAsia" w:ascii="方正仿宋_GBK" w:hAnsi="方正仿宋_GBK" w:eastAsia="方正仿宋_GBK" w:cs="方正仿宋_GBK"/>
          <w:sz w:val="32"/>
          <w:szCs w:val="32"/>
          <w:lang w:val="en-US" w:eastAsia="zh-CN"/>
        </w:rPr>
        <w:t>慧眼</w:t>
      </w:r>
      <w:r>
        <w:rPr>
          <w:rFonts w:hint="eastAsia" w:ascii="方正仿宋_GBK" w:hAnsi="方正仿宋_GBK" w:eastAsia="方正仿宋_GBK" w:cs="方正仿宋_GBK"/>
          <w:sz w:val="32"/>
          <w:szCs w:val="32"/>
        </w:rPr>
        <w:t>矩阵”建设。以叠加AI算法为技术核心，在渌口区产业园区、基本农田、城市社区、重点林区、重点水域、重点道路等地，利用高位铁塔、低位杆塔挂载摄像设备、热感设备，实时采集高清视频，通过对视频进行智能分析，实现智能预警、实时监控、掌上管理等功能，达到全域智慧视联监管的目的。目前，全域“视智矩阵”建设方案已经成形。</w:t>
      </w:r>
      <w:r>
        <w:rPr>
          <w:rFonts w:hint="eastAsia" w:ascii="方正仿宋_GBK" w:hAnsi="方正仿宋_GBK" w:eastAsia="方正仿宋_GBK" w:cs="方正仿宋_GBK"/>
          <w:sz w:val="32"/>
          <w:szCs w:val="32"/>
          <w:lang w:eastAsia="zh-CN"/>
        </w:rPr>
        <w:t>五是</w:t>
      </w:r>
      <w:r>
        <w:rPr>
          <w:rFonts w:hint="eastAsia" w:ascii="方正仿宋_GBK" w:hAnsi="方正仿宋_GBK" w:eastAsia="方正仿宋_GBK" w:cs="方正仿宋_GBK"/>
          <w:sz w:val="32"/>
          <w:szCs w:val="32"/>
        </w:rPr>
        <w:t>做好结合，打造亮点。</w:t>
      </w:r>
      <w:r>
        <w:rPr>
          <w:rFonts w:hint="eastAsia" w:ascii="方正仿宋_GBK" w:hAnsi="方正仿宋_GBK" w:eastAsia="方正仿宋_GBK" w:cs="方正仿宋_GBK"/>
          <w:sz w:val="32"/>
          <w:szCs w:val="32"/>
          <w:lang w:val="en-US" w:eastAsia="zh-CN"/>
        </w:rPr>
        <w:t>结合</w:t>
      </w:r>
      <w:r>
        <w:rPr>
          <w:rFonts w:hint="eastAsia" w:ascii="方正仿宋_GBK" w:hAnsi="方正仿宋_GBK" w:eastAsia="方正仿宋_GBK" w:cs="方正仿宋_GBK"/>
          <w:sz w:val="32"/>
          <w:szCs w:val="32"/>
        </w:rPr>
        <w:t>“青春渌口大讲堂”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分别于</w:t>
      </w:r>
      <w:r>
        <w:rPr>
          <w:rFonts w:hint="eastAsia" w:ascii="方正仿宋_GBK" w:hAnsi="方正仿宋_GBK" w:eastAsia="方正仿宋_GBK" w:cs="方正仿宋_GBK"/>
          <w:sz w:val="32"/>
          <w:szCs w:val="32"/>
        </w:rPr>
        <w:t>8月23日、8月31日、9月31日，以《从城市大脑的场景到数字化改革的全景》《数字经济与数字产业》《数字经济新趋势区块链与数字生态治理》为题，</w:t>
      </w:r>
      <w:r>
        <w:rPr>
          <w:rFonts w:hint="eastAsia" w:ascii="方正仿宋_GBK" w:hAnsi="方正仿宋_GBK" w:eastAsia="方正仿宋_GBK" w:cs="方正仿宋_GBK"/>
          <w:sz w:val="32"/>
          <w:szCs w:val="32"/>
          <w:lang w:eastAsia="zh-CN"/>
        </w:rPr>
        <w:t>邀请相关专家，</w:t>
      </w:r>
      <w:r>
        <w:rPr>
          <w:rFonts w:hint="eastAsia" w:ascii="方正仿宋_GBK" w:hAnsi="方正仿宋_GBK" w:eastAsia="方正仿宋_GBK" w:cs="方正仿宋_GBK"/>
          <w:sz w:val="32"/>
          <w:szCs w:val="32"/>
          <w:lang w:val="en-US" w:eastAsia="zh-CN"/>
        </w:rPr>
        <w:t>组织1200余人次参加学习，着力提升全区党员干部的数字化建设能力</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3.组建企业“帮代办”优质服务团队。</w:t>
      </w:r>
      <w:r>
        <w:rPr>
          <w:rFonts w:hint="eastAsia" w:ascii="方正仿宋_GBK" w:hAnsi="方正仿宋_GBK" w:eastAsia="方正仿宋_GBK" w:cs="方正仿宋_GBK"/>
          <w:sz w:val="32"/>
          <w:szCs w:val="32"/>
          <w:lang w:val="en-US" w:eastAsia="zh-CN"/>
        </w:rPr>
        <w:t>聚焦“五好园区”建设工作，助推全区重大招商项目和园区产业项目迅速开工、建设、投产，打造渌口</w:t>
      </w:r>
      <w:r>
        <w:rPr>
          <w:rFonts w:hint="eastAsia" w:ascii="方正仿宋_GBK" w:hAnsi="方正仿宋_GBK" w:eastAsia="方正仿宋_GBK" w:cs="方正仿宋_GBK"/>
          <w:sz w:val="32"/>
          <w:szCs w:val="32"/>
          <w:lang w:val="en-US" w:eastAsia="zh-Hans"/>
        </w:rPr>
        <w:t>区</w:t>
      </w:r>
      <w:r>
        <w:rPr>
          <w:rFonts w:hint="eastAsia" w:ascii="方正仿宋_GBK" w:hAnsi="方正仿宋_GBK" w:eastAsia="方正仿宋_GBK" w:cs="方正仿宋_GBK"/>
          <w:sz w:val="32"/>
          <w:szCs w:val="32"/>
          <w:lang w:val="en-US" w:eastAsia="zh-CN"/>
        </w:rPr>
        <w:t>营商环境新高地。一是组建一支专业帮代办服务团队，实行“量身定制个性化”服务，一项目一个专班，一项目一个性化方案，一项目一个微信群，一项目一个档案。通过主动上门走访、多部门会商会审、协调推进会等形式对接园区项目30余次，定制个性化流程节点倒排10余份，目前共为时代芳纶项目、冷弯宇辰项目、华新水泥等20多个项目提供免费帮代办，协助项目办理50余件审批事项，</w:t>
      </w:r>
      <w:r>
        <w:rPr>
          <w:rFonts w:hint="eastAsia" w:ascii="方正仿宋_GBK" w:hAnsi="方正仿宋_GBK" w:eastAsia="方正仿宋_GBK" w:cs="方正仿宋_GBK"/>
          <w:sz w:val="32"/>
          <w:szCs w:val="32"/>
          <w:lang w:val="en-US" w:eastAsia="zh-Hans"/>
        </w:rPr>
        <w:t>为项目</w:t>
      </w:r>
      <w:r>
        <w:rPr>
          <w:rFonts w:hint="eastAsia" w:ascii="方正仿宋_GBK" w:hAnsi="方正仿宋_GBK" w:eastAsia="方正仿宋_GBK" w:cs="方正仿宋_GBK"/>
          <w:sz w:val="32"/>
          <w:szCs w:val="32"/>
        </w:rPr>
        <w:t>代办审批事项</w:t>
      </w:r>
      <w:r>
        <w:rPr>
          <w:rFonts w:hint="eastAsia" w:ascii="方正仿宋_GBK" w:hAnsi="方正仿宋_GBK" w:eastAsia="方正仿宋_GBK" w:cs="方正仿宋_GBK"/>
          <w:sz w:val="32"/>
          <w:szCs w:val="32"/>
          <w:lang w:eastAsia="zh-CN"/>
        </w:rPr>
        <w:t>90</w:t>
      </w:r>
      <w:r>
        <w:rPr>
          <w:rFonts w:hint="eastAsia" w:ascii="方正仿宋_GBK" w:hAnsi="方正仿宋_GBK" w:eastAsia="方正仿宋_GBK" w:cs="方正仿宋_GBK"/>
          <w:sz w:val="32"/>
          <w:szCs w:val="32"/>
        </w:rPr>
        <w:t>余项，</w:t>
      </w:r>
      <w:r>
        <w:rPr>
          <w:rFonts w:hint="eastAsia" w:ascii="方正仿宋_GBK" w:hAnsi="方正仿宋_GBK" w:eastAsia="方正仿宋_GBK" w:cs="方正仿宋_GBK"/>
          <w:sz w:val="32"/>
          <w:szCs w:val="32"/>
          <w:lang w:val="en-US" w:eastAsia="zh-Hans"/>
        </w:rPr>
        <w:t>为企业解决堵点难点问题</w:t>
      </w:r>
      <w:r>
        <w:rPr>
          <w:rFonts w:hint="eastAsia" w:ascii="方正仿宋_GBK" w:hAnsi="方正仿宋_GBK" w:eastAsia="方正仿宋_GBK" w:cs="方正仿宋_GBK"/>
          <w:sz w:val="32"/>
          <w:szCs w:val="32"/>
          <w:lang w:eastAsia="zh-Hans"/>
        </w:rPr>
        <w:t>30</w:t>
      </w:r>
      <w:r>
        <w:rPr>
          <w:rFonts w:hint="eastAsia" w:ascii="方正仿宋_GBK" w:hAnsi="方正仿宋_GBK" w:eastAsia="方正仿宋_GBK" w:cs="方正仿宋_GBK"/>
          <w:sz w:val="32"/>
          <w:szCs w:val="32"/>
          <w:lang w:val="en-US" w:eastAsia="zh-Hans"/>
        </w:rPr>
        <w:t>多件</w:t>
      </w:r>
      <w:r>
        <w:rPr>
          <w:rFonts w:hint="eastAsia" w:ascii="方正仿宋_GBK" w:hAnsi="方正仿宋_GBK" w:eastAsia="方正仿宋_GBK" w:cs="方正仿宋_GBK"/>
          <w:sz w:val="32"/>
          <w:szCs w:val="32"/>
          <w:lang w:val="en-US" w:eastAsia="zh-CN"/>
        </w:rPr>
        <w:t>。二是推行“四即”政策，加强服务提质。</w:t>
      </w:r>
      <w:r>
        <w:rPr>
          <w:rFonts w:hint="eastAsia" w:ascii="方正仿宋_GBK" w:hAnsi="方正仿宋_GBK" w:eastAsia="方正仿宋_GBK" w:cs="方正仿宋_GBK"/>
          <w:sz w:val="32"/>
          <w:szCs w:val="32"/>
          <w:lang w:val="en-US" w:eastAsia="zh-Hans"/>
        </w:rPr>
        <w:t>为企业提供审批材料整理初审、审批部门对接代办等服务，“报建一次办”效率大幅提升。代办湖南华旦新材料产业项目，在5天内完成了审查、缴费、线上申报和审核等相关手续，实现了用地规划许可证、工程规划许可证、不动产权证、施工许可证四证齐发。</w:t>
      </w:r>
      <w:r>
        <w:rPr>
          <w:rFonts w:hint="eastAsia" w:ascii="方正仿宋_GBK" w:hAnsi="方正仿宋_GBK" w:eastAsia="方正仿宋_GBK" w:cs="方正仿宋_GBK"/>
          <w:color w:val="0C0C0C"/>
          <w:sz w:val="32"/>
          <w:szCs w:val="32"/>
        </w:rPr>
        <w:t>园区产业项目代办率达到80%以上，</w:t>
      </w:r>
      <w:r>
        <w:rPr>
          <w:rFonts w:hint="eastAsia" w:ascii="方正仿宋_GBK" w:hAnsi="方正仿宋_GBK" w:eastAsia="方正仿宋_GBK" w:cs="方正仿宋_GBK"/>
          <w:sz w:val="32"/>
          <w:szCs w:val="32"/>
          <w:lang w:val="en-US" w:eastAsia="zh-Hans"/>
        </w:rPr>
        <w:t>项目报建提速</w:t>
      </w:r>
      <w:r>
        <w:rPr>
          <w:rFonts w:hint="eastAsia" w:ascii="方正仿宋_GBK" w:hAnsi="方正仿宋_GBK" w:eastAsia="方正仿宋_GBK" w:cs="方正仿宋_GBK"/>
          <w:sz w:val="32"/>
          <w:szCs w:val="32"/>
          <w:lang w:eastAsia="zh-Hans"/>
        </w:rPr>
        <w:t>70%。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val="0"/>
          <w:i w:val="0"/>
          <w:iCs w:val="0"/>
          <w:caps w:val="0"/>
          <w:color w:val="000000"/>
          <w:spacing w:val="0"/>
          <w:sz w:val="32"/>
          <w:szCs w:val="32"/>
          <w:lang w:val="en-US" w:eastAsia="zh-CN"/>
        </w:rPr>
      </w:pPr>
      <w:r>
        <w:rPr>
          <w:rFonts w:hint="eastAsia" w:ascii="方正仿宋_GBK" w:hAnsi="方正仿宋_GBK" w:eastAsia="方正仿宋_GBK" w:cs="方正仿宋_GBK"/>
          <w:b/>
          <w:bCs/>
          <w:i w:val="0"/>
          <w:iCs w:val="0"/>
          <w:caps w:val="0"/>
          <w:color w:val="000000"/>
          <w:spacing w:val="0"/>
          <w:sz w:val="32"/>
          <w:szCs w:val="32"/>
          <w:lang w:val="en-US" w:eastAsia="zh-CN"/>
        </w:rPr>
        <w:t>4.持续推进“清廉大厅”建设。</w:t>
      </w:r>
      <w:r>
        <w:rPr>
          <w:rFonts w:hint="eastAsia" w:ascii="方正仿宋_GBK" w:hAnsi="方正仿宋_GBK" w:eastAsia="方正仿宋_GBK" w:cs="方正仿宋_GBK"/>
          <w:color w:val="auto"/>
          <w:kern w:val="2"/>
          <w:sz w:val="32"/>
          <w:szCs w:val="32"/>
          <w:lang w:val="en-US" w:eastAsia="zh-CN" w:bidi="ar"/>
        </w:rPr>
        <w:t>建设“清廉大厅”打造“风清气正”服务窗口，全面畅通问题反馈线上线下渠道，设置“办不成事”反映窗口，加大“红黄牌”“好差评”制度执行，通过“日巡+月报+季总结”全方位提升服务窗口规范管理，</w:t>
      </w:r>
      <w:r>
        <w:rPr>
          <w:rFonts w:hint="eastAsia" w:ascii="方正仿宋_GBK" w:hAnsi="方正仿宋_GBK" w:eastAsia="方正仿宋_GBK" w:cs="方正仿宋_GBK"/>
          <w:b w:val="0"/>
          <w:bCs w:val="0"/>
          <w:i w:val="0"/>
          <w:iCs w:val="0"/>
          <w:caps w:val="0"/>
          <w:color w:val="000000"/>
          <w:spacing w:val="0"/>
          <w:sz w:val="32"/>
          <w:szCs w:val="32"/>
          <w:lang w:val="en-US" w:eastAsia="zh-CN"/>
        </w:rPr>
        <w:t>组织“清廉大厅”建设专项检查，下旬对渌口、南洲、淦田、古岳峰四个乡镇“清廉大厅“建设的落实情况进行实地督查，</w:t>
      </w:r>
      <w:r>
        <w:rPr>
          <w:rFonts w:hint="eastAsia" w:ascii="方正仿宋_GBK" w:hAnsi="方正仿宋_GBK" w:eastAsia="方正仿宋_GBK" w:cs="方正仿宋_GBK"/>
          <w:color w:val="auto"/>
          <w:kern w:val="2"/>
          <w:sz w:val="32"/>
          <w:szCs w:val="32"/>
          <w:lang w:val="en-US" w:eastAsia="zh-CN" w:bidi="ar"/>
        </w:rPr>
        <w:t>2022年荣获省级文明窗口单位</w:t>
      </w:r>
      <w:r>
        <w:rPr>
          <w:rFonts w:hint="eastAsia" w:ascii="方正仿宋_GBK" w:hAnsi="方正仿宋_GBK" w:eastAsia="方正仿宋_GBK" w:cs="方正仿宋_GBK"/>
          <w:b w:val="0"/>
          <w:bCs w:val="0"/>
          <w:i w:val="0"/>
          <w:iCs w:val="0"/>
          <w:caps w:val="0"/>
          <w:color w:val="000000"/>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i w:val="0"/>
          <w:iCs w:val="0"/>
          <w:caps w:val="0"/>
          <w:color w:val="000000"/>
          <w:spacing w:val="0"/>
          <w:sz w:val="32"/>
          <w:szCs w:val="32"/>
          <w:lang w:val="en-US" w:eastAsia="zh-CN"/>
        </w:rPr>
        <w:t>5.</w:t>
      </w:r>
      <w:r>
        <w:rPr>
          <w:rFonts w:hint="eastAsia" w:ascii="方正仿宋_GBK" w:hAnsi="方正仿宋_GBK" w:eastAsia="方正仿宋_GBK" w:cs="方正仿宋_GBK"/>
          <w:b/>
          <w:bCs/>
          <w:color w:val="auto"/>
          <w:sz w:val="32"/>
          <w:szCs w:val="32"/>
          <w:lang w:val="en-US" w:eastAsia="zh-CN"/>
        </w:rPr>
        <w:t>常态化扎实开展“走流程、解难题、优服务”行动。</w:t>
      </w:r>
      <w:r>
        <w:rPr>
          <w:rFonts w:hint="eastAsia" w:ascii="方正仿宋_GBK" w:hAnsi="方正仿宋_GBK" w:eastAsia="方正仿宋_GBK" w:cs="方正仿宋_GBK"/>
          <w:b w:val="0"/>
          <w:bCs w:val="0"/>
          <w:color w:val="auto"/>
          <w:sz w:val="32"/>
          <w:szCs w:val="32"/>
          <w:lang w:val="en-US" w:eastAsia="zh-CN"/>
        </w:rPr>
        <w:t>今年</w:t>
      </w:r>
      <w:r>
        <w:rPr>
          <w:rFonts w:hint="eastAsia" w:ascii="方正仿宋_GBK" w:hAnsi="方正仿宋_GBK" w:eastAsia="方正仿宋_GBK" w:cs="方正仿宋_GBK"/>
          <w:color w:val="auto"/>
          <w:sz w:val="32"/>
          <w:szCs w:val="32"/>
          <w:lang w:val="en-US" w:eastAsia="zh-CN"/>
        </w:rPr>
        <w:t>省市场监督管理局领导、区政府主要领导、分管负责领导及28位区直部门</w:t>
      </w:r>
      <w:r>
        <w:rPr>
          <w:rFonts w:hint="eastAsia" w:ascii="方正仿宋_GBK" w:hAnsi="方正仿宋_GBK" w:eastAsia="方正仿宋_GBK" w:cs="方正仿宋_GBK"/>
          <w:color w:val="auto"/>
          <w:sz w:val="32"/>
          <w:szCs w:val="32"/>
          <w:lang w:val="en-US" w:eastAsia="zh-Hans"/>
        </w:rPr>
        <w:t>“</w:t>
      </w:r>
      <w:r>
        <w:rPr>
          <w:rFonts w:hint="eastAsia" w:ascii="方正仿宋_GBK" w:hAnsi="方正仿宋_GBK" w:eastAsia="方正仿宋_GBK" w:cs="方正仿宋_GBK"/>
          <w:color w:val="auto"/>
          <w:sz w:val="32"/>
          <w:szCs w:val="32"/>
          <w:lang w:val="en-US" w:eastAsia="zh-CN"/>
        </w:rPr>
        <w:t>一把手</w:t>
      </w:r>
      <w:r>
        <w:rPr>
          <w:rFonts w:hint="eastAsia" w:ascii="方正仿宋_GBK" w:hAnsi="方正仿宋_GBK" w:eastAsia="方正仿宋_GBK" w:cs="方正仿宋_GBK"/>
          <w:color w:val="auto"/>
          <w:sz w:val="32"/>
          <w:szCs w:val="32"/>
          <w:lang w:val="en-US" w:eastAsia="zh-Hans"/>
        </w:rPr>
        <w:t>”</w:t>
      </w:r>
      <w:r>
        <w:rPr>
          <w:rFonts w:hint="eastAsia" w:ascii="方正仿宋_GBK" w:hAnsi="方正仿宋_GBK" w:eastAsia="方正仿宋_GBK" w:cs="方正仿宋_GBK"/>
          <w:color w:val="auto"/>
          <w:sz w:val="32"/>
          <w:szCs w:val="32"/>
          <w:lang w:val="en-US" w:eastAsia="zh-CN"/>
        </w:rPr>
        <w:t>化身政务服务体验员“零距离、全流程”感受群众办事流程，体验事项共计110余项，</w:t>
      </w:r>
      <w:r>
        <w:rPr>
          <w:rFonts w:hint="eastAsia" w:ascii="方正仿宋_GBK" w:hAnsi="方正仿宋_GBK" w:eastAsia="方正仿宋_GBK" w:cs="方正仿宋_GBK"/>
          <w:color w:val="auto"/>
          <w:sz w:val="32"/>
          <w:szCs w:val="32"/>
        </w:rPr>
        <w:t>现场发现问题115条，涉及事项流程优化、窗口规范高效、系统改造升级等，有效推动了“一把手走流程”体验活动走深走实。</w:t>
      </w:r>
    </w:p>
    <w:p>
      <w:pPr>
        <w:pStyle w:val="11"/>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6.做好2022年深化“放管服”改革持续优化营商政务环境工作。</w:t>
      </w:r>
      <w:r>
        <w:rPr>
          <w:rFonts w:hint="eastAsia" w:ascii="仿宋_GB2312" w:hAnsi="仿宋" w:eastAsia="仿宋_GB2312" w:cs="Times New Roman"/>
          <w:kern w:val="2"/>
          <w:sz w:val="32"/>
          <w:szCs w:val="32"/>
          <w:lang w:val="en-US" w:eastAsia="zh-CN" w:bidi="ar-SA"/>
        </w:rPr>
        <w:t>对照2022年深化“放管服”改革持续优化营商政务环境监督评价指标体系（县市区），行政审批局多次召开专题党组会议研究，根据指标逐项查漏补缺，加强纵向横向对接，及时收集考核佐证资料，针对指标短板问题采取系列措施，一是发动区直各单位、各乡镇积极宣传推广省政务服务旗舰店个人、法人用户注册，指导辖区内居民、企业或个体工商户注册“一件事一次办”小程序。二是通过纵向、横向对比，向先进地区学习，不断提升区直各单位、各乡镇“湖南省互联网+政务服务一体化平台”政务服务事项各项考核指标，政务服务事项引用率、镇村事项覆盖率、实施清单填报率发布率、权责清单填报率发布率、网上可办率均达到100%，办理深度三级及以上达到91.88%。三是根据“互联网+监管”工作要求，督促区直相关职能部门提升各项考核指标，监管事项认领率、实施清单填报率、详实度、监管数据准确率均达到100%。</w:t>
      </w:r>
    </w:p>
    <w:p>
      <w:pPr>
        <w:pStyle w:val="9"/>
        <w:widowControl/>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32"/>
          <w:lang w:val="en-US" w:eastAsia="zh-CN" w:bidi="ar"/>
        </w:rPr>
      </w:pPr>
      <w:r>
        <w:rPr>
          <w:rFonts w:hint="default" w:ascii="Times New Roman" w:hAnsi="Times New Roman" w:eastAsia="仿宋_GB2312" w:cs="仿宋_GB2312"/>
          <w:kern w:val="2"/>
          <w:sz w:val="32"/>
          <w:szCs w:val="32"/>
          <w:lang w:val="en-US" w:eastAsia="zh-CN" w:bidi="ar"/>
        </w:rPr>
        <w:t>202</w:t>
      </w:r>
      <w:r>
        <w:rPr>
          <w:rFonts w:hint="eastAsia" w:ascii="Times New Roman" w:hAnsi="Times New Roman" w:eastAsia="仿宋_GB2312" w:cs="仿宋_GB2312"/>
          <w:kern w:val="2"/>
          <w:sz w:val="32"/>
          <w:szCs w:val="32"/>
          <w:lang w:val="en-US" w:eastAsia="zh-CN" w:bidi="ar"/>
        </w:rPr>
        <w:t>2年度本单位预算支出执行没有偏离绩效目标的情况，但需要加强单位对预算绩效日常监控，围绕绩效目标，适时监控绩效目标实现程度和预算执行情况。因机关运转经费不足，“一件事一次办”、政务服务中心、</w:t>
      </w:r>
      <w:r>
        <w:rPr>
          <w:rFonts w:hint="eastAsia" w:ascii="仿宋" w:hAnsi="仿宋" w:eastAsia="仿宋" w:cs="仿宋"/>
          <w:sz w:val="32"/>
          <w:szCs w:val="32"/>
          <w:lang w:val="en-US" w:eastAsia="zh-CN"/>
        </w:rPr>
        <w:t>“智慧渌口”建设</w:t>
      </w:r>
      <w:r>
        <w:rPr>
          <w:rFonts w:hint="eastAsia" w:ascii="Times New Roman" w:hAnsi="Times New Roman" w:eastAsia="仿宋_GB2312" w:cs="仿宋_GB2312"/>
          <w:kern w:val="2"/>
          <w:sz w:val="32"/>
          <w:szCs w:val="32"/>
          <w:lang w:val="en-US" w:eastAsia="zh-CN" w:bidi="ar"/>
        </w:rPr>
        <w:t>等工作经费需要追加，建议在年初预算时将这些工作每年都需要支出的经费纳入财政年初预算。在今后工作中，我们将围绕预算资金，厉行节约，节省不必要的开支。</w:t>
      </w:r>
    </w:p>
    <w:p>
      <w:pPr>
        <w:pStyle w:val="12"/>
        <w:numPr>
          <w:ilvl w:val="0"/>
          <w:numId w:val="2"/>
        </w:numPr>
        <w:tabs>
          <w:tab w:val="left" w:pos="1066"/>
        </w:tabs>
        <w:ind w:firstLine="640" w:firstLineChars="200"/>
        <w:outlineLvl w:val="1"/>
        <w:rPr>
          <w:rFonts w:hint="eastAsia" w:ascii="Times New Roman" w:hAnsi="Times New Roman" w:eastAsia="仿宋_GB2312" w:cs="仿宋_GB2312"/>
          <w:kern w:val="2"/>
          <w:sz w:val="32"/>
          <w:szCs w:val="32"/>
          <w:lang w:val="en-US" w:eastAsia="zh-CN" w:bidi="ar"/>
        </w:rPr>
      </w:pPr>
      <w:bookmarkStart w:id="0" w:name="_Toc926"/>
      <w:r>
        <w:rPr>
          <w:rFonts w:hint="eastAsia" w:ascii="Times New Roman" w:hAnsi="Times New Roman" w:eastAsia="仿宋_GB2312" w:cs="仿宋_GB2312"/>
          <w:kern w:val="2"/>
          <w:sz w:val="32"/>
          <w:szCs w:val="32"/>
          <w:lang w:val="en-US" w:eastAsia="zh-CN" w:bidi="ar"/>
        </w:rPr>
        <w:t>绩效管理不规范</w:t>
      </w:r>
      <w:bookmarkEnd w:id="0"/>
    </w:p>
    <w:p>
      <w:pPr>
        <w:widowControl/>
        <w:spacing w:line="579"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本部门部分绩效目标不够细化量化，绩效目标笼统且不全面。</w:t>
      </w:r>
    </w:p>
    <w:p>
      <w:pPr>
        <w:pStyle w:val="12"/>
        <w:ind w:firstLine="640" w:firstLineChars="200"/>
        <w:outlineLvl w:val="1"/>
        <w:rPr>
          <w:rFonts w:hint="eastAsia" w:ascii="Times New Roman" w:hAnsi="Times New Roman" w:eastAsia="仿宋_GB2312" w:cs="仿宋_GB2312"/>
          <w:kern w:val="2"/>
          <w:sz w:val="32"/>
          <w:szCs w:val="32"/>
          <w:lang w:val="en-US" w:eastAsia="zh-CN" w:bidi="ar"/>
        </w:rPr>
      </w:pPr>
      <w:bookmarkStart w:id="1" w:name="_Toc9041"/>
      <w:r>
        <w:rPr>
          <w:rFonts w:hint="eastAsia" w:ascii="Times New Roman" w:hAnsi="Times New Roman" w:eastAsia="仿宋_GB2312" w:cs="仿宋_GB2312"/>
          <w:kern w:val="2"/>
          <w:sz w:val="32"/>
          <w:szCs w:val="32"/>
          <w:lang w:val="en-US" w:eastAsia="zh-CN" w:bidi="ar"/>
        </w:rPr>
        <w:t>（二）预算编制欠科学</w:t>
      </w:r>
      <w:bookmarkEnd w:id="1"/>
    </w:p>
    <w:p>
      <w:pPr>
        <w:widowControl/>
        <w:spacing w:line="60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2022年度年初项目预算支出18.64万元均调剂至基本支出。</w:t>
      </w:r>
    </w:p>
    <w:p>
      <w:pPr>
        <w:pStyle w:val="12"/>
        <w:ind w:firstLine="640" w:firstLineChars="200"/>
        <w:outlineLvl w:val="1"/>
        <w:rPr>
          <w:rFonts w:hint="eastAsia" w:ascii="Times New Roman" w:hAnsi="Times New Roman" w:eastAsia="仿宋_GB2312" w:cs="仿宋_GB2312"/>
          <w:kern w:val="2"/>
          <w:sz w:val="32"/>
          <w:szCs w:val="32"/>
          <w:lang w:val="en-US" w:eastAsia="zh-CN" w:bidi="ar"/>
        </w:rPr>
      </w:pPr>
      <w:bookmarkStart w:id="2" w:name="_Toc14906"/>
      <w:r>
        <w:rPr>
          <w:rFonts w:hint="eastAsia" w:ascii="Times New Roman" w:hAnsi="Times New Roman" w:eastAsia="仿宋_GB2312" w:cs="仿宋_GB2312"/>
          <w:kern w:val="2"/>
          <w:sz w:val="32"/>
          <w:szCs w:val="32"/>
          <w:lang w:val="en-US" w:eastAsia="zh-CN" w:bidi="ar"/>
        </w:rPr>
        <w:t>（三）财务管理欠规范</w:t>
      </w:r>
      <w:bookmarkEnd w:id="2"/>
    </w:p>
    <w:p>
      <w:pPr>
        <w:widowControl/>
        <w:spacing w:line="60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因财政资金紧张，有些费用报销跨期较大。</w:t>
      </w:r>
    </w:p>
    <w:p>
      <w:pPr>
        <w:keepNext w:val="0"/>
        <w:keepLines w:val="0"/>
        <w:widowControl w:val="0"/>
        <w:numPr>
          <w:ilvl w:val="0"/>
          <w:numId w:val="3"/>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下一步改进措施</w:t>
      </w:r>
    </w:p>
    <w:p>
      <w:pPr>
        <w:widowControl/>
        <w:spacing w:line="600" w:lineRule="exact"/>
        <w:ind w:firstLine="640" w:firstLineChars="200"/>
        <w:rPr>
          <w:rFonts w:hint="eastAsia" w:ascii="仿宋" w:hAnsi="仿宋" w:eastAsia="仿宋" w:cs="仿宋"/>
          <w:kern w:val="0"/>
          <w:sz w:val="32"/>
          <w:szCs w:val="32"/>
          <w:highlight w:val="none"/>
          <w:lang w:bidi="hi-IN"/>
        </w:rPr>
      </w:pPr>
      <w:r>
        <w:rPr>
          <w:rFonts w:hint="eastAsia" w:ascii="仿宋" w:hAnsi="仿宋" w:eastAsia="仿宋" w:cs="仿宋"/>
          <w:kern w:val="0"/>
          <w:sz w:val="32"/>
          <w:szCs w:val="32"/>
          <w:highlight w:val="none"/>
          <w:lang w:bidi="hi-IN"/>
        </w:rPr>
        <w:t>（一）准确编报预、决算，加强绩效目标管理</w:t>
      </w:r>
    </w:p>
    <w:p>
      <w:pPr>
        <w:widowControl/>
        <w:spacing w:line="600" w:lineRule="exact"/>
        <w:ind w:firstLine="640" w:firstLineChars="200"/>
        <w:rPr>
          <w:rFonts w:hint="eastAsia" w:ascii="仿宋" w:hAnsi="仿宋" w:eastAsia="仿宋" w:cs="仿宋"/>
          <w:kern w:val="0"/>
          <w:sz w:val="32"/>
          <w:szCs w:val="32"/>
          <w:highlight w:val="none"/>
          <w:lang w:bidi="hi-IN"/>
        </w:rPr>
      </w:pPr>
      <w:r>
        <w:rPr>
          <w:rFonts w:hint="eastAsia" w:ascii="仿宋" w:hAnsi="仿宋" w:eastAsia="仿宋" w:cs="仿宋"/>
          <w:kern w:val="0"/>
          <w:sz w:val="32"/>
          <w:szCs w:val="32"/>
          <w:highlight w:val="none"/>
          <w:lang w:val="en-US" w:eastAsia="zh-CN" w:bidi="hi-IN"/>
        </w:rPr>
        <w:t>1、</w:t>
      </w:r>
      <w:r>
        <w:rPr>
          <w:rFonts w:hint="eastAsia" w:ascii="仿宋" w:hAnsi="仿宋" w:eastAsia="仿宋" w:cs="仿宋"/>
          <w:kern w:val="0"/>
          <w:sz w:val="32"/>
          <w:szCs w:val="32"/>
          <w:highlight w:val="none"/>
          <w:lang w:eastAsia="zh-CN" w:bidi="hi-IN"/>
        </w:rPr>
        <w:t>根据</w:t>
      </w:r>
      <w:r>
        <w:rPr>
          <w:rFonts w:hint="eastAsia" w:ascii="仿宋" w:hAnsi="仿宋" w:eastAsia="仿宋" w:cs="仿宋"/>
          <w:kern w:val="0"/>
          <w:sz w:val="32"/>
          <w:szCs w:val="32"/>
          <w:highlight w:val="none"/>
          <w:lang w:bidi="hi-IN"/>
        </w:rPr>
        <w:t>单位的实际情况科学合理</w:t>
      </w:r>
      <w:bookmarkStart w:id="3" w:name="_Hlk79443724"/>
      <w:r>
        <w:rPr>
          <w:rFonts w:hint="eastAsia" w:ascii="仿宋" w:hAnsi="仿宋" w:eastAsia="仿宋" w:cs="仿宋"/>
          <w:kern w:val="0"/>
          <w:sz w:val="32"/>
          <w:szCs w:val="32"/>
          <w:highlight w:val="none"/>
          <w:lang w:bidi="hi-IN"/>
        </w:rPr>
        <w:t>编</w:t>
      </w:r>
      <w:bookmarkEnd w:id="3"/>
      <w:r>
        <w:rPr>
          <w:rFonts w:hint="eastAsia" w:ascii="仿宋" w:hAnsi="仿宋" w:eastAsia="仿宋" w:cs="仿宋"/>
          <w:kern w:val="0"/>
          <w:sz w:val="32"/>
          <w:szCs w:val="32"/>
          <w:highlight w:val="none"/>
          <w:lang w:bidi="hi-IN"/>
        </w:rPr>
        <w:t>制预算，严格按照预算的项目进行支出控制和管理</w:t>
      </w:r>
      <w:r>
        <w:rPr>
          <w:rFonts w:hint="eastAsia" w:ascii="仿宋" w:hAnsi="仿宋" w:eastAsia="仿宋" w:cs="仿宋"/>
          <w:kern w:val="0"/>
          <w:sz w:val="32"/>
          <w:szCs w:val="32"/>
          <w:highlight w:val="none"/>
          <w:lang w:eastAsia="zh-CN" w:bidi="hi-IN"/>
        </w:rPr>
        <w:t>；应加强对账务核算的管理，对作为项目支出下达的资金应均纳入项目支出进行核算</w:t>
      </w:r>
      <w:r>
        <w:rPr>
          <w:rFonts w:hint="eastAsia" w:ascii="仿宋" w:hAnsi="仿宋" w:eastAsia="仿宋" w:cs="仿宋"/>
          <w:kern w:val="0"/>
          <w:sz w:val="32"/>
          <w:szCs w:val="32"/>
          <w:highlight w:val="none"/>
          <w:lang w:bidi="hi-IN"/>
        </w:rPr>
        <w:t>。维护预算的严肃性，确保上报决算报表数据与预算下达金额及账面发生数据一致。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yellow"/>
          <w:lang w:val="en-US" w:eastAsia="zh-CN"/>
        </w:rPr>
      </w:pPr>
      <w:r>
        <w:rPr>
          <w:rFonts w:hint="eastAsia" w:ascii="仿宋" w:hAnsi="仿宋" w:eastAsia="仿宋" w:cs="仿宋"/>
          <w:kern w:val="2"/>
          <w:sz w:val="32"/>
          <w:szCs w:val="32"/>
          <w:lang w:val="en-US" w:eastAsia="zh-CN" w:bidi="ar"/>
        </w:rPr>
        <w:t>2、加强开展预算绩效日常监控，首先要制定相关日常监控具体流程，及时掌握绩效运行情况、资金支出进度等，并定期对绩效监控信息进行收集、审核、分析、汇总、填报。分析偏离绩效目标的原因，并及时采取纠偏措施。</w:t>
      </w:r>
    </w:p>
    <w:p>
      <w:pPr>
        <w:adjustRightInd w:val="0"/>
        <w:snapToGrid w:val="0"/>
        <w:ind w:firstLine="640" w:firstLineChars="200"/>
        <w:rPr>
          <w:rFonts w:hint="eastAsia" w:ascii="仿宋" w:hAnsi="仿宋" w:eastAsia="仿宋" w:cs="仿宋"/>
          <w:b w:val="0"/>
          <w:bCs w:val="0"/>
          <w:kern w:val="0"/>
          <w:sz w:val="32"/>
          <w:szCs w:val="32"/>
          <w:highlight w:val="none"/>
        </w:rPr>
      </w:pPr>
      <w:r>
        <w:rPr>
          <w:rFonts w:hint="eastAsia" w:ascii="仿宋" w:hAnsi="仿宋" w:eastAsia="仿宋" w:cs="仿宋"/>
          <w:b w:val="0"/>
          <w:bCs w:val="0"/>
          <w:kern w:val="0"/>
          <w:sz w:val="32"/>
          <w:szCs w:val="32"/>
          <w:highlight w:val="none"/>
        </w:rPr>
        <w:t>（二）强化财务管理，规范使用资金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bidi="hi-IN"/>
        </w:rPr>
      </w:pPr>
      <w:r>
        <w:rPr>
          <w:rFonts w:hint="eastAsia" w:ascii="仿宋" w:hAnsi="仿宋" w:eastAsia="仿宋" w:cs="仿宋"/>
          <w:kern w:val="0"/>
          <w:sz w:val="32"/>
          <w:szCs w:val="32"/>
          <w:highlight w:val="none"/>
          <w:lang w:val="en-US" w:eastAsia="zh-CN" w:bidi="hi-IN"/>
        </w:rPr>
        <w:t>1、</w:t>
      </w:r>
      <w:r>
        <w:rPr>
          <w:rFonts w:hint="eastAsia" w:ascii="仿宋" w:hAnsi="仿宋" w:eastAsia="仿宋" w:cs="仿宋"/>
          <w:kern w:val="0"/>
          <w:sz w:val="32"/>
          <w:szCs w:val="32"/>
          <w:highlight w:val="none"/>
          <w:lang w:bidi="hi-IN"/>
        </w:rPr>
        <w:t>进一步加强预算收支执行管理，从严控制公用经费支出。以完善财政专项资金核算为手段，加强一般公共预算支出的监管，确保“无预算、不支出”。正确归集项目支出明细，确保资金使用如实反映</w:t>
      </w:r>
      <w:bookmarkStart w:id="4" w:name="_Toc10765"/>
      <w:bookmarkStart w:id="5" w:name="_Toc10625"/>
      <w:bookmarkStart w:id="6" w:name="_Toc20867"/>
      <w:bookmarkStart w:id="7" w:name="_Toc24006"/>
      <w:bookmarkStart w:id="8" w:name="_Toc27879"/>
      <w:r>
        <w:rPr>
          <w:rFonts w:hint="eastAsia" w:ascii="仿宋" w:hAnsi="仿宋" w:eastAsia="仿宋" w:cs="仿宋"/>
          <w:kern w:val="0"/>
          <w:sz w:val="32"/>
          <w:szCs w:val="32"/>
          <w:highlight w:val="none"/>
          <w:lang w:bidi="hi-IN"/>
        </w:rPr>
        <w:t>；加强财务监督审核职能，规范费用支出报账程序及要求，对票据不合规、附件不完整的原始凭证坚决不予报账。</w:t>
      </w:r>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highlight w:val="none"/>
          <w:lang w:val="en-US" w:eastAsia="zh-CN" w:bidi="ar"/>
        </w:rPr>
      </w:pPr>
      <w:r>
        <w:rPr>
          <w:rFonts w:hint="eastAsia" w:ascii="仿宋" w:hAnsi="仿宋" w:eastAsia="仿宋" w:cs="仿宋"/>
          <w:kern w:val="0"/>
          <w:sz w:val="32"/>
          <w:szCs w:val="32"/>
          <w:highlight w:val="none"/>
          <w:lang w:val="en-US" w:eastAsia="zh-CN" w:bidi="hi-IN"/>
        </w:rPr>
        <w:t>2、</w:t>
      </w:r>
      <w:r>
        <w:rPr>
          <w:rFonts w:hint="eastAsia" w:ascii="仿宋" w:hAnsi="仿宋" w:eastAsia="仿宋" w:cs="仿宋"/>
          <w:kern w:val="2"/>
          <w:sz w:val="32"/>
          <w:szCs w:val="32"/>
          <w:highlight w:val="none"/>
          <w:lang w:val="en-US" w:eastAsia="zh-CN" w:bidi="ar"/>
        </w:rPr>
        <w:t>为切实做好专项资金管理和使用，确保补贴专项资金的安全、规范、有效的提高资金使用效益。严格按政府会计制度的规定进行会计核算，编制财务报表和预算会计报表。同时进一步健全我局内控制度，严格执行“三重一大”集体决策制度及各项财务制度，加强内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（三）完善相关制度，规范单位日常管理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rPr>
      </w:pPr>
      <w:r>
        <w:rPr>
          <w:rFonts w:hint="eastAsia" w:ascii="仿宋" w:hAnsi="仿宋" w:eastAsia="仿宋" w:cs="仿宋"/>
          <w:kern w:val="2"/>
          <w:sz w:val="32"/>
          <w:szCs w:val="32"/>
          <w:highlight w:val="none"/>
          <w:lang w:val="en-US" w:eastAsia="zh-CN" w:bidi="ar"/>
        </w:rPr>
        <w:t>进一步完善单位</w:t>
      </w:r>
      <w:r>
        <w:rPr>
          <w:rFonts w:hint="default" w:eastAsia="仿宋_GB2312"/>
          <w:kern w:val="0"/>
          <w:sz w:val="32"/>
          <w:szCs w:val="32"/>
          <w:highlight w:val="none"/>
          <w:lang w:val="en-US" w:eastAsia="zh-CN" w:bidi="hi-IN"/>
        </w:rPr>
        <w:t>单位内部制度</w:t>
      </w:r>
      <w:r>
        <w:rPr>
          <w:rFonts w:hint="eastAsia" w:eastAsia="仿宋_GB2312"/>
          <w:kern w:val="0"/>
          <w:sz w:val="32"/>
          <w:szCs w:val="32"/>
          <w:highlight w:val="none"/>
          <w:lang w:val="en-US" w:eastAsia="zh-CN" w:bidi="hi-IN"/>
        </w:rPr>
        <w:t>、</w:t>
      </w:r>
      <w:r>
        <w:rPr>
          <w:rFonts w:hint="eastAsia" w:ascii="仿宋" w:hAnsi="仿宋" w:eastAsia="仿宋" w:cs="仿宋"/>
          <w:kern w:val="2"/>
          <w:sz w:val="32"/>
          <w:szCs w:val="32"/>
          <w:highlight w:val="none"/>
          <w:lang w:val="en-US" w:eastAsia="zh-CN" w:bidi="ar"/>
        </w:rPr>
        <w:t>财务管理体制、运行机制和监督制度，建立科学化、精细化的预算管理机制、建立绩效评价制度、加快财务监管体系建设、提高经费使用效益、强化财务风险管理，</w:t>
      </w:r>
      <w:r>
        <w:rPr>
          <w:rFonts w:hint="default" w:eastAsia="仿宋_GB2312"/>
          <w:kern w:val="0"/>
          <w:sz w:val="32"/>
          <w:szCs w:val="32"/>
          <w:highlight w:val="none"/>
          <w:lang w:val="en-US" w:eastAsia="zh-CN" w:bidi="hi-IN"/>
        </w:rPr>
        <w:t>确保单位日常管理工作更规范</w:t>
      </w:r>
      <w:r>
        <w:rPr>
          <w:rFonts w:hint="eastAsia" w:eastAsia="仿宋_GB2312"/>
          <w:kern w:val="0"/>
          <w:sz w:val="32"/>
          <w:szCs w:val="32"/>
          <w:highlight w:val="none"/>
          <w:lang w:val="en-US" w:eastAsia="zh-CN" w:bidi="hi-IN"/>
        </w:rPr>
        <w:t>。</w:t>
      </w:r>
      <w:r>
        <w:rPr>
          <w:rFonts w:hint="eastAsia" w:ascii="仿宋" w:hAnsi="仿宋" w:eastAsia="仿宋" w:cs="仿宋"/>
          <w:kern w:val="2"/>
          <w:sz w:val="32"/>
          <w:szCs w:val="32"/>
          <w:highlight w:val="none"/>
          <w:lang w:val="en-US" w:eastAsia="zh-CN" w:bidi="ar"/>
        </w:rPr>
        <w:t>提高预算编制的科学性、准确性，按照“量入为出，统筹兼顾、保证重点、收支平衡”的原则，科学合理编制预算，强化预算执行，提高预算执行效率，推进预算公开。</w:t>
      </w:r>
    </w:p>
    <w:p>
      <w:pPr>
        <w:keepNext w:val="0"/>
        <w:keepLines w:val="0"/>
        <w:widowControl w:val="0"/>
        <w:numPr>
          <w:ilvl w:val="0"/>
          <w:numId w:val="3"/>
        </w:numPr>
        <w:suppressLineNumbers w:val="0"/>
        <w:spacing w:before="0" w:beforeAutospacing="0" w:after="0" w:afterAutospacing="0" w:line="600" w:lineRule="exact"/>
        <w:ind w:left="0" w:leftChars="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绩效自评结果拟应用和公开情况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6"/>
        <w:textAlignment w:val="center"/>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1、2022年整体支出绩效自评从产出指标、效益指标、满意度指标等方面对整体支出逐项自评得分为96分。</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2、按照</w:t>
      </w:r>
      <w:r>
        <w:rPr>
          <w:rFonts w:hint="default" w:ascii="Times New Roman" w:hAnsi="Times New Roman" w:eastAsia="仿宋_GB2312" w:cs="Times New Roman"/>
          <w:kern w:val="2"/>
          <w:sz w:val="32"/>
          <w:szCs w:val="32"/>
          <w:lang w:val="en-US" w:eastAsia="zh-CN" w:bidi="ar"/>
        </w:rPr>
        <w:t>《中共中央国务院关于全面实施预算绩效管理的意见》（中发〔2018〕34号）、《中共湖南省委办公厅 湖南省人民政府办公厅关于全面实施预算绩效管理的实施意见》（湘办发〔2019〕10号）、《湖南省财政厅关于印发&lt;湖南省预算支出绩效评价管理办法&gt;的通知</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（湘财绩〔20</w:t>
      </w:r>
      <w:r>
        <w:rPr>
          <w:rFonts w:hint="eastAsia" w:ascii="Times New Roman" w:hAnsi="Times New Roman" w:eastAsia="仿宋_GB2312" w:cs="Times New Roman"/>
          <w:kern w:val="2"/>
          <w:sz w:val="32"/>
          <w:szCs w:val="32"/>
          <w:lang w:val="en-US" w:eastAsia="zh-CN" w:bidi="ar"/>
        </w:rPr>
        <w:t>20</w:t>
      </w:r>
      <w:r>
        <w:rPr>
          <w:rFonts w:hint="default" w:ascii="Times New Roman" w:hAnsi="Times New Roman" w:eastAsia="仿宋_GB2312" w:cs="Times New Roman"/>
          <w:kern w:val="2"/>
          <w:sz w:val="32"/>
          <w:szCs w:val="32"/>
          <w:lang w:val="en-US" w:eastAsia="zh-CN" w:bidi="ar"/>
        </w:rPr>
        <w:t>〕7号）、《湖南省政府债务项目绩效管理暂行办法》（湘财绩〔2020〕12号）以及《中共株洲市渌口区委办公室 株洲市渌口区人民政府办公室关于印发〈渌口区全面实施预算绩效管理工作方案〉的通知</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（渌办发〔2020〕4号）精神</w:t>
      </w:r>
      <w:r>
        <w:rPr>
          <w:rFonts w:hint="eastAsia" w:ascii="Times New Roman" w:hAnsi="Times New Roman" w:eastAsia="仿宋_GB2312" w:cs="仿宋_GB2312"/>
          <w:kern w:val="2"/>
          <w:sz w:val="32"/>
          <w:szCs w:val="32"/>
          <w:lang w:val="en-US" w:eastAsia="zh-CN" w:bidi="ar"/>
        </w:rPr>
        <w:t>要求，依照规定的文本格式和要求完成《2022年部门整体支出绩效目标表》、《2022年项目支出绩效目标表》，将本单位绩效自评情况在</w:t>
      </w:r>
      <w:r>
        <w:rPr>
          <w:rFonts w:hint="default" w:ascii="Times New Roman" w:hAnsi="Times New Roman" w:eastAsia="仿宋_GB2312" w:cs="仿宋_GB2312"/>
          <w:kern w:val="2"/>
          <w:sz w:val="32"/>
          <w:szCs w:val="32"/>
          <w:lang w:val="en-US" w:eastAsia="zh-CN" w:bidi="ar"/>
        </w:rPr>
        <w:t>株洲市渌口区人民政府门户网</w:t>
      </w:r>
      <w:r>
        <w:rPr>
          <w:rFonts w:hint="eastAsia" w:ascii="Times New Roman" w:hAnsi="Times New Roman" w:eastAsia="仿宋_GB2312" w:cs="仿宋_GB2312"/>
          <w:kern w:val="2"/>
          <w:sz w:val="32"/>
          <w:szCs w:val="32"/>
          <w:lang w:val="en-US" w:eastAsia="zh-CN" w:bidi="ar"/>
        </w:rPr>
        <w:t>站上全文公开，公开内容全面、真实、完整，接受社会公众监督。</w:t>
      </w:r>
    </w:p>
    <w:p>
      <w:pPr>
        <w:pStyle w:val="4"/>
        <w:numPr>
          <w:ilvl w:val="0"/>
          <w:numId w:val="0"/>
        </w:numPr>
        <w:ind w:leftChars="200" w:right="0" w:rightChars="0"/>
        <w:rPr>
          <w:rFonts w:hint="default"/>
          <w:lang w:val="en-US"/>
        </w:rPr>
      </w:pPr>
    </w:p>
    <w:p>
      <w:pPr>
        <w:pStyle w:val="4"/>
        <w:numPr>
          <w:ilvl w:val="0"/>
          <w:numId w:val="0"/>
        </w:numPr>
        <w:ind w:leftChars="200" w:right="0" w:rightChars="0"/>
        <w:rPr>
          <w:rFonts w:hint="default"/>
          <w:lang w:val="en-US"/>
        </w:rPr>
      </w:pPr>
    </w:p>
    <w:p>
      <w:pPr>
        <w:pStyle w:val="4"/>
        <w:numPr>
          <w:ilvl w:val="0"/>
          <w:numId w:val="0"/>
        </w:numPr>
        <w:ind w:leftChars="200" w:right="0" w:rightChars="0"/>
        <w:rPr>
          <w:rFonts w:hint="default"/>
          <w:lang w:val="en-US"/>
        </w:rPr>
      </w:pPr>
    </w:p>
    <w:p>
      <w:pPr>
        <w:pStyle w:val="4"/>
        <w:numPr>
          <w:ilvl w:val="0"/>
          <w:numId w:val="0"/>
        </w:numPr>
        <w:ind w:leftChars="200" w:right="0" w:rightChars="0"/>
        <w:rPr>
          <w:rFonts w:hint="default"/>
          <w:lang w:val="en-US"/>
        </w:rPr>
      </w:pPr>
    </w:p>
    <w:p>
      <w:pPr>
        <w:pStyle w:val="4"/>
        <w:numPr>
          <w:ilvl w:val="0"/>
          <w:numId w:val="0"/>
        </w:numPr>
        <w:ind w:leftChars="200" w:right="0" w:rightChars="0"/>
        <w:rPr>
          <w:rFonts w:hint="default"/>
          <w:lang w:val="en-US"/>
        </w:rPr>
      </w:pPr>
    </w:p>
    <w:p>
      <w:pPr>
        <w:pStyle w:val="4"/>
        <w:numPr>
          <w:ilvl w:val="0"/>
          <w:numId w:val="0"/>
        </w:numPr>
        <w:ind w:leftChars="200" w:right="0" w:rightChars="0"/>
        <w:rPr>
          <w:rFonts w:hint="default"/>
          <w:lang w:val="en-US"/>
        </w:rPr>
      </w:pPr>
    </w:p>
    <w:p>
      <w:pPr>
        <w:pStyle w:val="4"/>
        <w:numPr>
          <w:ilvl w:val="0"/>
          <w:numId w:val="0"/>
        </w:numPr>
        <w:ind w:leftChars="200" w:right="0" w:rightChars="0"/>
        <w:rPr>
          <w:rFonts w:hint="default"/>
          <w:lang w:val="en-US"/>
        </w:rPr>
      </w:pPr>
    </w:p>
    <w:p>
      <w:pPr>
        <w:pStyle w:val="4"/>
        <w:numPr>
          <w:ilvl w:val="0"/>
          <w:numId w:val="0"/>
        </w:numPr>
        <w:ind w:leftChars="200" w:right="0" w:rightChars="0"/>
        <w:rPr>
          <w:rFonts w:hint="default"/>
          <w:lang w:val="en-US"/>
        </w:rPr>
      </w:pPr>
    </w:p>
    <w:p>
      <w:pPr>
        <w:pStyle w:val="4"/>
        <w:numPr>
          <w:ilvl w:val="0"/>
          <w:numId w:val="0"/>
        </w:numPr>
        <w:ind w:leftChars="200" w:right="0" w:rightChars="0"/>
        <w:rPr>
          <w:rFonts w:hint="default"/>
          <w:lang w:val="en-US"/>
        </w:rPr>
      </w:pPr>
    </w:p>
    <w:p>
      <w:pPr>
        <w:pStyle w:val="4"/>
        <w:numPr>
          <w:ilvl w:val="0"/>
          <w:numId w:val="0"/>
        </w:numPr>
        <w:ind w:leftChars="200" w:right="0" w:rightChars="0"/>
        <w:rPr>
          <w:rFonts w:hint="default"/>
          <w:lang w:val="en-US"/>
        </w:rPr>
      </w:pPr>
    </w:p>
    <w:p>
      <w:pPr>
        <w:pStyle w:val="4"/>
        <w:numPr>
          <w:ilvl w:val="0"/>
          <w:numId w:val="0"/>
        </w:numPr>
        <w:ind w:leftChars="200" w:right="0" w:rightChars="0"/>
        <w:rPr>
          <w:rFonts w:hint="default"/>
          <w:lang w:val="en-US"/>
        </w:rPr>
      </w:pPr>
    </w:p>
    <w:p>
      <w:pPr>
        <w:pStyle w:val="4"/>
        <w:numPr>
          <w:ilvl w:val="0"/>
          <w:numId w:val="0"/>
        </w:numPr>
        <w:ind w:leftChars="200" w:right="0" w:rightChars="0"/>
        <w:rPr>
          <w:rFonts w:hint="default"/>
          <w:lang w:val="en-US"/>
        </w:rPr>
      </w:pPr>
    </w:p>
    <w:p>
      <w:pPr>
        <w:pStyle w:val="4"/>
        <w:numPr>
          <w:ilvl w:val="0"/>
          <w:numId w:val="0"/>
        </w:numPr>
        <w:ind w:leftChars="200" w:right="0" w:rightChars="0"/>
        <w:rPr>
          <w:rFonts w:hint="default"/>
          <w:lang w:val="en-US"/>
        </w:rPr>
      </w:pPr>
    </w:p>
    <w:p>
      <w:pPr>
        <w:pStyle w:val="4"/>
        <w:numPr>
          <w:ilvl w:val="0"/>
          <w:numId w:val="0"/>
        </w:numPr>
        <w:ind w:leftChars="200" w:right="0" w:rightChars="0"/>
        <w:rPr>
          <w:rFonts w:hint="default"/>
          <w:lang w:val="en-US"/>
        </w:rPr>
      </w:pPr>
    </w:p>
    <w:p>
      <w:pPr>
        <w:pStyle w:val="4"/>
        <w:numPr>
          <w:ilvl w:val="0"/>
          <w:numId w:val="0"/>
        </w:numPr>
        <w:ind w:leftChars="200" w:right="0" w:rightChars="0"/>
        <w:rPr>
          <w:rFonts w:hint="default"/>
          <w:lang w:val="en-US"/>
        </w:rPr>
      </w:pPr>
    </w:p>
    <w:p>
      <w:pPr>
        <w:pStyle w:val="4"/>
        <w:numPr>
          <w:ilvl w:val="0"/>
          <w:numId w:val="0"/>
        </w:numPr>
        <w:ind w:leftChars="200" w:right="0" w:rightChars="0"/>
        <w:rPr>
          <w:rFonts w:hint="default"/>
          <w:lang w:val="en-US"/>
        </w:rPr>
      </w:pPr>
    </w:p>
    <w:p>
      <w:pPr>
        <w:pStyle w:val="11"/>
        <w:rPr>
          <w:rFonts w:hint="default" w:ascii="Times New Roman" w:hAnsi="Times New Roman" w:eastAsia="仿宋_GB2312" w:cs="Times New Roman"/>
          <w:sz w:val="32"/>
          <w:szCs w:val="32"/>
          <w:lang w:val="en-US" w:eastAsia="zh-CN"/>
        </w:rPr>
      </w:pPr>
      <w:bookmarkStart w:id="9" w:name="_GoBack"/>
      <w:bookmarkEnd w:id="9"/>
    </w:p>
    <w:sectPr>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FD31CE-CA9E-4ABA-A005-7F5DC5CF40E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9D814D5-6D39-463A-A13A-DBD1063978E8}"/>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870CCD24-8000-47F6-BC40-CD9AFC4B2053}"/>
  </w:font>
  <w:font w:name="仿宋_GB2312">
    <w:altName w:val="仿宋"/>
    <w:panose1 w:val="02010609030101010101"/>
    <w:charset w:val="86"/>
    <w:family w:val="auto"/>
    <w:pitch w:val="default"/>
    <w:sig w:usb0="00000000" w:usb1="00000000" w:usb2="00000000" w:usb3="00000000" w:csb0="00040000" w:csb1="00000000"/>
    <w:embedRegular r:id="rId4" w:fontKey="{DEACF5CC-0166-4D73-8592-3C323375DE29}"/>
  </w:font>
  <w:font w:name="仿宋">
    <w:panose1 w:val="02010609060101010101"/>
    <w:charset w:val="86"/>
    <w:family w:val="auto"/>
    <w:pitch w:val="default"/>
    <w:sig w:usb0="800002BF" w:usb1="38CF7CFA" w:usb2="00000016" w:usb3="00000000" w:csb0="00040001" w:csb1="00000000"/>
    <w:embedRegular r:id="rId5" w:fontKey="{7A163C30-FD1E-4A7F-B351-80DD0D7B4FCA}"/>
  </w:font>
  <w:font w:name="楷体_GB2312">
    <w:altName w:val="楷体"/>
    <w:panose1 w:val="00000000000000000000"/>
    <w:charset w:val="86"/>
    <w:family w:val="auto"/>
    <w:pitch w:val="default"/>
    <w:sig w:usb0="00000000" w:usb1="00000000" w:usb2="00000010" w:usb3="00000000" w:csb0="00040000" w:csb1="00000000"/>
    <w:embedRegular r:id="rId6" w:fontKey="{B5B7013A-9ED0-40E2-9EDD-97057C47FF61}"/>
  </w:font>
  <w:font w:name="方正仿宋_GBK">
    <w:panose1 w:val="03000509000000000000"/>
    <w:charset w:val="86"/>
    <w:family w:val="script"/>
    <w:pitch w:val="default"/>
    <w:sig w:usb0="00000001" w:usb1="080E0000" w:usb2="00000000" w:usb3="00000000" w:csb0="00040000" w:csb1="00000000"/>
    <w:embedRegular r:id="rId7" w:fontKey="{988F4565-420F-4FAE-B170-BD28A47291B7}"/>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60B05"/>
    <w:multiLevelType w:val="singleLevel"/>
    <w:tmpl w:val="8E260B05"/>
    <w:lvl w:ilvl="0" w:tentative="0">
      <w:start w:val="1"/>
      <w:numFmt w:val="chineseCounting"/>
      <w:suff w:val="nothing"/>
      <w:lvlText w:val="%1、"/>
      <w:lvlJc w:val="left"/>
      <w:rPr>
        <w:rFonts w:hint="eastAsia"/>
      </w:rPr>
    </w:lvl>
  </w:abstractNum>
  <w:abstractNum w:abstractNumId="1">
    <w:nsid w:val="C02A916F"/>
    <w:multiLevelType w:val="singleLevel"/>
    <w:tmpl w:val="C02A916F"/>
    <w:lvl w:ilvl="0" w:tentative="0">
      <w:start w:val="1"/>
      <w:numFmt w:val="chineseCounting"/>
      <w:suff w:val="nothing"/>
      <w:lvlText w:val="（%1）"/>
      <w:lvlJc w:val="left"/>
      <w:rPr>
        <w:rFonts w:hint="eastAsia"/>
      </w:rPr>
    </w:lvl>
  </w:abstractNum>
  <w:abstractNum w:abstractNumId="2">
    <w:nsid w:val="1C2B3A93"/>
    <w:multiLevelType w:val="singleLevel"/>
    <w:tmpl w:val="1C2B3A93"/>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zkzZDA5MTU2ZmIzMmFiNmNhMjUxNmVlMjMxMTYifQ=="/>
  </w:docVars>
  <w:rsids>
    <w:rsidRoot w:val="00000000"/>
    <w:rsid w:val="005365B8"/>
    <w:rsid w:val="05436869"/>
    <w:rsid w:val="0A9F23E7"/>
    <w:rsid w:val="0AE023EE"/>
    <w:rsid w:val="0B3F1291"/>
    <w:rsid w:val="0B903ADE"/>
    <w:rsid w:val="0D564DFD"/>
    <w:rsid w:val="0DB57CB4"/>
    <w:rsid w:val="0E8845BE"/>
    <w:rsid w:val="12217B86"/>
    <w:rsid w:val="14274190"/>
    <w:rsid w:val="184B5C35"/>
    <w:rsid w:val="1B9B0E19"/>
    <w:rsid w:val="1C9A5481"/>
    <w:rsid w:val="1CF739BD"/>
    <w:rsid w:val="20221513"/>
    <w:rsid w:val="215F4227"/>
    <w:rsid w:val="21C276E9"/>
    <w:rsid w:val="259A75DB"/>
    <w:rsid w:val="26061115"/>
    <w:rsid w:val="2A7F1496"/>
    <w:rsid w:val="2B95569E"/>
    <w:rsid w:val="2DF67720"/>
    <w:rsid w:val="2E906036"/>
    <w:rsid w:val="2EB06DE2"/>
    <w:rsid w:val="2EFFB905"/>
    <w:rsid w:val="2FBE7072"/>
    <w:rsid w:val="32852B12"/>
    <w:rsid w:val="32DE76C4"/>
    <w:rsid w:val="37A570FA"/>
    <w:rsid w:val="3CF4720D"/>
    <w:rsid w:val="3D960B78"/>
    <w:rsid w:val="3E6A6D4F"/>
    <w:rsid w:val="3FE693AD"/>
    <w:rsid w:val="42030DB7"/>
    <w:rsid w:val="44E4041B"/>
    <w:rsid w:val="455137CA"/>
    <w:rsid w:val="46190A3E"/>
    <w:rsid w:val="46BA7686"/>
    <w:rsid w:val="49290AF3"/>
    <w:rsid w:val="499C3073"/>
    <w:rsid w:val="4A9A5B32"/>
    <w:rsid w:val="4AF01932"/>
    <w:rsid w:val="4DD57ADF"/>
    <w:rsid w:val="4ED60DD5"/>
    <w:rsid w:val="4F3BD62E"/>
    <w:rsid w:val="524C14DA"/>
    <w:rsid w:val="536974C6"/>
    <w:rsid w:val="53CB15B5"/>
    <w:rsid w:val="577C6C0C"/>
    <w:rsid w:val="5785631B"/>
    <w:rsid w:val="590F614C"/>
    <w:rsid w:val="5AC87191"/>
    <w:rsid w:val="6186789B"/>
    <w:rsid w:val="6251583D"/>
    <w:rsid w:val="63B32BC4"/>
    <w:rsid w:val="64B13A1E"/>
    <w:rsid w:val="64CB5136"/>
    <w:rsid w:val="6597191E"/>
    <w:rsid w:val="67026240"/>
    <w:rsid w:val="683706DE"/>
    <w:rsid w:val="690B500C"/>
    <w:rsid w:val="6B0851D1"/>
    <w:rsid w:val="6C9C6D62"/>
    <w:rsid w:val="70D02CB2"/>
    <w:rsid w:val="728406E8"/>
    <w:rsid w:val="74074200"/>
    <w:rsid w:val="77B909F0"/>
    <w:rsid w:val="78292927"/>
    <w:rsid w:val="78540864"/>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8"/>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paragraph" w:styleId="2">
    <w:name w:val="heading 2"/>
    <w:basedOn w:val="1"/>
    <w:next w:val="1"/>
    <w:qFormat/>
    <w:uiPriority w:val="99"/>
    <w:pPr>
      <w:keepNext/>
      <w:keepLines/>
      <w:spacing w:line="560" w:lineRule="exact"/>
      <w:outlineLvl w:val="1"/>
    </w:pPr>
    <w:rPr>
      <w:rFonts w:ascii="Arial" w:hAnsi="Arial" w:eastAsia="楷体"/>
      <w:b/>
      <w:sz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Body Text"/>
    <w:basedOn w:val="1"/>
    <w:link w:val="10"/>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Char"/>
    <w:basedOn w:val="7"/>
    <w:link w:val="3"/>
    <w:qFormat/>
    <w:uiPriority w:val="0"/>
    <w:rPr>
      <w:rFonts w:hint="default" w:ascii="Calibri" w:hAnsi="Calibri" w:cs="Calibri"/>
      <w:b/>
      <w:bCs/>
      <w:kern w:val="44"/>
      <w:sz w:val="44"/>
      <w:szCs w:val="44"/>
    </w:rPr>
  </w:style>
  <w:style w:type="paragraph" w:customStyle="1" w:styleId="9">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0">
    <w:name w:val="正文文本 Char"/>
    <w:basedOn w:val="7"/>
    <w:link w:val="4"/>
    <w:qFormat/>
    <w:uiPriority w:val="0"/>
    <w:rPr>
      <w:rFonts w:hint="eastAsia" w:ascii="宋体" w:hAnsi="宋体" w:eastAsia="宋体" w:cs="宋体"/>
      <w:kern w:val="2"/>
      <w:sz w:val="33"/>
      <w:szCs w:val="33"/>
    </w:rPr>
  </w:style>
  <w:style w:type="paragraph" w:customStyle="1" w:styleId="11">
    <w:name w:val="正文文字"/>
    <w:basedOn w:val="1"/>
    <w:next w:val="1"/>
    <w:qFormat/>
    <w:uiPriority w:val="0"/>
    <w:pPr>
      <w:spacing w:after="120"/>
    </w:pPr>
    <w:rPr>
      <w:rFonts w:ascii="Calibri" w:hAnsi="Calibri"/>
      <w:szCs w:val="24"/>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7518</Words>
  <Characters>8156</Characters>
  <Lines>0</Lines>
  <Paragraphs>0</Paragraphs>
  <TotalTime>18</TotalTime>
  <ScaleCrop>false</ScaleCrop>
  <LinksUpToDate>false</LinksUpToDate>
  <CharactersWithSpaces>8300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べ心ヤ星う</cp:lastModifiedBy>
  <cp:lastPrinted>2023-04-18T01:09:00Z</cp:lastPrinted>
  <dcterms:modified xsi:type="dcterms:W3CDTF">2023-08-24T02:52:24Z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0479C8E514D44F5A97177BAA794ECCA7</vt:lpwstr>
  </property>
</Properties>
</file>