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7F" w:rsidRDefault="004700B4">
      <w:pPr>
        <w:spacing w:line="660" w:lineRule="exact"/>
        <w:jc w:val="center"/>
        <w:rPr>
          <w:rFonts w:eastAsia="方正小标宋简体"/>
          <w:sz w:val="44"/>
          <w:szCs w:val="44"/>
        </w:rPr>
      </w:pPr>
      <w:r>
        <w:rPr>
          <w:rFonts w:ascii="Times New Roman" w:eastAsia="方正小标宋简体" w:hAnsi="方正小标宋简体" w:cs="方正小标宋简体" w:hint="eastAsia"/>
          <w:sz w:val="44"/>
          <w:szCs w:val="44"/>
        </w:rPr>
        <w:t>渌口区审计局部门整体支出绩效自评报告</w:t>
      </w:r>
    </w:p>
    <w:p w:rsidR="00972A7F" w:rsidRDefault="00972A7F">
      <w:pPr>
        <w:rPr>
          <w:rFonts w:ascii="Times New Roman" w:hAnsi="Times New Roman" w:cs="Times New Roman"/>
          <w:sz w:val="32"/>
          <w:szCs w:val="32"/>
        </w:rPr>
      </w:pPr>
    </w:p>
    <w:p w:rsidR="00972A7F" w:rsidRDefault="004700B4">
      <w:pPr>
        <w:spacing w:line="600" w:lineRule="exact"/>
        <w:ind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一、预算单位基本情况</w:t>
      </w:r>
    </w:p>
    <w:p w:rsidR="00972A7F" w:rsidRDefault="004700B4">
      <w:pPr>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1．主要职能。（一）贯彻执行国家、省、市有关审计工作的方针、政策和法律、法规；拟订年度审计计划并组织实施；会同有关部门拟订审计、财政经济及有关制度和办法并监督执行。</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负责对全区财政收支和属于审计监督范围的财务收支进行审计监督。负责对依法行政情况进行审计监督。负责对直接审计、调查和核查的事项进行审计评价，出具审计报告，作出审计决定或提出审计建议，并督促被审计单位整改。</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（三）负责向区人民政府报告和向区人民政府有关部门通报审计情况，提出制定推动深化改革、创新体制机制和完善有关政策法规、宏观调控措施的建议。</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负责向区人民政府提出年度县本级预算执行和其他财政收支情况的审计结果报告。受区人民政府委托向区人大常委会提出区本级预算执行情况和其他财政收支情况的审计工作报告、审计发现问题的纠正和处理结果报告。负责向社会公布审计结果。</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（五）负责区属国有企业、金融机构和区属国有资本占控股或主导地位的企业与金融机构的资产、负债和损益</w:t>
      </w:r>
      <w:r>
        <w:rPr>
          <w:rFonts w:ascii="仿宋_GB2312" w:eastAsia="仿宋_GB2312" w:hAnsi="仿宋" w:hint="eastAsia"/>
          <w:sz w:val="32"/>
          <w:szCs w:val="32"/>
        </w:rPr>
        <w:lastRenderedPageBreak/>
        <w:t>情况的审计；负责区人民政府投资为主的建设项目的预算执行、工程结算情况和竣工决算审计。</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（六）负责对区管党政领导干部及国有企事业领导人员实施经济责任审计；协调各成员单位运用经济责任审计成果。</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组织实施对国家财经法律、法规、规章和稳增长、促改革、调结构、惠民生、防风险等政策措施落实情况以及财政预算管理、公共资金、国有资产、国有资源管理使用等与国家财政收支有关的特定事项进行专项审计调查。</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（八）负责检查审计决定执行情况并督促纠正和处理审计发现的问题；负责办理被审计单位对审计决定提请行政复议、行政诉讼或区人民政府裁决中的有关事项；协助配合有关部门查处相关重大案件。</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（九）指导和监督依法属于审计监督对象的单位的内部审计工作；核查社会审计机构对依法属于审计监督对象的单位出具的相关审计报告。</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（十）负责上级审计部门授权的审计项目和专项审计调查项目的组织实施。</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（十一）负责对乡镇人民政府，区直党政工作部门、审判机关、检察机关、事业单位和人民团体等单位的机构设置、编制使用以及有关规定的执行情况进行审计。</w:t>
      </w:r>
    </w:p>
    <w:p w:rsidR="00972A7F"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（十二）承办区人民政府交办的其他事项。增加重大项目稽查相关工作的职责；预算执行情况力其他财政收支</w:t>
      </w:r>
      <w:r>
        <w:rPr>
          <w:rFonts w:ascii="仿宋_GB2312" w:eastAsia="仿宋_GB2312" w:hAnsi="仿宋" w:hint="eastAsia"/>
          <w:sz w:val="32"/>
          <w:szCs w:val="32"/>
        </w:rPr>
        <w:lastRenderedPageBreak/>
        <w:t>情况监督检查职责；建设项目审计监督中心行政职能划归局机关。</w:t>
      </w:r>
    </w:p>
    <w:p w:rsidR="00972A7F" w:rsidRDefault="004700B4">
      <w:pPr>
        <w:spacing w:line="520" w:lineRule="exact"/>
        <w:ind w:firstLineChars="200" w:firstLine="640"/>
        <w:rPr>
          <w:rFonts w:ascii="仿宋" w:eastAsia="仿宋" w:hAnsi="仿宋"/>
          <w:sz w:val="32"/>
          <w:szCs w:val="32"/>
        </w:rPr>
      </w:pPr>
      <w:r>
        <w:rPr>
          <w:rFonts w:ascii="仿宋_GB2312" w:eastAsia="仿宋_GB2312" w:hAnsi="仿宋" w:hint="eastAsia"/>
          <w:sz w:val="32"/>
          <w:szCs w:val="32"/>
        </w:rPr>
        <w:t>2．机构情况。我单位内设机构为：办公室、法制股、财政审计股、行政事业审计股、预算执行情况和其他财政收支情况监督检查股、重大项目稽查股、领导干部自然资源资产离任审计股。由我单位领导和管理的单位有：渌口区投资审计中心。核定行政编制14名，全额拨款事业编制16名。副科级事业单位渌口区投资审计中心。</w:t>
      </w:r>
    </w:p>
    <w:p w:rsidR="00972A7F" w:rsidRPr="00F651C8" w:rsidRDefault="004700B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3．人员情况。2022年12月31日，实有在职在编人员27人，其中：行政编制12人，全额拨款事业编制15人。</w:t>
      </w:r>
      <w:r w:rsidRPr="00F651C8">
        <w:rPr>
          <w:rFonts w:ascii="仿宋_GB2312" w:eastAsia="仿宋_GB2312" w:hAnsi="仿宋" w:hint="eastAsia"/>
          <w:sz w:val="32"/>
          <w:szCs w:val="32"/>
        </w:rPr>
        <w:t>当年行政编制退休2人，调出2人，事业编制调入</w:t>
      </w:r>
      <w:r w:rsidR="00694FE7" w:rsidRPr="00F651C8">
        <w:rPr>
          <w:rFonts w:ascii="仿宋_GB2312" w:eastAsia="仿宋_GB2312" w:hAnsi="仿宋" w:hint="eastAsia"/>
          <w:sz w:val="32"/>
          <w:szCs w:val="32"/>
        </w:rPr>
        <w:t>2</w:t>
      </w:r>
      <w:r w:rsidRPr="00F651C8">
        <w:rPr>
          <w:rFonts w:ascii="仿宋_GB2312" w:eastAsia="仿宋_GB2312" w:hAnsi="仿宋" w:hint="eastAsia"/>
          <w:sz w:val="32"/>
          <w:szCs w:val="32"/>
        </w:rPr>
        <w:t>人，新入2人。</w:t>
      </w:r>
    </w:p>
    <w:p w:rsidR="00972A7F" w:rsidRDefault="004700B4">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972A7F" w:rsidRDefault="004700B4">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（一）基本支出情况</w:t>
      </w:r>
    </w:p>
    <w:p w:rsidR="00972A7F" w:rsidRPr="00694FE7" w:rsidRDefault="005211C2">
      <w:pPr>
        <w:spacing w:line="520" w:lineRule="exact"/>
        <w:ind w:firstLineChars="200" w:firstLine="640"/>
        <w:rPr>
          <w:rFonts w:ascii="仿宋_GB2312" w:eastAsia="仿宋_GB2312" w:hAnsi="仿宋"/>
          <w:sz w:val="32"/>
          <w:szCs w:val="32"/>
        </w:rPr>
      </w:pPr>
      <w:r w:rsidRPr="00117CFF">
        <w:rPr>
          <w:rFonts w:ascii="仿宋_GB2312" w:eastAsia="仿宋_GB2312" w:hAnsi="仿宋"/>
          <w:sz w:val="32"/>
          <w:szCs w:val="32"/>
        </w:rPr>
        <w:t>20</w:t>
      </w:r>
      <w:r w:rsidRPr="00117CFF">
        <w:rPr>
          <w:rFonts w:ascii="仿宋_GB2312" w:eastAsia="仿宋_GB2312" w:hAnsi="仿宋" w:hint="eastAsia"/>
          <w:sz w:val="32"/>
          <w:szCs w:val="32"/>
        </w:rPr>
        <w:t>2</w:t>
      </w:r>
      <w:r>
        <w:rPr>
          <w:rFonts w:ascii="仿宋_GB2312" w:eastAsia="仿宋_GB2312" w:hAnsi="仿宋" w:hint="eastAsia"/>
          <w:sz w:val="32"/>
          <w:szCs w:val="32"/>
        </w:rPr>
        <w:t>2</w:t>
      </w:r>
      <w:r w:rsidRPr="00117CFF">
        <w:rPr>
          <w:rFonts w:ascii="仿宋_GB2312" w:eastAsia="仿宋_GB2312" w:hAnsi="仿宋"/>
          <w:sz w:val="32"/>
          <w:szCs w:val="32"/>
        </w:rPr>
        <w:t>年</w:t>
      </w:r>
      <w:r w:rsidRPr="00117CFF">
        <w:rPr>
          <w:rFonts w:ascii="仿宋_GB2312" w:eastAsia="仿宋_GB2312" w:hAnsi="仿宋" w:hint="eastAsia"/>
          <w:sz w:val="32"/>
          <w:szCs w:val="32"/>
        </w:rPr>
        <w:t>一般</w:t>
      </w:r>
      <w:r w:rsidRPr="00117CFF">
        <w:rPr>
          <w:rFonts w:ascii="仿宋_GB2312" w:eastAsia="仿宋_GB2312" w:hAnsi="仿宋"/>
          <w:sz w:val="32"/>
          <w:szCs w:val="32"/>
        </w:rPr>
        <w:t>公共预算财政拨款支出</w:t>
      </w:r>
      <w:r>
        <w:rPr>
          <w:rFonts w:ascii="仿宋_GB2312" w:eastAsia="仿宋_GB2312" w:hAnsi="仿宋" w:hint="eastAsia"/>
          <w:sz w:val="32"/>
          <w:szCs w:val="32"/>
        </w:rPr>
        <w:t>838.23</w:t>
      </w:r>
      <w:r w:rsidRPr="00117CFF">
        <w:rPr>
          <w:rFonts w:ascii="仿宋_GB2312" w:eastAsia="仿宋_GB2312" w:hAnsi="仿宋"/>
          <w:sz w:val="32"/>
          <w:szCs w:val="32"/>
        </w:rPr>
        <w:t>万元</w:t>
      </w:r>
      <w:r>
        <w:rPr>
          <w:rFonts w:ascii="仿宋_GB2312" w:eastAsia="仿宋_GB2312" w:hAnsi="仿宋" w:hint="eastAsia"/>
          <w:sz w:val="32"/>
          <w:szCs w:val="32"/>
        </w:rPr>
        <w:t>，</w:t>
      </w:r>
      <w:r w:rsidRPr="00117CFF">
        <w:rPr>
          <w:rFonts w:ascii="仿宋_GB2312" w:eastAsia="仿宋_GB2312" w:hAnsi="仿宋"/>
          <w:sz w:val="32"/>
          <w:szCs w:val="32"/>
        </w:rPr>
        <w:t>其中：基本支出</w:t>
      </w:r>
      <w:r>
        <w:rPr>
          <w:rFonts w:ascii="仿宋_GB2312" w:eastAsia="仿宋_GB2312" w:hAnsi="仿宋" w:hint="eastAsia"/>
          <w:sz w:val="32"/>
          <w:szCs w:val="32"/>
        </w:rPr>
        <w:t>838.23</w:t>
      </w:r>
      <w:r w:rsidRPr="00117CFF">
        <w:rPr>
          <w:rFonts w:ascii="仿宋_GB2312" w:eastAsia="仿宋_GB2312" w:hAnsi="仿宋"/>
          <w:sz w:val="32"/>
          <w:szCs w:val="32"/>
        </w:rPr>
        <w:t>万元，主要用于</w:t>
      </w:r>
      <w:r w:rsidRPr="00117CFF">
        <w:rPr>
          <w:rFonts w:ascii="仿宋_GB2312" w:eastAsia="仿宋_GB2312" w:hAnsi="仿宋" w:hint="eastAsia"/>
          <w:sz w:val="32"/>
          <w:szCs w:val="32"/>
        </w:rPr>
        <w:t>保运转</w:t>
      </w:r>
      <w:r w:rsidRPr="00117CFF">
        <w:rPr>
          <w:rFonts w:ascii="仿宋_GB2312" w:eastAsia="仿宋_GB2312" w:hAnsi="仿宋"/>
          <w:sz w:val="32"/>
          <w:szCs w:val="32"/>
        </w:rPr>
        <w:t>等日常公用经费</w:t>
      </w:r>
      <w:r w:rsidRPr="00117CFF">
        <w:rPr>
          <w:rFonts w:ascii="仿宋_GB2312" w:eastAsia="仿宋_GB2312" w:hAnsi="仿宋" w:hint="eastAsia"/>
          <w:sz w:val="32"/>
          <w:szCs w:val="32"/>
        </w:rPr>
        <w:t>，比上年度</w:t>
      </w:r>
      <w:r>
        <w:rPr>
          <w:rFonts w:ascii="仿宋_GB2312" w:eastAsia="仿宋_GB2312" w:hAnsi="仿宋" w:hint="eastAsia"/>
          <w:sz w:val="32"/>
          <w:szCs w:val="32"/>
        </w:rPr>
        <w:t>1014.82</w:t>
      </w:r>
      <w:r w:rsidRPr="00117CFF">
        <w:rPr>
          <w:rFonts w:ascii="仿宋_GB2312" w:eastAsia="仿宋_GB2312" w:hAnsi="仿宋" w:hint="eastAsia"/>
          <w:sz w:val="32"/>
          <w:szCs w:val="32"/>
        </w:rPr>
        <w:t>万元</w:t>
      </w:r>
      <w:r>
        <w:rPr>
          <w:rFonts w:ascii="仿宋_GB2312" w:eastAsia="仿宋_GB2312" w:hAnsi="仿宋" w:hint="eastAsia"/>
          <w:sz w:val="32"/>
          <w:szCs w:val="32"/>
        </w:rPr>
        <w:t>减少</w:t>
      </w:r>
      <w:r w:rsidRPr="00117CFF">
        <w:rPr>
          <w:rFonts w:ascii="仿宋_GB2312" w:eastAsia="仿宋_GB2312" w:hAnsi="仿宋" w:hint="eastAsia"/>
          <w:sz w:val="32"/>
          <w:szCs w:val="32"/>
        </w:rPr>
        <w:t>了</w:t>
      </w:r>
      <w:r>
        <w:rPr>
          <w:rFonts w:ascii="仿宋_GB2312" w:eastAsia="仿宋_GB2312" w:hAnsi="仿宋" w:hint="eastAsia"/>
          <w:sz w:val="32"/>
          <w:szCs w:val="32"/>
        </w:rPr>
        <w:t>176.59</w:t>
      </w:r>
      <w:r w:rsidRPr="00117CFF">
        <w:rPr>
          <w:rFonts w:ascii="仿宋_GB2312" w:eastAsia="仿宋_GB2312" w:hAnsi="仿宋" w:hint="eastAsia"/>
          <w:sz w:val="32"/>
          <w:szCs w:val="32"/>
        </w:rPr>
        <w:t>万元，</w:t>
      </w:r>
      <w:r>
        <w:rPr>
          <w:rFonts w:ascii="仿宋_GB2312" w:eastAsia="仿宋_GB2312" w:hAnsi="仿宋" w:hint="eastAsia"/>
          <w:sz w:val="32"/>
          <w:szCs w:val="32"/>
        </w:rPr>
        <w:t>减少</w:t>
      </w:r>
      <w:r w:rsidRPr="00117CFF">
        <w:rPr>
          <w:rFonts w:ascii="仿宋_GB2312" w:eastAsia="仿宋_GB2312" w:hAnsi="仿宋" w:hint="eastAsia"/>
          <w:sz w:val="32"/>
          <w:szCs w:val="32"/>
        </w:rPr>
        <w:t>了</w:t>
      </w:r>
      <w:r>
        <w:rPr>
          <w:rFonts w:ascii="仿宋_GB2312" w:eastAsia="仿宋_GB2312" w:hAnsi="仿宋" w:hint="eastAsia"/>
          <w:sz w:val="32"/>
          <w:szCs w:val="32"/>
        </w:rPr>
        <w:t>17.4</w:t>
      </w:r>
      <w:r w:rsidRPr="00117CFF">
        <w:rPr>
          <w:rFonts w:ascii="仿宋_GB2312" w:eastAsia="仿宋_GB2312" w:hAnsi="仿宋" w:hint="eastAsia"/>
          <w:sz w:val="32"/>
          <w:szCs w:val="32"/>
        </w:rPr>
        <w:t>%。</w:t>
      </w:r>
    </w:p>
    <w:p w:rsidR="00972A7F" w:rsidRDefault="004700B4">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972A7F" w:rsidRDefault="005211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无</w:t>
      </w:r>
      <w:r w:rsidR="004700B4">
        <w:rPr>
          <w:rFonts w:ascii="仿宋_GB2312" w:eastAsia="仿宋_GB2312" w:hAnsi="仿宋" w:hint="eastAsia"/>
          <w:sz w:val="32"/>
          <w:szCs w:val="32"/>
        </w:rPr>
        <w:t>项目支出</w:t>
      </w:r>
      <w:r>
        <w:rPr>
          <w:rFonts w:ascii="仿宋_GB2312" w:eastAsia="仿宋_GB2312" w:hAnsi="仿宋" w:hint="eastAsia"/>
          <w:sz w:val="32"/>
          <w:szCs w:val="32"/>
        </w:rPr>
        <w:t>。</w:t>
      </w:r>
    </w:p>
    <w:p w:rsidR="00972A7F" w:rsidRDefault="004700B4">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kern w:val="2"/>
          <w:sz w:val="32"/>
          <w:szCs w:val="32"/>
        </w:rPr>
        <w:t>三、部门整体支出绩效情况</w:t>
      </w:r>
    </w:p>
    <w:p w:rsidR="00972A7F" w:rsidRDefault="004700B4">
      <w:pPr>
        <w:spacing w:line="56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（一）审计成果“多样化”，建设性作用更加突显</w:t>
      </w:r>
    </w:p>
    <w:p w:rsidR="00972A7F" w:rsidRDefault="004700B4">
      <w:pPr>
        <w:spacing w:line="560" w:lineRule="exact"/>
        <w:ind w:firstLineChars="200" w:firstLine="640"/>
        <w:rPr>
          <w:rFonts w:ascii="仿宋_GB2312" w:eastAsia="仿宋_GB2312" w:hAnsi="仿宋"/>
          <w:kern w:val="2"/>
          <w:sz w:val="32"/>
          <w:szCs w:val="32"/>
        </w:rPr>
      </w:pPr>
      <w:r>
        <w:rPr>
          <w:rFonts w:ascii="仿宋_GB2312" w:eastAsia="仿宋_GB2312" w:hAnsi="仿宋"/>
          <w:sz w:val="32"/>
          <w:szCs w:val="32"/>
        </w:rPr>
        <w:t>全方位、多层次开展审计监督</w:t>
      </w:r>
      <w:r>
        <w:rPr>
          <w:rFonts w:ascii="仿宋_GB2312" w:eastAsia="仿宋_GB2312" w:hAnsi="仿宋" w:hint="eastAsia"/>
          <w:sz w:val="32"/>
          <w:szCs w:val="32"/>
        </w:rPr>
        <w:t>，</w:t>
      </w:r>
      <w:r>
        <w:rPr>
          <w:rFonts w:ascii="仿宋_GB2312" w:eastAsia="仿宋_GB2312" w:hAnsi="仿宋" w:hint="eastAsia"/>
          <w:kern w:val="2"/>
          <w:sz w:val="32"/>
          <w:szCs w:val="32"/>
        </w:rPr>
        <w:t>全年审计查出主要问题金额169637.17万元，其中违规金额84663万元，管理</w:t>
      </w:r>
      <w:r>
        <w:rPr>
          <w:rFonts w:ascii="仿宋_GB2312" w:eastAsia="仿宋_GB2312" w:hAnsi="仿宋" w:hint="eastAsia"/>
          <w:kern w:val="2"/>
          <w:sz w:val="32"/>
          <w:szCs w:val="32"/>
        </w:rPr>
        <w:lastRenderedPageBreak/>
        <w:t xml:space="preserve">不规范金额84974.17万元；审计处理处罚金额（上缴区财政）148.75万元，极大提高了区财政资金使用效益；审计发现主要问题181个，其中：预算执行情况审计55个；领导干部经济责任及自然资源离任（任中）审计78个；政府投资审计16个；审计专项调查32个。向区委政府提出审计建议54条，向有关部门移送问题线索26条；聚焦政府投资项目充分发挥审计监督作用，复核财评中心评审项目和建设单位送审项目38个、送审金额38229.18万元，审减资金2172万元。提交审计要情2期、审计专报5篇，得到区委、政府主要领导批示11份，上报审计信息31篇、信息简报26篇。  </w:t>
      </w:r>
    </w:p>
    <w:p w:rsidR="00972A7F" w:rsidRDefault="004700B4">
      <w:pPr>
        <w:spacing w:line="56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（二）经济监督“融合化”，审计效能持续增强</w:t>
      </w:r>
    </w:p>
    <w:p w:rsidR="00972A7F" w:rsidRDefault="004700B4">
      <w:pPr>
        <w:pStyle w:val="Bodytext1"/>
        <w:tabs>
          <w:tab w:val="left" w:pos="1740"/>
        </w:tabs>
        <w:spacing w:line="560" w:lineRule="exact"/>
        <w:ind w:firstLineChars="200" w:firstLine="640"/>
        <w:rPr>
          <w:rFonts w:ascii="仿宋_GB2312" w:eastAsia="仿宋_GB2312" w:hAnsi="仿宋" w:cstheme="minorBidi"/>
          <w:lang w:val="en-US" w:eastAsia="zh-CN" w:bidi="ar-SA"/>
        </w:rPr>
      </w:pPr>
      <w:r>
        <w:rPr>
          <w:rFonts w:ascii="仿宋_GB2312" w:eastAsia="仿宋_GB2312" w:hAnsi="仿宋" w:cstheme="minorBidi" w:hint="eastAsia"/>
          <w:lang w:val="en-US" w:eastAsia="zh-CN" w:bidi="ar-SA"/>
        </w:rPr>
        <w:t>坚持审计一盘棋和“两统筹”工作思路，围绕政策落实、财政绩效、风险防控、经济责任、生态环保、工程建设、民生改善等领域，着力做到“三个”结合。一是将审计项目与省市三级联动相结合，开展预算执行情况审计。严格按照省厅“三级联动、统筹安排”工作要求，重点围绕“三高四新”战略定位和使命任务落实、政府债券、国有资产等六大方面开展预算执行情况审计。重点揭示了政府资金拨付滞后，财政专户应撤未撤等方面问题53个，涉及违规资金68663万元、管理不规范资金63716万元，有力助推了政府节省开支，盘活存量资金，促进规范管理。二是将审计项目与区委中心工作相结合，开展经济责任审计和专项审计调查。聚焦领导干部规范权力运行、重大政</w:t>
      </w:r>
      <w:r>
        <w:rPr>
          <w:rFonts w:ascii="仿宋_GB2312" w:eastAsia="仿宋_GB2312" w:hAnsi="仿宋" w:cstheme="minorBidi" w:hint="eastAsia"/>
          <w:lang w:val="en-US" w:eastAsia="zh-CN" w:bidi="ar-SA"/>
        </w:rPr>
        <w:lastRenderedPageBreak/>
        <w:t>策落实、政府投资项目规范管理和政府债务风险及行政效能，全面落实放管服改革、优化营商环境、教育振兴三年行动计划、生态环保、项目建设，开展领导干部任期经济责任审计和专项审计调查。出具报告8个，查出问题110个，涉及违规及管理不规范资金37258.17万元。审计过程中做到及时纠偏、边查边改、立行立改，达到举一反三、“审计一点、规范一片”的效果。三是将审计项目与民生实事、降本增效、项目建设相结合，开展政府投资审计。紧盯重点工程和民生项目强化审计监督，共完成政府投资项目审计38个，其中：复审财评中心评审项目24个，建设单位送审项目14个。涉及金额38229.18万元，审减资金2172万元，审减率5.6%，确保每一笔资金都用在刀刃上。在审计过程中，发现项目建设程序和管理方面存在10个方面的问题，向纪委、发改、住建、环保等部门移送超付工程款、结算超概算等问题线索17条。对在建项目开展事中审计，就株洲渌口科创产业园项目（标准厂房四期）土石方场地平整工程开展事中审计，通过现场勘查和复核，发现该项目土石方工程量存在虚增和土石比不实，核减金额1300余万。</w:t>
      </w:r>
    </w:p>
    <w:p w:rsidR="00972A7F" w:rsidRDefault="004700B4">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972A7F" w:rsidRDefault="004700B4">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各类预算支出都在目标绩效范围之内。</w:t>
      </w:r>
    </w:p>
    <w:p w:rsidR="00972A7F" w:rsidRDefault="004700B4">
      <w:pPr>
        <w:spacing w:line="600" w:lineRule="exact"/>
        <w:ind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五、下一步改进措施</w:t>
      </w:r>
    </w:p>
    <w:p w:rsidR="00972A7F" w:rsidRDefault="004700B4">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、加强预算绩效管理。</w:t>
      </w:r>
    </w:p>
    <w:p w:rsidR="00972A7F" w:rsidRDefault="004700B4">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2</w:t>
      </w:r>
      <w:r>
        <w:rPr>
          <w:rFonts w:ascii="Times New Roman" w:eastAsia="仿宋_GB2312" w:hAnsi="Times New Roman" w:cs="仿宋_GB2312" w:hint="eastAsia"/>
          <w:sz w:val="32"/>
          <w:szCs w:val="32"/>
        </w:rPr>
        <w:t>、加强资金监管力度。</w:t>
      </w:r>
    </w:p>
    <w:p w:rsidR="00972A7F" w:rsidRDefault="004700B4">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、加强项目实施监控。</w:t>
      </w:r>
    </w:p>
    <w:p w:rsidR="00972A7F" w:rsidRDefault="004700B4">
      <w:pPr>
        <w:spacing w:line="600" w:lineRule="exact"/>
        <w:ind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六、绩效自评结果拟应用和公开情况</w:t>
      </w:r>
    </w:p>
    <w:p w:rsidR="00972A7F" w:rsidRDefault="004700B4">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本年度绩效自评结果为</w:t>
      </w:r>
      <w:r>
        <w:rPr>
          <w:rFonts w:ascii="Times New Roman" w:eastAsia="仿宋_GB2312" w:hAnsi="Times New Roman" w:cs="仿宋_GB2312" w:hint="eastAsia"/>
          <w:sz w:val="32"/>
          <w:szCs w:val="32"/>
        </w:rPr>
        <w:t>98</w:t>
      </w:r>
      <w:r>
        <w:rPr>
          <w:rFonts w:ascii="Times New Roman" w:eastAsia="仿宋_GB2312" w:hAnsi="Times New Roman" w:cs="仿宋_GB2312" w:hint="eastAsia"/>
          <w:sz w:val="32"/>
          <w:szCs w:val="32"/>
        </w:rPr>
        <w:t>分。自评结果将在本局门户网公开。</w:t>
      </w:r>
    </w:p>
    <w:p w:rsidR="00972A7F" w:rsidRDefault="00972A7F">
      <w:pPr>
        <w:spacing w:line="600" w:lineRule="exact"/>
        <w:ind w:firstLineChars="200" w:firstLine="640"/>
        <w:rPr>
          <w:rFonts w:ascii="Times New Roman" w:eastAsia="黑体" w:hAnsi="Times New Roman" w:cs="Times New Roman"/>
          <w:sz w:val="32"/>
          <w:szCs w:val="32"/>
        </w:rPr>
      </w:pPr>
    </w:p>
    <w:p w:rsidR="00972A7F" w:rsidRDefault="00972A7F">
      <w:pPr>
        <w:pStyle w:val="msolistparagraph0"/>
        <w:widowControl/>
        <w:spacing w:line="600" w:lineRule="exact"/>
        <w:ind w:left="0" w:firstLineChars="200" w:firstLine="420"/>
        <w:rPr>
          <w:rFonts w:hint="default"/>
        </w:rPr>
      </w:pPr>
    </w:p>
    <w:sectPr w:rsidR="00972A7F" w:rsidSect="00972A7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C7" w:rsidRDefault="00535AC7">
      <w:r>
        <w:separator/>
      </w:r>
    </w:p>
  </w:endnote>
  <w:endnote w:type="continuationSeparator" w:id="0">
    <w:p w:rsidR="00535AC7" w:rsidRDefault="00535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C7" w:rsidRDefault="00535AC7">
      <w:pPr>
        <w:spacing w:after="0"/>
      </w:pPr>
      <w:r>
        <w:separator/>
      </w:r>
    </w:p>
  </w:footnote>
  <w:footnote w:type="continuationSeparator" w:id="0">
    <w:p w:rsidR="00535AC7" w:rsidRDefault="00535AC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docVars>
    <w:docVar w:name="commondata" w:val="eyJoZGlkIjoiM2ZlNWI5NGQ5NTNjMzllNzhlYjg3ZDI5Zjg1Y2Y5MDAifQ=="/>
  </w:docVars>
  <w:rsids>
    <w:rsidRoot w:val="00D31D50"/>
    <w:rsid w:val="00074F0C"/>
    <w:rsid w:val="00293DDA"/>
    <w:rsid w:val="003006AA"/>
    <w:rsid w:val="003167A6"/>
    <w:rsid w:val="00323B43"/>
    <w:rsid w:val="003A6384"/>
    <w:rsid w:val="003D37D8"/>
    <w:rsid w:val="00426133"/>
    <w:rsid w:val="004358AB"/>
    <w:rsid w:val="004700B4"/>
    <w:rsid w:val="005211C2"/>
    <w:rsid w:val="00535AC7"/>
    <w:rsid w:val="006631E8"/>
    <w:rsid w:val="00694FE7"/>
    <w:rsid w:val="006C33F8"/>
    <w:rsid w:val="0079444C"/>
    <w:rsid w:val="008B7726"/>
    <w:rsid w:val="00972A7F"/>
    <w:rsid w:val="00B3409E"/>
    <w:rsid w:val="00D051F8"/>
    <w:rsid w:val="00D31D50"/>
    <w:rsid w:val="00E43D3C"/>
    <w:rsid w:val="00E85553"/>
    <w:rsid w:val="00F651C8"/>
    <w:rsid w:val="00F77D05"/>
    <w:rsid w:val="00FB6097"/>
    <w:rsid w:val="27174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A7F"/>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72A7F"/>
    <w:pPr>
      <w:widowControl w:val="0"/>
      <w:adjustRightInd/>
      <w:snapToGrid/>
      <w:spacing w:after="0"/>
      <w:jc w:val="both"/>
    </w:pPr>
    <w:rPr>
      <w:rFonts w:ascii="宋体" w:eastAsia="宋体" w:hAnsi="宋体" w:cs="Times New Roman" w:hint="eastAsia"/>
      <w:kern w:val="2"/>
      <w:sz w:val="33"/>
      <w:szCs w:val="33"/>
    </w:rPr>
  </w:style>
  <w:style w:type="paragraph" w:styleId="a4">
    <w:name w:val="footer"/>
    <w:basedOn w:val="a"/>
    <w:link w:val="Char0"/>
    <w:uiPriority w:val="99"/>
    <w:semiHidden/>
    <w:unhideWhenUsed/>
    <w:rsid w:val="00972A7F"/>
    <w:pPr>
      <w:tabs>
        <w:tab w:val="center" w:pos="4153"/>
        <w:tab w:val="right" w:pos="8306"/>
      </w:tabs>
    </w:pPr>
    <w:rPr>
      <w:sz w:val="18"/>
      <w:szCs w:val="18"/>
    </w:rPr>
  </w:style>
  <w:style w:type="paragraph" w:styleId="a5">
    <w:name w:val="header"/>
    <w:basedOn w:val="a"/>
    <w:link w:val="Char1"/>
    <w:uiPriority w:val="99"/>
    <w:semiHidden/>
    <w:unhideWhenUsed/>
    <w:rsid w:val="00972A7F"/>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972A7F"/>
    <w:rPr>
      <w:rFonts w:ascii="Tahoma" w:hAnsi="Tahoma"/>
      <w:sz w:val="18"/>
      <w:szCs w:val="18"/>
    </w:rPr>
  </w:style>
  <w:style w:type="character" w:customStyle="1" w:styleId="Char0">
    <w:name w:val="页脚 Char"/>
    <w:basedOn w:val="a0"/>
    <w:link w:val="a4"/>
    <w:uiPriority w:val="99"/>
    <w:semiHidden/>
    <w:rsid w:val="00972A7F"/>
    <w:rPr>
      <w:rFonts w:ascii="Tahoma" w:hAnsi="Tahoma"/>
      <w:sz w:val="18"/>
      <w:szCs w:val="18"/>
    </w:rPr>
  </w:style>
  <w:style w:type="character" w:customStyle="1" w:styleId="Char">
    <w:name w:val="正文文本 Char"/>
    <w:basedOn w:val="a0"/>
    <w:link w:val="a3"/>
    <w:qFormat/>
    <w:rsid w:val="00972A7F"/>
    <w:rPr>
      <w:rFonts w:ascii="宋体" w:eastAsia="宋体" w:hAnsi="宋体" w:cs="Times New Roman"/>
      <w:kern w:val="2"/>
      <w:sz w:val="33"/>
      <w:szCs w:val="33"/>
    </w:rPr>
  </w:style>
  <w:style w:type="paragraph" w:customStyle="1" w:styleId="msolistparagraph0">
    <w:name w:val="msolistparagraph"/>
    <w:basedOn w:val="a"/>
    <w:qFormat/>
    <w:rsid w:val="00972A7F"/>
    <w:pPr>
      <w:widowControl w:val="0"/>
      <w:adjustRightInd/>
      <w:snapToGrid/>
      <w:spacing w:after="0"/>
      <w:ind w:left="1079" w:hanging="309"/>
      <w:jc w:val="both"/>
    </w:pPr>
    <w:rPr>
      <w:rFonts w:ascii="宋体" w:eastAsia="宋体" w:hAnsi="宋体" w:cs="Times New Roman" w:hint="eastAsia"/>
      <w:kern w:val="2"/>
      <w:sz w:val="21"/>
    </w:rPr>
  </w:style>
  <w:style w:type="paragraph" w:customStyle="1" w:styleId="Bodytext1">
    <w:name w:val="Body text|1"/>
    <w:basedOn w:val="a"/>
    <w:qFormat/>
    <w:rsid w:val="00972A7F"/>
    <w:pPr>
      <w:widowControl w:val="0"/>
      <w:adjustRightInd/>
      <w:snapToGrid/>
      <w:spacing w:after="0" w:line="425" w:lineRule="auto"/>
      <w:ind w:firstLine="400"/>
      <w:jc w:val="both"/>
    </w:pPr>
    <w:rPr>
      <w:rFonts w:ascii="宋体" w:eastAsia="宋体" w:hAnsi="宋体" w:cs="宋体"/>
      <w:kern w:val="2"/>
      <w:sz w:val="32"/>
      <w:szCs w:val="32"/>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2008-09-11T17:20:00Z</dcterms:created>
  <dcterms:modified xsi:type="dcterms:W3CDTF">2023-04-14T04:13:00Z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16CB35E1613D4321AEB5201428288D0C_12</vt:lpwstr>
  </property>
</Properties>
</file>