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http://schemas.openxmlformats.org/wordprocessingml/2006/main">
  <w:body>
    <w:p>
      <w:pPr>
        <w:pBdr/>
        <w:snapToGrid w:val="false"/>
        <w:spacing w:before="0" w:after="0" w:line="560" w:lineRule="exact"/>
        <w:ind w:left="0" w:right="0"/>
        <w:jc w:val="center"/>
        <w:rPr/>
      </w:pPr>
    </w:p>
    <w:p>
      <w:pPr>
        <w:pBdr/>
        <w:snapToGrid w:val="false"/>
        <w:spacing w:before="0" w:after="0" w:line="560" w:lineRule="exact"/>
        <w:ind w:left="0" w:right="0"/>
        <w:jc w:val="center"/>
        <w:rPr/>
      </w:pPr>
    </w:p>
    <w:p>
      <w:pPr>
        <w:snapToGrid w:val="false"/>
        <w:spacing w:before="0" w:after="0" w:line="560" w:lineRule="exact"/>
        <w:ind w:left="0" w:right="0"/>
        <w:jc w:val="center"/>
        <w:rPr/>
      </w:pPr>
    </w:p>
    <w:p>
      <w:pPr>
        <w:snapToGrid w:val="false"/>
        <w:spacing w:before="0" w:after="0" w:line="560" w:lineRule="exact"/>
        <w:ind w:left="0" w:right="0"/>
        <w:jc w:val="center"/>
        <w:rPr/>
      </w:pPr>
    </w:p>
    <w:p>
      <w:pPr>
        <w:snapToGrid w:val="false"/>
        <w:spacing w:before="0" w:after="0" w:line="240"/>
        <w:ind w:left="0" w:right="0"/>
        <w:jc w:val="center"/>
        <w:rPr/>
      </w:pPr>
      <w:r>
        <w:rPr>
          <w:rFonts w:ascii="方正小标宋简体" w:hAnsi="方正小标宋简体" w:eastAsia="方正小标宋简体" w:cs="方正小标宋简体"/>
          <w:i w:val="false"/>
          <w:strike w:val="false"/>
          <w:color w:val="000000"/>
          <w:sz w:val="84"/>
          <w:u w:val="none"/>
        </w:rPr>
        <w:t>炎陵县职业技术学校</w:t>
      </w:r>
    </w:p>
    <w:p>
      <w:pPr>
        <w:snapToGrid w:val="false"/>
        <w:spacing w:before="0" w:after="0" w:line="240"/>
        <w:ind w:left="0" w:right="0"/>
        <w:jc w:val="center"/>
        <w:rPr/>
      </w:pPr>
      <w:r>
        <w:rPr>
          <w:rFonts w:ascii="方正小标宋简体" w:hAnsi="方正小标宋简体" w:eastAsia="方正小标宋简体" w:cs="方正小标宋简体"/>
          <w:i w:val="false"/>
          <w:strike w:val="false"/>
          <w:color w:val="000000"/>
          <w:sz w:val="84"/>
          <w:u w:val="none"/>
        </w:rPr>
        <w:t>2022</w:t>
      </w:r>
      <w:r>
        <w:rPr>
          <w:rFonts w:ascii="方正小标宋简体" w:hAnsi="方正小标宋简体" w:eastAsia="方正小标宋简体" w:cs="方正小标宋简体"/>
          <w:i w:val="false"/>
          <w:strike w:val="false"/>
          <w:color w:val="000000"/>
          <w:sz w:val="84"/>
          <w:u w:val="none"/>
        </w:rPr>
        <w:t>年部门预算</w:t>
      </w:r>
    </w:p>
    <w:p>
      <w:pP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pBd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firstLine="4800" w:firstLineChars="1500"/>
        <w:jc w:val="both"/>
        <w:rPr/>
      </w:pPr>
      <w:r>
        <w:rPr>
          <w:rFonts w:ascii="黑体" w:hAnsi="黑体" w:eastAsia="黑体" w:cs="黑体"/>
          <w:i w:val="false"/>
          <w:strike w:val="false"/>
          <w:color w:val="000000"/>
          <w:sz w:val="32"/>
          <w:u w:val="none"/>
        </w:rPr>
        <w:t>目</w:t>
      </w:r>
      <w:r>
        <w:rPr>
          <w:rFonts w:ascii="'Times New Roman'" w:hAnsi="'Times New Roman'" w:eastAsia="'Times New Roman'" w:cs="'Times New Roman'"/>
          <w:i w:val="false"/>
          <w:strike w:val="false"/>
          <w:color w:val="000000"/>
          <w:sz w:val="32"/>
          <w:u w:val="none"/>
        </w:rPr>
        <w:t xml:space="preserve">  </w:t>
      </w:r>
      <w:r>
        <w:rPr>
          <w:rFonts w:ascii="黑体" w:hAnsi="黑体" w:eastAsia="黑体" w:cs="黑体"/>
          <w:i w:val="false"/>
          <w:strike w:val="false"/>
          <w:color w:val="000000"/>
          <w:sz w:val="32"/>
          <w:u w:val="none"/>
        </w:rPr>
        <w:t>录</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第一部分</w:t>
      </w:r>
      <w:r>
        <w:rPr>
          <w:rFonts w:ascii="'Times New Roman'" w:hAnsi="'Times New Roman'" w:eastAsia="'Times New Roman'" w:cs="'Times New Roman'"/>
          <w:b/>
          <w:i w:val="false"/>
          <w:strike w:val="false"/>
          <w:color w:val="000000"/>
          <w:sz w:val="32"/>
          <w:u w:val="none"/>
        </w:rPr>
        <w:t xml:space="preserve"> </w:t>
      </w:r>
      <w:r>
        <w:rPr>
          <w:rFonts w:ascii="仿宋_GB2312" w:hAnsi="仿宋_GB2312" w:eastAsia="仿宋_GB2312" w:cs="仿宋_GB2312"/>
          <w:b/>
          <w:i w:val="false"/>
          <w:strike w:val="false"/>
          <w:color w:val="000000"/>
          <w:sz w:val="32"/>
          <w:u w:val="none"/>
        </w:rPr>
        <w:t>部门预算公开说明</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一、部门职能职责</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三、部门预算单位构成</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四、部门收支总体情况</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（一）收入预算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（二）支出预算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（三）预算收支增减变化情况说明</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五、一般公共预算拨款支出预算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（一）人员类支出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（二）运转类支出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（三）特定目标类支出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六、政府性基金预算支出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七、其他重要事项情况说明</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（一）机关运行经费</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（二）政府采购预算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（三）国有资产占有情况</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（四）预算绩效目标</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（五）一般公共预算</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三公</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经费预算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（六）会议费、培训费</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（七）其他事项</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八、名词解释</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第二部分</w:t>
      </w:r>
      <w:r>
        <w:rPr>
          <w:rFonts w:ascii="'Times New Roman'" w:hAnsi="'Times New Roman'" w:eastAsia="'Times New Roman'" w:cs="'Times New Roman'"/>
          <w:b/>
          <w:i w:val="false"/>
          <w:strike w:val="false"/>
          <w:color w:val="000000"/>
          <w:sz w:val="32"/>
          <w:u w:val="none"/>
        </w:rPr>
        <w:t xml:space="preserve"> </w:t>
      </w:r>
      <w:r>
        <w:rPr>
          <w:rFonts w:ascii="仿宋_GB2312" w:hAnsi="仿宋_GB2312" w:eastAsia="仿宋_GB2312" w:cs="仿宋_GB2312"/>
          <w:b/>
          <w:i w:val="false"/>
          <w:strike w:val="false"/>
          <w:color w:val="000000"/>
          <w:sz w:val="32"/>
          <w:u w:val="none"/>
        </w:rPr>
        <w:t>部门预算公开表格</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（一）收支总表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（二）收入总表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（三）支出总表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（四）支出分类(政府预算)</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（五）一般公共预算基本支出情况表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（六）财政拨款收支总表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（七）一般公共预算支出表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（八）一般公共预算基本支出表--人员经费(工资福利支出)(按政府预算经济分类)</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（九）一般公共预算基本支出情况表（按经济性质分类-工资福利）</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（十）一般公共预算基本支出表--人员经费(对个人和家庭的补助)(按政府预算经济分类)</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（十一）一般公共预算基本支出情况表（按经济性质分类-个人家庭）</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（十二）一般公共预算基本支出表--公用经费(商品和服务支出)（按政府预算经济分类）</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（十三）一般公共预算基本支出情况表（按经济性质分类-商品服务）</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（十四）一般公共预算“三公”经费支出表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（十五）政府性基金预算支出表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（十六）政府性基金预算支出分类汇总表（按政府预算经济分类）</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（十七）政府性基金预算支出分类汇总表（按部门预算经济分类）</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（十八）国有资本经营预算支出表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（十九）财政专户管理资金预算支出表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（二十）专项资金预算汇总表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（二十一）项目支出绩效目标表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（二十二）整体支出绩效目标表</w:t>
      </w:r>
    </w:p>
    <w:p>
      <w:pPr>
        <w:snapToGrid w:val="false"/>
        <w:spacing w:before="0" w:after="0" w:line="560" w:lineRule="exact"/>
        <w:ind w:left="0" w:right="0"/>
        <w:jc w:val="both"/>
        <w:rPr/>
      </w:pPr>
    </w:p>
    <w:p>
      <w:pPr>
        <w:snapToGrid w:val="false"/>
        <w:spacing w:before="0" w:after="0" w:line="560" w:lineRule="exact"/>
        <w:ind w:left="0" w:right="0"/>
        <w:jc w:val="both"/>
        <w:rPr/>
      </w:pPr>
    </w:p>
    <w:p>
      <w:pPr>
        <w:snapToGrid w:val="false"/>
        <w:spacing w:before="0" w:after="0" w:line="560" w:lineRule="exact"/>
        <w:ind w:left="0" w:right="0"/>
        <w:jc w:val="both"/>
        <w:rPr/>
      </w:pP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第一部分：</w:t>
      </w:r>
    </w:p>
    <w:p>
      <w:pPr>
        <w:snapToGrid w:val="false"/>
        <w:spacing w:before="0" w:after="0" w:line="560" w:lineRule="exact"/>
        <w:ind w:left="0" w:right="0"/>
        <w:jc w:val="both"/>
        <w:rPr/>
      </w:pPr>
    </w:p>
    <w:p>
      <w:pPr>
        <w:snapToGrid w:val="false"/>
        <w:spacing w:before="0" w:after="0" w:line="560" w:lineRule="exact"/>
        <w:ind w:left="0" w:right="0" w:firstLine="880" w:firstLineChars="200"/>
        <w:jc w:val="both"/>
        <w:rPr/>
      </w:pPr>
      <w:r>
        <w:rPr>
          <w:rFonts w:ascii="方正小标宋简体" w:hAnsi="方正小标宋简体" w:eastAsia="方正小标宋简体" w:cs="方正小标宋简体"/>
          <w:i w:val="false"/>
          <w:strike w:val="false"/>
          <w:color w:val="000000"/>
          <w:sz w:val="44"/>
          <w:u w:val="none"/>
        </w:rPr>
        <w:t>炎陵县职业技术学</w:t>
      </w:r>
      <w:r>
        <w:rPr>
          <w:rFonts w:ascii="方正小标宋简体" w:hAnsi="方正小标宋简体" w:eastAsia="方正小标宋简体" w:cs="方正小标宋简体"/>
          <w:i w:val="false"/>
          <w:strike w:val="false"/>
          <w:color w:val="000000"/>
          <w:sz w:val="44"/>
          <w:u w:val="none"/>
        </w:rPr>
        <w:t>校2022年</w:t>
      </w:r>
      <w:r>
        <w:rPr>
          <w:rFonts w:ascii="方正小标宋简体" w:hAnsi="方正小标宋简体" w:eastAsia="方正小标宋简体" w:cs="方正小标宋简体"/>
          <w:i w:val="false"/>
          <w:strike w:val="false"/>
          <w:color w:val="000000"/>
          <w:sz w:val="44"/>
          <w:u w:val="none"/>
        </w:rPr>
        <w:t>部门预算说明</w:t>
      </w:r>
    </w:p>
    <w:p>
      <w:pPr>
        <w:snapToGrid w:val="false"/>
        <w:spacing w:before="0" w:after="0" w:line="560" w:lineRule="exact"/>
        <w:ind w:left="0" w:right="0" w:firstLine="640" w:firstLineChars="200"/>
        <w:jc w:val="both"/>
        <w:rPr/>
      </w:pP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一、 部门职能职责</w:t>
      </w:r>
    </w:p>
    <w:p>
      <w:pPr>
        <w:snapToGrid w:val="false"/>
        <w:spacing w:before="0" w:after="0" w:line="540" w:lineRule="exact"/>
        <w:ind w:left="0" w:right="0" w:firstLine="640" w:firstLineChars="200"/>
        <w:jc w:val="left"/>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炎陵县职业技术学校是县教育局下属的单位之一，负责本县职业教育、其他进修及培训、电大教育工作。</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二、机构设置</w:t>
      </w:r>
    </w:p>
    <w:p>
      <w:pPr>
        <w:snapToGrid w:val="false"/>
        <w:spacing w:before="0" w:after="0" w:line="540" w:lineRule="exact"/>
        <w:ind w:left="0" w:right="0" w:firstLine="640" w:firstLineChars="200"/>
        <w:jc w:val="left"/>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 本部门共有编制人数50人，实有人数47人。内设</w:t>
      </w:r>
      <w:r>
        <w:rPr>
          <w:rFonts w:ascii="仿宋_GB2312" w:hAnsi="仿宋_GB2312" w:eastAsia="仿宋_GB2312" w:cs="仿宋_GB2312"/>
          <w:strike w:val="false"/>
          <w:color w:val="000000"/>
          <w:sz w:val="32"/>
          <w:u w:val="none"/>
        </w:rPr>
        <w:t>模块3个，分别为：</w:t>
      </w:r>
      <w:r>
        <w:rPr>
          <w:rFonts w:ascii="仿宋_GB2312" w:hAnsi="仿宋_GB2312" w:eastAsia="仿宋_GB2312" w:cs="仿宋_GB2312"/>
          <w:i w:val="false"/>
          <w:strike w:val="false"/>
          <w:color w:val="000000"/>
          <w:sz w:val="32"/>
          <w:u w:val="none"/>
        </w:rPr>
        <w:t>职业高中、广播电大、其它进修及培训三个模块。属于财政全额拨款的二级预算单位。</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三、部门预算单位构成</w:t>
      </w:r>
    </w:p>
    <w:p>
      <w:pPr>
        <w:snapToGrid w:val="false"/>
        <w:spacing w:before="0" w:after="0" w:line="540" w:lineRule="exact"/>
        <w:ind w:left="0" w:right="0" w:firstLine="640" w:firstLineChars="200"/>
        <w:jc w:val="left"/>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本部门无下属预算单位</w:t>
      </w:r>
      <w:r>
        <w:rPr>
          <w:rFonts w:ascii="仿宋_GB2312" w:hAnsi="仿宋_GB2312" w:eastAsia="仿宋_GB2312" w:cs="仿宋_GB2312"/>
          <w:strike w:val="false"/>
          <w:color w:val="000000"/>
          <w:sz w:val="32"/>
          <w:u w:val="none"/>
        </w:rPr>
        <w:t>。</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四、</w:t>
      </w:r>
      <w:r>
        <w:rPr>
          <w:rFonts w:ascii="'Times New Roman'" w:hAnsi="'Times New Roman'" w:eastAsia="'Times New Roman'" w:cs="'Times New Roman'"/>
          <w:i w:val="false"/>
          <w:strike w:val="false"/>
          <w:color w:val="000000"/>
          <w:sz w:val="32"/>
          <w:u w:val="none"/>
        </w:rPr>
        <w:t xml:space="preserve"> </w:t>
      </w:r>
      <w:r>
        <w:rPr>
          <w:rFonts w:ascii="黑体" w:hAnsi="黑体" w:eastAsia="黑体" w:cs="黑体"/>
          <w:i w:val="false"/>
          <w:strike w:val="false"/>
          <w:color w:val="000000"/>
          <w:sz w:val="32"/>
          <w:u w:val="none"/>
        </w:rPr>
        <w:t>部门收支总体情况</w:t>
      </w:r>
    </w:p>
    <w:p>
      <w:pPr>
        <w:pBdr>
          <w:bottom/>
        </w:pBdr>
        <w:snapToGrid w:val="false"/>
        <w:spacing w:before="0" w:after="0" w:line="540" w:lineRule="exact"/>
        <w:ind w:left="0" w:right="0" w:firstLine="640" w:firstLineChars="200"/>
        <w:jc w:val="left"/>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2022年炎陵县职业技术学校公开的部门预算是教育局所属二级预算单位预算。收入既包括一般公共预算收入、纳入财政专户管理的非税收入拨款；支出包括基本运行经费。（详见附表）</w:t>
      </w:r>
    </w:p>
    <w:p>
      <w:pPr>
        <w:pBdr>
          <w:bottom/>
        </w:pBdr>
        <w:snapToGrid w:val="false"/>
        <w:spacing w:before="0" w:after="0" w:line="540" w:lineRule="exact"/>
        <w:ind w:left="0" w:right="0" w:firstLine="640" w:firstLineChars="200"/>
        <w:jc w:val="left"/>
        <w:rPr/>
      </w:pPr>
      <w:r>
        <w:rPr>
          <w:rFonts w:ascii="楷体_GB2312" w:hAnsi="楷体_GB2312" w:eastAsia="楷体_GB2312" w:cs="楷体_GB2312"/>
          <w:i w:val="false"/>
          <w:strike w:val="false"/>
          <w:color w:val="000000"/>
          <w:sz w:val="32"/>
          <w:u w:val="none"/>
        </w:rPr>
        <w:t>（一）收入预算：</w:t>
      </w:r>
      <w:r>
        <w:rPr>
          <w:rFonts w:ascii="仿宋_GB2312" w:hAnsi="仿宋_GB2312" w:eastAsia="仿宋_GB2312" w:cs="仿宋_GB2312"/>
          <w:i w:val="false"/>
          <w:strike w:val="false"/>
          <w:color w:val="000000"/>
          <w:sz w:val="32"/>
          <w:u w:val="none"/>
        </w:rPr>
        <w:t>2022年年初预算数7622152.31元，其中，一般公共预算拨款6722152.31元；政府性基金拨款0元；财政专户管理的非税收入拨款900000元；其他收入0元；上年结转0元。</w:t>
      </w:r>
    </w:p>
    <w:p>
      <w:pPr>
        <w:pBdr>
          <w:bottom/>
        </w:pBdr>
        <w:snapToGrid w:val="false"/>
        <w:spacing w:before="0" w:after="0" w:line="540" w:lineRule="exact"/>
        <w:ind w:left="0" w:right="0" w:firstLine="640" w:firstLineChars="200"/>
        <w:jc w:val="left"/>
        <w:rPr>
          <w:rFonts w:ascii="仿宋_GB2312" w:hAnsi="仿宋_GB2312" w:eastAsia="仿宋_GB2312" w:cs="仿宋_GB2312"/>
          <w:i w:val="false"/>
          <w:strike w:val="false"/>
          <w:color w:val="000000"/>
          <w:sz w:val="32"/>
          <w:u w:val="none"/>
        </w:rPr>
      </w:pPr>
      <w:r>
        <w:rPr>
          <w:rFonts w:ascii="楷体_GB2312" w:hAnsi="楷体_GB2312" w:eastAsia="楷体_GB2312" w:cs="楷体_GB2312"/>
          <w:i w:val="false"/>
          <w:strike w:val="false"/>
          <w:color w:val="000000"/>
          <w:sz w:val="32"/>
          <w:u w:val="none"/>
        </w:rPr>
        <w:t>（二）支出预算：</w:t>
      </w:r>
      <w:r>
        <w:rPr>
          <w:rFonts w:ascii="仿宋_GB2312" w:hAnsi="仿宋_GB2312" w:eastAsia="仿宋_GB2312" w:cs="仿宋_GB2312"/>
          <w:i w:val="false"/>
          <w:strike w:val="false"/>
          <w:color w:val="000000"/>
          <w:sz w:val="32"/>
          <w:u w:val="none"/>
        </w:rPr>
        <w:t>2022年年初预算数7622152.31元，其中，一般公共服务支出0元，公共安全0元，教育7599752.31元，科学技术0元，社会保障和就业支出22400元。</w:t>
      </w:r>
    </w:p>
    <w:p>
      <w:pPr>
        <w:pBdr>
          <w:bottom/>
        </w:pBdr>
        <w:snapToGrid w:val="false"/>
        <w:spacing w:before="0" w:after="0" w:line="540" w:lineRule="exact"/>
        <w:ind w:left="0" w:right="0" w:firstLine="640" w:firstLineChars="200"/>
        <w:jc w:val="left"/>
        <w:rPr/>
      </w:pPr>
      <w:r>
        <w:rPr>
          <w:rFonts w:ascii="楷体_GB2312" w:hAnsi="楷体_GB2312" w:eastAsia="楷体_GB2312" w:cs="楷体_GB2312"/>
          <w:i w:val="false"/>
          <w:strike w:val="false"/>
          <w:color w:val="000000"/>
          <w:sz w:val="32"/>
          <w:u w:val="none"/>
        </w:rPr>
        <w:t>（三）预算收支增减变化情况说明：</w:t>
      </w:r>
      <w:r>
        <w:rPr>
          <w:rFonts w:ascii="仿宋_GB2312" w:hAnsi="仿宋_GB2312" w:eastAsia="仿宋_GB2312" w:cs="仿宋_GB2312"/>
          <w:i w:val="false"/>
          <w:strike w:val="false"/>
          <w:color w:val="000000"/>
          <w:sz w:val="32"/>
          <w:u w:val="none"/>
        </w:rPr>
        <w:t>2022年度本部门年初预算数为7622152.31元，比上年增加681906.31元，主要原因是单位人员编制调整，在职人员工资提标，人员经费提高。</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五、一般公共预算拨款支出预算</w:t>
      </w:r>
    </w:p>
    <w:p>
      <w:pPr>
        <w:pBdr>
          <w:bottom/>
        </w:pBdr>
        <w:snapToGrid w:val="false"/>
        <w:spacing w:before="0" w:after="0" w:line="540" w:lineRule="exact"/>
        <w:ind w:left="0" w:right="0" w:firstLine="640" w:firstLineChars="200"/>
        <w:jc w:val="left"/>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2022年本部门一般公共预算拨款收入</w:t>
      </w:r>
      <w:r>
        <w:rPr>
          <w:rFonts w:ascii="仿宋_GB2312" w:hAnsi="仿宋_GB2312" w:eastAsia="仿宋_GB2312" w:cs="仿宋_GB2312"/>
          <w:b w:val="false"/>
          <w:i w:val="false"/>
          <w:strike w:val="false"/>
          <w:color w:val="000000"/>
          <w:spacing w:val="0"/>
          <w:sz w:val="32"/>
          <w:u w:val="none"/>
        </w:rPr>
        <w:t>6722152.31</w:t>
      </w:r>
      <w:r>
        <w:rPr>
          <w:rFonts w:ascii="仿宋_GB2312" w:hAnsi="仿宋_GB2312" w:eastAsia="仿宋_GB2312" w:cs="仿宋_GB2312"/>
          <w:i w:val="false"/>
          <w:strike w:val="false"/>
          <w:color w:val="000000"/>
          <w:sz w:val="32"/>
          <w:u w:val="none"/>
        </w:rPr>
        <w:t>元，具体安排如下（详见附表9）：</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（一）人员类支出</w:t>
      </w:r>
    </w:p>
    <w:p>
      <w:pPr>
        <w:pBdr>
          <w:bottom/>
        </w:pBdr>
        <w:snapToGrid w:val="false"/>
        <w:spacing w:before="0" w:after="0" w:line="540" w:lineRule="exact"/>
        <w:ind w:left="0" w:right="0" w:firstLine="640" w:firstLineChars="200"/>
        <w:jc w:val="left"/>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2022年年初预算数为664</w:t>
      </w:r>
      <w:r>
        <w:rPr>
          <w:rFonts w:ascii="仿宋_GB2312" w:hAnsi="仿宋_GB2312" w:eastAsia="仿宋_GB2312" w:cs="仿宋_GB2312"/>
          <w:strike w:val="false"/>
          <w:color w:val="000000"/>
          <w:sz w:val="32"/>
          <w:u w:val="none"/>
        </w:rPr>
        <w:t>3067.42</w:t>
      </w:r>
      <w:r>
        <w:rPr>
          <w:rFonts w:ascii="仿宋_GB2312" w:hAnsi="仿宋_GB2312" w:eastAsia="仿宋_GB2312" w:cs="仿宋_GB2312"/>
          <w:i w:val="false"/>
          <w:strike w:val="false"/>
          <w:color w:val="000000"/>
          <w:sz w:val="32"/>
          <w:u w:val="none"/>
        </w:rPr>
        <w:t>元。其中包括基本工资2349660元、津贴补贴1273320元、奖金1323805元、</w:t>
      </w:r>
      <w:r>
        <w:rPr>
          <w:rFonts w:ascii="仿宋_GB2312" w:hAnsi="仿宋_GB2312" w:eastAsia="仿宋_GB2312" w:cs="仿宋_GB2312"/>
          <w:b w:val="false"/>
          <w:i w:val="false"/>
          <w:strike w:val="false"/>
          <w:color w:val="000000"/>
          <w:spacing w:val="0"/>
          <w:sz w:val="32"/>
          <w:u w:val="none"/>
        </w:rPr>
        <w:t>社会保障缴费1085098.22</w:t>
      </w:r>
      <w:r>
        <w:rPr>
          <w:rFonts w:ascii="仿宋_GB2312" w:hAnsi="仿宋_GB2312" w:eastAsia="仿宋_GB2312" w:cs="仿宋_GB2312"/>
          <w:b w:val="false"/>
          <w:strike w:val="false"/>
          <w:color w:val="000000"/>
          <w:spacing w:val="0"/>
          <w:sz w:val="32"/>
          <w:u w:val="none"/>
        </w:rPr>
        <w:t>元、住房公积金</w:t>
      </w:r>
      <w:r>
        <w:rPr>
          <w:rFonts w:ascii="仿宋_GB2312" w:hAnsi="仿宋_GB2312" w:eastAsia="仿宋_GB2312" w:cs="仿宋_GB2312"/>
          <w:b w:val="false"/>
          <w:i w:val="false"/>
          <w:strike w:val="false"/>
          <w:color w:val="000000"/>
          <w:spacing w:val="0"/>
          <w:sz w:val="32"/>
          <w:u w:val="none"/>
        </w:rPr>
        <w:t>593614.2</w:t>
      </w:r>
      <w:r>
        <w:rPr>
          <w:rFonts w:ascii="仿宋_GB2312" w:hAnsi="仿宋_GB2312" w:eastAsia="仿宋_GB2312" w:cs="仿宋_GB2312"/>
          <w:b w:val="false"/>
          <w:strike w:val="false"/>
          <w:color w:val="000000"/>
          <w:spacing w:val="0"/>
          <w:sz w:val="32"/>
          <w:u w:val="none"/>
        </w:rPr>
        <w:t>元、</w:t>
      </w:r>
      <w:r>
        <w:rPr>
          <w:rFonts w:ascii="仿宋_GB2312" w:hAnsi="仿宋_GB2312" w:eastAsia="仿宋_GB2312" w:cs="仿宋_GB2312"/>
          <w:i w:val="false"/>
          <w:strike w:val="false"/>
          <w:color w:val="000000"/>
          <w:sz w:val="32"/>
          <w:u w:val="none"/>
        </w:rPr>
        <w:t>其他工资福利支出3760元、</w:t>
      </w:r>
      <w:r>
        <w:rPr>
          <w:rFonts w:ascii="仿宋_GB2312" w:hAnsi="仿宋_GB2312" w:eastAsia="仿宋_GB2312" w:cs="仿宋_GB2312"/>
          <w:strike w:val="false"/>
          <w:color w:val="000000"/>
          <w:sz w:val="32"/>
          <w:u w:val="none"/>
        </w:rPr>
        <w:t>个人和家庭补助</w:t>
      </w:r>
      <w:r>
        <w:rPr>
          <w:rFonts w:ascii="仿宋_GB2312" w:hAnsi="仿宋_GB2312" w:eastAsia="仿宋_GB2312" w:cs="仿宋_GB2312"/>
          <w:b w:val="false"/>
          <w:i w:val="false"/>
          <w:strike w:val="false"/>
          <w:color w:val="000000"/>
          <w:spacing w:val="0"/>
          <w:sz w:val="32"/>
          <w:u w:val="none"/>
        </w:rPr>
        <w:t>13810</w:t>
      </w:r>
      <w:r>
        <w:rPr>
          <w:rFonts w:ascii="仿宋_GB2312" w:hAnsi="仿宋_GB2312" w:eastAsia="仿宋_GB2312" w:cs="仿宋_GB2312"/>
          <w:b w:val="false"/>
          <w:strike w:val="false"/>
          <w:color w:val="000000"/>
          <w:spacing w:val="0"/>
          <w:sz w:val="32"/>
          <w:u w:val="none"/>
        </w:rPr>
        <w:t>元</w:t>
      </w:r>
      <w:r>
        <w:rPr>
          <w:rFonts w:ascii="仿宋_GB2312" w:hAnsi="仿宋_GB2312" w:eastAsia="仿宋_GB2312" w:cs="仿宋_GB2312"/>
          <w:i w:val="false"/>
          <w:strike w:val="false"/>
          <w:color w:val="000000"/>
          <w:sz w:val="32"/>
          <w:u w:val="none"/>
        </w:rPr>
        <w:t>。</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（二）运转类支出</w:t>
      </w:r>
    </w:p>
    <w:p>
      <w:pPr>
        <w:num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2022年年初预算数为5</w:t>
      </w:r>
      <w:r>
        <w:rPr>
          <w:rFonts w:ascii="仿宋_GB2312" w:hAnsi="仿宋_GB2312" w:eastAsia="仿宋_GB2312" w:cs="仿宋_GB2312"/>
          <w:strike w:val="false"/>
          <w:color w:val="000000"/>
          <w:sz w:val="32"/>
          <w:u w:val="none"/>
        </w:rPr>
        <w:t>6684.89</w:t>
      </w:r>
      <w:r>
        <w:rPr>
          <w:rFonts w:ascii="仿宋_GB2312" w:hAnsi="仿宋_GB2312" w:eastAsia="仿宋_GB2312" w:cs="仿宋_GB2312"/>
          <w:i w:val="false"/>
          <w:strike w:val="false"/>
          <w:color w:val="000000"/>
          <w:sz w:val="32"/>
          <w:u w:val="none"/>
        </w:rPr>
        <w:t>元。其中：工会经费5</w:t>
      </w:r>
      <w:r>
        <w:rPr>
          <w:rFonts w:ascii="仿宋_GB2312" w:hAnsi="仿宋_GB2312" w:eastAsia="仿宋_GB2312" w:cs="仿宋_GB2312"/>
          <w:strike w:val="false"/>
          <w:color w:val="000000"/>
          <w:sz w:val="32"/>
          <w:u w:val="none"/>
        </w:rPr>
        <w:t>6684.89</w:t>
      </w:r>
      <w:r>
        <w:rPr>
          <w:rFonts w:ascii="仿宋_GB2312" w:hAnsi="仿宋_GB2312" w:eastAsia="仿宋_GB2312" w:cs="仿宋_GB2312"/>
          <w:i w:val="false"/>
          <w:strike w:val="false"/>
          <w:color w:val="000000"/>
          <w:sz w:val="32"/>
          <w:u w:val="none"/>
        </w:rPr>
        <w:t>元</w:t>
      </w:r>
    </w:p>
    <w:p>
      <w:pPr>
        <w:pBdr>
          <w:bottom/>
        </w:pBd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（三）特定目标类支出</w:t>
      </w:r>
    </w:p>
    <w:p>
      <w:pPr>
        <w:num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离退休支部工作经费专项2</w:t>
      </w:r>
      <w:r>
        <w:rPr>
          <w:rFonts w:ascii="仿宋_GB2312" w:hAnsi="仿宋_GB2312" w:eastAsia="仿宋_GB2312" w:cs="仿宋_GB2312"/>
          <w:strike w:val="false"/>
          <w:color w:val="000000"/>
          <w:sz w:val="32"/>
          <w:u w:val="none"/>
        </w:rPr>
        <w:t>2400</w:t>
      </w:r>
      <w:r>
        <w:rPr>
          <w:rFonts w:ascii="仿宋_GB2312" w:hAnsi="仿宋_GB2312" w:eastAsia="仿宋_GB2312" w:cs="仿宋_GB2312"/>
          <w:i w:val="false"/>
          <w:strike w:val="false"/>
          <w:color w:val="000000"/>
          <w:sz w:val="32"/>
          <w:u w:val="none"/>
        </w:rPr>
        <w:t>元，主要用于退休支部的运转经费。</w:t>
      </w:r>
    </w:p>
    <w:p>
      <w:pPr>
        <w:pBdr>
          <w:bottom/>
        </w:pBdr>
        <w:snapToGrid w:val="false"/>
        <w:spacing w:before="0" w:after="0" w:line="540" w:lineRule="exact"/>
        <w:ind w:left="0" w:right="0" w:firstLine="640" w:firstLineChars="200"/>
        <w:jc w:val="left"/>
        <w:rPr>
          <w:rFonts w:ascii="仿宋_GB2312" w:hAnsi="仿宋_GB2312" w:eastAsia="仿宋_GB2312" w:cs="仿宋_GB2312"/>
          <w:i w:val="false"/>
          <w:strike w:val="false"/>
          <w:color w:val="000000"/>
          <w:sz w:val="32"/>
          <w:u w:val="none"/>
        </w:rPr>
      </w:pPr>
      <w:r>
        <w:rPr>
          <w:rFonts w:ascii="黑体" w:hAnsi="黑体" w:eastAsia="黑体" w:cs="黑体"/>
          <w:i w:val="false"/>
          <w:strike w:val="false"/>
          <w:color w:val="000000"/>
          <w:sz w:val="32"/>
          <w:u w:val="none"/>
        </w:rPr>
        <w:t>六、政府性基金预算支出</w:t>
      </w:r>
    </w:p>
    <w:p>
      <w:pPr>
        <w:pBdr>
          <w:bottom/>
        </w:pBdr>
        <w:snapToGrid w:val="false"/>
        <w:spacing w:before="0" w:after="0" w:line="540" w:lineRule="exact"/>
        <w:ind w:left="0" w:right="0" w:firstLine="640" w:firstLineChars="200"/>
        <w:jc w:val="left"/>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2022年度本部门无政府性基金预算安排的支出</w:t>
      </w:r>
      <w:r>
        <w:rPr>
          <w:rFonts w:ascii="仿宋_GB2312" w:hAnsi="仿宋_GB2312" w:eastAsia="仿宋_GB2312" w:cs="仿宋_GB2312"/>
          <w:i w:val="false"/>
          <w:strike w:val="false"/>
          <w:color w:val="000000"/>
          <w:sz w:val="32"/>
          <w:u w:val="none"/>
        </w:rPr>
        <w:t>。</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七、其他重要事项情况说明</w:t>
      </w:r>
    </w:p>
    <w:p>
      <w:pPr>
        <w:pBdr>
          <w:bottom/>
        </w:pBdr>
        <w:snapToGrid w:val="false"/>
        <w:spacing w:before="0" w:after="0" w:line="540" w:lineRule="exact"/>
        <w:ind w:left="0" w:right="0" w:firstLine="640" w:firstLineChars="200"/>
        <w:jc w:val="left"/>
        <w:rPr>
          <w:rFonts w:ascii="仿宋_GB2312" w:hAnsi="仿宋_GB2312" w:eastAsia="仿宋_GB2312" w:cs="仿宋_GB2312"/>
          <w:i w:val="false"/>
          <w:strike w:val="false"/>
          <w:color w:val="000000"/>
          <w:sz w:val="32"/>
          <w:u w:val="none"/>
        </w:rPr>
      </w:pPr>
      <w:r>
        <w:rPr>
          <w:rFonts w:ascii="楷体_GB2312" w:hAnsi="楷体_GB2312" w:eastAsia="楷体_GB2312" w:cs="楷体_GB2312"/>
          <w:i w:val="false"/>
          <w:strike w:val="false"/>
          <w:color w:val="000000"/>
          <w:sz w:val="32"/>
          <w:u w:val="none"/>
        </w:rPr>
        <w:t>（一）机关运行经费</w:t>
      </w:r>
      <w:r>
        <w:rPr>
          <w:rFonts w:ascii="仿宋_GB2312" w:hAnsi="仿宋_GB2312" w:eastAsia="仿宋_GB2312" w:cs="仿宋_GB2312"/>
          <w:i w:val="false"/>
          <w:strike w:val="false"/>
          <w:color w:val="000000"/>
          <w:sz w:val="32"/>
          <w:u w:val="none"/>
        </w:rPr>
        <w:t>：本部门2022年年初预算机关运行经费(商品和服务支出+业务性专项)共安排979084.89元，比</w:t>
      </w:r>
      <w:r>
        <w:rPr>
          <w:rFonts w:ascii="仿宋_GB2312" w:hAnsi="仿宋_GB2312" w:eastAsia="仿宋_GB2312" w:cs="仿宋_GB2312"/>
          <w:i w:val="false"/>
          <w:strike w:val="false"/>
          <w:color w:val="000000"/>
          <w:sz w:val="32"/>
          <w:u w:val="none"/>
        </w:rPr>
        <w:t>上年度预算</w:t>
      </w:r>
      <w:r>
        <w:rPr>
          <w:rFonts w:ascii="仿宋_GB2312" w:hAnsi="仿宋_GB2312" w:eastAsia="仿宋_GB2312" w:cs="仿宋_GB2312"/>
          <w:i w:val="false"/>
          <w:strike w:val="false"/>
          <w:color w:val="000000"/>
          <w:sz w:val="32"/>
          <w:u w:val="none"/>
        </w:rPr>
        <w:t>减少7</w:t>
      </w:r>
      <w:r>
        <w:rPr>
          <w:rFonts w:ascii="仿宋_GB2312" w:hAnsi="仿宋_GB2312" w:eastAsia="仿宋_GB2312" w:cs="仿宋_GB2312"/>
          <w:strike w:val="false"/>
          <w:color w:val="000000"/>
          <w:sz w:val="32"/>
          <w:u w:val="none"/>
        </w:rPr>
        <w:t>8393.11</w:t>
      </w:r>
      <w:r>
        <w:rPr>
          <w:rFonts w:ascii="仿宋_GB2312" w:hAnsi="仿宋_GB2312" w:eastAsia="仿宋_GB2312" w:cs="仿宋_GB2312"/>
          <w:i w:val="false"/>
          <w:strike w:val="false"/>
          <w:color w:val="000000"/>
          <w:sz w:val="32"/>
          <w:u w:val="none"/>
        </w:rPr>
        <w:t>元，</w:t>
      </w:r>
      <w:r>
        <w:rPr>
          <w:rFonts w:ascii="仿宋_GB2312" w:hAnsi="仿宋_GB2312" w:eastAsia="仿宋_GB2312" w:cs="仿宋_GB2312"/>
          <w:i w:val="false"/>
          <w:strike w:val="false"/>
          <w:color w:val="000000"/>
          <w:sz w:val="32"/>
          <w:u w:val="none"/>
        </w:rPr>
        <w:t>减少</w:t>
      </w:r>
      <w:r>
        <w:rPr>
          <w:rFonts w:ascii="仿宋_GB2312" w:hAnsi="仿宋_GB2312" w:eastAsia="仿宋_GB2312" w:cs="仿宋_GB2312"/>
          <w:i w:val="false"/>
          <w:strike w:val="false"/>
          <w:color w:val="000000"/>
          <w:sz w:val="32"/>
          <w:u w:val="none"/>
        </w:rPr>
        <w:t>的主要原因是：</w:t>
      </w:r>
      <w:r>
        <w:rPr>
          <w:rFonts w:ascii="仿宋_GB2312" w:hAnsi="仿宋_GB2312" w:eastAsia="仿宋_GB2312" w:cs="仿宋_GB2312"/>
          <w:i w:val="false"/>
          <w:strike w:val="false"/>
          <w:color w:val="000000"/>
          <w:sz w:val="32"/>
          <w:u w:val="none"/>
        </w:rPr>
        <w:t>电大</w:t>
      </w:r>
      <w:r>
        <w:rPr>
          <w:rFonts w:ascii="仿宋_GB2312" w:hAnsi="仿宋_GB2312" w:eastAsia="仿宋_GB2312" w:cs="仿宋_GB2312"/>
          <w:strike w:val="false"/>
          <w:color w:val="000000"/>
          <w:sz w:val="32"/>
          <w:u w:val="none"/>
        </w:rPr>
        <w:t>和职业高中招生数量减少，预算的非税返还减少</w:t>
      </w:r>
      <w:r>
        <w:rPr>
          <w:rFonts w:ascii="仿宋_GB2312" w:hAnsi="仿宋_GB2312" w:eastAsia="仿宋_GB2312" w:cs="仿宋_GB2312"/>
          <w:i w:val="false"/>
          <w:strike w:val="false"/>
          <w:color w:val="000000"/>
          <w:sz w:val="32"/>
          <w:u w:val="none"/>
        </w:rPr>
        <w:t>。</w:t>
      </w:r>
    </w:p>
    <w:p>
      <w:pPr>
        <w:pBdr>
          <w:bottom/>
        </w:pBdr>
        <w:snapToGrid w:val="false"/>
        <w:spacing w:before="0" w:after="0" w:line="540" w:lineRule="exact"/>
        <w:ind w:left="0" w:right="0" w:firstLine="640" w:firstLineChars="200"/>
        <w:jc w:val="left"/>
        <w:rPr/>
      </w:pPr>
      <w:r>
        <w:rPr>
          <w:rFonts w:ascii="楷体_GB2312" w:hAnsi="楷体_GB2312" w:eastAsia="楷体_GB2312" w:cs="楷体_GB2312"/>
          <w:i w:val="false"/>
          <w:strike w:val="false"/>
          <w:color w:val="000000"/>
          <w:sz w:val="32"/>
          <w:u w:val="none"/>
        </w:rPr>
        <w:t>（二</w:t>
      </w:r>
      <w:r>
        <w:rPr>
          <w:rFonts w:ascii="楷体_GB2312" w:hAnsi="楷体_GB2312" w:eastAsia="楷体_GB2312" w:cs="楷体_GB2312"/>
          <w:i w:val="false"/>
          <w:strike w:val="false"/>
          <w:color w:val="000000"/>
          <w:sz w:val="32"/>
          <w:u w:val="none"/>
        </w:rPr>
        <w:t>）</w:t>
      </w:r>
      <w:r>
        <w:rPr>
          <w:rFonts w:ascii="楷体_GB2312" w:hAnsi="楷体_GB2312" w:eastAsia="楷体_GB2312" w:cs="楷体_GB2312"/>
          <w:i w:val="false"/>
          <w:strike w:val="false"/>
          <w:color w:val="000000"/>
          <w:sz w:val="32"/>
          <w:u w:val="none"/>
        </w:rPr>
        <w:t>政府采购预算：</w:t>
      </w:r>
      <w:r>
        <w:rPr>
          <w:rFonts w:ascii="仿宋_GB2312" w:hAnsi="仿宋_GB2312" w:eastAsia="仿宋_GB2312" w:cs="仿宋_GB2312"/>
          <w:i w:val="false"/>
          <w:strike w:val="false"/>
          <w:color w:val="000000"/>
          <w:sz w:val="32"/>
          <w:u w:val="none"/>
        </w:rPr>
        <w:t>2022年年初预算数为793860元。包含：政府采购货物393860元，政府采购工程200000元，政府采购服务200000元。</w:t>
      </w:r>
    </w:p>
    <w:p>
      <w:pPr>
        <w:pBdr>
          <w:bottom/>
        </w:pBdr>
        <w:snapToGrid w:val="false"/>
        <w:spacing w:before="0" w:after="0" w:line="540" w:lineRule="exact"/>
        <w:ind w:left="0" w:right="0" w:firstLine="640" w:firstLineChars="200"/>
        <w:jc w:val="left"/>
        <w:rPr/>
      </w:pPr>
      <w:r>
        <w:rPr>
          <w:rFonts w:ascii="楷体_GB2312" w:hAnsi="楷体_GB2312" w:eastAsia="楷体_GB2312" w:cs="楷体_GB2312"/>
          <w:i w:val="false"/>
          <w:strike w:val="false"/>
          <w:color w:val="000000"/>
          <w:sz w:val="32"/>
          <w:u w:val="none"/>
        </w:rPr>
        <w:t>（三）国有资产占有情况：</w:t>
      </w:r>
      <w:r>
        <w:rPr>
          <w:rFonts w:ascii="仿宋_GB2312" w:hAnsi="仿宋_GB2312" w:eastAsia="仿宋_GB2312" w:cs="仿宋_GB2312"/>
          <w:i w:val="false"/>
          <w:strike w:val="false"/>
          <w:color w:val="000000"/>
          <w:sz w:val="32"/>
          <w:u w:val="none"/>
        </w:rPr>
        <w:t>截止202</w:t>
      </w:r>
      <w:r>
        <w:rPr>
          <w:rFonts w:ascii="仿宋_GB2312" w:hAnsi="仿宋_GB2312" w:eastAsia="仿宋_GB2312" w:cs="仿宋_GB2312"/>
          <w:i w:val="false"/>
          <w:strike w:val="false"/>
          <w:color w:val="000000"/>
          <w:sz w:val="32"/>
          <w:u w:val="none"/>
        </w:rPr>
        <w:t>1</w:t>
      </w:r>
      <w:r>
        <w:rPr>
          <w:rFonts w:ascii="仿宋_GB2312" w:hAnsi="仿宋_GB2312" w:eastAsia="仿宋_GB2312" w:cs="仿宋_GB2312"/>
          <w:i w:val="false"/>
          <w:strike w:val="false"/>
          <w:color w:val="000000"/>
          <w:sz w:val="32"/>
          <w:u w:val="none"/>
        </w:rPr>
        <w:t>年12月</w:t>
      </w:r>
      <w:r>
        <w:rPr>
          <w:rFonts w:ascii="仿宋_GB2312" w:hAnsi="仿宋_GB2312" w:eastAsia="仿宋_GB2312" w:cs="仿宋_GB2312"/>
          <w:i w:val="false"/>
          <w:strike w:val="false"/>
          <w:color w:val="000000"/>
          <w:sz w:val="32"/>
          <w:u w:val="none"/>
        </w:rPr>
        <w:t>3</w:t>
      </w:r>
      <w:r>
        <w:rPr>
          <w:rFonts w:ascii="仿宋_GB2312" w:hAnsi="仿宋_GB2312" w:eastAsia="仿宋_GB2312" w:cs="仿宋_GB2312"/>
          <w:strike w:val="false"/>
          <w:color w:val="000000"/>
          <w:sz w:val="32"/>
          <w:u w:val="none"/>
        </w:rPr>
        <w:t>1</w:t>
      </w:r>
      <w:r>
        <w:rPr>
          <w:rFonts w:ascii="仿宋_GB2312" w:hAnsi="仿宋_GB2312" w:eastAsia="仿宋_GB2312" w:cs="仿宋_GB2312"/>
          <w:i w:val="false"/>
          <w:strike w:val="false"/>
          <w:color w:val="000000"/>
          <w:sz w:val="32"/>
          <w:u w:val="none"/>
        </w:rPr>
        <w:t>日，本部门共有办公及业务用房 19987.57平方米；车辆 0 辆单位价值50万以上大型设备</w:t>
      </w:r>
      <w:r>
        <w:rPr>
          <w:rFonts w:ascii="仿宋_GB2312" w:hAnsi="仿宋_GB2312" w:eastAsia="仿宋_GB2312" w:cs="仿宋_GB2312"/>
          <w:i w:val="false"/>
          <w:strike w:val="false"/>
          <w:color w:val="000000"/>
          <w:sz w:val="32"/>
          <w:u w:val="none"/>
        </w:rPr>
        <w:t>0</w:t>
      </w:r>
      <w:r>
        <w:rPr>
          <w:rFonts w:ascii="仿宋_GB2312" w:hAnsi="仿宋_GB2312" w:eastAsia="仿宋_GB2312" w:cs="仿宋_GB2312"/>
          <w:i w:val="false"/>
          <w:strike w:val="false"/>
          <w:color w:val="000000"/>
          <w:sz w:val="32"/>
          <w:u w:val="none"/>
        </w:rPr>
        <w:t>套。2022年部门预算安排购置车辆0辆，预算安排购置价值50万以上大型设备</w:t>
      </w:r>
      <w:r>
        <w:rPr>
          <w:rFonts w:ascii="仿宋_GB2312" w:hAnsi="仿宋_GB2312" w:eastAsia="仿宋_GB2312" w:cs="仿宋_GB2312"/>
          <w:i w:val="false"/>
          <w:strike w:val="false"/>
          <w:color w:val="000000"/>
          <w:sz w:val="32"/>
          <w:u w:val="none"/>
        </w:rPr>
        <w:t>0</w:t>
      </w:r>
      <w:r>
        <w:rPr>
          <w:rFonts w:ascii="仿宋_GB2312" w:hAnsi="仿宋_GB2312" w:eastAsia="仿宋_GB2312" w:cs="仿宋_GB2312"/>
          <w:i w:val="false"/>
          <w:strike w:val="false"/>
          <w:color w:val="000000"/>
          <w:sz w:val="32"/>
          <w:u w:val="none"/>
        </w:rPr>
        <w:t>套。</w:t>
      </w:r>
    </w:p>
    <w:p>
      <w:pPr>
        <w:pBdr>
          <w:bottom/>
        </w:pBdr>
        <w:snapToGrid w:val="false"/>
        <w:spacing w:before="0" w:after="0" w:line="540" w:lineRule="exact"/>
        <w:ind w:left="0" w:right="0" w:firstLine="640" w:firstLineChars="200"/>
        <w:jc w:val="left"/>
        <w:rPr/>
      </w:pPr>
      <w:r>
        <w:rPr>
          <w:rFonts w:ascii="楷体_GB2312" w:hAnsi="楷体_GB2312" w:eastAsia="楷体_GB2312" w:cs="楷体_GB2312"/>
          <w:i w:val="false"/>
          <w:strike w:val="false"/>
          <w:color w:val="000000"/>
          <w:sz w:val="32"/>
          <w:u w:val="none"/>
        </w:rPr>
        <w:t>（四）预算绩效目标：</w:t>
      </w:r>
      <w:r>
        <w:rPr>
          <w:rFonts w:ascii="仿宋_GB2312" w:hAnsi="仿宋_GB2312" w:eastAsia="仿宋_GB2312" w:cs="仿宋_GB2312"/>
          <w:i w:val="false"/>
          <w:strike w:val="false"/>
          <w:color w:val="000000"/>
          <w:sz w:val="32"/>
          <w:u w:val="none"/>
        </w:rPr>
        <w:t>本部门整体支出和项目支出实行绩效目标管理，纳入2022年部门整体支出绩效目标的金额为7622152.31元，其中，基本支出6699752.3</w:t>
      </w:r>
      <w:r>
        <w:rPr>
          <w:rFonts w:ascii="仿宋_GB2312" w:hAnsi="仿宋_GB2312" w:eastAsia="仿宋_GB2312" w:cs="仿宋_GB2312"/>
          <w:i w:val="false"/>
          <w:strike w:val="false"/>
          <w:color w:val="000000"/>
          <w:sz w:val="32"/>
          <w:u w:val="none"/>
        </w:rPr>
        <w:t>1</w:t>
      </w:r>
      <w:r>
        <w:rPr>
          <w:rFonts w:ascii="仿宋_GB2312" w:hAnsi="仿宋_GB2312" w:eastAsia="仿宋_GB2312" w:cs="仿宋_GB2312"/>
          <w:i w:val="false"/>
          <w:strike w:val="false"/>
          <w:color w:val="000000"/>
          <w:sz w:val="32"/>
          <w:u w:val="none"/>
        </w:rPr>
        <w:t>元，项目支出922400元（详见附表）。 </w:t>
      </w:r>
    </w:p>
    <w:p>
      <w:pPr>
        <w:pBdr>
          <w:bottom/>
        </w:pBdr>
        <w:snapToGrid w:val="false"/>
        <w:spacing w:before="0" w:after="0" w:line="540" w:lineRule="exact"/>
        <w:ind w:left="0" w:right="0" w:firstLine="640" w:firstLineChars="200"/>
        <w:jc w:val="left"/>
        <w:rPr/>
      </w:pPr>
      <w:r>
        <w:rPr>
          <w:rFonts w:ascii="楷体_GB2312" w:hAnsi="楷体_GB2312" w:eastAsia="楷体_GB2312" w:cs="楷体_GB2312"/>
          <w:i w:val="false"/>
          <w:strike w:val="false"/>
          <w:color w:val="000000"/>
          <w:sz w:val="32"/>
          <w:u w:val="none"/>
        </w:rPr>
        <w:t>（五）</w:t>
      </w:r>
      <w:r>
        <w:rPr>
          <w:rFonts w:ascii="Times New Roman" w:hAnsi="Times New Roman" w:eastAsia="Times New Roman" w:cs="Times New Roman"/>
          <w:i w:val="false"/>
          <w:strike w:val="false"/>
          <w:color w:val="000000"/>
          <w:sz w:val="32"/>
          <w:u w:val="none"/>
        </w:rPr>
        <w:t>“</w:t>
      </w:r>
      <w:r>
        <w:rPr>
          <w:rFonts w:ascii="楷体_GB2312" w:hAnsi="楷体_GB2312" w:eastAsia="楷体_GB2312" w:cs="楷体_GB2312"/>
          <w:i w:val="false"/>
          <w:strike w:val="false"/>
          <w:color w:val="000000"/>
          <w:sz w:val="32"/>
          <w:u w:val="none"/>
        </w:rPr>
        <w:t>三公</w:t>
      </w:r>
      <w:r>
        <w:rPr>
          <w:rFonts w:ascii="Times New Roman" w:hAnsi="Times New Roman" w:eastAsia="Times New Roman" w:cs="Times New Roman"/>
          <w:i w:val="false"/>
          <w:strike w:val="false"/>
          <w:color w:val="000000"/>
          <w:sz w:val="32"/>
          <w:u w:val="none"/>
        </w:rPr>
        <w:t>”</w:t>
      </w:r>
      <w:r>
        <w:rPr>
          <w:rFonts w:ascii="楷体_GB2312" w:hAnsi="楷体_GB2312" w:eastAsia="楷体_GB2312" w:cs="楷体_GB2312"/>
          <w:i w:val="false"/>
          <w:strike w:val="false"/>
          <w:color w:val="000000"/>
          <w:sz w:val="32"/>
          <w:u w:val="none"/>
        </w:rPr>
        <w:t>经费预算：</w:t>
      </w:r>
      <w:r>
        <w:rPr>
          <w:rFonts w:ascii="仿宋_GB2312" w:hAnsi="仿宋_GB2312" w:eastAsia="仿宋_GB2312" w:cs="仿宋_GB2312"/>
          <w:i w:val="false"/>
          <w:strike w:val="false"/>
          <w:color w:val="000000"/>
          <w:sz w:val="32"/>
          <w:u w:val="none"/>
        </w:rPr>
        <w:t>本单位无公共财政拨款三公经费预算，所有“三公”经费均为自有资金安排。</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（六）会议费、培训费预算：</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2022年预算安排会议费0元。 </w:t>
      </w:r>
    </w:p>
    <w:p>
      <w:pPr>
        <w:snapToGrid w:val="false"/>
        <w:spacing w:before="0" w:after="0" w:line="560" w:lineRule="exact"/>
        <w:ind w:left="0" w:right="0" w:firstLine="640" w:firstLineChars="200"/>
        <w:jc w:val="both"/>
        <w:rPr>
          <w:rFonts w:ascii="楷体_GB2312" w:hAnsi="楷体_GB2312" w:eastAsia="楷体_GB2312" w:cs="楷体_GB2312"/>
          <w:i w:val="false"/>
          <w:strike w:val="false"/>
          <w:color w:val="000000"/>
          <w:sz w:val="32"/>
          <w:u w:val="none"/>
        </w:rPr>
      </w:pPr>
      <w:r>
        <w:rPr>
          <w:rFonts w:ascii="仿宋_GB2312" w:hAnsi="仿宋_GB2312" w:eastAsia="仿宋_GB2312" w:cs="仿宋_GB2312"/>
          <w:i w:val="false"/>
          <w:strike w:val="false"/>
          <w:color w:val="000000"/>
          <w:sz w:val="32"/>
          <w:u w:val="none"/>
        </w:rPr>
        <w:t>2022年预算安排培训费0元</w:t>
      </w:r>
      <w:r>
        <w:rPr>
          <w:rFonts w:ascii="楷体_GB2312" w:hAnsi="楷体_GB2312" w:eastAsia="楷体_GB2312" w:cs="楷体_GB2312"/>
          <w:i w:val="false"/>
          <w:strike w:val="false"/>
          <w:color w:val="000000"/>
          <w:sz w:val="32"/>
          <w:u w:val="none"/>
        </w:rPr>
        <w:t>。 </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（七）其他事项</w:t>
      </w:r>
      <w:r>
        <w:rPr>
          <w:rFonts w:ascii="仿宋_GB2312" w:hAnsi="仿宋_GB2312" w:eastAsia="仿宋_GB2312" w:cs="仿宋_GB2312"/>
          <w:i w:val="false"/>
          <w:strike w:val="false"/>
          <w:color w:val="000000"/>
          <w:sz w:val="32"/>
          <w:u w:val="none"/>
        </w:rPr>
        <w:t>。本单位2022年预算未安排政府性基金预算，本单位2022年预算未安排一般公共预算“三公”经费支出表，本单位2022年预算未安排国有资本经营预算支出表。</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八、名词解释</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（一）一般公共预算</w:t>
      </w:r>
      <w:r>
        <w:rPr>
          <w:rFonts w:ascii="'Times New Roman'" w:hAnsi="'Times New Roman'" w:eastAsia="'Times New Roman'" w:cs="'Times New Roman'"/>
          <w:b/>
          <w:i w:val="false"/>
          <w:strike w:val="false"/>
          <w:color w:val="000000"/>
          <w:sz w:val="32"/>
          <w:u w:val="none"/>
        </w:rPr>
        <w:t>:</w:t>
      </w:r>
      <w:r>
        <w:rPr>
          <w:rFonts w:ascii="'Times New Roman'" w:hAnsi="'Times New Roman'" w:eastAsia="'Times New Roman'" w:cs="'Times New Roman'"/>
          <w:i w:val="false"/>
          <w:strike w:val="false"/>
          <w:color w:val="000000"/>
          <w:sz w:val="32"/>
          <w:u w:val="none"/>
        </w:rPr>
        <w:t xml:space="preserve"> </w:t>
      </w:r>
      <w:r>
        <w:rPr>
          <w:rFonts w:ascii="仿宋_GB2312" w:hAnsi="仿宋_GB2312" w:eastAsia="仿宋_GB2312" w:cs="仿宋_GB2312"/>
          <w:i w:val="false"/>
          <w:strike w:val="false"/>
          <w:color w:val="000000"/>
          <w:sz w:val="32"/>
          <w:u w:val="none"/>
        </w:rPr>
        <w:t>是对以税收为主体的财政收入，安排用于保障和改善民生、推动经济社会发展、维护国家安全、维持国家机构正常运转等方面的收支预算。一般公共预算收入即通常所指的</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财政收入</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w:t>
      </w:r>
      <w:r>
        <w:rPr>
          <w:rFonts w:ascii="仿宋_GB2312" w:hAnsi="仿宋_GB2312" w:eastAsia="仿宋_GB2312" w:cs="仿宋_GB2312"/>
          <w:i w:val="false"/>
          <w:strike w:val="false"/>
          <w:color w:val="000000"/>
          <w:sz w:val="32"/>
          <w:u w:val="none"/>
        </w:rPr>
        <w:t>按照2015年1月1日起施行</w:t>
      </w:r>
      <w:r>
        <w:rPr>
          <w:rFonts w:ascii="仿宋_GB2312" w:hAnsi="仿宋_GB2312" w:eastAsia="仿宋_GB2312" w:cs="仿宋_GB2312"/>
          <w:i w:val="false"/>
          <w:strike w:val="false"/>
          <w:color w:val="000000"/>
          <w:sz w:val="32"/>
          <w:u w:val="none"/>
        </w:rPr>
        <w:t>的新《预算法》，改称</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一般公共预算收入</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。全市一般公共预算收入由地方收入、上划中央收入、上划省级收入三部分构成。</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（二）政府性基金预算</w:t>
      </w:r>
      <w:r>
        <w:rPr>
          <w:rFonts w:ascii="'Times New Roman'" w:hAnsi="'Times New Roman'" w:eastAsia="'Times New Roman'" w:cs="'Times New Roman'"/>
          <w:b/>
          <w:i w:val="false"/>
          <w:strike w:val="false"/>
          <w:color w:val="000000"/>
          <w:sz w:val="32"/>
          <w:u w:val="none"/>
        </w:rPr>
        <w:t>:</w:t>
      </w:r>
      <w:r>
        <w:rPr>
          <w:rFonts w:ascii="'Times New Roman'" w:hAnsi="'Times New Roman'" w:eastAsia="'Times New Roman'" w:cs="'Times New Roman'"/>
          <w:i w:val="false"/>
          <w:strike w:val="false"/>
          <w:color w:val="000000"/>
          <w:sz w:val="32"/>
          <w:u w:val="none"/>
        </w:rPr>
        <w:t xml:space="preserve"> </w:t>
      </w:r>
      <w:r>
        <w:rPr>
          <w:rFonts w:ascii="仿宋_GB2312" w:hAnsi="仿宋_GB2312" w:eastAsia="仿宋_GB2312" w:cs="仿宋_GB2312"/>
          <w:i w:val="false"/>
          <w:strike w:val="false"/>
          <w:color w:val="000000"/>
          <w:sz w:val="32"/>
          <w:u w:val="none"/>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（三）国有资本经营预算</w:t>
      </w:r>
      <w:r>
        <w:rPr>
          <w:rFonts w:ascii="'Times New Roman'" w:hAnsi="'Times New Roman'" w:eastAsia="'Times New Roman'" w:cs="'Times New Roman'"/>
          <w:b/>
          <w:i w:val="false"/>
          <w:strike w:val="false"/>
          <w:color w:val="000000"/>
          <w:sz w:val="32"/>
          <w:u w:val="none"/>
        </w:rPr>
        <w:t xml:space="preserve">: </w:t>
      </w:r>
      <w:r>
        <w:rPr>
          <w:rFonts w:ascii="仿宋_GB2312" w:hAnsi="仿宋_GB2312" w:eastAsia="仿宋_GB2312" w:cs="仿宋_GB2312"/>
          <w:i w:val="false"/>
          <w:strike w:val="false"/>
          <w:color w:val="000000"/>
          <w:sz w:val="32"/>
          <w:u w:val="none"/>
        </w:rPr>
        <w:t>是对国有资本收益作出支出安排的收支预算。应当按照收支平衡的原则编制，不列赤字，并安排资金调入一般公共预算。</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（四）社会保险基金预算</w:t>
      </w:r>
      <w:r>
        <w:rPr>
          <w:rFonts w:ascii="'Times New Roman'" w:hAnsi="'Times New Roman'" w:eastAsia="'Times New Roman'" w:cs="'Times New Roman'"/>
          <w:b/>
          <w:i w:val="false"/>
          <w:strike w:val="false"/>
          <w:color w:val="000000"/>
          <w:sz w:val="32"/>
          <w:u w:val="none"/>
        </w:rPr>
        <w:t>:</w:t>
      </w:r>
      <w:r>
        <w:rPr>
          <w:rFonts w:ascii="'Times New Roman'" w:hAnsi="'Times New Roman'" w:eastAsia="'Times New Roman'" w:cs="'Times New Roman'"/>
          <w:i w:val="false"/>
          <w:strike w:val="false"/>
          <w:color w:val="000000"/>
          <w:sz w:val="32"/>
          <w:u w:val="none"/>
        </w:rPr>
        <w:t xml:space="preserve"> </w:t>
      </w:r>
      <w:r>
        <w:rPr>
          <w:rFonts w:ascii="仿宋_GB2312" w:hAnsi="仿宋_GB2312" w:eastAsia="仿宋_GB2312" w:cs="仿宋_GB2312"/>
          <w:i w:val="false"/>
          <w:strike w:val="false"/>
          <w:color w:val="000000"/>
          <w:sz w:val="32"/>
          <w:u w:val="none"/>
        </w:rPr>
        <w:t>是对社会保险缴款、一般公共预算安排和其他方式筹集的资金，专项用于社会保险的收支预算。应当按照统筹层次和社会保险项目分别编制，做到收支平衡。</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（五）</w:t>
      </w:r>
      <w:r>
        <w:rPr>
          <w:rFonts w:ascii="Times New Roman" w:hAnsi="Times New Roman" w:eastAsia="Times New Roman" w:cs="Times New Roman"/>
          <w:b/>
          <w:i w:val="false"/>
          <w:strike w:val="false"/>
          <w:color w:val="000000"/>
          <w:sz w:val="32"/>
          <w:u w:val="none"/>
        </w:rPr>
        <w:t>“</w:t>
      </w:r>
      <w:r>
        <w:rPr>
          <w:rFonts w:ascii="仿宋_GB2312" w:hAnsi="仿宋_GB2312" w:eastAsia="仿宋_GB2312" w:cs="仿宋_GB2312"/>
          <w:b/>
          <w:i w:val="false"/>
          <w:strike w:val="false"/>
          <w:color w:val="000000"/>
          <w:sz w:val="32"/>
          <w:u w:val="none"/>
        </w:rPr>
        <w:t>三公</w:t>
      </w:r>
      <w:r>
        <w:rPr>
          <w:rFonts w:ascii="Times New Roman" w:hAnsi="Times New Roman" w:eastAsia="Times New Roman" w:cs="Times New Roman"/>
          <w:b/>
          <w:i w:val="false"/>
          <w:strike w:val="false"/>
          <w:color w:val="000000"/>
          <w:sz w:val="32"/>
          <w:u w:val="none"/>
        </w:rPr>
        <w:t>”</w:t>
      </w:r>
      <w:r>
        <w:rPr>
          <w:rFonts w:ascii="仿宋_GB2312" w:hAnsi="仿宋_GB2312" w:eastAsia="仿宋_GB2312" w:cs="仿宋_GB2312"/>
          <w:b/>
          <w:i w:val="false"/>
          <w:strike w:val="false"/>
          <w:color w:val="000000"/>
          <w:sz w:val="32"/>
          <w:u w:val="none"/>
        </w:rPr>
        <w:t>经费：</w:t>
      </w:r>
      <w:r>
        <w:rPr>
          <w:rFonts w:ascii="仿宋_GB2312" w:hAnsi="仿宋_GB2312" w:eastAsia="仿宋_GB2312" w:cs="仿宋_GB2312"/>
          <w:i w:val="false"/>
          <w:strike w:val="false"/>
          <w:color w:val="000000"/>
          <w:sz w:val="32"/>
          <w:u w:val="none"/>
        </w:rPr>
        <w:t>是指商品和服务支出中的因公出国（境）费用、公务用车购置及运行维护费和公务接待费。</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（六）机关运行经费：</w:t>
      </w:r>
      <w:r>
        <w:rPr>
          <w:rFonts w:ascii="仿宋_GB2312" w:hAnsi="仿宋_GB2312" w:eastAsia="仿宋_GB2312" w:cs="仿宋_GB2312"/>
          <w:i w:val="false"/>
          <w:strike w:val="false"/>
          <w:color w:val="000000"/>
          <w:sz w:val="32"/>
          <w:u w:val="none"/>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snapToGrid w:val="false"/>
        <w:spacing w:before="0" w:after="0" w:line="560" w:lineRule="exact"/>
        <w:ind w:left="0" w:right="0"/>
        <w:jc w:val="center"/>
        <w:rPr/>
      </w:pPr>
    </w:p>
    <w:p>
      <w:pPr>
        <w:snapToGrid/>
        <w:spacing w:line="240" w:lineRule="auto"/>
        <w:rPr/>
      </w:pPr>
    </w:p>
    <w:sectPr>
      <w:pgSz w:w="16838" w:h="11905"/>
      <w:pgMar w:top="1417" w:right="1361" w:bottom="1417" w:left="1361"/>
      <w:docGrid w:type="lines" w:linePitch="410"/>
    </w:sectPr>
  </w:body>
</w:document>
</file>

<file path=word/fontTable.xml><?xml version="1.0" encoding="utf-8"?>
<w:fonts xmlns:w="http://schemas.openxmlformats.org/wordprocessingml/2006/main">
  <w:font w:name="等线 Light">
    <w:panose1 w:val="02010600030101010101"/>
    <w:charset w:val="86" w:characterSet="ISO-8859-1"/>
    <w:family w:val="auto"/>
    <w:pitch w:val="variable"/>
    <w:sig w:usb0="A00002BF" w:usb1="38CF7CFA" w:usb2="00000016" w:usb3="00000000" w:csb0="0004000F" w:csb1="00000000"/>
  </w:font>
  <w:font w:name="DengXian">
    <w:altName w:val="等线"/>
    <w:panose1 w:val="02010600030101010101"/>
    <w:charset w:val="86" w:characterSet="ISO-8859-1"/>
    <w:family w:val="auto"/>
    <w:pitch w:val="variable"/>
    <w:sig w:usb0="A00002BF" w:usb1="38CF7CFA" w:usb2="00000016" w:usb3="00000000" w:csb0="0004000F" w:csb1="00000000"/>
  </w:font>
  <w:font w:name="Times New Roman">
    <w:panose1 w:val="02020603050405020304"/>
    <w:charset w:val="00" w:characterSet="ISO-8859-1"/>
    <w:family w:val="roman"/>
    <w:pitch w:val="variable"/>
    <w:sig w:usb0="E0002EFF" w:usb1="C000785B" w:usb2="00000009" w:usb3="00000000" w:csb0="000001FF" w:csb1="00000000"/>
  </w:font>
</w:fonts>
</file>

<file path=word/settings.xml><?xml version="1.0" encoding="utf-8"?>
<w:settings xmlns:w="http://schemas.openxmlformats.org/wordprocessingml/2006/main">
  <w:zoom w:percent="135"/>
  <w:bordersDoNotSurroundHeader/>
  <w:bordersDoNotSurroundFooter/>
  <w:defaultTabStop w:val="420"/>
  <w:drawingGridVerticalSpacing w:val="156"/>
  <w:displayHorizontalDrawingGridEvery w:val="0"/>
  <w:displayVerticalDrawingGridEvery w:val="2"/>
  <w:characterSpacingControl w:val="compressPunctuation"/>
  <w:compat>
    <w:compatSetting w:name="enableOpenTypeFeatures" w:uri="http://schemas.microsoft.com/office/word" w:val="1"/>
    <w:compatSetting w:name="compatibilityMode" w:uri="http://schemas.microsoft.com/office/word" w:val="15"/>
    <w:compatSetting w:name="doNotFlipMirrorIndents" w:uri="http://schemas.microsoft.com/office/word" w:val="1"/>
    <w:compatSetting w:name="overrideTableStyleFontSizeAndJustification" w:uri="http://schemas.microsoft.com/office/word" w:val="1"/>
    <w:compatSetting w:name="useWord2013TrackBottomHyphenation" w:uri="http://schemas.microsoft.com/office/word" w:val="0"/>
    <w:compatSetting w:name="differentiateMultirowTableHeaders" w:uri="http://schemas.microsoft.com/office/word" w:val="1"/>
  </w:compat>
  <w:rsids/>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hAnsiTheme="minorHAnsi" w:eastAsiaTheme="minorEastAsia" w:cstheme="minorBidi"/>
        <w:color w:val="333333"/>
        <w:kern w:val="2"/>
        <w:sz w:val="22"/>
        <w:szCs w:val="22"/>
        <w:lang w:val="en-US" w:eastAsia="zh-CN" w:bidi="ar-SA"/>
      </w:rPr>
    </w:rPrDefault>
    <w:pPrDefault>
      <w:pPr>
        <w:snapToGrid w:val="false"/>
        <w:spacing w:before="60" w:after="60" w:line="240" w:lineRule="auto"/>
      </w:pPr>
    </w:pPrDefault>
  </w:docDefaults>
  <w:latentStyles w:defLockedState="false" w:defUIPriority="99" w:defSemiHidden="false" w:defUnhideWhenUsed="false" w:defQFormat="false" w:count="376">
    <w:lsdException w:name="Medium Grid 2" w:uiPriority="68"/>
    <w:lsdException w:name="List Table 6 Colorful Accent 2" w:uiPriority="51"/>
    <w:lsdException w:name="Medium Shading 1 Accent 4" w:uiPriority="63"/>
    <w:lsdException w:name="index 7" w:semiHidden="true" w:unhideWhenUsed="true"/>
    <w:lsdException w:name="List Number" w:semiHidden="true" w:unhideWhenUsed="true"/>
    <w:lsdException w:name="Body Text Indent 2" w:semiHidden="true" w:unhideWhenUsed="true"/>
    <w:lsdException w:name="Body Text First Indent" w:semiHidden="true" w:unhideWhenUsed="true"/>
    <w:lsdException w:name="Grid Table 7 Colorful Accent 5" w:uiPriority="52"/>
    <w:lsdException w:name="Medium Grid 1 Accent 5" w:uiPriority="67"/>
    <w:lsdException w:name="List Number 5" w:semiHidden="true" w:unhideWhenUsed="true"/>
    <w:lsdException w:name="Medium Shading 2 Accent 6" w:uiPriority="64"/>
    <w:lsdException w:name="Colorful List Accent 3" w:uiPriority="72"/>
    <w:lsdException w:name="Colorful Grid Accent 4" w:uiPriority="73"/>
    <w:lsdException w:name="List Table 6 Colorful Accent 1" w:uiPriority="51"/>
    <w:lsdException w:name="Dark List Accent 5" w:uiPriority="70"/>
    <w:lsdException w:name="Table Subtle 2" w:semiHidden="true" w:unhideWhenUsed="true"/>
    <w:lsdException w:name="List Table 5 Dark Accent 6" w:uiPriority="50"/>
    <w:lsdException w:name="Grid Table 4 Accent 4" w:uiPriority="49"/>
    <w:lsdException w:name="Light List" w:uiPriority="61"/>
    <w:lsdException w:name="List Table 1 Light Accent 5" w:uiPriority="46"/>
    <w:lsdException w:name="Grid Table 5 Dark Accent 5" w:uiPriority="50"/>
    <w:lsdException w:name="Plain Table 3" w:uiPriority="43"/>
    <w:lsdException w:name="Grid Table 3 Accent 5" w:uiPriority="48"/>
    <w:lsdException w:name="Unresolved Mention" w:semiHidden="true" w:unhideWhenUsed="true"/>
    <w:lsdException w:name="Grid Table 4 Accent 1" w:uiPriority="49"/>
    <w:lsdException w:name="Dark List" w:uiPriority="70"/>
    <w:lsdException w:name="Table Colorful 1" w:semiHidden="true" w:unhideWhenUsed="true"/>
    <w:lsdException w:name="heading 2" w:uiPriority="9" w:semiHidden="true" w:unhideWhenUsed="true" w:qFormat="true"/>
    <w:lsdException w:name="Hashtag" w:semiHidden="true" w:unhideWhenUsed="true"/>
    <w:lsdException w:name="List" w:semiHidden="true" w:unhideWhenUsed="true"/>
    <w:lsdException w:name="Table Elegant" w:semiHidden="true" w:unhideWhenUsed="true"/>
    <w:lsdException w:name="Grid Table 1 Light Accent 5" w:uiPriority="46"/>
    <w:lsdException w:name="Grid Table 3" w:uiPriority="48"/>
    <w:lsdException w:name="List Table 4 Accent 3" w:uiPriority="49"/>
    <w:lsdException w:name="Light Shading" w:uiPriority="60"/>
    <w:lsdException w:name="Medium List 2 Accent 5" w:uiPriority="66"/>
    <w:lsdException w:name="Table Grid 4" w:semiHidden="true" w:unhideWhenUsed="true"/>
    <w:lsdException w:name="Table Columns 2" w:semiHidden="true" w:unhideWhenUsed="true"/>
    <w:lsdException w:name="heading 3" w:uiPriority="9" w:semiHidden="true" w:unhideWhenUsed="true" w:qFormat="true"/>
    <w:lsdException w:name="Grid Table 1 Light Accent 2" w:uiPriority="46"/>
    <w:lsdException w:name="List Table 2 Accent 3" w:uiPriority="47"/>
    <w:lsdException w:name="Grid Table 3 Accent 2" w:uiPriority="48"/>
    <w:lsdException w:name="Book Title" w:uiPriority="33" w:qFormat="true"/>
    <w:lsdException w:name="Medium Shading 1 Accent 2" w:uiPriority="63"/>
    <w:lsdException w:name="Medium Shading 2 Accent 2" w:uiPriority="64"/>
    <w:lsdException w:name="Colorful Grid Accent 3" w:uiPriority="73"/>
    <w:lsdException w:name="List Number 3" w:semiHidden="true" w:unhideWhenUsed="true"/>
    <w:lsdException w:name="Table List 2" w:semiHidden="true" w:unhideWhenUsed="true"/>
    <w:lsdException w:name="List Number 2" w:semiHidden="true" w:unhideWhenUsed="true"/>
    <w:lsdException w:name="Table List 8" w:semiHidden="true" w:unhideWhenUsed="true"/>
    <w:lsdException w:name="Grid Table 6 Colorful Accent 2" w:uiPriority="51"/>
    <w:lsdException w:name="index 1" w:semiHidden="true" w:unhideWhenUsed="true"/>
    <w:lsdException w:name="heading 9" w:uiPriority="9" w:semiHidden="true" w:unhideWhenUsed="true" w:qFormat="true"/>
    <w:lsdException w:name="List Continue 2" w:semiHidden="true" w:unhideWhenUsed="true"/>
    <w:lsdException w:name="Medium Grid 2 Accent 6" w:uiPriority="68"/>
    <w:lsdException w:name="HTML Sample" w:semiHidden="true" w:unhideWhenUsed="true"/>
    <w:lsdException w:name="List Paragraph" w:uiPriority="34" w:qFormat="true"/>
    <w:lsdException w:name="Colorful Shading Accent 4" w:uiPriority="71"/>
    <w:lsdException w:name="Grid Table 6 Colorful Accent 6" w:uiPriority="51"/>
    <w:lsdException w:name="Bibliography" w:uiPriority="37" w:semiHidden="true" w:unhideWhenUsed="true"/>
    <w:lsdException w:name="Grid Table 1 Light Accent 1" w:uiPriority="46"/>
    <w:lsdException w:name="Table List 7" w:semiHidden="true" w:unhideWhenUsed="true"/>
    <w:lsdException w:name="toc 3" w:uiPriority="39" w:semiHidden="true" w:unhideWhenUsed="true"/>
    <w:lsdException w:name="Table Grid 2" w:semiHidden="true" w:unhideWhenUsed="true"/>
    <w:lsdException w:name="Light List Accent 4" w:uiPriority="61"/>
    <w:lsdException w:name="List Table 1 Light Accent 6" w:uiPriority="46"/>
    <w:lsdException w:name="Grid Table 1 Light Accent 3" w:uiPriority="46"/>
    <w:lsdException w:name="page number" w:semiHidden="true" w:unhideWhenUsed="true"/>
    <w:lsdException w:name="Body Text" w:semiHidden="true" w:unhideWhenUsed="true"/>
    <w:lsdException w:name="Medium Grid 2 Accent 4" w:uiPriority="68"/>
    <w:lsdException w:name="Balloon Text" w:semiHidden="true" w:unhideWhenUsed="true"/>
    <w:lsdException w:name="Colorful List Accent 1" w:uiPriority="72"/>
    <w:lsdException w:name="Quote" w:uiPriority="29" w:qFormat="true"/>
    <w:lsdException w:name="Colorful Shading Accent 3" w:uiPriority="71"/>
    <w:lsdException w:name="Grid Table 6 Colorful Accent 4" w:uiPriority="51"/>
    <w:lsdException w:name="Table List 1" w:semiHidden="true" w:unhideWhenUsed="true"/>
    <w:lsdException w:name="List Table 3 Accent 3" w:uiPriority="48"/>
    <w:lsdException w:name="Medium Shading 1 Accent 3" w:uiPriority="63"/>
    <w:lsdException w:name="Intense Emphasis" w:uiPriority="21" w:qFormat="true"/>
    <w:lsdException w:name="Table Theme" w:semiHidden="true" w:unhideWhenUsed="true"/>
    <w:lsdException w:name="index 6" w:semiHidden="true" w:unhideWhenUsed="true"/>
    <w:lsdException w:name="List Table 7 Colorful Accent 6" w:uiPriority="52"/>
    <w:lsdException w:name="Normal Table" w:semiHidden="true" w:unhideWhenUsed="true"/>
    <w:lsdException w:name="List Bullet 5" w:semiHidden="true" w:unhideWhenUsed="true"/>
    <w:lsdException w:name="Colorful Grid" w:uiPriority="73"/>
    <w:lsdException w:name="Grid Table 5 Dark Accent 1" w:uiPriority="50"/>
    <w:lsdException w:name="Grid Table 7 Colorful Accent 3" w:uiPriority="52"/>
    <w:lsdException w:name="Plain Table 4" w:uiPriority="44"/>
    <w:lsdException w:name="Medium Shading 1 Accent 1" w:uiPriority="63"/>
    <w:lsdException w:name="Colorful Shading Accent 1" w:uiPriority="71"/>
    <w:lsdException w:name="Colorful Grid Accent 6" w:uiPriority="73"/>
    <w:lsdException w:name="Table Professional" w:semiHidden="true" w:unhideWhenUsed="true"/>
    <w:lsdException w:name="Grid Table 3 Accent 1" w:uiPriority="48"/>
    <w:lsdException w:name="Colorful Shading Accent 5" w:uiPriority="71"/>
    <w:lsdException w:name="Medium Grid 1 Accent 2" w:uiPriority="67"/>
    <w:lsdException w:name="List Table 3 Accent 4" w:uiPriority="48"/>
    <w:lsdException w:name="Medium List 1 Accent 4" w:uiPriority="65"/>
    <w:lsdException w:name="Colorful Grid Accent 5" w:uiPriority="73"/>
    <w:lsdException w:name="Medium Grid 2 Accent 5" w:uiPriority="68"/>
    <w:lsdException w:name="Table 3D effects 1" w:semiHidden="true" w:unhideWhenUsed="true"/>
    <w:lsdException w:name="List Table 1 Light Accent 1" w:uiPriority="46"/>
    <w:lsdException w:name="Grid Table 4 Accent 6" w:uiPriority="49"/>
    <w:lsdException w:name="Medium Shading 2 Accent 5" w:uiPriority="64"/>
    <w:lsdException w:name="annotation text" w:semiHidden="true" w:unhideWhenUsed="true"/>
    <w:lsdException w:name="TOC Heading" w:uiPriority="39" w:semiHidden="true" w:unhideWhenUsed="true" w:qFormat="true"/>
    <w:lsdException w:name="Grid Table 3 Accent 6" w:uiPriority="48"/>
    <w:lsdException w:name="Subtle Emphasis" w:uiPriority="19" w:qFormat="true"/>
    <w:lsdException w:name="Light Shading Accent 3" w:uiPriority="60"/>
    <w:lsdException w:name="Grid Table 6 Colorful Accent 1" w:uiPriority="51"/>
    <w:lsdException w:name="List Table 6 Colorful Accent 6" w:uiPriority="51"/>
    <w:lsdException w:name="Medium List 1 Accent 1" w:uiPriority="65"/>
    <w:lsdException w:name="Body Text 3" w:semiHidden="true" w:unhideWhenUsed="true"/>
    <w:lsdException w:name="Table Grid 5" w:semiHidden="true" w:unhideWhenUsed="true"/>
    <w:lsdException w:name="Grid Table 4 Accent 5" w:uiPriority="49"/>
    <w:lsdException w:name="Grid Table 2 Accent 5" w:uiPriority="47"/>
    <w:lsdException w:name="List Bullet 4" w:semiHidden="true" w:unhideWhenUsed="true"/>
    <w:lsdException w:name="List Continue" w:semiHidden="true" w:unhideWhenUsed="true"/>
    <w:lsdException w:name="Grid Table 1 Light Accent 6" w:uiPriority="46"/>
    <w:lsdException w:name="macro" w:semiHidden="true" w:unhideWhenUsed="true"/>
    <w:lsdException w:name="Medium Grid 3 Accent 2" w:uiPriority="69"/>
    <w:lsdException w:name="table of authorities" w:semiHidden="true" w:unhideWhenUsed="true"/>
    <w:lsdException w:name="List Table 3" w:uiPriority="48"/>
    <w:lsdException w:name="Light List Accent 1" w:uiPriority="61"/>
    <w:lsdException w:name="Medium Grid 2 Accent 1" w:uiPriority="68"/>
    <w:lsdException w:name="Plain Text" w:semiHidden="true" w:unhideWhenUsed="true"/>
    <w:lsdException w:name="List Table 6 Colorful Accent 3" w:uiPriority="51"/>
    <w:lsdException w:name="List Table 1 Light Accent 3" w:uiPriority="46"/>
    <w:lsdException w:name="index 4" w:semiHidden="true" w:unhideWhenUsed="true"/>
    <w:lsdException w:name="Title" w:uiPriority="10" w:qFormat="true"/>
    <w:lsdException w:name="Medium Grid 2 Accent 3" w:uiPriority="68"/>
    <w:lsdException w:name="Colorful Shading Accent 2" w:uiPriority="71"/>
    <w:lsdException w:name="List Bullet" w:semiHidden="true" w:unhideWhenUsed="true"/>
    <w:lsdException w:name="List 4" w:semiHidden="true" w:unhideWhenUsed="true"/>
    <w:lsdException w:name="Intense Quote" w:uiPriority="30" w:qFormat="true"/>
    <w:lsdException w:name="Body Text First Indent 2" w:semiHidden="true" w:unhideWhenUsed="true"/>
    <w:lsdException w:name="endnote reference" w:semiHidden="true" w:unhideWhenUsed="true"/>
    <w:lsdException w:name="annotation subject" w:semiHidden="true" w:unhideWhenUsed="true"/>
    <w:lsdException w:name="Subtitle" w:uiPriority="11" w:qFormat="true"/>
    <w:lsdException w:name="Grid Table 4 Accent 3" w:uiPriority="49"/>
    <w:lsdException w:name="Closing" w:semiHidden="true" w:unhideWhenUsed="true"/>
    <w:lsdException w:name="Plain Table 1" w:uiPriority="41"/>
    <w:lsdException w:name="Block Text" w:semiHidden="true" w:unhideWhenUsed="true"/>
    <w:lsdException w:name="List Table 4 Accent 4" w:uiPriority="49"/>
    <w:lsdException w:name="List Table 6 Colorful" w:uiPriority="51"/>
    <w:lsdException w:name="List Table 7 Colorful Accent 3" w:uiPriority="52"/>
    <w:lsdException w:name="Grid Table 6 Colorful" w:uiPriority="51"/>
    <w:lsdException w:name="Medium List 2 Accent 4" w:uiPriority="66"/>
    <w:lsdException w:name="Body Text Indent 3" w:semiHidden="true" w:unhideWhenUsed="true"/>
    <w:lsdException w:name="Date" w:semiHidden="true" w:unhideWhenUsed="true"/>
    <w:lsdException w:name="List Table 3 Accent 1" w:uiPriority="48"/>
    <w:lsdException w:name="toc 4" w:uiPriority="39" w:semiHidden="true" w:unhideWhenUsed="true"/>
    <w:lsdException w:name="Message Header" w:semiHidden="true" w:unhideWhenUsed="true"/>
    <w:lsdException w:name="HTML Variable" w:semiHidden="true" w:unhideWhenUsed="true"/>
    <w:lsdException w:name="Table Classic 4" w:semiHidden="true" w:unhideWhenUsed="true"/>
    <w:lsdException w:name="Table Grid 8" w:semiHidden="true" w:unhideWhenUsed="true"/>
    <w:lsdException w:name="Table Simple 3" w:semiHidden="true" w:unhideWhenUsed="true"/>
    <w:lsdException w:name="Table Columns 3" w:semiHidden="true" w:unhideWhenUsed="true"/>
    <w:lsdException w:name="Dark List Accent 4" w:uiPriority="70"/>
    <w:lsdException w:name="Medium List 2 Accent 1" w:uiPriority="66"/>
    <w:lsdException w:name="Light Grid Accent 6" w:uiPriority="62"/>
    <w:lsdException w:name="Medium Grid 3 Accent 3" w:uiPriority="69"/>
    <w:lsdException w:name="List Table 2 Accent 6" w:uiPriority="47"/>
    <w:lsdException w:name="toc 1" w:uiPriority="39" w:semiHidden="true" w:unhideWhenUsed="true"/>
    <w:lsdException w:name="Grid Table 2 Accent 6" w:uiPriority="47"/>
    <w:lsdException w:name="List Table 1 Light" w:uiPriority="46"/>
    <w:lsdException w:name="List Table 2" w:uiPriority="47"/>
    <w:lsdException w:name="Light Shading Accent 6" w:uiPriority="60"/>
    <w:lsdException w:name="List Table 5 Dark Accent 5" w:uiPriority="50"/>
    <w:lsdException w:name="List Table 2 Accent 1" w:uiPriority="47"/>
    <w:lsdException w:name="line number" w:semiHidden="true" w:unhideWhenUsed="true"/>
    <w:lsdException w:name="Body Text Indent" w:semiHidden="true" w:unhideWhenUsed="true"/>
    <w:lsdException w:name="toc 9" w:uiPriority="39" w:semiHidden="true" w:unhideWhenUsed="true"/>
    <w:lsdException w:name="List Table 4 Accent 5" w:uiPriority="49"/>
    <w:lsdException w:name="List Bullet 2" w:semiHidden="true" w:unhideWhenUsed="true"/>
    <w:lsdException w:name="table of figures" w:semiHidden="true" w:unhideWhenUsed="true"/>
    <w:lsdException w:name="Grid Table Light" w:uiPriority="40"/>
    <w:lsdException w:name="index heading" w:semiHidden="true" w:unhideWhenUsed="true"/>
    <w:lsdException w:name="HTML Top of Form" w:semiHidden="true" w:unhideWhenUsed="true"/>
    <w:lsdException w:name="Grid Table 2" w:uiPriority="47"/>
    <w:lsdException w:name="toc 7" w:uiPriority="39" w:semiHidden="true" w:unhideWhenUsed="true"/>
    <w:lsdException w:name="Medium Grid 1 Accent 3" w:uiPriority="67"/>
    <w:lsdException w:name="Table Simple 1" w:semiHidden="true" w:unhideWhenUsed="true"/>
    <w:lsdException w:name="List Table 4 Accent 2" w:uiPriority="49"/>
    <w:lsdException w:name="heading 1" w:uiPriority="9" w:qFormat="true"/>
    <w:lsdException w:name="List Table 7 Colorful Accent 4" w:uiPriority="52"/>
    <w:lsdException w:name="HTML Typewriter" w:semiHidden="true" w:unhideWhenUsed="true"/>
    <w:lsdException w:name="HTML Keyboard" w:semiHidden="true" w:unhideWhenUsed="true"/>
    <w:lsdException w:name="List Table 5 Dark Accent 1" w:uiPriority="50"/>
    <w:lsdException w:name="Light Grid Accent 5" w:uiPriority="62"/>
    <w:lsdException w:name="No Spacing" w:uiPriority="1" w:qFormat="true"/>
    <w:lsdException w:name="Grid Table 5 Dark Accent 3" w:uiPriority="50"/>
    <w:lsdException w:name="List Table 7 Colorful Accent 2" w:uiPriority="52"/>
    <w:lsdException w:name="Grid Table 2 Accent 3" w:uiPriority="47"/>
    <w:lsdException w:name="Strong" w:uiPriority="22" w:qFormat="true"/>
    <w:lsdException w:name="List 3" w:semiHidden="true" w:unhideWhenUsed="true"/>
    <w:lsdException w:name="Table 3D effects 3" w:semiHidden="true" w:unhideWhenUsed="true"/>
    <w:lsdException w:name="Normal (Web)" w:semiHidden="true" w:unhideWhenUsed="true"/>
    <w:lsdException w:name="List Table 4 Accent 1" w:uiPriority="49"/>
    <w:lsdException w:name="HTML Acronym" w:semiHidden="true" w:unhideWhenUsed="true"/>
    <w:lsdException w:name="Dark List Accent 3" w:uiPriority="70"/>
    <w:lsdException w:name="Outline List 3" w:semiHidden="true" w:unhideWhenUsed="true"/>
    <w:lsdException w:name="FollowedHyperlink" w:semiHidden="true" w:unhideWhenUsed="true"/>
    <w:lsdException w:name="Colorful Shading" w:uiPriority="71"/>
    <w:lsdException w:name="Light Grid Accent 3" w:uiPriority="62"/>
    <w:lsdException w:name="Light List Accent 6" w:uiPriority="61"/>
    <w:lsdException w:name="Colorful List Accent 5" w:uiPriority="72"/>
    <w:lsdException w:name="Light List Accent 5" w:uiPriority="61"/>
    <w:lsdException w:name="Medium List 2" w:uiPriority="66"/>
    <w:lsdException w:name="Medium List 2 Accent 3" w:uiPriority="66"/>
    <w:lsdException w:name="Medium List 2 Accent 2" w:uiPriority="66"/>
    <w:lsdException w:name="envelope return" w:semiHidden="true" w:unhideWhenUsed="true"/>
    <w:lsdException w:name="Grid Table 7 Colorful Accent 2" w:uiPriority="52"/>
    <w:lsdException w:name="Table Classic 1" w:semiHidden="true" w:unhideWhenUsed="true"/>
    <w:lsdException w:name="Revision" w:semiHidden="true"/>
    <w:lsdException w:name="Table Grid 1" w:semiHidden="true" w:unhideWhenUsed="true"/>
    <w:lsdException w:name="Colorful List Accent 2" w:uiPriority="72"/>
    <w:lsdException w:name="Table Grid" w:uiPriority="39"/>
    <w:lsdException w:name="Normal" w:uiPriority="0" w:qFormat="true"/>
    <w:lsdException w:name="List Table 7 Colorful Accent 1" w:uiPriority="52"/>
    <w:lsdException w:name="Medium Grid 3 Accent 6" w:uiPriority="69"/>
    <w:lsdException w:name="Grid Table 1 Light" w:uiPriority="46"/>
    <w:lsdException w:name="Table Classic 2" w:semiHidden="true" w:unhideWhenUsed="true"/>
    <w:lsdException w:name="List Table 1 Light Accent 4" w:uiPriority="46"/>
    <w:lsdException w:name="Outline List 2" w:semiHidden="true" w:unhideWhenUsed="true"/>
    <w:lsdException w:name="Table Classic 3" w:semiHidden="true" w:unhideWhenUsed="true"/>
    <w:lsdException w:name="Medium Shading 1 Accent 5" w:uiPriority="63"/>
    <w:lsdException w:name="Grid Table 2 Accent 4" w:uiPriority="47"/>
    <w:lsdException w:name="toc 8" w:uiPriority="39" w:semiHidden="true" w:unhideWhenUsed="true"/>
    <w:lsdException w:name="envelope address" w:semiHidden="true" w:unhideWhenUsed="true"/>
    <w:lsdException w:name="Light Grid Accent 4" w:uiPriority="62"/>
    <w:lsdException w:name="Body Text 2" w:semiHidden="true" w:unhideWhenUsed="true"/>
    <w:lsdException w:name="Light Grid Accent 2" w:uiPriority="62"/>
    <w:lsdException w:name="Outline List 1" w:semiHidden="true" w:unhideWhenUsed="true"/>
    <w:lsdException w:name="Light Shading Accent 5" w:uiPriority="60"/>
    <w:lsdException w:name="HTML Code" w:semiHidden="true" w:unhideWhenUsed="true"/>
    <w:lsdException w:name="List Bullet 3" w:semiHidden="true" w:unhideWhenUsed="true"/>
    <w:lsdException w:name="List Number 4" w:semiHidden="true" w:unhideWhenUsed="true"/>
    <w:lsdException w:name="Grid Table 1 Light Accent 4" w:uiPriority="46"/>
    <w:lsdException w:name="List Table 7 Colorful" w:uiPriority="52"/>
    <w:lsdException w:name="Medium List 1 Accent 3" w:uiPriority="65"/>
    <w:lsdException w:name="Table Contemporary" w:semiHidden="true" w:unhideWhenUsed="true"/>
    <w:lsdException w:name="E-mail Signature" w:semiHidden="true" w:unhideWhenUsed="true"/>
    <w:lsdException w:name="List Continue 4" w:semiHidden="true" w:unhideWhenUsed="true"/>
    <w:lsdException w:name="Table List 5" w:semiHidden="true" w:unhideWhenUsed="true"/>
    <w:lsdException w:name="Note Heading" w:semiHidden="true" w:unhideWhenUsed="true"/>
    <w:lsdException w:name="footer" w:semiHidden="true" w:unhideWhenUsed="true"/>
    <w:lsdException w:name="toc 2" w:uiPriority="39" w:semiHidden="true" w:unhideWhenUsed="true"/>
    <w:lsdException w:name="Colorful Grid Accent 2" w:uiPriority="73"/>
    <w:lsdException w:name="Medium Shading 2 Accent 3" w:uiPriority="64"/>
    <w:lsdException w:name="Table Web 2" w:semiHidden="true" w:unhideWhenUsed="true"/>
    <w:lsdException w:name="Grid Table 2 Accent 2" w:uiPriority="47"/>
    <w:lsdException w:name="List Table 1 Light Accent 2" w:uiPriority="46"/>
    <w:lsdException w:name="List Table 7 Colorful Accent 5" w:uiPriority="52"/>
    <w:lsdException w:name="Dark List Accent 1" w:uiPriority="70"/>
    <w:lsdException w:name="Table List 4" w:semiHidden="true" w:unhideWhenUsed="true"/>
    <w:lsdException w:name="Plain Table 2" w:uiPriority="42"/>
    <w:lsdException w:name="Medium Shading 2 Accent 1" w:uiPriority="64"/>
    <w:lsdException w:name="List 2" w:semiHidden="true" w:unhideWhenUsed="true"/>
    <w:lsdException w:name="Grid Table 4" w:uiPriority="49"/>
    <w:lsdException w:name="Medium Grid 2 Accent 2" w:uiPriority="68"/>
    <w:lsdException w:name="Table Colorful 2" w:semiHidden="true" w:unhideWhenUsed="true"/>
    <w:lsdException w:name="footnote reference" w:semiHidden="true" w:unhideWhenUsed="true"/>
    <w:lsdException w:name="Medium Grid 1 Accent 1" w:uiPriority="67"/>
    <w:lsdException w:name="Colorful Shading Accent 6" w:uiPriority="71"/>
    <w:lsdException w:name="List 5" w:semiHidden="true" w:unhideWhenUsed="true"/>
    <w:lsdException w:name="Medium Grid 1" w:uiPriority="67"/>
    <w:lsdException w:name="heading 7" w:uiPriority="9" w:semiHidden="true" w:unhideWhenUsed="true" w:qFormat="true"/>
    <w:lsdException w:name="List Table 5 Dark" w:uiPriority="50"/>
    <w:lsdException w:name="Grid Table 2 Accent 1" w:uiPriority="47"/>
    <w:lsdException w:name="Colorful List" w:uiPriority="72"/>
    <w:lsdException w:name="caption" w:uiPriority="35" w:semiHidden="true" w:unhideWhenUsed="true" w:qFormat="true"/>
    <w:lsdException w:name="index 5" w:semiHidden="true" w:unhideWhenUsed="true"/>
    <w:lsdException w:name="Intense Reference" w:uiPriority="32" w:qFormat="true"/>
    <w:lsdException w:name="index 3" w:semiHidden="true" w:unhideWhenUsed="true"/>
    <w:lsdException w:name="List Table 2 Accent 4" w:uiPriority="47"/>
    <w:lsdException w:name="Medium List 2 Accent 6" w:uiPriority="66"/>
    <w:lsdException w:name="heading 6" w:uiPriority="9" w:semiHidden="true" w:unhideWhenUsed="true" w:qFormat="true"/>
    <w:lsdException w:name="Normal Indent" w:semiHidden="true" w:unhideWhenUsed="true"/>
    <w:lsdException w:name="Colorful List Accent 6" w:uiPriority="72"/>
    <w:lsdException w:name="HTML Address" w:semiHidden="true" w:unhideWhenUsed="true"/>
    <w:lsdException w:name="endnote text" w:semiHidden="true" w:unhideWhenUsed="true"/>
    <w:lsdException w:name="List Continue 5" w:semiHidden="true" w:unhideWhenUsed="true"/>
    <w:lsdException w:name="Light Grid Accent 1" w:uiPriority="62"/>
    <w:lsdException w:name="Medium Grid 1 Accent 4" w:uiPriority="67"/>
    <w:lsdException w:name="Medium Grid 3" w:uiPriority="69"/>
    <w:lsdException w:name="Placeholder Text" w:semiHidden="true"/>
    <w:lsdException w:name="Plain Table 5" w:uiPriority="45"/>
    <w:lsdException w:name="annotation reference" w:semiHidden="true" w:unhideWhenUsed="true"/>
    <w:lsdException w:name="Medium Grid 1 Accent 6" w:uiPriority="67"/>
    <w:lsdException w:name="Grid Table 3 Accent 4" w:uiPriority="48"/>
    <w:lsdException w:name="No List" w:semiHidden="true" w:unhideWhenUsed="true"/>
    <w:lsdException w:name="List Table 5 Dark Accent 3" w:uiPriority="50"/>
    <w:lsdException w:name="index 2" w:semiHidden="true" w:unhideWhenUsed="true"/>
    <w:lsdException w:name="heading 4" w:uiPriority="9" w:semiHidden="true" w:unhideWhenUsed="true" w:qFormat="true"/>
    <w:lsdException w:name="Medium Shading 1" w:uiPriority="63"/>
    <w:lsdException w:name="List Table 3 Accent 5" w:uiPriority="48"/>
    <w:lsdException w:name="HTML Bottom of Form" w:semiHidden="true" w:unhideWhenUsed="true"/>
    <w:lsdException w:name="Table Subtle 1" w:semiHidden="true" w:unhideWhenUsed="true"/>
    <w:lsdException w:name="heading 5" w:uiPriority="9" w:semiHidden="true" w:unhideWhenUsed="true" w:qFormat="true"/>
    <w:lsdException w:name="Table Grid 6" w:semiHidden="true" w:unhideWhenUsed="true"/>
    <w:lsdException w:name="Smart Link" w:semiHidden="true" w:unhideWhenUsed="true"/>
    <w:lsdException w:name="Emphasis" w:uiPriority="20" w:qFormat="true"/>
    <w:lsdException w:name="toc 5" w:uiPriority="39" w:semiHidden="true" w:unhideWhenUsed="true"/>
    <w:lsdException w:name="Grid Table 7 Colorful Accent 6" w:uiPriority="52"/>
    <w:lsdException w:name="Grid Table 5 Dark Accent 2" w:uiPriority="50"/>
    <w:lsdException w:name="Dark List Accent 6" w:uiPriority="70"/>
    <w:lsdException w:name="HTML Definition" w:semiHidden="true" w:unhideWhenUsed="true"/>
    <w:lsdException w:name="HTML Cite" w:semiHidden="true" w:unhideWhenUsed="true"/>
    <w:lsdException w:name="index 9" w:semiHidden="true" w:unhideWhenUsed="true"/>
    <w:lsdException w:name="Grid Table 5 Dark" w:uiPriority="50"/>
    <w:lsdException w:name="Medium Shading 1 Accent 6" w:uiPriority="63"/>
    <w:lsdException w:name="Signature" w:semiHidden="true" w:unhideWhenUsed="true"/>
    <w:lsdException w:name="Mention" w:semiHidden="true" w:unhideWhenUsed="true"/>
    <w:lsdException w:name="Medium Grid 3 Accent 1" w:uiPriority="69"/>
    <w:lsdException w:name="Grid Table 6 Colorful Accent 3" w:uiPriority="51"/>
    <w:lsdException w:name="Grid Table 4 Accent 2" w:uiPriority="49"/>
    <w:lsdException w:name="Grid Table 6 Colorful Accent 5" w:uiPriority="51"/>
    <w:lsdException w:name="Subtle Reference" w:uiPriority="31" w:qFormat="true"/>
    <w:lsdException w:name="List Table 3 Accent 2" w:uiPriority="48"/>
    <w:lsdException w:name="Table 3D effects 2" w:semiHidden="true" w:unhideWhenUsed="true"/>
    <w:lsdException w:name="List Table 2 Accent 5" w:uiPriority="47"/>
    <w:lsdException w:name="Medium List 1 Accent 6" w:uiPriority="65"/>
    <w:lsdException w:name="Grid Table 5 Dark Accent 4" w:uiPriority="50"/>
    <w:lsdException w:name="Colorful List Accent 4" w:uiPriority="72"/>
    <w:lsdException w:name="Salutation" w:semiHidden="true" w:unhideWhenUsed="true"/>
    <w:lsdException w:name="Table Columns 1" w:semiHidden="true" w:unhideWhenUsed="true"/>
    <w:lsdException w:name="Smart Hyperlink" w:semiHidden="true" w:unhideWhenUsed="true"/>
    <w:lsdException w:name="Table Web 1" w:semiHidden="true" w:unhideWhenUsed="true"/>
    <w:lsdException w:name="header" w:semiHidden="true" w:unhideWhenUsed="true"/>
    <w:lsdException w:name="Medium Shading 2 Accent 4" w:uiPriority="64"/>
    <w:lsdException w:name="footnote text" w:semiHidden="true" w:unhideWhenUsed="true"/>
    <w:lsdException w:name="Medium List 1 Accent 2" w:uiPriority="65"/>
    <w:lsdException w:name="List Table 6 Colorful Accent 5" w:uiPriority="51"/>
    <w:lsdException w:name="Document Map" w:semiHidden="true" w:unhideWhenUsed="true"/>
    <w:lsdException w:name="Medium Grid 3 Accent 5" w:uiPriority="69"/>
    <w:lsdException w:name="Grid Table 3 Accent 3" w:uiPriority="48"/>
    <w:lsdException w:name="Light List Accent 2" w:uiPriority="61"/>
    <w:lsdException w:name="Table Grid 3" w:semiHidden="true" w:unhideWhenUsed="true"/>
    <w:lsdException w:name="Colorful Grid Accent 1" w:uiPriority="73"/>
    <w:lsdException w:name="Table List 6" w:semiHidden="true" w:unhideWhenUsed="true"/>
    <w:lsdException w:name="List Table 2 Accent 2" w:uiPriority="47"/>
    <w:lsdException w:name="Grid Table 7 Colorful" w:uiPriority="52"/>
    <w:lsdException w:name="Table Web 3" w:semiHidden="true" w:unhideWhenUsed="true"/>
    <w:lsdException w:name="Dark List Accent 2" w:uiPriority="70"/>
    <w:lsdException w:name="List Table 5 Dark Accent 4" w:uiPriority="50"/>
    <w:lsdException w:name="index 8" w:semiHidden="true" w:unhideWhenUsed="true"/>
    <w:lsdException w:name="List Table 4 Accent 6" w:uiPriority="49"/>
    <w:lsdException w:name="heading 8" w:uiPriority="9" w:semiHidden="true" w:unhideWhenUsed="true" w:qFormat="true"/>
    <w:lsdException w:name="List Continue 3" w:semiHidden="true" w:unhideWhenUsed="true"/>
    <w:lsdException w:name="List Table 6 Colorful Accent 4" w:uiPriority="51"/>
    <w:lsdException w:name="Light Shading Accent 1" w:uiPriority="60"/>
    <w:lsdException w:name="Hyperlink" w:semiHidden="true" w:unhideWhenUsed="true"/>
    <w:lsdException w:name="Medium Shading 2" w:uiPriority="64"/>
    <w:lsdException w:name="HTML Preformatted" w:semiHidden="true" w:unhideWhenUsed="true"/>
    <w:lsdException w:name="Light List Accent 3" w:uiPriority="61"/>
    <w:lsdException w:name="toa heading" w:semiHidden="true" w:unhideWhenUsed="true"/>
    <w:lsdException w:name="Default Paragraph Font" w:uiPriority="1" w:semiHidden="true" w:unhideWhenUsed="true"/>
    <w:lsdException w:name="Table Columns 5" w:semiHidden="true" w:unhideWhenUsed="true"/>
    <w:lsdException w:name="Grid Table 7 Colorful Accent 4" w:uiPriority="52"/>
    <w:lsdException w:name="Grid Table 5 Dark Accent 6" w:uiPriority="50"/>
    <w:lsdException w:name="toc 6" w:uiPriority="39" w:semiHidden="true" w:unhideWhenUsed="true"/>
    <w:lsdException w:name="Light Shading Accent 2" w:uiPriority="60"/>
    <w:lsdException w:name="Medium List 1 Accent 5" w:uiPriority="65"/>
    <w:lsdException w:name="List Table 5 Dark Accent 2" w:uiPriority="50"/>
    <w:lsdException w:name="Light Shading Accent 4" w:uiPriority="60"/>
    <w:lsdException w:name="List Table 4" w:uiPriority="49"/>
    <w:lsdException w:name="Light Grid" w:uiPriority="62"/>
    <w:lsdException w:name="Grid Table 7 Colorful Accent 1" w:uiPriority="52"/>
    <w:lsdException w:name="Medium List 1" w:uiPriority="65"/>
    <w:lsdException w:name="Medium Grid 3 Accent 4" w:uiPriority="69"/>
    <w:lsdException w:name="Table Grid 7" w:semiHidden="true" w:unhideWhenUsed="true"/>
    <w:lsdException w:name="Table Simple 2" w:semiHidden="true" w:unhideWhenUsed="true"/>
    <w:lsdException w:name="Table Colorful 3" w:semiHidden="true" w:unhideWhenUsed="true"/>
    <w:lsdException w:name="Table List 3" w:semiHidden="true" w:unhideWhenUsed="true"/>
    <w:lsdException w:name="Table Columns 4" w:semiHidden="true" w:unhideWhenUsed="true"/>
    <w:lsdException w:name="List Table 3 Accent 6" w:uiPriority="48"/>
  </w:latentStyles>
  <w:style w:type="table" w:styleId="41cce9" w:default="true">
    <w:name w:val="Normal Table"/>
    <w:uiPriority w:val="99"/>
    <w:semiHidden/>
    <w:unhideWhenUsed/>
    <w:tblPr>
      <w:tblInd w:w="0" w:type="dxa"/>
      <w:tblCellMar>
        <w:top w:w="0" w:type="dxa"/>
        <w:left w:w="108" w:type="dxa"/>
        <w:bottom w:w="0" w:type="dxa"/>
        <w:right w:w="108" w:type="dxa"/>
      </w:tblCellMar>
    </w:tblPr>
  </w:style>
  <w:style w:type="numbering" w:styleId="4eedb4" w:default="true">
    <w:name w:val="No List"/>
    <w:uiPriority w:val="99"/>
    <w:semiHidden/>
    <w:unhideWhenUsed/>
  </w:style>
  <w:style w:type="character" w:styleId="c4c15d" w:default="true">
    <w:name w:val="Default Paragraph Font"/>
    <w:uiPriority w:val="1"/>
    <w:semiHidden/>
    <w:unhideWhenUsed/>
  </w:style>
  <w:style w:type="table" w:styleId="x2bstg">
    <w:name w:val="Table Grid"/>
    <w:basedOn w:val="f2xm7p"/>
    <w:next w:val=""/>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paragraph" w:styleId="rdbvau">
    <w:name w:val="Title"/>
    <w:basedOn w:val="ablt93"/>
    <w:next w:val="ablt93"/>
    <w:uiPriority w:val="9"/>
    <w:qFormat/>
    <w:pPr>
      <w:keepNext/>
      <w:keepLines/>
      <w:spacing w:before="0" w:after="0" w:line="408" w:lineRule="auto"/>
      <w:jc w:val="center"/>
      <w:outlineLvl w:val="0"/>
    </w:pPr>
    <w:rPr>
      <w:b/>
      <w:bCs/>
      <w:color w:val="1A1A1A"/>
      <w:sz w:val="48"/>
      <w:szCs w:val="48"/>
    </w:rPr>
  </w:style>
  <w:style w:type="table" w:styleId="f2xm7p" w:default="true">
    <w:name w:val="Normal Table"/>
    <w:basedOn w:val=""/>
    <w:next w:val=""/>
    <w:uiPriority w:val="99"/>
    <w:semiHidden/>
    <w:unhideWhenUsed/>
    <w:tblPr>
      <w:tblInd w:w="0" w:type="dxa"/>
      <w:tblCellMar>
        <w:top w:w="0" w:type="dxa"/>
        <w:left w:w="108" w:type="dxa"/>
        <w:bottom w:w="0" w:type="dxa"/>
        <w:right w:w="108" w:type="dxa"/>
      </w:tblCellMar>
    </w:tblPr>
  </w:style>
  <w:style w:type="character" w:styleId="3lkwia">
    <w:name w:val="melo-codeblock-Base-theme-char"/>
    <w:basedOn w:val=""/>
    <w:next w:val=""/>
    <w:rPr>
      <w:rFonts w:ascii="Monaco" w:hAnsi="Monaco" w:eastAsia="Monaco" w:cs="Monaco"/>
      <w:color w:val="000000"/>
      <w:sz w:val="21"/>
    </w:rPr>
  </w:style>
  <w:style w:type="paragraph" w:styleId="gtv8xu">
    <w:name w:val="melo-codeblock-Base-theme-para"/>
    <w:basedOn w:val="ablt93"/>
    <w:next w:val=""/>
    <w:pPr>
      <w:spacing w:before="0" w:after="0" w:line="360" w:lineRule="auto"/>
    </w:pPr>
    <w:rPr>
      <w:rFonts w:ascii="Monaco" w:hAnsi="Monaco" w:eastAsia="Monaco" w:cs="Monaco"/>
      <w:color w:val="000000"/>
      <w:sz w:val="21"/>
    </w:rPr>
  </w:style>
  <w:style w:type="character" w:styleId="cy8bde" w:default="true">
    <w:name w:val="Default Paragraph Font"/>
    <w:basedOn w:val=""/>
    <w:next w:val=""/>
    <w:uiPriority w:val="1"/>
    <w:semiHidden/>
    <w:unhideWhenUsed/>
  </w:style>
  <w:style w:type="paragraph" w:styleId="z2xbei">
    <w:name w:val="heading 1"/>
    <w:basedOn w:val="ablt93"/>
    <w:next w:val="ablt93"/>
    <w:uiPriority w:val="9"/>
    <w:qFormat/>
    <w:pPr>
      <w:keepNext/>
      <w:keepLines/>
      <w:spacing w:before="0" w:after="0" w:line="408" w:lineRule="auto"/>
      <w:outlineLvl w:val="0"/>
    </w:pPr>
    <w:rPr>
      <w:b/>
      <w:bCs/>
      <w:color w:val="1A1A1A"/>
      <w:sz w:val="36"/>
      <w:szCs w:val="36"/>
    </w:rPr>
  </w:style>
  <w:style w:type="paragraph" w:styleId="ablt93" w:default="true">
    <w:name w:val="Normal"/>
    <w:pPr>
      <w:widowControl w:val="false"/>
      <w:jc w:val="left"/>
    </w:pPr>
  </w:style>
  <w:style w:type="character" w:styleId="4omzjh">
    <w:name w:val="Hyperlink"/>
    <w:basedOn w:val="cy8bde"/>
    <w:next w:val=""/>
    <w:uiPriority w:val="99"/>
    <w:unhideWhenUsed/>
    <w:rPr>
      <w:color w:val="1E6FFF" w:themeColor="hyperlink"/>
      <w:u w:val="single"/>
    </w:rPr>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1" Type="http://schemas.openxmlformats.org/officeDocument/2006/relationships/settings" Target="settings.xml" /><Relationship Id="rId3" Type="http://schemas.openxmlformats.org/officeDocument/2006/relationships/theme" Target="theme/theme1.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a:ext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cp="http://schemas.openxmlformats.org/package/2006/metadata/core-properties" xmlns:dcmitype="http://purl.org/dc/dcmitype/" xmlns:dc="http://purl.org/dc/elements/1.1/" xmlns:dcterms="http://purl.org/dc/terms/">
  <dcterms:created xsi:type="dcterms:W3CDTF">2023-09-04T16:35:12Z</dcterms:created>
  <dcterms:modified xsi:type="dcterms:W3CDTF">2023-09-04T16:35:12Z</dcterms:modified>
</cp:coreProperties>
</file>