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炎陵县文化旅游广电体育局</w:t>
      </w:r>
    </w:p>
    <w:p>
      <w:pPr>
        <w:pBdr>
          <w:bottom/>
        </w:pBd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strike w:val="false"/>
          <w:color w:val="000000"/>
          <w:sz w:val="84"/>
          <w:u w:val="none"/>
        </w:rPr>
        <w:t>机关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2022年部门预算</w:t>
      </w: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pacing w:val="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pacing w:val="0"/>
          <w:sz w:val="32"/>
          <w:u w:val="none"/>
        </w:rPr>
        <w:t>部门预算公开表格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（一）收支总表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（二）收入总表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（三）支出总表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（四）支出分类(政府预算)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（五）一般公共预算基本支出情况表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（六）财政拨款收支总表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（七）一般公共预算支出表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（八）一般公共预算基本支出表--人员经费(工资福利支出)(按政府预算经济分类)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（九）一般公共预算基本支出情况表（按经济性质分类-工资福利）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（十）一般公共预算基本支出表--人员经费(对个人和家庭的补助)(按政府预算经济分类)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（十一）一般公共预算基本支出情况表（按经济性质分类-个人家庭）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（十二）一般公共预算基本支出表--公用经费(商品和服务支出)（按政府预算经济分类）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（十三）一般公共预算基本支出情况表（按经济性质分类-商品服务）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（十四）一般公共预算</w:t>
      </w:r>
      <w:r>
        <w:rPr>
          <w:rFonts w:ascii="Calibri" w:hAnsi="Calibri" w:eastAsia="Calibri" w:cs="Calibri"/>
          <w:b w:val="false"/>
          <w:i w:val="false"/>
          <w:strike w:val="false"/>
          <w:color w:val="000000"/>
          <w:spacing w:val="0"/>
          <w:sz w:val="32"/>
          <w:u w:val="none"/>
        </w:rPr>
        <w:t>“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三公</w:t>
      </w:r>
      <w:r>
        <w:rPr>
          <w:rFonts w:ascii="Calibri" w:hAnsi="Calibri" w:eastAsia="Calibri" w:cs="Calibri"/>
          <w:b w:val="false"/>
          <w:i w:val="false"/>
          <w:strike w:val="false"/>
          <w:color w:val="000000"/>
          <w:spacing w:val="0"/>
          <w:sz w:val="32"/>
          <w:u w:val="none"/>
        </w:rPr>
        <w:t>”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经费支出表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（十五）政府性基金预算支出表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（十六）政府性基金预算支出分类汇总表（按政府预算经济分类）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（十七）政府性基金预算支出分类汇总表（按部门预算经济分类）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（十八）国有资本经营预算支出表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（十九）财政专户管理资金预算支出表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（二十）专项资金预算汇总表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（二十一）项目支出绩效目标表</w:t>
      </w:r>
    </w:p>
    <w:p>
      <w:pPr>
        <w:numPr/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880" w:firstLineChars="200"/>
        <w:jc w:val="both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炎陵县文化旅游广电体育局</w:t>
      </w:r>
      <w:r>
        <w:rPr>
          <w:rFonts w:ascii="方正小标宋简体" w:hAnsi="方正小标宋简体" w:eastAsia="方正小标宋简体" w:cs="方正小标宋简体"/>
          <w:strike w:val="false"/>
          <w:color w:val="000000"/>
          <w:sz w:val="44"/>
          <w:u w:val="none"/>
        </w:rPr>
        <w:t>机关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2022年部门预算说明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 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炎陵县文化旅游广电体育局贯彻落实党中央关于文化和旅游、广播电视、体育、文物工作的方针政策和决策部署，全面落实省委、市委、县委关于文化和旅游、广播电视、体育工作的部署要求，在履行职责过程中坚持和加强党对文化、旅游、广播电视、体育、文物工作的集中统一领导。统筹、推进相关产业融合发展，指导、推进全县文化、旅游、广播电视、体育领域的体制机制创新。组织拟订并实施全县文化旅游广播电视体育文物事业发展规划、政策措施；管理、指导全县性的文化、旅游、广播电视、体育产业发展和监管、事业建设和资源普查、挖掘、保护和利用工作；负责全县文物保护和考古工作。负责全县文化、旅游、广播电视、体育、文物和博物馆等领域的审核审批工作。负责全县文化、旅游、广播电视、体育、文物领域的行政审批、行政复议和行政诉讼应诉工作。承办县委、县人民政府交办的其他事项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本部门共有编制人数30人，实有人数28人。内设科室 6 个，分别为：办公室（行政审批股）、文化股、旅游股、广电股、体育股、文物股，以及县文化旅游事务中心、县文化市场综合行政执法大队2个股级事业单位，财务未独立，经费纳入局机关核算。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的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部门预算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是文化旅游广电体育局机关的预算。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纳入本部门2022年部门预算编制范围的二级预算单位包括：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1.炎陵县文化馆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2.炎陵县图书馆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3.炎陵县文化体育中心</w:t>
      </w:r>
    </w:p>
    <w:p>
      <w:pPr>
        <w:numPr/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4.炎陵县红军标语博物馆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5.炎陵县炎帝文化保护传承中心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 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2022年文化旅游广电体育局公开的部门预算为局机关预算。收入包括一般公共预算收入；支出既包括保障单位机关及直属单位基本运行的经费，也包括归口管理、面向全县分配的专项经费。（详见附表）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2022年年初预算数4018442.12元，其中，一般公共预算拨款4018442.12元；政府性基金拨款0元；财政专户管理的非税收入拨款0元；其他收入0元；上年结转0元。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2022年年初预算数4018442.12元，其中，文化旅游体育与传媒支出3030666.52元，社会保障和就业支出463027.37元，卫生健康支出教育215418.59元，住房保障支出309329.64元。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2022年度本部门年初预算数为4018442.12元，比上年增加621468.12元，主要原因是炎陵县文化市场综合行政执法大队取消财务独立，合并到局机关，人员增加，造成人员经费和运转经费上涨。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2022年本部门一般公共预算拨款收入4018442.12元，具体安排如下（详见附表）：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2022年年初预算数为3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5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35402.6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元。其中包括基本工资1168596元、津贴补贴639768元、奖金769383元、社会保障缴费528678.96元、住房公积金309329.64元、其他工资福利支出2240元、对个人和家庭补助117407元。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2022年年初预算数为483039.52元。其中：公用经费442139.52元；离退休党支部专项38400.00元，主要用于离退休党支部开展工作；非税收入专项2500元，主要用于文化执法相关支出。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(商品和服务支出+业务性专项)共安排483039.52元，比上年度预算增加51138.52元，增加的主要原因是：炎陵县文化市场综合行政执法大队取消财务独立核算，人员增加，机关运行经费增加。</w:t>
      </w:r>
    </w:p>
    <w:p>
      <w:pPr>
        <w:numPr/>
        <w:snapToGrid/>
        <w:spacing w:before="0" w:after="0" w:line="560" w:lineRule="exact"/>
        <w:ind w:left="0" w:right="0" w:firstLine="420"/>
        <w:jc w:val="both"/>
        <w:rPr>
          <w:color w:val="000000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（二)政府采购预算：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44000元。包含：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政府采购货物41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000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元、政府采购工程0元、政府采购服务3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000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2021年12月31日，本部门共有办公及业务用房140.45平方米；车辆1辆，其中一般公务用车1辆、一般执法执勤用车0辆、货币化用车0辆；单位价值50万以上大型设备0套。2022年部门预算安排购置车辆0辆，预算安排购置价值50万以上大型设备0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本部门整体支出和项目支出实行绩效目标管理，纳入2022年部门整体支出绩效目标的金额为4018442.12元，其中，基本支出3977542.12元，项目支出40900元（详见附表）。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（五）“三公”经费预算：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2022年“三公”经费预算数59100元，其中：公务接待费59100元、公务用车购置费0元，公务用车运行费0元、因公出国（境）费0元。2022年公务用车购置数0台。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2022年“三公”经费预算数比2021年增加45000元，主要是因为炎陵县文化市场综合行政执法大队取消财务独立核算，接待业务增加，公务接待费增加。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2022年预算安排会议费0元。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2022年预算安排培训费10000元，主要包括2022年事业单位工作人员在职培训，培训人员约28人，主要用于在职人员公共科目和专业科目的培训，费用为10000元。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1、本单位2022年无政府性基金收支预算。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2、本单位2022年无国有资本经营收支预算。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3、本单位2022年无财政专户管理资金收支预算。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 xml:space="preserve">（一）一般公共预算: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 xml:space="preserve">（二）政府性基金预算: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 xml:space="preserve">（三）国有资本经营预算: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 xml:space="preserve">（四）社会保险基金预算: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（五）“三公”经费：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Medium List 2" w:uiPriority="66"/>
    <w:lsdException w:name="Colorful Grid Accent 4" w:uiPriority="73"/>
    <w:lsdException w:name="Subtle Emphasis" w:uiPriority="19" w:qFormat="true"/>
    <w:lsdException w:name="Grid Table 4 Accent 1" w:uiPriority="49"/>
    <w:lsdException w:name="Medium Shading 1 Accent 4" w:uiPriority="63"/>
    <w:lsdException w:name="heading 9" w:uiPriority="9" w:semiHidden="true" w:unhideWhenUsed="true" w:qFormat="true"/>
    <w:lsdException w:name="Medium Grid 1 Accent 2" w:uiPriority="67"/>
    <w:lsdException w:name="Light Shading Accent 5" w:uiPriority="60"/>
    <w:lsdException w:name="Table Simple 3" w:semiHidden="true" w:unhideWhenUsed="true"/>
    <w:lsdException w:name="Body Text 3" w:semiHidden="true" w:unhideWhenUsed="true"/>
    <w:lsdException w:name="Colorful Grid Accent 3" w:uiPriority="73"/>
    <w:lsdException w:name="Medium List 2 Accent 6" w:uiPriority="66"/>
    <w:lsdException w:name="Quote" w:uiPriority="29" w:qFormat="true"/>
    <w:lsdException w:name="Medium Shading 2" w:uiPriority="64"/>
    <w:lsdException w:name="Smart Hyperlink" w:semiHidden="true" w:unhideWhenUsed="true"/>
    <w:lsdException w:name="Medium Grid 2 Accent 3" w:uiPriority="68"/>
    <w:lsdException w:name="Subtitle" w:uiPriority="11" w:qFormat="true"/>
    <w:lsdException w:name="Colorful Shading" w:uiPriority="71"/>
    <w:lsdException w:name="List" w:semiHidden="true" w:unhideWhenUsed="true"/>
    <w:lsdException w:name="Grid Table 4 Accent 4" w:uiPriority="49"/>
    <w:lsdException w:name="Light Shading Accent 3" w:uiPriority="60"/>
    <w:lsdException w:name="List Table 7 Colorful Accent 5" w:uiPriority="52"/>
    <w:lsdException w:name="index 6" w:semiHidden="true" w:unhideWhenUsed="true"/>
    <w:lsdException w:name="index 2" w:semiHidden="true" w:unhideWhenUsed="true"/>
    <w:lsdException w:name="Table 3D effects 3" w:semiHidden="true" w:unhideWhenUsed="true"/>
    <w:lsdException w:name="Table Colorful 2" w:semiHidden="true" w:unhideWhenUsed="true"/>
    <w:lsdException w:name="List Table 4 Accent 5" w:uiPriority="49"/>
    <w:lsdException w:name="Intense Emphasis" w:uiPriority="21" w:qFormat="true"/>
    <w:lsdException w:name="Unresolved Mention" w:semiHidden="true" w:unhideWhenUsed="true"/>
    <w:lsdException w:name="Colorful Shading Accent 2" w:uiPriority="71"/>
    <w:lsdException w:name="List 4" w:semiHidden="true" w:unhideWhenUsed="true"/>
    <w:lsdException w:name="List 3" w:semiHidden="true" w:unhideWhenUsed="true"/>
    <w:lsdException w:name="Table Grid 1" w:semiHidden="true" w:unhideWhenUsed="true"/>
    <w:lsdException w:name="HTML Sample" w:semiHidden="true" w:unhideWhenUsed="true"/>
    <w:lsdException w:name="Medium Grid 2 Accent 6" w:uiPriority="68"/>
    <w:lsdException w:name="Medium List 2 Accent 1" w:uiPriority="66"/>
    <w:lsdException w:name="Medium Grid 3 Accent 3" w:uiPriority="69"/>
    <w:lsdException w:name="annotation text" w:semiHidden="true" w:unhideWhenUsed="true"/>
    <w:lsdException w:name="HTML Preformatted" w:semiHidden="true" w:unhideWhenUsed="true"/>
    <w:lsdException w:name="Table Colorful 3" w:semiHidden="true" w:unhideWhenUsed="true"/>
    <w:lsdException w:name="Body Text Indent" w:semiHidden="true" w:unhideWhenUsed="true"/>
    <w:lsdException w:name="List Table 1 Light Accent 4" w:uiPriority="46"/>
    <w:lsdException w:name="Medium Grid 1 Accent 4" w:uiPriority="67"/>
    <w:lsdException w:name="Colorful Shading Accent 6" w:uiPriority="71"/>
    <w:lsdException w:name="List Number 2" w:semiHidden="true" w:unhideWhenUsed="true"/>
    <w:lsdException w:name="List Bullet" w:semiHidden="true" w:unhideWhenUsed="true"/>
    <w:lsdException w:name="Medium Shading 1" w:uiPriority="63"/>
    <w:lsdException w:name="HTML Bottom of Form" w:semiHidden="true" w:unhideWhenUsed="true"/>
    <w:lsdException w:name="No List" w:semiHidden="true" w:unhideWhenUsed="true"/>
    <w:lsdException w:name="List Continue 4" w:semiHidden="true" w:unhideWhenUsed="true"/>
    <w:lsdException w:name="Grid Table 4 Accent 3" w:uiPriority="49"/>
    <w:lsdException w:name="Grid Table 5 Dark Accent 3" w:uiPriority="50"/>
    <w:lsdException w:name="Table Professional" w:semiHidden="true" w:unhideWhenUsed="true"/>
    <w:lsdException w:name="Medium Shading 1 Accent 3" w:uiPriority="63"/>
    <w:lsdException w:name="Body Text 2" w:semiHidden="true" w:unhideWhenUsed="true"/>
    <w:lsdException w:name="toc 1" w:uiPriority="39" w:semiHidden="true" w:unhideWhenUsed="true"/>
    <w:lsdException w:name="index 3" w:semiHidden="true" w:unhideWhenUsed="true"/>
    <w:lsdException w:name="Medium Grid 1 Accent 5" w:uiPriority="67"/>
    <w:lsdException w:name="List Table 6 Colorful Accent 6" w:uiPriority="51"/>
    <w:lsdException w:name="List Table 6 Colorful Accent 2" w:uiPriority="51"/>
    <w:lsdException w:name="Colorful List Accent 1" w:uiPriority="72"/>
    <w:lsdException w:name="List Table 4 Accent 1" w:uiPriority="49"/>
    <w:lsdException w:name="Grid Table 7 Colorful Accent 4" w:uiPriority="52"/>
    <w:lsdException w:name="Table 3D effects 2" w:semiHidden="true" w:unhideWhenUsed="true"/>
    <w:lsdException w:name="Bibliography" w:uiPriority="37" w:semiHidden="true" w:unhideWhenUsed="true"/>
    <w:lsdException w:name="footer" w:semiHidden="true" w:unhideWhenUsed="true"/>
    <w:lsdException w:name="Medium List 1 Accent 3" w:uiPriority="65"/>
    <w:lsdException w:name="Medium Shading 1 Accent 2" w:uiPriority="63"/>
    <w:lsdException w:name="Grid Table 2 Accent 6" w:uiPriority="47"/>
    <w:lsdException w:name="Normal (Web)" w:semiHidden="true" w:unhideWhenUsed="true"/>
    <w:lsdException w:name="List Table 1 Light Accent 3" w:uiPriority="46"/>
    <w:lsdException w:name="Light List Accent 3" w:uiPriority="61"/>
    <w:lsdException w:name="List Bullet 5" w:semiHidden="true" w:unhideWhenUsed="true"/>
    <w:lsdException w:name="Table Grid 5" w:semiHidden="true" w:unhideWhenUsed="true"/>
    <w:lsdException w:name="Document Map" w:semiHidden="true" w:unhideWhenUsed="true"/>
    <w:lsdException w:name="Table Grid" w:uiPriority="39"/>
    <w:lsdException w:name="HTML Keyboard" w:semiHidden="true" w:unhideWhenUsed="true"/>
    <w:lsdException w:name="Light List Accent 4" w:uiPriority="61"/>
    <w:lsdException w:name="Body Text First Indent 2" w:semiHidden="true" w:unhideWhenUsed="true"/>
    <w:lsdException w:name="Table Grid 4" w:semiHidden="true" w:unhideWhenUsed="true"/>
    <w:lsdException w:name="HTML Cite" w:semiHidden="true" w:unhideWhenUsed="true"/>
    <w:lsdException w:name="Grid Table 7 Colorful Accent 6" w:uiPriority="52"/>
    <w:lsdException w:name="Grid Table 2 Accent 1" w:uiPriority="47"/>
    <w:lsdException w:name="Table Theme" w:semiHidden="true" w:unhideWhenUsed="true"/>
    <w:lsdException w:name="toc 2" w:uiPriority="39" w:semiHidden="true" w:unhideWhenUsed="true"/>
    <w:lsdException w:name="Light Grid Accent 3" w:uiPriority="62"/>
    <w:lsdException w:name="List Paragraph" w:uiPriority="34" w:qFormat="true"/>
    <w:lsdException w:name="Light Shading" w:uiPriority="60"/>
    <w:lsdException w:name="Grid Table 6 Colorful Accent 4" w:uiPriority="51"/>
    <w:lsdException w:name="Grid Table 3 Accent 3" w:uiPriority="48"/>
    <w:lsdException w:name="Table Elegant" w:semiHidden="true" w:unhideWhenUsed="true"/>
    <w:lsdException w:name="List Continue 5" w:semiHidden="true" w:unhideWhenUsed="true"/>
    <w:lsdException w:name="HTML Address" w:semiHidden="true" w:unhideWhenUsed="true"/>
    <w:lsdException w:name="Light Grid" w:uiPriority="62"/>
    <w:lsdException w:name="Light Shading Accent 1" w:uiPriority="60"/>
    <w:lsdException w:name="List Table 5 Dark Accent 3" w:uiPriority="50"/>
    <w:lsdException w:name="Medium Shading 1 Accent 1" w:uiPriority="63"/>
    <w:lsdException w:name="Colorful Shading Accent 5" w:uiPriority="71"/>
    <w:lsdException w:name="Medium List 1 Accent 4" w:uiPriority="65"/>
    <w:lsdException w:name="Grid Table 5 Dark Accent 2" w:uiPriority="50"/>
    <w:lsdException w:name="List Table 3 Accent 6" w:uiPriority="48"/>
    <w:lsdException w:name="Table Contemporary" w:semiHidden="true" w:unhideWhenUsed="true"/>
    <w:lsdException w:name="table of authorities" w:semiHidden="true" w:unhideWhenUsed="true"/>
    <w:lsdException w:name="Grid Table 1 Light Accent 5" w:uiPriority="46"/>
    <w:lsdException w:name="No Spacing" w:uiPriority="1" w:qFormat="true"/>
    <w:lsdException w:name="index 1" w:semiHidden="true" w:unhideWhenUsed="true"/>
    <w:lsdException w:name="Placeholder Text" w:semiHidden="true"/>
    <w:lsdException w:name="Light Grid Accent 6" w:uiPriority="62"/>
    <w:lsdException w:name="Message Header" w:semiHidden="true" w:unhideWhenUsed="true"/>
    <w:lsdException w:name="Colorful Shading Accent 4" w:uiPriority="71"/>
    <w:lsdException w:name="List Continue" w:semiHidden="true" w:unhideWhenUsed="true"/>
    <w:lsdException w:name="List Table 1 Light Accent 1" w:uiPriority="46"/>
    <w:lsdException w:name="Medium List 1 Accent 5" w:uiPriority="65"/>
    <w:lsdException w:name="List Number 3" w:semiHidden="true" w:unhideWhenUsed="true"/>
    <w:lsdException w:name="Hyperlink" w:semiHidden="true" w:unhideWhenUsed="true"/>
    <w:lsdException w:name="Medium Grid 1 Accent 1" w:uiPriority="67"/>
    <w:lsdException w:name="Table Simple 2" w:semiHidden="true" w:unhideWhenUsed="true"/>
    <w:lsdException w:name="Medium Grid 1 Accent 3" w:uiPriority="67"/>
    <w:lsdException w:name="Plain Table 5" w:uiPriority="45"/>
    <w:lsdException w:name="Balloon Text" w:semiHidden="true" w:unhideWhenUsed="true"/>
    <w:lsdException w:name="Dark List Accent 1" w:uiPriority="70"/>
    <w:lsdException w:name="Hashtag" w:semiHidden="true" w:unhideWhenUsed="true"/>
    <w:lsdException w:name="Colorful Grid" w:uiPriority="73"/>
    <w:lsdException w:name="List Table 3 Accent 4" w:uiPriority="48"/>
    <w:lsdException w:name="Dark List Accent 4" w:uiPriority="70"/>
    <w:lsdException w:name="Grid Table Light" w:uiPriority="40"/>
    <w:lsdException w:name="Grid Table 3" w:uiPriority="48"/>
    <w:lsdException w:name="Grid Table 3 Accent 5" w:uiPriority="48"/>
    <w:lsdException w:name="Title" w:uiPriority="10" w:qFormat="true"/>
    <w:lsdException w:name="List 5" w:semiHidden="true" w:unhideWhenUsed="true"/>
    <w:lsdException w:name="Table List 3" w:semiHidden="true" w:unhideWhenUsed="true"/>
    <w:lsdException w:name="Medium Grid 2 Accent 1" w:uiPriority="68"/>
    <w:lsdException w:name="Dark List Accent 3" w:uiPriority="70"/>
    <w:lsdException w:name="Medium List 1 Accent 6" w:uiPriority="65"/>
    <w:lsdException w:name="Medium Shading 2 Accent 1" w:uiPriority="64"/>
    <w:lsdException w:name="Intense Quote" w:uiPriority="30" w:qFormat="true"/>
    <w:lsdException w:name="Grid Table 5 Dark" w:uiPriority="50"/>
    <w:lsdException w:name="HTML Top of Form" w:semiHidden="true" w:unhideWhenUsed="true"/>
    <w:lsdException w:name="header" w:semiHidden="true" w:unhideWhenUsed="true"/>
    <w:lsdException w:name="Table 3D effects 1" w:semiHidden="true" w:unhideWhenUsed="true"/>
    <w:lsdException w:name="Grid Table 3 Accent 4" w:uiPriority="48"/>
    <w:lsdException w:name="Grid Table 4" w:uiPriority="49"/>
    <w:lsdException w:name="List Table 7 Colorful" w:uiPriority="52"/>
    <w:lsdException w:name="endnote reference" w:semiHidden="true" w:unhideWhenUsed="true"/>
    <w:lsdException w:name="List Bullet 4" w:semiHidden="true" w:unhideWhenUsed="true"/>
    <w:lsdException w:name="Table List 2" w:semiHidden="true" w:unhideWhenUsed="true"/>
    <w:lsdException w:name="Light Grid Accent 5" w:uiPriority="62"/>
    <w:lsdException w:name="Table Grid 8" w:semiHidden="true" w:unhideWhenUsed="true"/>
    <w:lsdException w:name="Light Grid Accent 4" w:uiPriority="62"/>
    <w:lsdException w:name="Grid Table 3 Accent 2" w:uiPriority="48"/>
    <w:lsdException w:name="Medium Shading 2 Accent 3" w:uiPriority="64"/>
    <w:lsdException w:name="List Table 2 Accent 6" w:uiPriority="47"/>
    <w:lsdException w:name="index 5" w:semiHidden="true" w:unhideWhenUsed="true"/>
    <w:lsdException w:name="envelope address" w:semiHidden="true" w:unhideWhenUsed="true"/>
    <w:lsdException w:name="Medium Shading 2 Accent 4" w:uiPriority="64"/>
    <w:lsdException w:name="List Table 4 Accent 2" w:uiPriority="49"/>
    <w:lsdException w:name="Light Shading Accent 2" w:uiPriority="60"/>
    <w:lsdException w:name="List Table 5 Dark Accent 4" w:uiPriority="50"/>
    <w:lsdException w:name="Table Columns 5" w:semiHidden="true" w:unhideWhenUsed="true"/>
    <w:lsdException w:name="Grid Table 6 Colorful Accent 3" w:uiPriority="51"/>
    <w:lsdException w:name="List Bullet 2" w:semiHidden="true" w:unhideWhenUsed="true"/>
    <w:lsdException w:name="Colorful Grid Accent 5" w:uiPriority="73"/>
    <w:lsdException w:name="Table Classic 4" w:semiHidden="true" w:unhideWhenUsed="true"/>
    <w:lsdException w:name="Table List 8" w:semiHidden="true" w:unhideWhenUsed="true"/>
    <w:lsdException w:name="line number" w:semiHidden="true" w:unhideWhenUsed="true"/>
    <w:lsdException w:name="Grid Table 4 Accent 5" w:uiPriority="49"/>
    <w:lsdException w:name="Table Grid 3" w:semiHidden="true" w:unhideWhenUsed="true"/>
    <w:lsdException w:name="Outline List 3" w:semiHidden="true" w:unhideWhenUsed="true"/>
    <w:lsdException w:name="Table Classic 2" w:semiHidden="true" w:unhideWhenUsed="true"/>
    <w:lsdException w:name="FollowedHyperlink" w:semiHidden="true" w:unhideWhenUsed="true"/>
    <w:lsdException w:name="List Table 5 Dark Accent 5" w:uiPriority="50"/>
    <w:lsdException w:name="Light List Accent 2" w:uiPriority="61"/>
    <w:lsdException w:name="List Number 5" w:semiHidden="true" w:unhideWhenUsed="true"/>
    <w:lsdException w:name="Note Heading" w:semiHidden="true" w:unhideWhenUsed="true"/>
    <w:lsdException w:name="Colorful List Accent 4" w:uiPriority="72"/>
    <w:lsdException w:name="Body Text" w:semiHidden="true" w:unhideWhenUsed="true"/>
    <w:lsdException w:name="List Table 7 Colorful Accent 4" w:uiPriority="52"/>
    <w:lsdException w:name="Medium Grid 1 Accent 6" w:uiPriority="67"/>
    <w:lsdException w:name="Grid Table 5 Dark Accent 1" w:uiPriority="50"/>
    <w:lsdException w:name="footnote text" w:semiHidden="true" w:unhideWhenUsed="true"/>
    <w:lsdException w:name="Table Subtle 1" w:semiHidden="true" w:unhideWhenUsed="true"/>
    <w:lsdException w:name="Medium List 2 Accent 2" w:uiPriority="66"/>
    <w:lsdException w:name="heading 5" w:uiPriority="9" w:semiHidden="true" w:unhideWhenUsed="true" w:qFormat="true"/>
    <w:lsdException w:name="Revision" w:semiHidden="true"/>
    <w:lsdException w:name="Medium Grid 2 Accent 5" w:uiPriority="68"/>
    <w:lsdException w:name="List Table 7 Colorful Accent 1" w:uiPriority="52"/>
    <w:lsdException w:name="index 4" w:semiHidden="true" w:unhideWhenUsed="true"/>
    <w:lsdException w:name="HTML Definition" w:semiHidden="true" w:unhideWhenUsed="true"/>
    <w:lsdException w:name="Table List 5" w:semiHidden="true" w:unhideWhenUsed="true"/>
    <w:lsdException w:name="List Table 3 Accent 3" w:uiPriority="48"/>
    <w:lsdException w:name="Dark List Accent 2" w:uiPriority="70"/>
    <w:lsdException w:name="List Continue 3" w:semiHidden="true" w:unhideWhenUsed="true"/>
    <w:lsdException w:name="List Table 4 Accent 6" w:uiPriority="49"/>
    <w:lsdException w:name="Grid Table 5 Dark Accent 4" w:uiPriority="50"/>
    <w:lsdException w:name="Dark List Accent 6" w:uiPriority="70"/>
    <w:lsdException w:name="Medium List 1 Accent 1" w:uiPriority="65"/>
    <w:lsdException w:name="Grid Table 7 Colorful Accent 1" w:uiPriority="52"/>
    <w:lsdException w:name="List Table 5 Dark Accent 1" w:uiPriority="50"/>
    <w:lsdException w:name="Grid Table 6 Colorful Accent 2" w:uiPriority="51"/>
    <w:lsdException w:name="Grid Table 7 Colorful Accent 3" w:uiPriority="52"/>
    <w:lsdException w:name="List Table 4 Accent 4" w:uiPriority="49"/>
    <w:lsdException w:name="Medium Shading 1 Accent 6" w:uiPriority="63"/>
    <w:lsdException w:name="Table Classic 1" w:semiHidden="true" w:unhideWhenUsed="true"/>
    <w:lsdException w:name="Salutation" w:semiHidden="true" w:unhideWhenUsed="true"/>
    <w:lsdException w:name="Medium Shading 2 Accent 2" w:uiPriority="64"/>
    <w:lsdException w:name="annotation subject" w:semiHidden="true" w:unhideWhenUsed="true"/>
    <w:lsdException w:name="toc 8" w:uiPriority="39" w:semiHidden="true" w:unhideWhenUsed="true"/>
    <w:lsdException w:name="Medium List 2 Accent 3" w:uiPriority="66"/>
    <w:lsdException w:name="Grid Table 6 Colorful Accent 1" w:uiPriority="51"/>
    <w:lsdException w:name="Plain Table 2" w:uiPriority="42"/>
    <w:lsdException w:name="heading 1" w:uiPriority="9" w:qFormat="true"/>
    <w:lsdException w:name="List Table 4" w:uiPriority="49"/>
    <w:lsdException w:name="Light Shading Accent 6" w:uiPriority="60"/>
    <w:lsdException w:name="List Table 1 Light" w:uiPriority="46"/>
    <w:lsdException w:name="List Table 5 Dark Accent 2" w:uiPriority="50"/>
    <w:lsdException w:name="Grid Table 1 Light Accent 4" w:uiPriority="46"/>
    <w:lsdException w:name="Outline List 1" w:semiHidden="true" w:unhideWhenUsed="true"/>
    <w:lsdException w:name="List Table 7 Colorful Accent 2" w:uiPriority="52"/>
    <w:lsdException w:name="List Table 3 Accent 5" w:uiPriority="48"/>
    <w:lsdException w:name="List Table 5 Dark" w:uiPriority="50"/>
    <w:lsdException w:name="Table List 4" w:semiHidden="true" w:unhideWhenUsed="true"/>
    <w:lsdException w:name="HTML Typewriter" w:semiHidden="true" w:unhideWhenUsed="true"/>
    <w:lsdException w:name="Grid Table 6 Colorful Accent 5" w:uiPriority="51"/>
    <w:lsdException w:name="Body Text Indent 2" w:semiHidden="true" w:unhideWhenUsed="true"/>
    <w:lsdException w:name="Colorful List Accent 3" w:uiPriority="72"/>
    <w:lsdException w:name="List Table 3 Accent 1" w:uiPriority="48"/>
    <w:lsdException w:name="index 8" w:semiHidden="true" w:unhideWhenUsed="true"/>
    <w:lsdException w:name="Colorful List Accent 2" w:uiPriority="72"/>
    <w:lsdException w:name="List Table 2 Accent 3" w:uiPriority="47"/>
    <w:lsdException w:name="Medium Grid 3 Accent 2" w:uiPriority="69"/>
    <w:lsdException w:name="Table Grid 7" w:semiHidden="true" w:unhideWhenUsed="true"/>
    <w:lsdException w:name="Plain Text" w:semiHidden="true" w:unhideWhenUsed="true"/>
    <w:lsdException w:name="toc 5" w:uiPriority="39" w:semiHidden="true" w:unhideWhenUsed="true"/>
    <w:lsdException w:name="Medium List 2 Accent 4" w:uiPriority="66"/>
    <w:lsdException w:name="Grid Table 4 Accent 2" w:uiPriority="49"/>
    <w:lsdException w:name="toa heading" w:semiHidden="true" w:unhideWhenUsed="true"/>
    <w:lsdException w:name="Table Grid 2" w:semiHidden="true" w:unhideWhenUsed="true"/>
    <w:lsdException w:name="toc 3" w:uiPriority="39" w:semiHidden="true" w:unhideWhenUsed="true"/>
    <w:lsdException w:name="Table Columns 4" w:semiHidden="true" w:unhideWhenUsed="true"/>
    <w:lsdException w:name="HTML Code" w:semiHidden="true" w:unhideWhenUsed="true"/>
    <w:lsdException w:name="Plain Table 4" w:uiPriority="44"/>
    <w:lsdException w:name="envelope return" w:semiHidden="true" w:unhideWhenUsed="true"/>
    <w:lsdException w:name="Medium Grid 3 Accent 4" w:uiPriority="69"/>
    <w:lsdException w:name="Smart Link" w:semiHidden="true" w:unhideWhenUsed="true"/>
    <w:lsdException w:name="Grid Table 7 Colorful Accent 5" w:uiPriority="52"/>
    <w:lsdException w:name="Grid Table 5 Dark Accent 5" w:uiPriority="50"/>
    <w:lsdException w:name="Grid Table 3 Accent 1" w:uiPriority="48"/>
    <w:lsdException w:name="heading 6" w:uiPriority="9" w:semiHidden="true" w:unhideWhenUsed="true" w:qFormat="true"/>
    <w:lsdException w:name="Light Shading Accent 4" w:uiPriority="60"/>
    <w:lsdException w:name="Table List 6" w:semiHidden="true" w:unhideWhenUsed="true"/>
    <w:lsdException w:name="Grid Table 2 Accent 2" w:uiPriority="47"/>
    <w:lsdException w:name="page number" w:semiHidden="true" w:unhideWhenUsed="true"/>
    <w:lsdException w:name="Medium List 1" w:uiPriority="65"/>
    <w:lsdException w:name="index 9" w:semiHidden="true" w:unhideWhenUsed="true"/>
    <w:lsdException w:name="List Table 1 Light Accent 2" w:uiPriority="46"/>
    <w:lsdException w:name="Light List Accent 5" w:uiPriority="61"/>
    <w:lsdException w:name="Dark List Accent 5" w:uiPriority="70"/>
    <w:lsdException w:name="List Table 2 Accent 2" w:uiPriority="47"/>
    <w:lsdException w:name="Colorful List Accent 6" w:uiPriority="72"/>
    <w:lsdException w:name="Table Columns 1" w:semiHidden="true" w:unhideWhenUsed="true"/>
    <w:lsdException w:name="List Continue 2" w:semiHidden="true" w:unhideWhenUsed="true"/>
    <w:lsdException w:name="E-mail Signature" w:semiHidden="true" w:unhideWhenUsed="true"/>
    <w:lsdException w:name="heading 2" w:uiPriority="9" w:semiHidden="true" w:unhideWhenUsed="true" w:qFormat="true"/>
    <w:lsdException w:name="macro" w:semiHidden="true" w:unhideWhenUsed="true"/>
    <w:lsdException w:name="Colorful List" w:uiPriority="72"/>
    <w:lsdException w:name="Table Simple 1" w:semiHidden="true" w:unhideWhenUsed="true"/>
    <w:lsdException w:name="Subtle Reference" w:uiPriority="31" w:qFormat="true"/>
    <w:lsdException w:name="List Table 6 Colorful" w:uiPriority="51"/>
    <w:lsdException w:name="Medium Shading 2 Accent 6" w:uiPriority="64"/>
    <w:lsdException w:name="Colorful Grid Accent 6" w:uiPriority="73"/>
    <w:lsdException w:name="caption" w:uiPriority="35" w:semiHidden="true" w:unhideWhenUsed="true" w:qFormat="true"/>
    <w:lsdException w:name="Outline List 2" w:semiHidden="true" w:unhideWhenUsed="true"/>
    <w:lsdException w:name="List Table 2" w:uiPriority="47"/>
    <w:lsdException w:name="Medium List 1 Accent 2" w:uiPriority="65"/>
    <w:lsdException w:name="Plain Table 3" w:uiPriority="43"/>
    <w:lsdException w:name="HTML Variable" w:semiHidden="true" w:unhideWhenUsed="true"/>
    <w:lsdException w:name="index heading" w:semiHidden="true" w:unhideWhenUsed="true"/>
    <w:lsdException w:name="Medium Grid 3 Accent 1" w:uiPriority="69"/>
    <w:lsdException w:name="toc 4" w:uiPriority="39" w:semiHidden="true" w:unhideWhenUsed="true"/>
    <w:lsdException w:name="Grid Table 6 Colorful Accent 6" w:uiPriority="51"/>
    <w:lsdException w:name="Closing" w:semiHidden="true" w:unhideWhenUsed="true"/>
    <w:lsdException w:name="toc 7" w:uiPriority="39" w:semiHidden="true" w:unhideWhenUsed="true"/>
    <w:lsdException w:name="Medium Shading 2 Accent 5" w:uiPriority="64"/>
    <w:lsdException w:name="index 7" w:semiHidden="true" w:unhideWhenUsed="true"/>
    <w:lsdException w:name="Medium Grid 2 Accent 2" w:uiPriority="68"/>
    <w:lsdException w:name="Grid Table 1 Light" w:uiPriority="46"/>
    <w:lsdException w:name="Colorful Shading Accent 3" w:uiPriority="71"/>
    <w:lsdException w:name="Emphasis" w:uiPriority="20" w:qFormat="true"/>
    <w:lsdException w:name="List Table 1 Light Accent 5" w:uiPriority="46"/>
    <w:lsdException w:name="Table Subtle 2" w:semiHidden="true" w:unhideWhenUsed="true"/>
    <w:lsdException w:name="List Table 2 Accent 1" w:uiPriority="47"/>
    <w:lsdException w:name="Grid Table 6 Colorful" w:uiPriority="51"/>
    <w:lsdException w:name="toc 9" w:uiPriority="39" w:semiHidden="true" w:unhideWhenUsed="true"/>
    <w:lsdException w:name="Table Web 2" w:semiHidden="true" w:unhideWhenUsed="true"/>
    <w:lsdException w:name="Grid Table 3 Accent 6" w:uiPriority="48"/>
    <w:lsdException w:name="List Number 4" w:semiHidden="true" w:unhideWhenUsed="true"/>
    <w:lsdException w:name="Normal Indent" w:semiHidden="true" w:unhideWhenUsed="true"/>
    <w:lsdException w:name="Grid Table 1 Light Accent 2" w:uiPriority="46"/>
    <w:lsdException w:name="Medium Grid 2 Accent 4" w:uiPriority="68"/>
    <w:lsdException w:name="Grid Table 2 Accent 5" w:uiPriority="47"/>
    <w:lsdException w:name="Grid Table 4 Accent 6" w:uiPriority="49"/>
    <w:lsdException w:name="List Table 2 Accent 5" w:uiPriority="47"/>
    <w:lsdException w:name="Table Columns 3" w:semiHidden="true" w:unhideWhenUsed="true"/>
    <w:lsdException w:name="Plain Table 1" w:uiPriority="41"/>
    <w:lsdException w:name="Grid Table 1 Light Accent 6" w:uiPriority="46"/>
    <w:lsdException w:name="Table Grid 6" w:semiHidden="true" w:unhideWhenUsed="true"/>
    <w:lsdException w:name="List Table 6 Colorful Accent 5" w:uiPriority="51"/>
    <w:lsdException w:name="Grid Table 7 Colorful Accent 2" w:uiPriority="52"/>
    <w:lsdException w:name="List Table 2 Accent 4" w:uiPriority="47"/>
    <w:lsdException w:name="heading 7" w:uiPriority="9" w:semiHidden="true" w:unhideWhenUsed="true" w:qFormat="true"/>
    <w:lsdException w:name="List Table 5 Dark Accent 6" w:uiPriority="50"/>
    <w:lsdException w:name="Light List Accent 6" w:uiPriority="61"/>
    <w:lsdException w:name="List Number" w:semiHidden="true" w:unhideWhenUsed="true"/>
    <w:lsdException w:name="List 2" w:semiHidden="true" w:unhideWhenUsed="true"/>
    <w:lsdException w:name="Block Text" w:semiHidden="true" w:unhideWhenUsed="true"/>
    <w:lsdException w:name="Normal" w:uiPriority="0" w:qFormat="true"/>
    <w:lsdException w:name="Grid Table 1 Light Accent 1" w:uiPriority="46"/>
    <w:lsdException w:name="List Table 4 Accent 3" w:uiPriority="49"/>
    <w:lsdException w:name="Grid Table 2 Accent 3" w:uiPriority="47"/>
    <w:lsdException w:name="Colorful Shading Accent 1" w:uiPriority="71"/>
    <w:lsdException w:name="Light List Accent 1" w:uiPriority="61"/>
    <w:lsdException w:name="Grid Table 7 Colorful" w:uiPriority="52"/>
    <w:lsdException w:name="Table List 7" w:semiHidden="true" w:unhideWhenUsed="true"/>
    <w:lsdException w:name="List Table 1 Light Accent 6" w:uiPriority="46"/>
    <w:lsdException w:name="List Table 3" w:uiPriority="48"/>
    <w:lsdException w:name="Table Web 3" w:semiHidden="true" w:unhideWhenUsed="true"/>
    <w:lsdException w:name="Light List" w:uiPriority="61"/>
    <w:lsdException w:name="List Table 6 Colorful Accent 1" w:uiPriority="51"/>
    <w:lsdException w:name="List Table 3 Accent 2" w:uiPriority="48"/>
    <w:lsdException w:name="Book Title" w:uiPriority="33" w:qFormat="true"/>
    <w:lsdException w:name="Signature" w:semiHidden="true" w:unhideWhenUsed="true"/>
    <w:lsdException w:name="List Bullet 3" w:semiHidden="true" w:unhideWhenUsed="true"/>
    <w:lsdException w:name="List Table 7 Colorful Accent 6" w:uiPriority="52"/>
    <w:lsdException w:name="heading 3" w:uiPriority="9" w:semiHidden="true" w:unhideWhenUsed="true" w:qFormat="true"/>
    <w:lsdException w:name="Colorful Grid Accent 1" w:uiPriority="73"/>
    <w:lsdException w:name="Table List 1" w:semiHidden="true" w:unhideWhenUsed="true"/>
    <w:lsdException w:name="List Table 7 Colorful Accent 3" w:uiPriority="52"/>
    <w:lsdException w:name="HTML Acronym" w:semiHidden="true" w:unhideWhenUsed="true"/>
    <w:lsdException w:name="Table Columns 2" w:semiHidden="true" w:unhideWhenUsed="true"/>
    <w:lsdException w:name="Medium List 2 Accent 5" w:uiPriority="66"/>
    <w:lsdException w:name="table of figures" w:semiHidden="true" w:unhideWhenUsed="true"/>
    <w:lsdException w:name="Medium Grid 2" w:uiPriority="68"/>
    <w:lsdException w:name="Grid Table 2" w:uiPriority="47"/>
    <w:lsdException w:name="heading 8" w:uiPriority="9" w:semiHidden="true" w:unhideWhenUsed="true" w:qFormat="true"/>
    <w:lsdException w:name="heading 4" w:uiPriority="9" w:semiHidden="true" w:unhideWhenUsed="true" w:qFormat="true"/>
    <w:lsdException w:name="Medium Grid 3" w:uiPriority="69"/>
    <w:lsdException w:name="Intense Reference" w:uiPriority="32" w:qFormat="true"/>
    <w:lsdException w:name="endnote text" w:semiHidden="true" w:unhideWhenUsed="true"/>
    <w:lsdException w:name="Light Grid Accent 2" w:uiPriority="62"/>
    <w:lsdException w:name="toc 6" w:uiPriority="39" w:semiHidden="true" w:unhideWhenUsed="true"/>
    <w:lsdException w:name="Light Grid Accent 1" w:uiPriority="62"/>
    <w:lsdException w:name="annotation reference" w:semiHidden="true" w:unhideWhenUsed="true"/>
    <w:lsdException w:name="footnote reference" w:semiHidden="true" w:unhideWhenUsed="true"/>
    <w:lsdException w:name="Medium Shading 1 Accent 5" w:uiPriority="63"/>
    <w:lsdException w:name="Grid Table 1 Light Accent 3" w:uiPriority="46"/>
    <w:lsdException w:name="TOC Heading" w:uiPriority="39" w:semiHidden="true" w:unhideWhenUsed="true" w:qFormat="true"/>
    <w:lsdException w:name="Normal Table" w:semiHidden="true" w:unhideWhenUsed="true"/>
    <w:lsdException w:name="Dark List" w:uiPriority="70"/>
    <w:lsdException w:name="Body Text First Indent" w:semiHidden="true" w:unhideWhenUsed="true"/>
    <w:lsdException w:name="Body Text Indent 3" w:semiHidden="true" w:unhideWhenUsed="true"/>
    <w:lsdException w:name="Mention" w:semiHidden="true" w:unhideWhenUsed="true"/>
    <w:lsdException w:name="List Table 6 Colorful Accent 4" w:uiPriority="51"/>
    <w:lsdException w:name="Strong" w:uiPriority="22" w:qFormat="true"/>
    <w:lsdException w:name="Table Web 1" w:semiHidden="true" w:unhideWhenUsed="true"/>
    <w:lsdException w:name="List Table 6 Colorful Accent 3" w:uiPriority="51"/>
    <w:lsdException w:name="Default Paragraph Font" w:uiPriority="1" w:semiHidden="true" w:unhideWhenUsed="true"/>
    <w:lsdException w:name="Table Colorful 1" w:semiHidden="true" w:unhideWhenUsed="true"/>
    <w:lsdException w:name="Date" w:semiHidden="true" w:unhideWhenUsed="true"/>
    <w:lsdException w:name="Colorful List Accent 5" w:uiPriority="72"/>
    <w:lsdException w:name="Medium Grid 1" w:uiPriority="67"/>
    <w:lsdException w:name="Grid Table 5 Dark Accent 6" w:uiPriority="50"/>
    <w:lsdException w:name="Medium Grid 3 Accent 5" w:uiPriority="69"/>
    <w:lsdException w:name="Table Classic 3" w:semiHidden="true" w:unhideWhenUsed="true"/>
    <w:lsdException w:name="Medium Grid 3 Accent 6" w:uiPriority="69"/>
    <w:lsdException w:name="Grid Table 2 Accent 4" w:uiPriority="47"/>
    <w:lsdException w:name="Colorful Grid Accent 2" w:uiPriority="73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paragraph" w:styleId="ablt93" w:default="true">
    <w:name w:val="Normal"/>
    <w:pPr>
      <w:widowControl w:val="false"/>
      <w:jc w:val="left"/>
    </w:p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