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微软雅黑" w:cs="微软雅黑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instrText xml:space="preserve">ADDIN CNKISM.UserStyle</w:instrTex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2023年湖南省北斗应用领域创新创业大赛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组织方案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一、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湘聚北斗 星链五洲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大赛时间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2023年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8月-10月</w:t>
      </w:r>
      <w:r>
        <w:rPr>
          <w:rFonts w:hint="eastAsia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大赛地点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湖南株洲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：湖南省科学技术厅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 xml:space="preserve">              株洲市人民政府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主办单位：湖南省科学技术事务中心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jc w:val="left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承办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岳麓山工业创新中心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协办单位：湖南省产业技术协同创新有限公司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湖南省北斗导航产业技术创新战略联盟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株洲启迪孵化器管理有限公司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湖南赛德雷特卫星科技有限公司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株洲太空星际卫星科技有限公司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由主办、承办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单位共同组成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大赛组委会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，负责大赛的组织实施。组委会下设办公室，负责大赛各项工作的具体执行。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组委会下设监督小组，成员由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株洲经济开发区管委会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纪检监察部门有关负责同志组成，负责大赛全过程的监督工作。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五、征集方向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聚焦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北斗在经济发展、社会治理、公共服务和大众消费</w:t>
      </w:r>
      <w:r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领域的应用场景，鼓励开展跨行业、跨领域、跨学科的“北斗+”、“+北斗”应用技术创新。参赛项目分以下两个方向：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  <w:t>（一）北斗创新和应用技术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北斗融合芯片、组合导航、应用集成、室内外无缝定位等基础前沿和共性关键技术；芯片、终端、载荷、系统全产业链技术。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left"/>
        <w:textAlignment w:val="baseline"/>
        <w:outlineLvl w:val="9"/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（二）北斗规模应用场景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北斗+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</w:rPr>
        <w:t>电力行业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电力系统全网时间同步、作业安全监测、线路故障监测和定位、无人机自主巡检、电力防灾减灾等应用。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2.“北斗+通信行业”：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通信系统全网时间同步，“5G+北斗”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新应用和新业态。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3.“北斗+农业农机”：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农机调度、深松作业监测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秸秆还田监测、低茬收割监测、按图施肥、按图喷药等作业。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4.“北斗+邮政快递”：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物流运输智能感知与位置服务，邮件快件的实时追踪和全过程监控。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5.“北斗+通用航空”：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北斗系统在轻型飞机、无人机、滑翔伞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热气球等通用航空器的应用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基于北斗的低空监视通信系统、远程塔台系统。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6.“北斗+公安警务”：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警用北斗装备集成化应用，指挥调度、反恐处突、治安防控、交通管理、执法办案等服务。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7.“北斗+交通运输”：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航标遥测遥控北斗应用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客(渡)船以及执法装备北斗应用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公路路基、高边坡、三特桥梁等基础设施的监测分析。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8.“北斗+应急管理”：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人员队伍、救援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物资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精准定位和实时动态掌握，应急救援及指挥过程中指挥调度、辅助决策等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北斗+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</w:rPr>
        <w:t>水利水务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雨水情监测、大坝变形监测等水利领域应用。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以及北斗在其他行业、领域的应用。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参赛条件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（一）企业组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1.参赛企业在国内依法注册，具有独立法人资格的企业。企业经营规范、社会信誉良好、无不良记录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2.企业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拥有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的相关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知识产权无产权纠纷。2023年1月1日之后注册的企业不作知识产权已授权要求，相关部门受理其知识产权申请即可报名。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团队组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1.项目负责人属于国内外高校、科研院所在读全日制学生或在职人员。在征得依托单位同意的前提下，允许跨单位组建团队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2.2023年1月1 日前团队组核心成员均未在国内注册成立企业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3.核心团队成员不少于2人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4.创业团队拥有科技创新成果和创业计划(如海外留学回国创业人员、进入创业实施阶段的优秀科技团队、大学生创业团队 等)。若科技创新成果归属地不在国内的，在与国内依法注册企事业单位开展产业化合作的前提下，允许创业团队以国内合作企事业单位作为依托单位参赛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5.参赛项目的产品、技术及相关专利归属参赛团队，与其它任何单位或个人无产权纠纷。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七、大赛流程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报名与审核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初赛、决赛、颁奖仪式环节。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（一）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与审核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报名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采用“项目负责人填报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+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审核”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的程序进行。参赛企业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和团队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按照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要求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如实填写报名资料，将成套资料扫描成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PDF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文件，命名为“参赛类别（企业组或团队组）+项目名称+联系人姓名+联系号码”，电子版发送至大赛组委会邮箱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HNBDCXS@163.com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大赛不向参赛企业和团队收取任何费用。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注：各参赛单位和项目负责人需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对参赛资料的真实性、完整性、准确性和规范性负责，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保证提交的参赛资料不涉及国家秘密和侵犯他人的合法权益。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若填报和上传的资料涉及国家和企业秘密，请提交前做好脱密处理。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因资料提交不及时、不规范导致的后果由参赛单位承担。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e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9月8日18:00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2.审核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组委会组织专家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对参赛企业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资料的真实性、完整性、准确性和规范性进行严格审核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。审核时限原则上为企业提交后的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5个工作日内。若需要企业补充材料的，采取一次性告知原则。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审核确认的项目报送大赛组委会备案，备案通过的项目纳入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初赛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环节。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9月12日18:00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（二）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初赛由大赛组委会负责组织，按企业组和团队组分别进行比赛，采用线上答辩的评审方式。</w:t>
      </w:r>
      <w:bookmarkStart w:id="0" w:name="_Hlk103868744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答辩采取“7+5”模式进行。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即参赛项目负责人陈述时间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7分钟，评委问答时间5分钟</w:t>
      </w:r>
      <w:bookmarkEnd w:id="0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。比赛得分计算方式为取所有评委的平均分为项目最终得分，精确到小数点后2位。晋级比例原则上不超过初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项目总数的30%，比赛得分低于75分的项目不得推荐晋级（总分100分）。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9月19-20日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决赛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决赛作为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“2023北斗规模应用国际博览会”前序活动，由大赛组委会负责，按企业组和团队组分别进行比赛，采用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现场答辩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的比赛方式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答辩采取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8+7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”模式进行，即参赛项目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负责人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8分钟，评委问答时间7分钟。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每组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评委由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名创投、金融或管理评委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2名技术评委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1名财务评委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比赛得分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计算方式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为去掉1个最高分和1个最低分，取剩下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个评委的平均分为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最终得分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，精确到小数点后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2位。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决赛地点：湖南株洲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颁奖仪式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大赛颁奖仪式作为“2023北斗规模应用国际博览会”专项活动，在博览会现场举行。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颁奖仪式时间：2023年10月上旬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颁奖仪式地点：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湖南株洲国际会展中心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A馆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根据决赛成绩依次确定奖项，按企业组和团队组各设一等奖 1 名、二等奖 2 名和三等奖3名，企业组设优秀奖若干名。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注：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若比赛得分出现并列影响奖项取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舍，则取专家平均分高的项目。根据上述程序后，若还出现并列情况，则由评审团集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体讨论决定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情况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设立组织奖等奖项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九、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配套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服务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结合“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湖南省人民政府、国家发展和改革委员会、国家互联网信息办公室、中国卫星导航系统委员会、外交部、工业和信息化部、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国防科工局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共同主办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依托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产业资本、平台、市场等创新创业资源，推动融通合作。优秀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参赛项目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可获得大赛合作媒体的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宣传推介，资金、技术、人才等资源对接和专业辅导等配套活动支持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奖金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企业组一等奖奖金8万元，二等奖奖金5万元，三等奖奖金3万元，优秀奖奖金1万元；团队组一等奖奖金5万元，二等奖奖金3万元，三等奖奖金2万元。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资源对接：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入围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”专项推介，邀请参加博览会专题论坛和博览会“北斗规模应用”合作洽谈会，围绕创新需求开展行业交流；获等次奖的项目可作为优秀代表在“2023北斗规模应用国际博览会”相关活动中作主题发言。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）宣传展示：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入围决赛的项目可获得“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北斗规模应用成果展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展位。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）金融服务：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赛后组织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开展股权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融资和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银行贷款对接活动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，参赛项目择优推荐给大赛合作创投机构和合作银行，符合条件的项目可获得创投资金和贷款支持。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ascii="Times New Roman" w:hAnsi="Times New Roman"/>
          <w:color w:val="auto"/>
          <w:spacing w:val="0"/>
          <w:w w:val="10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）政策扶持：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为优秀参赛项目提供株洲北斗产业园一对一落地服务，享受最新创业扶持政策。</w:t>
      </w:r>
    </w:p>
    <w:p>
      <w:pPr>
        <w:ind w:firstLine="642" w:firstLineChars="200"/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大赛组委会对本次大赛拥有最终解释权。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6D71"/>
    <w:multiLevelType w:val="singleLevel"/>
    <w:tmpl w:val="581E6D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B6D2D"/>
    <w:multiLevelType w:val="singleLevel"/>
    <w:tmpl w:val="5AAB6D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D111"/>
    <w:rsid w:val="6F7FD111"/>
    <w:rsid w:val="77D7B128"/>
    <w:rsid w:val="7FFD5148"/>
    <w:rsid w:val="F5FEB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EndnoteText"/>
    <w:basedOn w:val="1"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2023-08-10T01:46:00Z</dcterms:created>
  <dc:creator>greatwall</dc:creator>
  <cp:lastModifiedBy>牡丹小白</cp:lastModifiedBy>
  <dcterms:modified xsi:type="dcterms:W3CDTF">2023-08-12T10:31:29Z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