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600" w:lineRule="exac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</w:p>
    <w:p>
      <w:pPr>
        <w:pStyle w:val="5"/>
        <w:widowControl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5"/>
        <w:widowControl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攸县打好科技创新攻坚仗工作方案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为进一步提升我县科技创新能力和水平，打好科技创新攻坚仗，支撑和引领经济社会高质量发展，特制定本工作方案。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一、工作目标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全面落实“三高四新”战略定位和使命任务，聚力打好科技创新攻坚仗，攻克一批关键核心技术，转化一批科技创新成果，打造一批科技创新平台，引进一批科技创新人才，塑造高质量发展新动能新优势，向打造具有核心竞争力的科技创新高地迈出坚实步伐。</w:t>
      </w:r>
      <w:r>
        <w:rPr>
          <w:rFonts w:ascii="Times New Roman" w:hAnsi="Times New Roman" w:eastAsia="仿宋_GB2312"/>
          <w:color w:val="000000"/>
          <w:szCs w:val="32"/>
        </w:rPr>
        <w:t>2023年，全县有效高新技术企业达到66个，科技型中小企业评价入库94个，培育科技瞪羚企业1个，裂变新公司1家，推进科技成果转化4个。2022年度研发归集1.54亿元，占GDP的比重达到0.32%。技术合同登记230个，技术合同登记额达到15.5亿元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二、工作任务</w:t>
      </w:r>
    </w:p>
    <w:p>
      <w:pPr>
        <w:pStyle w:val="5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kern w:val="2"/>
          <w:sz w:val="32"/>
          <w:szCs w:val="32"/>
        </w:rPr>
        <w:t>（一）关键核心技术攻坚行动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聚焦“一主一特”产业集群，瞄准高分子新材料、精细化工、绿色建材等加速科技攻关，实施一批重点研发计划项目和核心技术攻关项目，取得一批科技创新成果。</w:t>
      </w:r>
    </w:p>
    <w:p>
      <w:pPr>
        <w:pStyle w:val="5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2"/>
          <w:sz w:val="32"/>
          <w:szCs w:val="32"/>
        </w:rPr>
        <w:t>1.持续完善关键核心技术攻关推进机制。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围绕主导产业创新链布局，强化与“株洲市国家自主创新示范区、创新型省份建设、中央引导地方科技发展资金”等政策对接，切实加强重大项目的策划、凝练和论证，大幅提升企业在重大科技项目中的参与度与话语权，支持优势企业承接省市重大科技专项和“揭榜挂帅”，强化对关键核心技术攻关任务的集中支持。（县科工信局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牵头，高新区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负责）</w:t>
      </w:r>
    </w:p>
    <w:p>
      <w:pPr>
        <w:pStyle w:val="5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2"/>
          <w:sz w:val="32"/>
          <w:szCs w:val="32"/>
        </w:rPr>
        <w:t>2.“一主一特”产业技术方面。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高分子新材料和精细化工领域重点开展反渗透膜、高性能环保阻燃膜、环保UV热熔胶、水泥助磨剂、光伏玻璃澄清剂、干粉消泡剂等技术的研发创新及产业化。绿色建材领域重点开展陶瓷、电线电缆、微珠石膏粉等产品技术的研发创新及产业化。生物医药领域重点开展现代中药、生物制药等技术的研发创新及产业化。（高新区牵头，县科工信局、县发改局等按职责分工负责）</w:t>
      </w:r>
    </w:p>
    <w:p>
      <w:pPr>
        <w:pStyle w:val="5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kern w:val="2"/>
          <w:sz w:val="32"/>
          <w:szCs w:val="32"/>
        </w:rPr>
        <w:t>（二）创新成果转化攻坚行动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强化企业创新主体地位，实行产业出题、科技答题、金融助力，推动“科技—产业—金融”良性循环，提高科技成果转化和产业化水平。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Cs w:val="32"/>
          <w:lang w:val="en"/>
        </w:rPr>
        <w:t>3</w:t>
      </w:r>
      <w:r>
        <w:rPr>
          <w:rFonts w:ascii="Times New Roman" w:hAnsi="Times New Roman" w:eastAsia="仿宋_GB2312"/>
          <w:b/>
          <w:bCs/>
          <w:color w:val="000000"/>
          <w:szCs w:val="32"/>
          <w:lang w:val="en"/>
        </w:rPr>
        <w:t>.</w:t>
      </w:r>
      <w:r>
        <w:rPr>
          <w:rFonts w:ascii="Times New Roman" w:hAnsi="Times New Roman" w:eastAsia="仿宋_GB2312"/>
          <w:b/>
          <w:bCs/>
          <w:color w:val="000000"/>
          <w:szCs w:val="32"/>
        </w:rPr>
        <w:t>加大科技型企业培育。</w:t>
      </w:r>
      <w:r>
        <w:rPr>
          <w:rFonts w:ascii="Times New Roman" w:hAnsi="Times New Roman" w:eastAsia="仿宋_GB2312"/>
          <w:color w:val="000000"/>
          <w:szCs w:val="32"/>
        </w:rPr>
        <w:t>建立高新技术企业培育库、科技型中小企业培育库，开展科技型瞪羚企业认定，完善科技型企业梯次培育体系。落实财政支持企业科技创新政策，促进各类创新要素向企业集聚。加快临规企业、潜力企业“小升规”，提高规上工业企业研发机构、研发活动覆盖面，大力培育专精特新“小巨人”企业、制造业单项冠军企业（产品）。力争有效高新技术企业达到66家、科技型中小企业达到94家，培育科技型瞪羚企业1家、新增国省专精特新“小巨人”企业8家以上、省制造业单项冠军企业（产品）破零。（县科工信局牵头，高新区、县发改局、县财政局等按职责分工负责）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Cs w:val="32"/>
        </w:rPr>
        <w:t>4</w:t>
      </w:r>
      <w:r>
        <w:rPr>
          <w:rFonts w:ascii="Times New Roman" w:hAnsi="Times New Roman" w:eastAsia="仿宋_GB2312"/>
          <w:b/>
          <w:bCs/>
          <w:color w:val="000000"/>
          <w:szCs w:val="32"/>
        </w:rPr>
        <w:t>.支持科技型企业加大成果开发。</w:t>
      </w:r>
      <w:r>
        <w:rPr>
          <w:rFonts w:ascii="Times New Roman" w:hAnsi="Times New Roman" w:eastAsia="仿宋_GB2312"/>
          <w:color w:val="000000"/>
          <w:szCs w:val="32"/>
        </w:rPr>
        <w:t>支持企业在关键技术领域开展发明专利布局，增加核心知识产权产出，形成高价值知识产权。加快株洲潇湘科技要素交易市场攸县工作站建设，打造聚焦科技创新资源、对接技术创新供给和技术创新需求交易、链接科技服务和科技金融服务、促进科技成果转化产业化的公共服务平台。（县科工信局牵头，高新区、县市场监管局等按职责分工负责）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Cs w:val="32"/>
        </w:rPr>
        <w:t>5</w:t>
      </w:r>
      <w:r>
        <w:rPr>
          <w:rFonts w:ascii="Times New Roman" w:hAnsi="Times New Roman" w:eastAsia="仿宋_GB2312"/>
          <w:b/>
          <w:bCs/>
          <w:color w:val="000000"/>
          <w:szCs w:val="32"/>
        </w:rPr>
        <w:t>.推动科技金融深度融合。</w:t>
      </w:r>
      <w:r>
        <w:rPr>
          <w:rFonts w:ascii="Times New Roman" w:hAnsi="Times New Roman" w:eastAsia="仿宋_GB2312"/>
          <w:color w:val="000000"/>
          <w:szCs w:val="32"/>
        </w:rPr>
        <w:t>畅通银企信息渠道，推进知识价值信用贷款，引导银行对科技型企业开发多种专属信贷产品，加大科技信贷投入。稳步推进知识产权质押融资工作，带动社会资本、金融资本支持科技型企业创新发展。（县金融办牵头，县财政局、县科工信局、县市场监管局、中国人民银行攸县支行等按职责分工负责）</w:t>
      </w:r>
    </w:p>
    <w:p>
      <w:pPr>
        <w:pStyle w:val="5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kern w:val="2"/>
          <w:sz w:val="32"/>
          <w:szCs w:val="32"/>
        </w:rPr>
        <w:t>（三）创新平台建设攻坚行动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Cs w:val="32"/>
        </w:rPr>
        <w:t>6</w:t>
      </w:r>
      <w:r>
        <w:rPr>
          <w:rFonts w:ascii="Times New Roman" w:hAnsi="Times New Roman" w:eastAsia="仿宋_GB2312"/>
          <w:b/>
          <w:bCs/>
          <w:color w:val="000000"/>
          <w:szCs w:val="32"/>
        </w:rPr>
        <w:t>.打造开放合作创新实体</w:t>
      </w:r>
      <w:r>
        <w:rPr>
          <w:rFonts w:ascii="Times New Roman" w:hAnsi="Times New Roman" w:eastAsia="仿宋_GB2312"/>
          <w:color w:val="000000"/>
          <w:szCs w:val="32"/>
        </w:rPr>
        <w:t>。重点推动优势企业与省内外重点高校院所共建“校企联合实验室”“新型研发机构”“产业技术研究院”等创新联合体，在运行管理上完善共享机制，政府引导和市场化运作结合，实现应用型科研成果的批量创造。（县科工信局牵头，高新区、县农业农村局、县林业局等按职责分工负责）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Cs w:val="32"/>
        </w:rPr>
        <w:t>7</w:t>
      </w:r>
      <w:r>
        <w:rPr>
          <w:rFonts w:ascii="Times New Roman" w:hAnsi="Times New Roman" w:eastAsia="仿宋_GB2312"/>
          <w:b/>
          <w:bCs/>
          <w:color w:val="000000"/>
          <w:szCs w:val="32"/>
        </w:rPr>
        <w:t>.推动各类创新平台发展升级。</w:t>
      </w:r>
      <w:r>
        <w:rPr>
          <w:rFonts w:ascii="Times New Roman" w:hAnsi="Times New Roman" w:eastAsia="仿宋_GB2312"/>
          <w:color w:val="000000"/>
          <w:szCs w:val="32"/>
        </w:rPr>
        <w:t>依托科技专家服务团的人才资源，推进科技研发和孵化平台建设，力争创建2家省级企业技术中心，1家市级以上众创空间，1家市级以上星创天地，通过平台支撑突破一批技术瓶颈，高效实现科技成果转化生产力。（县科工信局牵头，高新区、县发改局、县财政局等按职责分工负责）</w:t>
      </w:r>
    </w:p>
    <w:p>
      <w:pPr>
        <w:pStyle w:val="5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楷体_GB2312"/>
          <w:b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kern w:val="2"/>
          <w:sz w:val="32"/>
          <w:szCs w:val="32"/>
        </w:rPr>
        <w:t>（四）创新人才强基攻坚行动</w:t>
      </w:r>
    </w:p>
    <w:p>
      <w:pPr>
        <w:pStyle w:val="5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2"/>
          <w:sz w:val="32"/>
          <w:szCs w:val="32"/>
        </w:rPr>
        <w:t>8</w:t>
      </w:r>
      <w:r>
        <w:rPr>
          <w:rFonts w:ascii="Times New Roman" w:hAnsi="Times New Roman" w:eastAsia="仿宋_GB2312"/>
          <w:b/>
          <w:bCs/>
          <w:color w:val="000000"/>
          <w:kern w:val="2"/>
          <w:sz w:val="32"/>
          <w:szCs w:val="32"/>
        </w:rPr>
        <w:t>.强化高层次人才引进培育。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持续做好柔性引才工作，全力支持院士专家工作室、博士工作站等人才平台建设。持续推进科技特派员工作，聚焦重点产业和龙头企业，坚持按需选派原则，引导和鼓励科技人才深入广大农村开展技术服务。大力推进“高精尖人才”“双创精英人才”等人才支持计划，引进培育双创精英人才（团队），发掘和培育青年科技人才。（县委组织部、县科工信局牵头，高新区、县林业局、县农业农村局、县畜牧水产中心、县科协</w:t>
      </w:r>
      <w:r>
        <w:rPr>
          <w:rFonts w:ascii="Times New Roman" w:hAnsi="Times New Roman" w:eastAsia="仿宋_GB2312"/>
          <w:color w:val="000000"/>
          <w:sz w:val="32"/>
          <w:szCs w:val="32"/>
        </w:rPr>
        <w:t>等按职责分工负责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）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Cs w:val="32"/>
        </w:rPr>
        <w:t>9</w:t>
      </w:r>
      <w:r>
        <w:rPr>
          <w:rFonts w:ascii="Times New Roman" w:hAnsi="Times New Roman" w:eastAsia="仿宋_GB2312"/>
          <w:b/>
          <w:bCs/>
          <w:color w:val="000000"/>
          <w:szCs w:val="32"/>
        </w:rPr>
        <w:t>.营造良好人才发展环境。</w:t>
      </w:r>
      <w:r>
        <w:rPr>
          <w:rFonts w:ascii="Times New Roman" w:hAnsi="Times New Roman" w:eastAsia="仿宋_GB2312"/>
          <w:color w:val="000000"/>
          <w:szCs w:val="32"/>
        </w:rPr>
        <w:t>建立以创新价值、能力、贡献为导向的人才评价制度，对重点产业重点领域突破关键核心技术、做出重大贡献的技术人才以及引进的高层次、急需紧缺人才等，开通职称评审“绿色通道”。持续做好紧缺急需人才引进，构建起我县紧缺急需人才专业目录，计划引进硕士研究生以上学历人才30名。（县委组织部、县人社局牵头，县科工信局、县卫健局、县教育局等按职责分工负责）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三、推进机制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Cs w:val="32"/>
        </w:rPr>
      </w:pPr>
      <w:r>
        <w:rPr>
          <w:rFonts w:ascii="Times New Roman" w:hAnsi="Times New Roman" w:eastAsia="仿宋_GB2312"/>
          <w:color w:val="000000"/>
          <w:szCs w:val="32"/>
        </w:rPr>
        <w:t>成立</w:t>
      </w:r>
      <w:r>
        <w:rPr>
          <w:rFonts w:hint="eastAsia" w:ascii="Times New Roman" w:hAnsi="Times New Roman" w:eastAsia="仿宋_GB2312"/>
          <w:color w:val="000000"/>
          <w:szCs w:val="32"/>
        </w:rPr>
        <w:t>打好</w:t>
      </w:r>
      <w:r>
        <w:rPr>
          <w:rFonts w:ascii="Times New Roman" w:hAnsi="Times New Roman" w:eastAsia="仿宋_GB2312"/>
          <w:color w:val="000000"/>
          <w:szCs w:val="32"/>
        </w:rPr>
        <w:t>科技创新攻坚仗</w:t>
      </w:r>
      <w:r>
        <w:rPr>
          <w:rFonts w:hint="eastAsia" w:ascii="Times New Roman" w:hAnsi="Times New Roman" w:eastAsia="仿宋_GB2312"/>
          <w:color w:val="000000"/>
          <w:szCs w:val="32"/>
        </w:rPr>
        <w:t>工作</w:t>
      </w:r>
      <w:r>
        <w:rPr>
          <w:rFonts w:ascii="Times New Roman" w:hAnsi="Times New Roman" w:eastAsia="仿宋_GB2312"/>
          <w:color w:val="000000"/>
          <w:szCs w:val="32"/>
        </w:rPr>
        <w:t>专班，由县人民政府副县长李敏担任召集人，县政府办分管副主任、县科工信局主要负责人担任副召集人，成员单位包括县委组织部、高新区、县发改局、县财政局、县科工信局、县教育局、县人社局、县农业农村局、县畜牧水产事务中心、县乡村振兴局、县市场监管局、县金融办、县科协、中国人民银行攸县支行等，专班办公室设在县科工信局，负责日常协调和调度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pStyle w:val="6"/>
        <w:spacing w:before="0" w:beforeAutospacing="0" w:line="60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Cs w:val="32"/>
        </w:rPr>
        <w:sectPr>
          <w:pgSz w:w="11906" w:h="16838"/>
          <w:pgMar w:top="1701" w:right="1418" w:bottom="1701" w:left="1418" w:header="851" w:footer="992" w:gutter="0"/>
          <w:cols w:space="720" w:num="1"/>
        </w:sect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52"/>
        </w:rPr>
      </w:pPr>
      <w:r>
        <w:rPr>
          <w:rFonts w:ascii="Times New Roman" w:hAnsi="Times New Roman" w:eastAsia="方正小标宋简体"/>
          <w:sz w:val="44"/>
          <w:szCs w:val="52"/>
        </w:rPr>
        <w:t>攸县打好科技创新攻坚仗重点工作任务清单</w:t>
      </w:r>
    </w:p>
    <w:p>
      <w:pPr>
        <w:spacing w:line="560" w:lineRule="exact"/>
        <w:jc w:val="center"/>
        <w:rPr>
          <w:rFonts w:ascii="Times New Roman" w:hAnsi="Times New Roman" w:eastAsia="方正小标宋简体"/>
          <w:szCs w:val="40"/>
        </w:rPr>
      </w:pPr>
    </w:p>
    <w:tbl>
      <w:tblPr>
        <w:tblStyle w:val="7"/>
        <w:tblW w:w="14174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5"/>
        <w:gridCol w:w="1365"/>
        <w:gridCol w:w="8712"/>
        <w:gridCol w:w="134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tblHeader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ind w:firstLine="630" w:firstLineChars="300"/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工作任务</w:t>
            </w:r>
          </w:p>
        </w:tc>
        <w:tc>
          <w:tcPr>
            <w:tcW w:w="87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工作事项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0" w:hRule="atLeast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（一）关键核心技术攻坚行动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持续完善关键核心技术攻关推进机制。</w:t>
            </w:r>
          </w:p>
        </w:tc>
        <w:tc>
          <w:tcPr>
            <w:tcW w:w="87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围绕主导产业创新链布局，强化与“株洲市国家自主创新示范区、创新型省份建设、中央引导地方科技发展资金”等政策对接，切实加强重大项目的策划、凝练和论证，大幅提升企业在重大科技项目中的参与度与话语权，支持优势企业承接省市重大科技专项和“揭榜挂帅”，强化对关键核心技术攻关任务的集中支持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0" w:hRule="atLeast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2.“一主一特”产业技术方面</w:t>
            </w:r>
          </w:p>
        </w:tc>
        <w:tc>
          <w:tcPr>
            <w:tcW w:w="87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高分子新材料和精细化工领域重点开展反渗透膜、高性能环保阻燃膜、环保UV热熔胶、水泥助磨剂、光伏玻璃澄清剂、干粉消泡剂等技术的研发创新及产业化。绿色建材领域重点开展陶瓷、电线电缆、微珠石膏粉等产品技术的研发创新及产业化。生物医药领域重点开展现代中药、生物制药等技术的研发创新及产业化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 w:val="21"/>
                <w:szCs w:val="21"/>
                <w:lang w:bidi="ar"/>
              </w:rPr>
              <w:t>高新区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 w:val="21"/>
                <w:szCs w:val="21"/>
                <w:lang w:bidi="ar"/>
              </w:rPr>
              <w:t>县发改局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7"/>
        <w:tblpPr w:leftFromText="180" w:rightFromText="180" w:vertAnchor="text" w:horzAnchor="page" w:tblpX="1433" w:tblpY="32"/>
        <w:tblOverlap w:val="never"/>
        <w:tblW w:w="141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28"/>
        <w:gridCol w:w="8664"/>
        <w:gridCol w:w="1404"/>
        <w:gridCol w:w="15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工作任务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黑体简体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工作事项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黑体简体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黑体简体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（二）创新成果转化攻坚行动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3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.加大科技型企业培育。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建立高新技术企业培育库、科技型中小企业培育库，开展科技型瞪羚企业认定，完善科技型企业梯次培育体系。落实财政支持企业科技创新政策，促进各类创新要素向企业集聚。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高新区</w:t>
            </w:r>
          </w:p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8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加快临规企业、潜力企业“小升规”，提高规上工业企业研发机构、研发活动覆盖面，大力培育专精特新“小巨人”企业、制造业单项冠军企业（产品）。力争有效高新技术企业达到66家、科技型中小企业达到94家，培育科技型瞪羚企业1家、新增国省专精特新“小巨人”企业8家以上、省制造业单项冠军企业（产品）破零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高新区</w:t>
            </w:r>
          </w:p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县发改局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4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.支持科技型企业加大成果开发。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支持企业在关键技术领域开展发明专利布局，增加核心知识产权产出，形成高价值知识产权。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县市场监管局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8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加快株洲潇湘科技要素交易市场攸县工作站建设，打造聚焦科技创新资源、对接技术创新供给和技术创新需求交易、链接科技服务和科技金融服务、促进科技成果转化产业化的公共服务平台。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5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.推动科技金融深度融合。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畅通银企信息渠道，推进知识价值信用贷款，引导银行对科技型企业开发多种专属信贷产品，加大科技信贷投入。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县金融办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县财政局、县科工信局、中国人民银行攸县支行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8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稳步推进知识产权质押融资登记工作，带动社会资本、金融资本支持科技型企业创新发展。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县市场监管局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7"/>
        <w:tblpPr w:leftFromText="180" w:rightFromText="180" w:vertAnchor="text" w:horzAnchor="page" w:tblpX="1433" w:tblpY="32"/>
        <w:tblOverlap w:val="never"/>
        <w:tblW w:w="141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28"/>
        <w:gridCol w:w="8664"/>
        <w:gridCol w:w="1404"/>
        <w:gridCol w:w="15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工作任务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黑体简体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工作事项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黑体简体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1"/>
                <w:szCs w:val="21"/>
              </w:rPr>
              <w:t>责任</w:t>
            </w:r>
            <w:r>
              <w:rPr>
                <w:rFonts w:ascii="Times New Roman" w:hAnsi="Times New Roman" w:eastAsia="方正黑体简体"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（三）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  <w:t>创新平台建设攻坚行动</w:t>
            </w:r>
          </w:p>
          <w:p>
            <w:pPr>
              <w:pStyle w:val="6"/>
              <w:ind w:left="640" w:firstLine="420"/>
              <w:jc w:val="center"/>
              <w:rPr>
                <w:rStyle w:val="10"/>
                <w:rFonts w:ascii="Times New Roman" w:hAnsi="Times New Roman" w:eastAsia="方正仿宋简体"/>
                <w:sz w:val="21"/>
              </w:rPr>
            </w:pPr>
          </w:p>
          <w:p>
            <w:pPr>
              <w:pStyle w:val="6"/>
              <w:ind w:left="640" w:firstLine="420"/>
              <w:jc w:val="center"/>
              <w:rPr>
                <w:rStyle w:val="10"/>
                <w:rFonts w:ascii="Times New Roman" w:hAnsi="Times New Roman" w:eastAsia="方正仿宋简体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 w:ascii="Times New Roman" w:hAnsi="Times New Roman" w:eastAsia="方正仿宋简体"/>
                <w:sz w:val="21"/>
                <w:szCs w:val="21"/>
              </w:rPr>
              <w:t>6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打造开放合作创新实体。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重点推动优势企业与省内外重点高校院所共建“校企联合实验室”“新型研发机构”“产业技术研究院”等创新联合体，在运行管理上完善共享机制，政府引导和市场化运作结合，实现应用型科研成果的批量创造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  <w:t>高新区、县农业农村局、县林业局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 w:ascii="Times New Roman" w:hAnsi="Times New Roman" w:eastAsia="方正仿宋简体"/>
                <w:sz w:val="21"/>
                <w:szCs w:val="21"/>
              </w:rPr>
              <w:t>7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  <w:t>.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推动各类创新平台发展升级。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依托科技专家服务团的人才资源，推进科技研发和孵化平台建设，力争创建2家省级企业技术中心，1家市级以上众创空间，1家市级以上星创天地，通过平台支撑突破一批技术瓶颈，高效实现科技成果转化生产力。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  <w:t>县科工信局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  <w:t>高新区、县发改局、县财政局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（四）创新人才强基攻坚行动。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8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.强化高层次人才引进培育。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持续做好柔性引才工作，全力支持院士专家工作室、博士工作站等人才平台建设。持续推进科技特派员工作，聚焦重点产业和龙头企业，坚持按需选派原则，引导和鼓励科技人才深入广大农村开展技术服务。大力推进“高精尖人才”“双创精英人才”等人才支持计划，引进培育双创精英人才（团队），发掘和培育青年科技人才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县委组织部</w:t>
            </w:r>
          </w:p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高新区、县林业局、县农业农村局、县畜牧水产中心、县科协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9</w:t>
            </w: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.营造良好人才发展环境。</w:t>
            </w:r>
          </w:p>
        </w:tc>
        <w:tc>
          <w:tcPr>
            <w:tcW w:w="8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建立以创新价值、能力、贡献为导向的人才评价制度，对重点产业重点领域突破关键核心技术、做出重大贡献的技术人才以及引进的高层次、急需紧缺人才等，开通职称评审“绿色通道”。持续做好紧缺急需人才引进，构建起我县紧缺急需人才专业目录，计划引进硕士研究生以上学历人才30名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县委组织部</w:t>
            </w:r>
          </w:p>
          <w:p>
            <w:pPr>
              <w:widowControl/>
              <w:ind w:left="-160" w:leftChars="-50" w:right="-160" w:rightChars="-50"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县人社局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</w:pPr>
            <w:r>
              <w:rPr>
                <w:rStyle w:val="10"/>
                <w:rFonts w:ascii="Times New Roman" w:hAnsi="Times New Roman" w:eastAsia="方正仿宋简体"/>
                <w:sz w:val="21"/>
                <w:szCs w:val="21"/>
                <w:lang w:bidi="ar"/>
              </w:rPr>
              <w:t>县科工信局、县教育局、县卫健局</w:t>
            </w:r>
          </w:p>
        </w:tc>
      </w:tr>
    </w:tbl>
    <w:p>
      <w:pPr>
        <w:rPr>
          <w:rFonts w:ascii="Times New Roman" w:hAnsi="Times New Roman"/>
        </w:rPr>
      </w:pPr>
    </w:p>
    <w:p>
      <w:pPr>
        <w:bidi w:val="0"/>
        <w:rPr>
          <w:rFonts w:ascii="Calibri" w:hAnsi="Calibri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10418"/>
        </w:tabs>
        <w:bidi w:val="0"/>
        <w:jc w:val="left"/>
        <w:rPr>
          <w:lang w:val="en-US" w:eastAsia="zh-CN"/>
        </w:rPr>
        <w:sectPr>
          <w:pgSz w:w="16838" w:h="11906" w:orient="landscape"/>
          <w:pgMar w:top="1418" w:right="1420" w:bottom="1418" w:left="1420" w:header="851" w:footer="992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A1DB4"/>
    <w:rsid w:val="51F509EB"/>
    <w:rsid w:val="621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styleId="6">
    <w:name w:val="Body Text First Indent 2"/>
    <w:basedOn w:val="2"/>
    <w:qFormat/>
    <w:uiPriority w:val="0"/>
    <w:pPr>
      <w:tabs>
        <w:tab w:val="right" w:leader="dot" w:pos="8296"/>
      </w:tabs>
      <w:spacing w:before="100" w:beforeAutospacing="1" w:after="0" w:line="360" w:lineRule="auto"/>
      <w:ind w:left="200" w:leftChars="0" w:firstLine="200" w:firstLineChars="200"/>
    </w:pPr>
    <w:rPr>
      <w:rFonts w:eastAsia="楷体_GB2312"/>
      <w:sz w:val="30"/>
      <w:szCs w:val="21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31"/>
    <w:qFormat/>
    <w:uiPriority w:val="0"/>
    <w:rPr>
      <w:rFonts w:ascii="仿宋_GB2312" w:eastAsia="仿宋_GB2312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2023-06-15T07:58:00Z</dcterms:created>
  <dc:creator>Administrator</dc:creator>
  <cp:lastModifiedBy>Administrator</cp:lastModifiedBy>
  <dcterms:modified xsi:type="dcterms:W3CDTF">2023-06-21T01:58:21Z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