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eastAsia="黑体"/>
          <w:bCs/>
          <w:kern w:val="0"/>
          <w:szCs w:val="32"/>
        </w:rPr>
      </w:pPr>
      <w:r>
        <w:rPr>
          <w:rFonts w:ascii="Times New Roman" w:hAnsi="Times New Roman" w:eastAsia="黑体"/>
          <w:bCs/>
          <w:kern w:val="0"/>
          <w:szCs w:val="32"/>
        </w:rPr>
        <w:t>附件5</w:t>
      </w:r>
    </w:p>
    <w:p>
      <w:pPr>
        <w:adjustRightInd w:val="0"/>
        <w:snapToGrid w:val="0"/>
        <w:spacing w:line="560" w:lineRule="exact"/>
        <w:rPr>
          <w:rFonts w:ascii="Times New Roman" w:hAnsi="Times New Roman" w:eastAsia="方正小标宋简体"/>
          <w:bCs/>
          <w:kern w:val="0"/>
          <w:sz w:val="44"/>
          <w:szCs w:val="44"/>
        </w:rPr>
      </w:pPr>
    </w:p>
    <w:p>
      <w:pPr>
        <w:adjustRightInd w:val="0"/>
        <w:snapToGrid w:val="0"/>
        <w:spacing w:line="56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攸县打好安全生产翻身仗工作方案</w:t>
      </w:r>
    </w:p>
    <w:p>
      <w:pPr>
        <w:adjustRightInd w:val="0"/>
        <w:snapToGrid w:val="0"/>
        <w:spacing w:line="560" w:lineRule="exact"/>
        <w:ind w:firstLine="640" w:firstLineChars="200"/>
        <w:rPr>
          <w:rFonts w:ascii="Times New Roman" w:hAnsi="Times New Roman" w:eastAsia="仿宋_GB2312"/>
          <w:bCs/>
          <w:kern w:val="0"/>
          <w:szCs w:val="32"/>
        </w:rPr>
      </w:pPr>
    </w:p>
    <w:p>
      <w:pPr>
        <w:adjustRightInd w:val="0"/>
        <w:snapToGrid w:val="0"/>
        <w:spacing w:line="560" w:lineRule="exact"/>
        <w:ind w:firstLine="640" w:firstLineChars="200"/>
        <w:rPr>
          <w:rFonts w:ascii="Times New Roman" w:hAnsi="Times New Roman" w:eastAsia="仿宋_GB2312"/>
          <w:bCs/>
          <w:kern w:val="0"/>
          <w:szCs w:val="32"/>
        </w:rPr>
      </w:pPr>
      <w:r>
        <w:rPr>
          <w:rFonts w:ascii="Times New Roman" w:hAnsi="Times New Roman" w:eastAsia="仿宋_GB2312"/>
          <w:szCs w:val="32"/>
        </w:rPr>
        <w:t>以习近平新时代中国特色社会主义思想为指导，深入贯彻党的二十大精神和习近平总书记关于安全生产重要论述、重要指示批示精神，坚持“人民至上、安全第一”的安全发展理念，紧紧围绕实现“两个根本”，统筹发展和安全，着力构建大安全大应急框架，不断完善安全生产体系，全面贯彻国务院安委会“十五条”硬措施，</w:t>
      </w:r>
      <w:r>
        <w:rPr>
          <w:rFonts w:ascii="Times New Roman" w:hAnsi="Times New Roman" w:eastAsia="仿宋_GB2312"/>
          <w:bCs/>
          <w:kern w:val="0"/>
          <w:szCs w:val="32"/>
        </w:rPr>
        <w:t>根据省委、省政府、市委、市政府和</w:t>
      </w:r>
      <w:r>
        <w:rPr>
          <w:rFonts w:ascii="Times New Roman" w:hAnsi="Times New Roman" w:eastAsia="仿宋_GB2312"/>
          <w:szCs w:val="32"/>
        </w:rPr>
        <w:t>县委、县政府决策部署，结合我县实际，全面打好安全生产翻身仗，</w:t>
      </w:r>
      <w:r>
        <w:rPr>
          <w:rFonts w:ascii="Times New Roman" w:hAnsi="Times New Roman" w:eastAsia="仿宋_GB2312"/>
          <w:bCs/>
          <w:kern w:val="0"/>
          <w:szCs w:val="32"/>
        </w:rPr>
        <w:t>特制定本</w:t>
      </w:r>
      <w:r>
        <w:rPr>
          <w:rFonts w:hint="eastAsia" w:ascii="Times New Roman" w:hAnsi="Times New Roman" w:eastAsia="仿宋_GB2312"/>
          <w:bCs/>
          <w:kern w:val="0"/>
          <w:szCs w:val="32"/>
        </w:rPr>
        <w:t>工作</w:t>
      </w:r>
      <w:r>
        <w:rPr>
          <w:rFonts w:ascii="Times New Roman" w:hAnsi="Times New Roman" w:eastAsia="仿宋_GB2312"/>
          <w:bCs/>
          <w:kern w:val="0"/>
          <w:szCs w:val="32"/>
        </w:rPr>
        <w:t>方案。</w:t>
      </w:r>
    </w:p>
    <w:p>
      <w:pPr>
        <w:adjustRightInd w:val="0"/>
        <w:snapToGrid w:val="0"/>
        <w:spacing w:line="560" w:lineRule="exact"/>
        <w:ind w:firstLine="640" w:firstLineChars="200"/>
        <w:rPr>
          <w:rFonts w:ascii="Times New Roman" w:hAnsi="Times New Roman" w:eastAsia="黑体"/>
          <w:kern w:val="0"/>
          <w:szCs w:val="20"/>
        </w:rPr>
      </w:pPr>
      <w:r>
        <w:rPr>
          <w:rFonts w:ascii="Times New Roman" w:hAnsi="Times New Roman" w:eastAsia="黑体"/>
          <w:kern w:val="0"/>
          <w:szCs w:val="20"/>
        </w:rPr>
        <w:t>一、工作目标</w:t>
      </w:r>
    </w:p>
    <w:p>
      <w:pPr>
        <w:adjustRightInd w:val="0"/>
        <w:snapToGrid w:val="0"/>
        <w:spacing w:line="600" w:lineRule="exact"/>
        <w:ind w:firstLine="640"/>
        <w:rPr>
          <w:rFonts w:ascii="Times New Roman" w:hAnsi="Times New Roman" w:eastAsia="仿宋_GB2312"/>
          <w:szCs w:val="32"/>
        </w:rPr>
      </w:pPr>
      <w:r>
        <w:rPr>
          <w:rFonts w:ascii="Times New Roman" w:hAnsi="Times New Roman" w:eastAsia="仿宋_GB2312"/>
          <w:szCs w:val="32"/>
        </w:rPr>
        <w:t>坚持“主动防、超前治、科学救”，深刻汲取典型事故教训，从根本上扭转被动局面，推动安全生产形势相对稳定，推动安全生产治理模式向事前预防转型，形成长效机制，切实提高本质安全水平，坚决杜绝较大及以上事故，坚决遏制一般事故，坚决防范自然灾害导致较大人员伤亡，确保事故起数和死亡人数持续下降，确保全县安全生产形势持续稳定向好，全力保障人民群众生命财产安全和维护社会稳定，为打造“三个高地”推进“三大会战”开展“六大行动”创造安全稳定环境。</w:t>
      </w:r>
    </w:p>
    <w:p>
      <w:pPr>
        <w:adjustRightInd w:val="0"/>
        <w:snapToGrid w:val="0"/>
        <w:spacing w:line="600" w:lineRule="exact"/>
        <w:ind w:firstLine="640"/>
        <w:rPr>
          <w:rFonts w:ascii="Times New Roman" w:hAnsi="Times New Roman" w:eastAsia="黑体"/>
          <w:szCs w:val="32"/>
        </w:rPr>
      </w:pPr>
      <w:r>
        <w:rPr>
          <w:rFonts w:ascii="Times New Roman" w:hAnsi="Times New Roman" w:eastAsia="黑体"/>
          <w:szCs w:val="32"/>
        </w:rPr>
        <w:t>二、工作任务</w:t>
      </w:r>
    </w:p>
    <w:p>
      <w:pPr>
        <w:adjustRightInd w:val="0"/>
        <w:snapToGrid w:val="0"/>
        <w:spacing w:line="600" w:lineRule="exact"/>
        <w:ind w:firstLine="640"/>
        <w:rPr>
          <w:rFonts w:ascii="Times New Roman" w:hAnsi="Times New Roman" w:eastAsia="楷体_GB2312"/>
          <w:b/>
          <w:szCs w:val="32"/>
        </w:rPr>
      </w:pPr>
      <w:r>
        <w:rPr>
          <w:rFonts w:ascii="Times New Roman" w:hAnsi="Times New Roman" w:eastAsia="楷体_GB2312"/>
          <w:b/>
          <w:szCs w:val="32"/>
        </w:rPr>
        <w:t>（一）强化安全监管</w:t>
      </w:r>
    </w:p>
    <w:p>
      <w:pPr>
        <w:adjustRightInd w:val="0"/>
        <w:snapToGrid w:val="0"/>
        <w:spacing w:line="600" w:lineRule="exact"/>
        <w:ind w:firstLine="640"/>
        <w:rPr>
          <w:rFonts w:ascii="Times New Roman" w:hAnsi="Times New Roman" w:eastAsia="仿宋_GB2312"/>
          <w:snapToGrid w:val="0"/>
          <w:kern w:val="0"/>
          <w:szCs w:val="32"/>
        </w:rPr>
      </w:pPr>
      <w:r>
        <w:rPr>
          <w:rFonts w:ascii="Times New Roman" w:hAnsi="Times New Roman" w:eastAsia="仿宋_GB2312"/>
          <w:b/>
          <w:bCs/>
          <w:szCs w:val="32"/>
        </w:rPr>
        <w:t>1.开展隐患清零行动。</w:t>
      </w:r>
      <w:r>
        <w:rPr>
          <w:rFonts w:ascii="Times New Roman" w:hAnsi="Times New Roman" w:eastAsia="仿宋_GB2312"/>
          <w:szCs w:val="32"/>
        </w:rPr>
        <w:t>按照“三管三必须”和“业务相近”“管合法也要管非法”的要求，深入开展隐患清零行动。</w:t>
      </w:r>
      <w:r>
        <w:rPr>
          <w:rFonts w:ascii="Times New Roman" w:hAnsi="Times New Roman" w:eastAsia="仿宋_GB2312"/>
          <w:bCs/>
          <w:kern w:val="0"/>
          <w:szCs w:val="32"/>
        </w:rPr>
        <w:t>对省安委会巡查问题、</w:t>
      </w:r>
      <w:r>
        <w:rPr>
          <w:rFonts w:ascii="Times New Roman" w:hAnsi="Times New Roman" w:eastAsia="仿宋_GB2312"/>
          <w:kern w:val="0"/>
          <w:szCs w:val="32"/>
        </w:rPr>
        <w:t>专项整治三年行动和潜在风险隐患排查出来的重大隐患进行回头看，确保100%按期整改到位。</w:t>
      </w:r>
      <w:r>
        <w:rPr>
          <w:rFonts w:ascii="Times New Roman" w:hAnsi="Times New Roman" w:eastAsia="仿宋_GB2312"/>
          <w:szCs w:val="32"/>
        </w:rPr>
        <w:t>商场、超市、影院、医院、养老院、学校、幼儿园、</w:t>
      </w:r>
      <w:r>
        <w:rPr>
          <w:rFonts w:ascii="Times New Roman" w:hAnsi="Times New Roman" w:eastAsia="仿宋_GB2312"/>
          <w:kern w:val="0"/>
          <w:szCs w:val="32"/>
        </w:rPr>
        <w:t>校外培训机构、托管机构</w:t>
      </w:r>
      <w:r>
        <w:rPr>
          <w:rFonts w:ascii="Times New Roman" w:hAnsi="Times New Roman" w:eastAsia="仿宋_GB2312"/>
          <w:szCs w:val="32"/>
        </w:rPr>
        <w:t>等人员密集场所和高层建筑封堵安全出口、疏散通道的问题，确保</w:t>
      </w:r>
      <w:r>
        <w:rPr>
          <w:rFonts w:ascii="Times New Roman" w:hAnsi="Times New Roman" w:eastAsia="仿宋_GB2312"/>
          <w:szCs w:val="32"/>
          <w:lang w:val="en"/>
        </w:rPr>
        <w:t>100%限期整改到位。高危企业</w:t>
      </w:r>
      <w:r>
        <w:rPr>
          <w:rFonts w:ascii="Times New Roman" w:hAnsi="Times New Roman" w:eastAsia="仿宋_GB2312"/>
          <w:szCs w:val="32"/>
        </w:rPr>
        <w:t>重大事故隐患及时报告主管和监管部门，严格落实“一单四制”管理，确保</w:t>
      </w:r>
      <w:r>
        <w:rPr>
          <w:rFonts w:ascii="Times New Roman" w:hAnsi="Times New Roman" w:eastAsia="仿宋_GB2312"/>
          <w:szCs w:val="32"/>
          <w:lang w:val="en"/>
        </w:rPr>
        <w:t>100%按</w:t>
      </w:r>
      <w:r>
        <w:rPr>
          <w:rFonts w:ascii="Times New Roman" w:hAnsi="Times New Roman" w:eastAsia="仿宋_GB2312"/>
          <w:szCs w:val="32"/>
        </w:rPr>
        <w:t>期</w:t>
      </w:r>
      <w:r>
        <w:rPr>
          <w:rFonts w:ascii="Times New Roman" w:hAnsi="Times New Roman" w:eastAsia="仿宋_GB2312"/>
          <w:szCs w:val="32"/>
          <w:lang w:val="en"/>
        </w:rPr>
        <w:t>整改到位</w:t>
      </w:r>
      <w:r>
        <w:rPr>
          <w:rFonts w:ascii="Times New Roman" w:hAnsi="Times New Roman" w:eastAsia="仿宋_GB2312"/>
          <w:szCs w:val="32"/>
        </w:rPr>
        <w:t>。督促</w:t>
      </w:r>
      <w:r>
        <w:rPr>
          <w:rFonts w:ascii="Times New Roman" w:hAnsi="Times New Roman" w:eastAsia="仿宋_GB2312"/>
          <w:snapToGrid w:val="0"/>
          <w:kern w:val="0"/>
          <w:szCs w:val="32"/>
        </w:rPr>
        <w:t>各类生产经营单位要建立安全风险和隐患清单（重大风险隐患报主管和监管部门），落实风险管控和隐患整改措施，重大事故隐患严格按照“一单四制”整改“清零”。（县安委办牵头，县安委会各成员单位分工负责）</w:t>
      </w:r>
    </w:p>
    <w:p>
      <w:pPr>
        <w:adjustRightInd w:val="0"/>
        <w:snapToGrid w:val="0"/>
        <w:spacing w:line="600" w:lineRule="exact"/>
        <w:ind w:firstLine="643" w:firstLineChars="200"/>
        <w:rPr>
          <w:rFonts w:ascii="Times New Roman" w:hAnsi="Times New Roman" w:eastAsia="仿宋_GB2312"/>
          <w:kern w:val="0"/>
          <w:szCs w:val="32"/>
        </w:rPr>
      </w:pPr>
      <w:r>
        <w:rPr>
          <w:rFonts w:ascii="Times New Roman" w:hAnsi="Times New Roman" w:eastAsia="仿宋_GB2312"/>
          <w:b/>
          <w:bCs/>
          <w:szCs w:val="32"/>
        </w:rPr>
        <w:t>2.严格监管执法。</w:t>
      </w:r>
      <w:r>
        <w:rPr>
          <w:rFonts w:ascii="Times New Roman" w:hAnsi="Times New Roman" w:eastAsia="仿宋_GB2312"/>
          <w:kern w:val="0"/>
          <w:szCs w:val="32"/>
        </w:rPr>
        <w:t>持续深入开展“强执法防事故”行动，</w:t>
      </w:r>
      <w:r>
        <w:rPr>
          <w:rFonts w:ascii="Times New Roman" w:hAnsi="Times New Roman" w:eastAsia="仿宋_GB2312"/>
          <w:kern w:val="0"/>
          <w:szCs w:val="32"/>
          <w:lang w:val="en"/>
        </w:rPr>
        <w:t>按季度实行监管执法排名</w:t>
      </w:r>
      <w:r>
        <w:rPr>
          <w:rFonts w:ascii="Times New Roman" w:hAnsi="Times New Roman" w:eastAsia="仿宋_GB2312"/>
          <w:kern w:val="0"/>
          <w:szCs w:val="32"/>
        </w:rPr>
        <w:t>。分级分类精准执法，全面落实计划执法，</w:t>
      </w:r>
      <w:r>
        <w:rPr>
          <w:rFonts w:ascii="Times New Roman" w:hAnsi="Times New Roman" w:eastAsia="仿宋_GB2312"/>
          <w:szCs w:val="32"/>
          <w:lang w:bidi="ar"/>
        </w:rPr>
        <w:t>开展交叉执法、联合执法、“互联网+执法”，确保</w:t>
      </w:r>
      <w:r>
        <w:rPr>
          <w:rFonts w:ascii="Times New Roman" w:hAnsi="Times New Roman" w:eastAsia="仿宋_GB2312"/>
          <w:kern w:val="0"/>
          <w:szCs w:val="32"/>
        </w:rPr>
        <w:t>高危行业企业</w:t>
      </w:r>
      <w:r>
        <w:rPr>
          <w:rFonts w:ascii="Times New Roman" w:hAnsi="Times New Roman" w:eastAsia="仿宋_GB2312"/>
          <w:kern w:val="0"/>
          <w:szCs w:val="32"/>
          <w:lang w:val="en"/>
        </w:rPr>
        <w:t>监管执法覆盖率100%，确保</w:t>
      </w:r>
      <w:r>
        <w:rPr>
          <w:rFonts w:ascii="Times New Roman" w:hAnsi="Times New Roman" w:eastAsia="仿宋_GB2312"/>
          <w:szCs w:val="32"/>
          <w:lang w:bidi="ar"/>
        </w:rPr>
        <w:t>发现的重点问题、重大隐患实现“闭环管理”</w:t>
      </w:r>
      <w:r>
        <w:rPr>
          <w:rFonts w:ascii="Times New Roman" w:hAnsi="Times New Roman" w:eastAsia="仿宋_GB2312"/>
          <w:bCs/>
          <w:kern w:val="0"/>
          <w:szCs w:val="32"/>
        </w:rPr>
        <w:t>。</w:t>
      </w:r>
      <w:r>
        <w:rPr>
          <w:rFonts w:ascii="Times New Roman" w:hAnsi="Times New Roman" w:eastAsia="仿宋_GB2312"/>
          <w:kern w:val="0"/>
          <w:szCs w:val="32"/>
        </w:rPr>
        <w:t>严格落实《安全生产法》《湖南省安全生产条例》和《刑法修正案（十一）》，依法推进“行刑衔接”，对严重危害公共安全的违法行为依法追究刑事责任。（县安委办牵头，各负有安全监管职责单位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ascii="Times New Roman" w:hAnsi="Times New Roman" w:eastAsia="仿宋_GB2312"/>
          <w:b/>
          <w:kern w:val="0"/>
          <w:szCs w:val="32"/>
        </w:rPr>
        <w:t>3.强化“打非治违”行动。</w:t>
      </w:r>
      <w:r>
        <w:rPr>
          <w:rFonts w:ascii="Times New Roman" w:hAnsi="Times New Roman" w:eastAsia="仿宋_GB2312"/>
          <w:bCs/>
          <w:kern w:val="0"/>
          <w:szCs w:val="32"/>
        </w:rPr>
        <w:t>严格落实属地政府“打非”主体责任和行业领域部门责任</w:t>
      </w:r>
      <w:r>
        <w:rPr>
          <w:rFonts w:ascii="Times New Roman" w:hAnsi="Times New Roman" w:eastAsia="仿宋_GB2312"/>
          <w:bCs/>
          <w:kern w:val="0"/>
          <w:szCs w:val="32"/>
          <w:lang w:val="en"/>
        </w:rPr>
        <w:t>。</w:t>
      </w:r>
      <w:r>
        <w:rPr>
          <w:rFonts w:ascii="Times New Roman" w:hAnsi="Times New Roman" w:eastAsia="仿宋_GB2312"/>
          <w:bCs/>
          <w:kern w:val="0"/>
          <w:szCs w:val="32"/>
        </w:rPr>
        <w:t>严厉打击矿山违法盗采、危化品非法生产运输经营、无资质施工和层层转包、客车客船非法营运、违规电气焊、油气管道乱挖乱钻等典型非法违法行为</w:t>
      </w:r>
      <w:r>
        <w:rPr>
          <w:rFonts w:ascii="Times New Roman" w:hAnsi="Times New Roman" w:eastAsia="仿宋_GB2312"/>
          <w:bCs/>
          <w:kern w:val="0"/>
          <w:szCs w:val="32"/>
          <w:lang w:val="en"/>
        </w:rPr>
        <w:t>，</w:t>
      </w:r>
      <w:r>
        <w:rPr>
          <w:rFonts w:ascii="Times New Roman" w:hAnsi="Times New Roman" w:eastAsia="仿宋_GB2312"/>
          <w:bCs/>
          <w:kern w:val="0"/>
          <w:szCs w:val="32"/>
        </w:rPr>
        <w:t>每季度公开曝光一批“非法违法”典型案例。对顶风作案、屡禁不止，以及责任不落实、监管不到位、失职渎职的，依纪依法从重惩处。深挖严打违法行为背后的“保护伞”，对监管执法人员和不法企业“猫鼠一家”的腐败问题，移交纪检监察机关严肃处理。</w:t>
      </w:r>
      <w:r>
        <w:rPr>
          <w:rFonts w:ascii="Times New Roman" w:hAnsi="Times New Roman" w:eastAsia="仿宋_GB2312"/>
          <w:szCs w:val="32"/>
        </w:rPr>
        <w:t>遏制非法违法生产，通过典型曝光、行刑衔接和联合惩戒，强力打击黑色产业链、整治执法宽松软，形成震慑。（县安委办牵头，县安委会各成员单位分工负责；各乡镇、街道分别负责）</w:t>
      </w:r>
    </w:p>
    <w:p>
      <w:pPr>
        <w:adjustRightInd w:val="0"/>
        <w:snapToGrid w:val="0"/>
        <w:spacing w:line="600" w:lineRule="exact"/>
        <w:ind w:firstLine="643" w:firstLineChars="200"/>
        <w:rPr>
          <w:rFonts w:ascii="Times New Roman" w:hAnsi="Times New Roman" w:eastAsia="楷体_GB2312"/>
          <w:b/>
          <w:szCs w:val="32"/>
        </w:rPr>
      </w:pPr>
      <w:r>
        <w:rPr>
          <w:rFonts w:ascii="Times New Roman" w:hAnsi="Times New Roman" w:eastAsia="楷体_GB2312"/>
          <w:b/>
          <w:kern w:val="0"/>
          <w:szCs w:val="32"/>
        </w:rPr>
        <w:t>（二）深化专项整治</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4</w:t>
      </w:r>
      <w:r>
        <w:rPr>
          <w:rFonts w:ascii="Times New Roman" w:hAnsi="Times New Roman" w:eastAsia="仿宋_GB2312"/>
          <w:b/>
          <w:kern w:val="0"/>
          <w:szCs w:val="32"/>
        </w:rPr>
        <w:t>.消防和人员密集场所专项整治。</w:t>
      </w:r>
      <w:r>
        <w:rPr>
          <w:rFonts w:ascii="Times New Roman" w:hAnsi="Times New Roman" w:eastAsia="仿宋_GB2312"/>
          <w:bCs/>
          <w:kern w:val="0"/>
          <w:szCs w:val="32"/>
        </w:rPr>
        <w:t>深入推进、持续巩固冬春消防安全专项整治成果，盯紧盯牢望云国际、湘东大市场等高层建筑、大型商业综合体、厂房仓储、劳动密集型企业等高风险场所，以及棚户区集中区、城中村、群租房、城乡结合部、老旧小区等低设防区域，突出违规使用醇基燃料、电动自行车进楼入户、封闭堵塞消防车通道、违规动火动焊、私拉乱接电线、违规搭建临时建筑等问题隐患专项治理。较大以上火灾事故责任追究率100%。</w:t>
      </w:r>
      <w:r>
        <w:rPr>
          <w:rFonts w:ascii="Times New Roman" w:hAnsi="Times New Roman" w:eastAsia="仿宋_GB2312"/>
          <w:szCs w:val="32"/>
        </w:rPr>
        <w:t>（县消防救援大队牵头，县公安局、县住建局、县科工信局、县商务局、县市场服务中心、县应急管理局等依职责负责；各乡镇、街道分别负责）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szCs w:val="32"/>
        </w:rPr>
        <w:t>5</w:t>
      </w:r>
      <w:r>
        <w:rPr>
          <w:rFonts w:ascii="Times New Roman" w:hAnsi="Times New Roman" w:eastAsia="仿宋_GB2312"/>
          <w:b/>
          <w:szCs w:val="32"/>
        </w:rPr>
        <w:t>.烟花爆竹安全专项整治。</w:t>
      </w:r>
      <w:r>
        <w:rPr>
          <w:rFonts w:ascii="Times New Roman" w:hAnsi="Times New Roman" w:eastAsia="仿宋_GB2312"/>
          <w:szCs w:val="32"/>
        </w:rPr>
        <w:t>坚决整治多股东独立组织生产、分包转包、“四超二改”等顽瘴痼疾，批发企业“六严禁”落实率100%，零售店“下店上宅、前店后宅”关闭取缔率100%；生产企业对标改造率100%；生产企业风险预警系统建成率100%。对非法生产、经营、储存、运输、燃放烟花爆竹行为，坚持露头就打。（县应急管理局牵头，县公安局、县交运局、县市场监管局、县邮政公司等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6</w:t>
      </w:r>
      <w:r>
        <w:rPr>
          <w:rFonts w:ascii="Times New Roman" w:hAnsi="Times New Roman" w:eastAsia="仿宋_GB2312"/>
          <w:b/>
          <w:kern w:val="0"/>
          <w:szCs w:val="32"/>
        </w:rPr>
        <w:t>.危险化学品安全专项整治。</w:t>
      </w:r>
      <w:r>
        <w:rPr>
          <w:rFonts w:ascii="Times New Roman" w:hAnsi="Times New Roman" w:eastAsia="仿宋_GB2312"/>
          <w:bCs/>
          <w:kern w:val="0"/>
          <w:szCs w:val="32"/>
        </w:rPr>
        <w:t>组织开展二轮“消地协作”重大危险源联合督导检查，企业对标自查率100%、交叉执法检查覆盖率100%。组织对涉及氯化、重氮化、氟化、过氧化等危险化工工艺企业开展专家指导服务及“回头看”，确保“一企一策”整改率100%。推进大型油气储存基地气体检测、紧急切断、视频监控、雷电预警“四个系统”建设达标率100%。推动精细化工企业反应安全风险评估、自动化控制装备改造、从业人员学历资质达标、人员密集场所搬迁改造“四项清零”100%达标。督促危险化学品产业转移项目安全设计诊断发现问题隐患的整改销号，督促指导化工园区开展“十有两禁”整治提升，确保保持一般或较低安全风险等级。持续推进危险化学品重点企业安全生产分管负责人、专职安全管理人员和班组长“三类人员”培训率不少于60%。危险化学品企业专职安全管理人员和高风险岗位操作人员资质达标率100%。</w:t>
      </w:r>
      <w:r>
        <w:rPr>
          <w:rFonts w:ascii="Times New Roman" w:hAnsi="Times New Roman" w:eastAsia="仿宋_GB2312"/>
          <w:szCs w:val="32"/>
        </w:rPr>
        <w:t>（县高新区、县应急管理局牵头，县消防救援大队、县发改局、县人社局、县科工信局等依职责负责；各乡镇、街道分别负责）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szCs w:val="32"/>
        </w:rPr>
        <w:t>7</w:t>
      </w:r>
      <w:r>
        <w:rPr>
          <w:rFonts w:ascii="Times New Roman" w:hAnsi="Times New Roman" w:eastAsia="仿宋_GB2312"/>
          <w:b/>
          <w:szCs w:val="32"/>
        </w:rPr>
        <w:t>.矿山安全专项整治</w:t>
      </w:r>
      <w:r>
        <w:rPr>
          <w:rFonts w:ascii="Times New Roman" w:hAnsi="Times New Roman" w:eastAsia="仿宋_GB2312"/>
          <w:bCs/>
          <w:szCs w:val="32"/>
        </w:rPr>
        <w:t>。</w:t>
      </w:r>
      <w:r>
        <w:rPr>
          <w:rFonts w:ascii="Times New Roman" w:hAnsi="Times New Roman" w:eastAsia="仿宋_GB2312"/>
          <w:szCs w:val="32"/>
        </w:rPr>
        <w:t>加强煤矿隐蔽致灾因素普查治理，落实水害防治“三十条”，落实顶板治理相关措施，全面推进煤矿支护改革。到2023年底，全县煤矿30个以上固定岗位实现自动化无人值守；正常生产煤矿三级标准化达标率100%，2处煤矿达到二级标准化；煤矿机械化采煤工作面达到6个，1处煤矿完成技改竣工验收。</w:t>
      </w:r>
      <w:r>
        <w:rPr>
          <w:rFonts w:ascii="Times New Roman" w:hAnsi="Times New Roman" w:eastAsia="仿宋_GB2312"/>
          <w:szCs w:val="32"/>
          <w:shd w:val="clear" w:color="auto" w:fill="FFFFFF"/>
        </w:rPr>
        <w:t>盯紧看牢尾矿库特别是头顶库，加强监测和巡查，及时排查管控风险隐患。关闭不具备安全生产条件非煤矿山1座以上、尾矿库闭库销号2座；正常生产的非煤地下矿山100%配备五职矿长，没有条件配备的必须委托科研技术机构提供技术服务。</w:t>
      </w:r>
      <w:r>
        <w:rPr>
          <w:rFonts w:ascii="Times New Roman" w:hAnsi="Times New Roman" w:eastAsia="仿宋_GB2312"/>
          <w:szCs w:val="32"/>
        </w:rPr>
        <w:t>（县应急管理局牵头，县自然资源局、县财政局、县发改局、县公安局、煤炭产业事务中心等依职责负责；各乡镇、街道分别负责）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8</w:t>
      </w:r>
      <w:r>
        <w:rPr>
          <w:rFonts w:ascii="Times New Roman" w:hAnsi="Times New Roman" w:eastAsia="仿宋_GB2312"/>
          <w:b/>
          <w:kern w:val="0"/>
          <w:szCs w:val="32"/>
        </w:rPr>
        <w:t>.交通安全专项整治。</w:t>
      </w:r>
      <w:r>
        <w:rPr>
          <w:rFonts w:ascii="Times New Roman" w:hAnsi="Times New Roman" w:eastAsia="仿宋_GB2312"/>
          <w:bCs/>
          <w:kern w:val="0"/>
          <w:szCs w:val="32"/>
        </w:rPr>
        <w:t>持续推进交通顽瘴痼疾整治</w:t>
      </w:r>
      <w:r>
        <w:rPr>
          <w:rFonts w:ascii="Times New Roman" w:hAnsi="Times New Roman" w:eastAsia="华文楷体"/>
          <w:bCs/>
          <w:kern w:val="0"/>
          <w:szCs w:val="32"/>
        </w:rPr>
        <w:t>。</w:t>
      </w:r>
      <w:r>
        <w:rPr>
          <w:rFonts w:ascii="Times New Roman" w:hAnsi="Times New Roman" w:eastAsia="仿宋_GB2312"/>
          <w:bCs/>
          <w:snapToGrid w:val="0"/>
          <w:kern w:val="0"/>
          <w:szCs w:val="32"/>
        </w:rPr>
        <w:t>深入实施公路安全生命防护工程和农村公路平交路口“千灯万带”示范工程。加强“两客一危”车辆智能监控、不停车治超以及水上视频监控。强化部门联动和信息共享，加强低速电动车、变型拖拉机、“大吨小标”等非法非标车辆源头治理，落实道路运输车辆及校车动态</w:t>
      </w:r>
      <w:bookmarkStart w:id="0" w:name="_GoBack"/>
      <w:bookmarkEnd w:id="0"/>
      <w:r>
        <w:rPr>
          <w:rFonts w:ascii="Times New Roman" w:hAnsi="Times New Roman" w:eastAsia="仿宋_GB2312"/>
          <w:bCs/>
          <w:snapToGrid w:val="0"/>
          <w:kern w:val="0"/>
          <w:szCs w:val="32"/>
        </w:rPr>
        <w:t>监督管理；依法查处超速超员、疲劳驾驶，货运车辆非法改装、超限超载，面包车、7座以上客车非法营运，摩托车、电动自行车不戴安全头盔，农用车、拖拉机、工程车等非法载人，公交车、工程运输车、出租车“野蛮驾驶”等违法违规行为；加强“两站两员”队伍建设，夯实农村地区交通安全管理基础</w:t>
      </w:r>
      <w:r>
        <w:rPr>
          <w:rFonts w:ascii="Times New Roman" w:hAnsi="Times New Roman" w:eastAsia="仿宋_GB2312"/>
          <w:szCs w:val="32"/>
        </w:rPr>
        <w:t>。（县交运局、县交警大队依职责牵头，县财政局、县科工信局、县教育局、县农业农村局、县住建局、县市场监管局、县应急管理局等依职责负责；各乡镇、街道分别负责）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9</w:t>
      </w:r>
      <w:r>
        <w:rPr>
          <w:rFonts w:ascii="Times New Roman" w:hAnsi="Times New Roman" w:eastAsia="仿宋_GB2312"/>
          <w:b/>
          <w:kern w:val="0"/>
          <w:szCs w:val="32"/>
        </w:rPr>
        <w:t>.建筑领域专项整治（含自建房）。</w:t>
      </w:r>
      <w:r>
        <w:rPr>
          <w:rFonts w:ascii="Times New Roman" w:hAnsi="Times New Roman" w:eastAsia="仿宋_GB2312"/>
          <w:bCs/>
          <w:spacing w:val="-11"/>
          <w:szCs w:val="32"/>
        </w:rPr>
        <w:t>深入推进建筑施工安全生产专项整治，突出城乡在建住房厂房、市政工程、隧道桥梁、水利、电力等建设项目，深基坑、高支模、高边坡等危大工程，塔吊等起重机械设备的安全、运行、拆卸等关键环节，确保房屋市政工程事故起数和死亡人数同比“双下降”，建筑业百亿元产值死亡率控制在0.8以内。持续推进居民自建房专项整治，确保2023年6月30日前完成自建房结构安全、消防安全等整治任务，对已经排查出来的问题隐患整改率100%</w:t>
      </w:r>
      <w:r>
        <w:rPr>
          <w:rFonts w:ascii="Times New Roman" w:hAnsi="Times New Roman" w:eastAsia="仿宋_GB2312"/>
          <w:szCs w:val="32"/>
        </w:rPr>
        <w:t>。（县住建局牵头，县交运局、县水利局、县自然资源局、县市场监管局、县城管局、县消防救援大队等依职责负责；各乡镇、街道分别负责）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10</w:t>
      </w:r>
      <w:r>
        <w:rPr>
          <w:rFonts w:ascii="Times New Roman" w:hAnsi="Times New Roman" w:eastAsia="仿宋_GB2312"/>
          <w:b/>
          <w:kern w:val="0"/>
          <w:szCs w:val="32"/>
        </w:rPr>
        <w:t>.燃气安全专项整治。</w:t>
      </w:r>
      <w:r>
        <w:rPr>
          <w:rFonts w:ascii="Times New Roman" w:hAnsi="Times New Roman" w:eastAsia="仿宋_GB2312"/>
          <w:szCs w:val="32"/>
        </w:rPr>
        <w:t>持续开展燃气安全专项整治工作，确保全覆盖、无死角、零盲区消除安全隐患。持续推进老旧燃气管道改造，积极争取中央预算内补助资金和省级配套资金支持，完成更新改造燃气市政及庭院管网3.2公里，燃气立管2公里，户内设施0.05万户。（县住建局牵头，县发改局、县财政局、县公安局、县市场监管局等配合；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11</w:t>
      </w:r>
      <w:r>
        <w:rPr>
          <w:rFonts w:ascii="Times New Roman" w:hAnsi="Times New Roman" w:eastAsia="仿宋_GB2312"/>
          <w:b/>
          <w:kern w:val="0"/>
          <w:szCs w:val="32"/>
        </w:rPr>
        <w:t>.工贸企业安全整治。</w:t>
      </w:r>
      <w:r>
        <w:rPr>
          <w:rFonts w:ascii="Times New Roman" w:hAnsi="Times New Roman" w:eastAsia="仿宋_GB2312"/>
          <w:kern w:val="0"/>
          <w:szCs w:val="32"/>
        </w:rPr>
        <w:t>全面启动钢铁、铝加工和涉爆粉尘企业重大事故隐患“清零”回头看行动，确保重大事故隐患100%“清零”。推进工贸行业双重预防机制建设，年底前规模以上工贸企业100%完成建设。配合省、市全面启动工贸监管信息化应用，四季度前100%规模以上工贸企业使用系统。严格安全设施“三同时”手续，所有入园新建企业100%做到安全设施“三同时”要求。对现存但未落实安全设计诊断的企业，进一步推动安全设计诊断和安全现状评价。加强工贸安全监管人员能力培训，新调整人员培训率100%。</w:t>
      </w:r>
      <w:r>
        <w:rPr>
          <w:rFonts w:ascii="Times New Roman" w:hAnsi="Times New Roman" w:eastAsia="仿宋_GB2312"/>
          <w:szCs w:val="32"/>
        </w:rPr>
        <w:t>（县应急管理局、县科工信局、县商务局、县住建局、县文旅广体局、县市场监管局、县财政局、县消防救援大队依职责负责；各乡镇、街道分别负责）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12</w:t>
      </w:r>
      <w:r>
        <w:rPr>
          <w:rFonts w:ascii="Times New Roman" w:hAnsi="Times New Roman" w:eastAsia="仿宋_GB2312"/>
          <w:b/>
          <w:kern w:val="0"/>
          <w:szCs w:val="32"/>
        </w:rPr>
        <w:t>.危险废物及辐射安全专项整治。</w:t>
      </w:r>
      <w:r>
        <w:rPr>
          <w:rFonts w:ascii="Times New Roman" w:hAnsi="Times New Roman" w:eastAsia="仿宋_GB2312"/>
          <w:kern w:val="0"/>
          <w:szCs w:val="32"/>
        </w:rPr>
        <w:t>组织开展危险废物经营单位环境安全专项整治行动，确保危险废物经营单位不发生较大环境污染和生态破坏事件。强化核与辐射安全监管工作，加强辐射事故应急能力、辐射监管和监测能力建设。</w:t>
      </w:r>
      <w:r>
        <w:rPr>
          <w:rFonts w:ascii="Times New Roman" w:hAnsi="Times New Roman" w:eastAsia="仿宋_GB2312"/>
          <w:szCs w:val="32"/>
        </w:rPr>
        <w:t>（生态环境分局牵头，县应急管理局、县消防救援大队、县公安局、县市场监管局等配合；各乡镇、街道分别负责）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13</w:t>
      </w:r>
      <w:r>
        <w:rPr>
          <w:rFonts w:ascii="Times New Roman" w:hAnsi="Times New Roman" w:eastAsia="仿宋_GB2312"/>
          <w:b/>
          <w:kern w:val="0"/>
          <w:szCs w:val="32"/>
        </w:rPr>
        <w:t>.特种设备安全专项整治。</w:t>
      </w:r>
      <w:r>
        <w:rPr>
          <w:rFonts w:ascii="Times New Roman" w:hAnsi="Times New Roman" w:eastAsia="仿宋_GB2312"/>
          <w:szCs w:val="32"/>
        </w:rPr>
        <w:t>突出危险化品相关特种设备、气瓶、客运索道、大型游乐设施、电站锅炉、压力容器、压力管道、乘客电梯、起重机械等重点设备，强化检测检验和执法检查，严厉打击未经登记和检验使用、无维保使用、特种作业人员不持证上岗以及非法生产、经营、充装行为。（县市场监管局牵头，县科工信局、县文旅广体局、县应急管理局等配合；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14</w:t>
      </w:r>
      <w:r>
        <w:rPr>
          <w:rFonts w:ascii="Times New Roman" w:hAnsi="Times New Roman" w:eastAsia="仿宋_GB2312"/>
          <w:b/>
          <w:kern w:val="0"/>
          <w:szCs w:val="32"/>
        </w:rPr>
        <w:t>.能源安全专项整治。</w:t>
      </w:r>
      <w:r>
        <w:rPr>
          <w:rFonts w:ascii="Times New Roman" w:hAnsi="Times New Roman" w:eastAsia="仿宋_GB2312"/>
          <w:szCs w:val="32"/>
        </w:rPr>
        <w:t>加强火电、新能源、油气管道安全监管，杜绝电力人身伤亡责任事故，不发生因监管不力造成的油气管道损坏事故。（县发改局牵头，县住建局、县农业农村局、县供电公司等单位依职责配合；各乡镇、街道分别负责）</w:t>
      </w:r>
    </w:p>
    <w:p>
      <w:pPr>
        <w:pStyle w:val="2"/>
        <w:shd w:val="clear" w:color="auto" w:fill="FFFFFF"/>
        <w:adjustRightInd w:val="0"/>
        <w:snapToGrid w:val="0"/>
        <w:spacing w:line="600" w:lineRule="exact"/>
        <w:ind w:firstLine="643" w:firstLineChars="200"/>
        <w:rPr>
          <w:rFonts w:hint="default" w:ascii="Times New Roman" w:hAnsi="Times New Roman" w:eastAsia="仿宋_GB2312"/>
          <w:kern w:val="2"/>
          <w:sz w:val="32"/>
          <w:szCs w:val="32"/>
        </w:rPr>
      </w:pPr>
      <w:r>
        <w:rPr>
          <w:rFonts w:ascii="Times New Roman" w:hAnsi="Times New Roman" w:eastAsia="仿宋_GB2312"/>
          <w:b/>
          <w:sz w:val="32"/>
          <w:szCs w:val="32"/>
        </w:rPr>
        <w:t>15</w:t>
      </w:r>
      <w:r>
        <w:rPr>
          <w:rFonts w:hint="default" w:ascii="Times New Roman" w:hAnsi="Times New Roman" w:eastAsia="仿宋_GB2312"/>
          <w:b/>
          <w:sz w:val="32"/>
          <w:szCs w:val="32"/>
        </w:rPr>
        <w:t>.文化体育旅游安全专项整治。</w:t>
      </w:r>
      <w:r>
        <w:rPr>
          <w:rFonts w:hint="default" w:ascii="Times New Roman" w:hAnsi="Times New Roman" w:eastAsia="仿宋_GB2312"/>
          <w:kern w:val="2"/>
          <w:sz w:val="32"/>
          <w:szCs w:val="32"/>
        </w:rPr>
        <w:t>严查无照经营、无证上岗、未经许可经营文化娱乐、旅行社业务等非法经营活动，加强旅行</w:t>
      </w:r>
      <w:r>
        <w:rPr>
          <w:rFonts w:hint="default" w:ascii="Times New Roman" w:hAnsi="Times New Roman" w:eastAsia="仿宋_GB2312"/>
          <w:spacing w:val="-14"/>
          <w:kern w:val="2"/>
          <w:sz w:val="32"/>
          <w:szCs w:val="32"/>
        </w:rPr>
        <w:t>社旅游租车管理，对旅行社旅游包车合同开展专项清查达到</w:t>
      </w:r>
      <w:r>
        <w:rPr>
          <w:rFonts w:hint="default" w:ascii="Times New Roman" w:hAnsi="Times New Roman" w:eastAsia="仿宋_GB2312"/>
          <w:kern w:val="2"/>
          <w:sz w:val="32"/>
          <w:szCs w:val="32"/>
        </w:rPr>
        <w:t>100%。</w:t>
      </w:r>
      <w:r>
        <w:rPr>
          <w:rFonts w:hint="default" w:ascii="Times New Roman" w:hAnsi="Times New Roman" w:eastAsia="仿宋_GB2312"/>
          <w:sz w:val="32"/>
          <w:szCs w:val="32"/>
        </w:rPr>
        <w:t>加强对高风险旅游体育项目的安全监管，严防踩踏、高坠、翻车等事故发生。</w:t>
      </w:r>
      <w:r>
        <w:rPr>
          <w:rFonts w:hint="default" w:ascii="Times New Roman" w:hAnsi="Times New Roman" w:eastAsia="仿宋_GB2312"/>
          <w:kern w:val="2"/>
          <w:sz w:val="32"/>
          <w:szCs w:val="32"/>
        </w:rPr>
        <w:t>（县文旅广体局牵头，县交运局、县交警大队等配合；各乡镇、街道分别负责）</w:t>
      </w:r>
    </w:p>
    <w:p>
      <w:pPr>
        <w:adjustRightInd w:val="0"/>
        <w:snapToGrid w:val="0"/>
        <w:spacing w:line="600" w:lineRule="exact"/>
        <w:ind w:firstLine="643" w:firstLineChars="200"/>
        <w:rPr>
          <w:rFonts w:ascii="Times New Roman" w:hAnsi="Times New Roman" w:eastAsia="仿宋_GB2312"/>
          <w:szCs w:val="32"/>
        </w:rPr>
      </w:pPr>
      <w:r>
        <w:rPr>
          <w:rFonts w:hint="eastAsia" w:ascii="Times New Roman" w:hAnsi="Times New Roman" w:eastAsia="仿宋_GB2312"/>
          <w:b/>
          <w:kern w:val="0"/>
          <w:szCs w:val="32"/>
        </w:rPr>
        <w:t>16</w:t>
      </w:r>
      <w:r>
        <w:rPr>
          <w:rFonts w:ascii="Times New Roman" w:hAnsi="Times New Roman" w:eastAsia="仿宋_GB2312"/>
          <w:b/>
          <w:kern w:val="0"/>
          <w:szCs w:val="32"/>
        </w:rPr>
        <w:t>.学生安全专项整治。</w:t>
      </w:r>
      <w:r>
        <w:rPr>
          <w:rFonts w:ascii="Times New Roman" w:hAnsi="Times New Roman" w:eastAsia="仿宋_GB2312"/>
          <w:szCs w:val="32"/>
        </w:rPr>
        <w:t>开齐开足学生安全教育课程。开展防溺水、校车、实验室、学校、幼儿园、校外培训机构、托管机构等安全专项整治。确保学生安全事故持续下降，坚决杜绝学生安全亡人事故。（县教育局牵头，县市场监管局、县交运局、县住建局、县交警大队等配合；各乡镇、街道分别负责）</w:t>
      </w:r>
    </w:p>
    <w:p>
      <w:pPr>
        <w:adjustRightInd w:val="0"/>
        <w:snapToGrid w:val="0"/>
        <w:spacing w:line="600" w:lineRule="exact"/>
        <w:ind w:firstLine="643" w:firstLineChars="200"/>
        <w:rPr>
          <w:rFonts w:ascii="Times New Roman" w:hAnsi="Times New Roman" w:eastAsia="仿宋_GB2312"/>
          <w:bCs/>
          <w:kern w:val="0"/>
          <w:szCs w:val="32"/>
        </w:rPr>
      </w:pPr>
      <w:r>
        <w:rPr>
          <w:rFonts w:hint="eastAsia" w:ascii="Times New Roman" w:hAnsi="Times New Roman" w:eastAsia="仿宋_GB2312"/>
          <w:b/>
          <w:kern w:val="0"/>
          <w:szCs w:val="32"/>
        </w:rPr>
        <w:t>17</w:t>
      </w:r>
      <w:r>
        <w:rPr>
          <w:rFonts w:ascii="Times New Roman" w:hAnsi="Times New Roman" w:eastAsia="仿宋_GB2312"/>
          <w:b/>
          <w:kern w:val="0"/>
          <w:szCs w:val="32"/>
        </w:rPr>
        <w:t>.自然灾害防治</w:t>
      </w:r>
      <w:r>
        <w:rPr>
          <w:rFonts w:ascii="Times New Roman" w:hAnsi="Times New Roman" w:eastAsia="仿宋_GB2312"/>
          <w:bCs/>
          <w:kern w:val="0"/>
          <w:szCs w:val="32"/>
        </w:rPr>
        <w:t>。</w:t>
      </w:r>
      <w:r>
        <w:rPr>
          <w:rFonts w:ascii="Times New Roman" w:hAnsi="Times New Roman" w:eastAsia="仿宋_GB2312"/>
          <w:b/>
          <w:kern w:val="0"/>
          <w:szCs w:val="32"/>
        </w:rPr>
        <w:t>防汛抗旱及地灾方面</w:t>
      </w:r>
      <w:r>
        <w:rPr>
          <w:rFonts w:ascii="Times New Roman" w:hAnsi="Times New Roman" w:eastAsia="仿宋_GB2312"/>
          <w:bCs/>
          <w:kern w:val="0"/>
          <w:szCs w:val="32"/>
        </w:rPr>
        <w:t>：确保遇设计标准内洪水时，不溃一堤一垸、不垮一库一坝，保证重要城镇和交通干线安全；确保遇超标准洪水时，保证城市、大中型水库、重点堤垸和重要交通干线安全；确保暴雨山洪和次生灾害发生时，避免群死群伤；确保遇中等程度干旱时，生活、生产和生态用水安全；确保遇严重干旱时，生活用水基本有保障。</w:t>
      </w:r>
      <w:r>
        <w:rPr>
          <w:rFonts w:ascii="Times New Roman" w:hAnsi="Times New Roman" w:eastAsia="仿宋_GB2312"/>
          <w:szCs w:val="32"/>
        </w:rPr>
        <w:t xml:space="preserve">（县应急管理局、县水利局依职责牵头，县自然资源局、县住建局、县交运局、县农业农村局、县财政局、县城管局、县消防救援大队、县气象局、县交通事务中心、县供电公司等单位配合；各乡镇、街道分别负责） </w:t>
      </w:r>
      <w:r>
        <w:rPr>
          <w:rFonts w:ascii="Times New Roman" w:hAnsi="Times New Roman" w:eastAsia="仿宋_GB2312"/>
          <w:b/>
          <w:kern w:val="0"/>
          <w:szCs w:val="32"/>
        </w:rPr>
        <w:t>森林防灭火方面</w:t>
      </w:r>
      <w:r>
        <w:rPr>
          <w:rFonts w:ascii="Times New Roman" w:hAnsi="Times New Roman" w:eastAsia="仿宋_GB2312"/>
          <w:bCs/>
          <w:kern w:val="0"/>
          <w:szCs w:val="32"/>
        </w:rPr>
        <w:t>：自然保护地、国有林场等重点区域建设和新建林火阻隔系统145.2公里，其中生物防火林带72.4公里，隔离带58公里，防火道14.8公里，新建森林消防蓄水池1500立方米，新建自然保护地专业消防队伍1支，健全完善17支乡镇（街道）应急队伍，森林火灾受害率控制在0.9‰以内，森林火灾数量同比去年减少30%以上。（县应急管理局、县林业局牵头，县发改局、县财政局、黄丰桥国有林场、县机关事务中心等部门配合；各乡镇、街道分别负责）</w:t>
      </w:r>
    </w:p>
    <w:p>
      <w:pPr>
        <w:adjustRightInd w:val="0"/>
        <w:snapToGrid w:val="0"/>
        <w:spacing w:line="600" w:lineRule="exact"/>
        <w:ind w:firstLine="643" w:firstLineChars="200"/>
        <w:rPr>
          <w:rFonts w:ascii="Times New Roman" w:hAnsi="Times New Roman" w:eastAsia="仿宋_GB2312"/>
          <w:bCs/>
          <w:kern w:val="0"/>
          <w:szCs w:val="32"/>
        </w:rPr>
      </w:pPr>
      <w:r>
        <w:rPr>
          <w:rFonts w:hint="eastAsia" w:ascii="Times New Roman" w:hAnsi="Times New Roman" w:eastAsia="仿宋_GB2312"/>
          <w:b/>
          <w:bCs/>
          <w:szCs w:val="32"/>
        </w:rPr>
        <w:t>18</w:t>
      </w:r>
      <w:r>
        <w:rPr>
          <w:rFonts w:ascii="Times New Roman" w:hAnsi="Times New Roman" w:eastAsia="仿宋_GB2312"/>
          <w:b/>
          <w:bCs/>
          <w:szCs w:val="32"/>
        </w:rPr>
        <w:t>.其他行业领域。</w:t>
      </w:r>
      <w:r>
        <w:rPr>
          <w:rFonts w:ascii="Times New Roman" w:hAnsi="Times New Roman" w:eastAsia="仿宋_GB2312"/>
          <w:bCs/>
          <w:kern w:val="0"/>
          <w:szCs w:val="32"/>
        </w:rPr>
        <w:t>民爆、商务、医院、养老院、电力、畜牧、食品药品、仓储物流、再生资源回收等其他行业领域主管部门要结合工作实际，针对安全生产薄弱环节和可能发生安全生产事故点位，明确打好安全生产翻身仗指标，全面开展安全专项整治。（相关单位分别牵头负责；各乡镇、街道分别负责）</w:t>
      </w:r>
    </w:p>
    <w:p>
      <w:pPr>
        <w:adjustRightInd w:val="0"/>
        <w:snapToGrid w:val="0"/>
        <w:spacing w:line="600" w:lineRule="exact"/>
        <w:ind w:firstLine="643" w:firstLineChars="200"/>
        <w:rPr>
          <w:rFonts w:ascii="Times New Roman" w:hAnsi="Times New Roman" w:eastAsia="楷体_GB2312"/>
          <w:b/>
          <w:bCs/>
          <w:szCs w:val="32"/>
        </w:rPr>
      </w:pPr>
      <w:r>
        <w:rPr>
          <w:rFonts w:ascii="Times New Roman" w:hAnsi="Times New Roman" w:eastAsia="楷体_GB2312"/>
          <w:b/>
          <w:bCs/>
          <w:szCs w:val="32"/>
        </w:rPr>
        <w:t>（三）提升本质安全水平</w:t>
      </w:r>
    </w:p>
    <w:p>
      <w:pPr>
        <w:adjustRightInd w:val="0"/>
        <w:snapToGrid w:val="0"/>
        <w:spacing w:line="600" w:lineRule="exact"/>
        <w:ind w:firstLine="643" w:firstLineChars="200"/>
        <w:rPr>
          <w:rFonts w:ascii="Times New Roman" w:hAnsi="Times New Roman" w:eastAsia="仿宋_GB2312"/>
          <w:bCs/>
          <w:kern w:val="0"/>
          <w:szCs w:val="32"/>
        </w:rPr>
      </w:pPr>
      <w:r>
        <w:rPr>
          <w:rFonts w:hint="eastAsia" w:ascii="Times New Roman" w:hAnsi="Times New Roman" w:eastAsia="仿宋_GB2312"/>
          <w:b/>
          <w:bCs/>
          <w:szCs w:val="32"/>
        </w:rPr>
        <w:t>19</w:t>
      </w:r>
      <w:r>
        <w:rPr>
          <w:rFonts w:ascii="Times New Roman" w:hAnsi="Times New Roman" w:eastAsia="仿宋_GB2312"/>
          <w:b/>
          <w:bCs/>
          <w:szCs w:val="32"/>
        </w:rPr>
        <w:t>.强化源头管控。</w:t>
      </w:r>
      <w:r>
        <w:rPr>
          <w:rFonts w:ascii="Times New Roman" w:hAnsi="Times New Roman" w:eastAsia="仿宋_GB2312"/>
          <w:kern w:val="0"/>
          <w:szCs w:val="32"/>
        </w:rPr>
        <w:t>从源头上</w:t>
      </w:r>
      <w:r>
        <w:rPr>
          <w:rFonts w:ascii="Times New Roman" w:hAnsi="Times New Roman" w:eastAsia="仿宋_GB2312"/>
          <w:bCs/>
          <w:kern w:val="0"/>
          <w:szCs w:val="32"/>
        </w:rPr>
        <w:t>严把项目审批安全关，建立完善安全风险评估与论证机制，不得“边审批、边设计、边施工”，对危化品、矿山、烟花爆竹、建筑施工、金属冶炼等行业领域高危项目和人员密集场所，不达安全标准的不能许可和开工。高新区要根据规划严格执行规范标准，严格安全监管，严禁淘汰落后产能落户和进园入区，对违规审批、强行上马造成事故的，实行终身追责。对直接关系安全的取消下放事项，实事求是组织评估，不得把责任层层推卸给不具备专业能力的乡镇、街道和社区。强化外包队伍管理，坚持“谁的资质谁负责、挂谁的牌子谁负责”，对发生安全事故的严格追究资质方的责任。（各负有安全监管职责的单位依职责负责）</w:t>
      </w:r>
    </w:p>
    <w:p>
      <w:pPr>
        <w:adjustRightInd w:val="0"/>
        <w:snapToGrid w:val="0"/>
        <w:spacing w:line="600" w:lineRule="exact"/>
        <w:ind w:firstLine="643" w:firstLineChars="200"/>
        <w:rPr>
          <w:rFonts w:ascii="Times New Roman" w:hAnsi="Times New Roman" w:eastAsia="仿宋_GB2312"/>
          <w:bCs/>
          <w:kern w:val="0"/>
          <w:szCs w:val="32"/>
        </w:rPr>
      </w:pPr>
      <w:r>
        <w:rPr>
          <w:rFonts w:hint="eastAsia" w:ascii="Times New Roman" w:hAnsi="Times New Roman" w:eastAsia="仿宋_GB2312"/>
          <w:b/>
          <w:bCs/>
          <w:szCs w:val="32"/>
        </w:rPr>
        <w:t>20</w:t>
      </w:r>
      <w:r>
        <w:rPr>
          <w:rFonts w:ascii="Times New Roman" w:hAnsi="Times New Roman" w:eastAsia="仿宋_GB2312"/>
          <w:b/>
          <w:bCs/>
          <w:szCs w:val="32"/>
        </w:rPr>
        <w:t>.构建双重预防机制。</w:t>
      </w:r>
      <w:r>
        <w:rPr>
          <w:rFonts w:ascii="Times New Roman" w:hAnsi="Times New Roman" w:eastAsia="仿宋_GB2312"/>
          <w:bCs/>
          <w:kern w:val="0"/>
          <w:szCs w:val="32"/>
        </w:rPr>
        <w:t>督促企业依法加强风险辨识评估和隐患排查，依法依规建立风险分级管控和隐患排查治理双重预防机制。高危企业100%建立落实双重预防机制。切实强化高风险作业现场管理，加强企业安全生产过程管控。持续提升专业技术服务机构服务水平，切实为企业提供高水平安全技术和管理服务。充分发挥安全生产责任保险第三方管理的作用，帮助企业提高双重预防能力。</w:t>
      </w:r>
      <w:r>
        <w:rPr>
          <w:rFonts w:ascii="Times New Roman" w:hAnsi="Times New Roman" w:eastAsia="仿宋_GB2312"/>
          <w:szCs w:val="32"/>
        </w:rPr>
        <w:t>支持引导社区居民开展风险隐患排查和治理，积极推进安全风险网格化管理。</w:t>
      </w:r>
      <w:r>
        <w:rPr>
          <w:rFonts w:ascii="Times New Roman" w:hAnsi="Times New Roman" w:eastAsia="仿宋_GB2312"/>
          <w:bCs/>
          <w:kern w:val="0"/>
          <w:szCs w:val="32"/>
        </w:rPr>
        <w:t>（各负有安全监管职责的单位依职责负责）</w:t>
      </w:r>
    </w:p>
    <w:p>
      <w:pPr>
        <w:adjustRightInd w:val="0"/>
        <w:snapToGrid w:val="0"/>
        <w:spacing w:line="600" w:lineRule="exact"/>
        <w:ind w:firstLine="643" w:firstLineChars="200"/>
        <w:rPr>
          <w:rFonts w:ascii="Times New Roman" w:hAnsi="Times New Roman" w:eastAsia="仿宋_GB2312"/>
          <w:bCs/>
          <w:kern w:val="0"/>
          <w:szCs w:val="32"/>
        </w:rPr>
      </w:pPr>
      <w:r>
        <w:rPr>
          <w:rFonts w:hint="eastAsia" w:ascii="Times New Roman" w:hAnsi="Times New Roman" w:eastAsia="仿宋_GB2312"/>
          <w:b/>
          <w:bCs/>
          <w:szCs w:val="32"/>
        </w:rPr>
        <w:t>21</w:t>
      </w:r>
      <w:r>
        <w:rPr>
          <w:rFonts w:ascii="Times New Roman" w:hAnsi="Times New Roman" w:eastAsia="仿宋_GB2312"/>
          <w:b/>
          <w:bCs/>
          <w:szCs w:val="32"/>
        </w:rPr>
        <w:t>.推进科技兴安。</w:t>
      </w:r>
      <w:r>
        <w:rPr>
          <w:rFonts w:ascii="Times New Roman" w:hAnsi="Times New Roman" w:eastAsia="仿宋_GB2312"/>
          <w:bCs/>
          <w:kern w:val="0"/>
          <w:szCs w:val="32"/>
        </w:rPr>
        <w:t>协同推进国家灾害事件、安全事故电子地图建设与成果运用，用好矿山安全风险监测</w:t>
      </w:r>
      <w:r>
        <w:rPr>
          <w:rFonts w:ascii="Times New Roman" w:hAnsi="Times New Roman" w:eastAsia="仿宋_GB2312"/>
          <w:bCs/>
          <w:kern w:val="0"/>
          <w:szCs w:val="32"/>
          <w:lang w:val="en"/>
        </w:rPr>
        <w:t>“一张网”</w:t>
      </w:r>
      <w:r>
        <w:rPr>
          <w:rFonts w:ascii="Times New Roman" w:hAnsi="Times New Roman" w:eastAsia="仿宋_GB2312"/>
          <w:bCs/>
          <w:kern w:val="0"/>
          <w:szCs w:val="32"/>
        </w:rPr>
        <w:t>等信息化建设成果，推进危险化学品重大危险源在线监测预警系统和多层大体量劳动密集型企业、</w:t>
      </w:r>
      <w:r>
        <w:rPr>
          <w:rFonts w:ascii="Times New Roman" w:hAnsi="Times New Roman" w:eastAsia="仿宋_GB2312"/>
          <w:bCs/>
          <w:kern w:val="0"/>
          <w:szCs w:val="32"/>
          <w:lang w:val="en"/>
        </w:rPr>
        <w:t>公众聚集场所以及医院学校养老院等</w:t>
      </w:r>
      <w:r>
        <w:rPr>
          <w:rFonts w:ascii="Times New Roman" w:hAnsi="Times New Roman" w:eastAsia="仿宋_GB2312"/>
          <w:bCs/>
          <w:kern w:val="0"/>
          <w:szCs w:val="32"/>
        </w:rPr>
        <w:t>人员密集场所“智慧消防”建设应用，推广运用粉尘风险监测预警系统。推广试点城市安全风险综合监测预警平台。推广矿山、危险化学品、烟花爆竹、森林火灾防控、消防救援、“两客一危”等行业领域现代技术装备应用，推动实现“机械化换人、自动化减人、智能化无人”。（县科工信局、县应急管理局、县消防救援大队、县交运局、县林业局、县交警大队等依职责负责）</w:t>
      </w:r>
    </w:p>
    <w:p>
      <w:pPr>
        <w:adjustRightInd w:val="0"/>
        <w:snapToGrid w:val="0"/>
        <w:spacing w:line="600" w:lineRule="exact"/>
        <w:ind w:firstLine="643" w:firstLineChars="200"/>
        <w:rPr>
          <w:rFonts w:ascii="Times New Roman" w:hAnsi="Times New Roman" w:eastAsia="仿宋_GB2312"/>
          <w:bCs/>
          <w:kern w:val="0"/>
          <w:szCs w:val="32"/>
        </w:rPr>
      </w:pPr>
      <w:r>
        <w:rPr>
          <w:rFonts w:hint="eastAsia" w:ascii="Times New Roman" w:hAnsi="Times New Roman" w:eastAsia="仿宋_GB2312"/>
          <w:b/>
          <w:bCs/>
          <w:szCs w:val="32"/>
        </w:rPr>
        <w:t>22</w:t>
      </w:r>
      <w:r>
        <w:rPr>
          <w:rFonts w:ascii="Times New Roman" w:hAnsi="Times New Roman" w:eastAsia="仿宋_GB2312"/>
          <w:b/>
          <w:bCs/>
          <w:szCs w:val="32"/>
        </w:rPr>
        <w:t>.夯实基层基础。</w:t>
      </w:r>
      <w:r>
        <w:rPr>
          <w:rFonts w:ascii="Times New Roman" w:hAnsi="Times New Roman" w:eastAsia="仿宋_GB2312"/>
          <w:szCs w:val="32"/>
        </w:rPr>
        <w:t>加强安全生产基础设施建设和安全生产监管能力建设，乡镇（街道）以及工业园区、风景区等应当依法明确负责安全生产监督管理的有关工作机构及其职责，强化工作保障。</w:t>
      </w:r>
      <w:r>
        <w:rPr>
          <w:rFonts w:ascii="Times New Roman" w:hAnsi="Times New Roman" w:eastAsia="仿宋_GB2312"/>
          <w:bCs/>
          <w:kern w:val="0"/>
          <w:szCs w:val="32"/>
        </w:rPr>
        <w:t>推进基层应急管理体系和能力现代化，按规定落实有关任务。探索推进乡镇</w:t>
      </w:r>
      <w:r>
        <w:rPr>
          <w:rFonts w:ascii="Times New Roman" w:hAnsi="Times New Roman" w:eastAsia="仿宋_GB2312"/>
          <w:szCs w:val="32"/>
        </w:rPr>
        <w:t>（街道）</w:t>
      </w:r>
      <w:r>
        <w:rPr>
          <w:rFonts w:ascii="Times New Roman" w:hAnsi="Times New Roman" w:eastAsia="仿宋_GB2312"/>
          <w:bCs/>
          <w:kern w:val="0"/>
          <w:szCs w:val="32"/>
        </w:rPr>
        <w:t>应急站和消防所一体化建设，推动构建共建共治共享的安全治理格局。（县高新区、县应急管理局、县委编办、县消防救援大队、县财政局等依职责负责）</w:t>
      </w:r>
    </w:p>
    <w:p>
      <w:pPr>
        <w:adjustRightInd w:val="0"/>
        <w:snapToGrid w:val="0"/>
        <w:spacing w:line="600" w:lineRule="exact"/>
        <w:ind w:firstLine="643" w:firstLineChars="200"/>
        <w:rPr>
          <w:rFonts w:ascii="Times New Roman" w:hAnsi="Times New Roman" w:eastAsia="楷体_GB2312"/>
          <w:b/>
          <w:bCs/>
          <w:kern w:val="0"/>
          <w:szCs w:val="32"/>
        </w:rPr>
      </w:pPr>
      <w:r>
        <w:rPr>
          <w:rFonts w:ascii="Times New Roman" w:hAnsi="Times New Roman" w:eastAsia="楷体_GB2312"/>
          <w:b/>
          <w:bCs/>
          <w:kern w:val="0"/>
          <w:szCs w:val="32"/>
        </w:rPr>
        <w:t>（四）筑牢人民防线</w:t>
      </w:r>
    </w:p>
    <w:p>
      <w:pPr>
        <w:overflowPunct w:val="0"/>
        <w:adjustRightInd w:val="0"/>
        <w:snapToGrid w:val="0"/>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bCs/>
          <w:szCs w:val="32"/>
          <w:lang w:bidi="ar"/>
        </w:rPr>
        <w:t>23</w:t>
      </w:r>
      <w:r>
        <w:rPr>
          <w:rFonts w:ascii="Times New Roman" w:hAnsi="Times New Roman" w:eastAsia="仿宋_GB2312"/>
          <w:b/>
          <w:bCs/>
          <w:szCs w:val="32"/>
          <w:lang w:bidi="ar"/>
        </w:rPr>
        <w:t>.强化宣传引导。</w:t>
      </w:r>
      <w:r>
        <w:rPr>
          <w:rFonts w:ascii="Times New Roman" w:hAnsi="Times New Roman" w:eastAsia="仿宋_GB2312"/>
          <w:szCs w:val="32"/>
          <w:lang w:bidi="ar"/>
        </w:rPr>
        <w:t>运用各类主流媒体、新媒体平台，面向全社会公众开展公益性安全宣传、法规常识宣传，</w:t>
      </w:r>
      <w:r>
        <w:rPr>
          <w:rFonts w:ascii="Times New Roman" w:hAnsi="Times New Roman" w:eastAsia="仿宋_GB2312"/>
          <w:szCs w:val="32"/>
        </w:rPr>
        <w:t>培育安全文化</w:t>
      </w:r>
      <w:r>
        <w:rPr>
          <w:rFonts w:ascii="Times New Roman" w:hAnsi="Times New Roman" w:eastAsia="仿宋_GB2312"/>
          <w:szCs w:val="32"/>
          <w:lang w:bidi="ar"/>
        </w:rPr>
        <w:t>。</w:t>
      </w:r>
      <w:r>
        <w:rPr>
          <w:rFonts w:ascii="Times New Roman" w:hAnsi="Times New Roman" w:eastAsia="仿宋_GB2312"/>
          <w:szCs w:val="32"/>
        </w:rPr>
        <w:t>组织好“安全生产月”“防灾减灾日”</w:t>
      </w:r>
      <w:r>
        <w:rPr>
          <w:rFonts w:ascii="Times New Roman" w:hAnsi="Times New Roman" w:eastAsia="仿宋_GB2312"/>
          <w:szCs w:val="32"/>
          <w:lang w:bidi="ar"/>
        </w:rPr>
        <w:t>“消防安全日</w:t>
      </w:r>
      <w:r>
        <w:rPr>
          <w:rFonts w:ascii="Times New Roman" w:hAnsi="Times New Roman" w:eastAsia="仿宋_GB2312"/>
          <w:szCs w:val="32"/>
        </w:rPr>
        <w:t>”等集中宣传活动，持续深入开展安全宣传“五进”活动，创新方式、丰富载体，提升宣传质效。</w:t>
      </w:r>
      <w:r>
        <w:rPr>
          <w:rFonts w:ascii="Times New Roman" w:hAnsi="Times New Roman" w:eastAsia="仿宋_GB2312"/>
          <w:szCs w:val="32"/>
          <w:lang w:bidi="ar"/>
        </w:rPr>
        <w:t>（县安委办牵头，县安委会各成员单位依职责负责）</w:t>
      </w:r>
    </w:p>
    <w:p>
      <w:pPr>
        <w:overflowPunct w:val="0"/>
        <w:adjustRightInd w:val="0"/>
        <w:snapToGrid w:val="0"/>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bCs/>
          <w:szCs w:val="32"/>
          <w:lang w:bidi="ar"/>
        </w:rPr>
        <w:t>24</w:t>
      </w:r>
      <w:r>
        <w:rPr>
          <w:rFonts w:ascii="Times New Roman" w:hAnsi="Times New Roman" w:eastAsia="仿宋_GB2312"/>
          <w:b/>
          <w:bCs/>
          <w:szCs w:val="32"/>
          <w:lang w:bidi="ar"/>
        </w:rPr>
        <w:t>.深化警示教育。</w:t>
      </w:r>
      <w:r>
        <w:rPr>
          <w:rFonts w:ascii="Times New Roman" w:hAnsi="Times New Roman" w:eastAsia="仿宋_GB2312"/>
          <w:szCs w:val="32"/>
        </w:rPr>
        <w:t>持续</w:t>
      </w:r>
      <w:r>
        <w:rPr>
          <w:rFonts w:ascii="Times New Roman" w:hAnsi="Times New Roman" w:eastAsia="仿宋_GB2312"/>
          <w:szCs w:val="32"/>
          <w:lang w:bidi="ar"/>
        </w:rPr>
        <w:t>组织开展《安全生产法》《湖南省安全生产条例》和《刑法修正案（十一）》宣贯。在主流媒体上公开播放</w:t>
      </w:r>
      <w:r>
        <w:rPr>
          <w:rFonts w:ascii="Times New Roman" w:hAnsi="Times New Roman" w:eastAsia="仿宋_GB2312"/>
          <w:szCs w:val="32"/>
        </w:rPr>
        <w:t>安全生产警示片，加大对典型案例解读宣传。</w:t>
      </w:r>
      <w:r>
        <w:rPr>
          <w:rFonts w:ascii="Times New Roman" w:hAnsi="Times New Roman" w:eastAsia="仿宋_GB2312"/>
          <w:szCs w:val="32"/>
          <w:lang w:bidi="ar"/>
        </w:rPr>
        <w:t>（县安委办牵头，县委宣传部、县融媒体中心、县消防救援大队等配合）</w:t>
      </w:r>
    </w:p>
    <w:p>
      <w:pPr>
        <w:overflowPunct w:val="0"/>
        <w:adjustRightInd w:val="0"/>
        <w:snapToGrid w:val="0"/>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bCs/>
          <w:szCs w:val="32"/>
          <w:lang w:bidi="ar"/>
        </w:rPr>
        <w:t>25</w:t>
      </w:r>
      <w:r>
        <w:rPr>
          <w:rFonts w:ascii="Times New Roman" w:hAnsi="Times New Roman" w:eastAsia="仿宋_GB2312"/>
          <w:b/>
          <w:bCs/>
          <w:szCs w:val="32"/>
          <w:lang w:bidi="ar"/>
        </w:rPr>
        <w:t>.落实举报奖励。</w:t>
      </w:r>
      <w:r>
        <w:rPr>
          <w:rFonts w:ascii="Times New Roman" w:hAnsi="Times New Roman" w:eastAsia="仿宋_GB2312"/>
          <w:szCs w:val="32"/>
        </w:rPr>
        <w:t>畅通各类举报投诉渠道，加大举报奖励力度，鼓励人民群众和企业员工通过“12350”“12345”等方式举报安全生产非法违法行为和重大安全隐患，形成全社会参与支持、群防群治的氛围。</w:t>
      </w:r>
      <w:r>
        <w:rPr>
          <w:rFonts w:ascii="Times New Roman" w:hAnsi="Times New Roman" w:eastAsia="仿宋_GB2312"/>
          <w:szCs w:val="32"/>
          <w:lang w:bidi="ar"/>
        </w:rPr>
        <w:t>（县安委办牵头，县安委会各成员单位分工负责）</w:t>
      </w:r>
    </w:p>
    <w:p>
      <w:pPr>
        <w:adjustRightInd w:val="0"/>
        <w:snapToGrid w:val="0"/>
        <w:spacing w:line="600" w:lineRule="exact"/>
        <w:ind w:firstLine="643" w:firstLineChars="200"/>
        <w:rPr>
          <w:rFonts w:ascii="Times New Roman" w:hAnsi="Times New Roman" w:eastAsia="楷体_GB2312"/>
          <w:b/>
          <w:bCs/>
          <w:szCs w:val="32"/>
          <w:lang w:val="en"/>
        </w:rPr>
      </w:pPr>
      <w:r>
        <w:rPr>
          <w:rFonts w:ascii="Times New Roman" w:hAnsi="Times New Roman" w:eastAsia="楷体_GB2312"/>
          <w:b/>
          <w:bCs/>
          <w:szCs w:val="32"/>
          <w:lang w:val="en"/>
        </w:rPr>
        <w:t>（五）健全责任体系</w:t>
      </w:r>
    </w:p>
    <w:p>
      <w:pPr>
        <w:adjustRightInd w:val="0"/>
        <w:snapToGrid w:val="0"/>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kern w:val="0"/>
          <w:szCs w:val="32"/>
        </w:rPr>
        <w:t>26</w:t>
      </w:r>
      <w:r>
        <w:rPr>
          <w:rFonts w:ascii="Times New Roman" w:hAnsi="Times New Roman" w:eastAsia="仿宋_GB2312"/>
          <w:b/>
          <w:kern w:val="0"/>
          <w:szCs w:val="32"/>
        </w:rPr>
        <w:t>.</w:t>
      </w:r>
      <w:r>
        <w:rPr>
          <w:rFonts w:ascii="Times New Roman" w:hAnsi="Times New Roman" w:eastAsia="仿宋_GB2312"/>
          <w:b/>
          <w:kern w:val="0"/>
          <w:szCs w:val="32"/>
          <w:lang w:val="en"/>
        </w:rPr>
        <w:t>落实党委政府属地责任。</w:t>
      </w:r>
      <w:r>
        <w:rPr>
          <w:rFonts w:ascii="Times New Roman" w:hAnsi="Times New Roman" w:eastAsia="仿宋_GB2312"/>
          <w:kern w:val="0"/>
          <w:szCs w:val="32"/>
        </w:rPr>
        <w:t>严格落实《地方党政领导干部安全生产责任制规定》及省、市实施细则，</w:t>
      </w:r>
      <w:r>
        <w:rPr>
          <w:rFonts w:ascii="Times New Roman" w:hAnsi="Times New Roman" w:eastAsia="仿宋_GB2312"/>
          <w:bCs/>
          <w:kern w:val="0"/>
          <w:szCs w:val="32"/>
        </w:rPr>
        <w:t>分级明确并严格落实党政领导干部安全生产职责清单和年度任务清单，把履责情况纳入述职考核、安全生产巡查内容。</w:t>
      </w:r>
      <w:r>
        <w:rPr>
          <w:rFonts w:ascii="Times New Roman" w:hAnsi="Times New Roman" w:eastAsia="仿宋_GB2312"/>
          <w:szCs w:val="32"/>
          <w:lang w:bidi="ar"/>
        </w:rPr>
        <w:t>（各级党委政府负责）</w:t>
      </w:r>
    </w:p>
    <w:p>
      <w:pPr>
        <w:adjustRightInd w:val="0"/>
        <w:snapToGrid w:val="0"/>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kern w:val="0"/>
          <w:szCs w:val="32"/>
          <w:lang w:val="en"/>
        </w:rPr>
        <w:t>27</w:t>
      </w:r>
      <w:r>
        <w:rPr>
          <w:rFonts w:ascii="Times New Roman" w:hAnsi="Times New Roman" w:eastAsia="仿宋_GB2312"/>
          <w:b/>
          <w:kern w:val="0"/>
          <w:szCs w:val="32"/>
          <w:lang w:val="en"/>
        </w:rPr>
        <w:t>.落实部门主管监管责任。</w:t>
      </w:r>
      <w:r>
        <w:rPr>
          <w:rFonts w:ascii="Times New Roman" w:hAnsi="Times New Roman" w:eastAsia="仿宋_GB2312"/>
          <w:szCs w:val="32"/>
        </w:rPr>
        <w:t>按照“三管三必须”要求，负有安全生产监管职责的单位将安全生产有关要求纳入部门权力和责任清单，切实履行部门行业安全生产主管监管责任。</w:t>
      </w:r>
      <w:r>
        <w:rPr>
          <w:rFonts w:ascii="Times New Roman" w:hAnsi="Times New Roman" w:eastAsia="仿宋_GB2312"/>
          <w:bCs/>
          <w:kern w:val="0"/>
          <w:szCs w:val="32"/>
        </w:rPr>
        <w:t>按照“业务相近”的要求，对新能源新材料新工艺新业态及时明确主责部门，厘清职责边界，消除盲区漏洞。</w:t>
      </w:r>
      <w:r>
        <w:rPr>
          <w:rFonts w:ascii="Times New Roman" w:hAnsi="Times New Roman" w:eastAsia="仿宋_GB2312"/>
          <w:kern w:val="0"/>
          <w:szCs w:val="32"/>
        </w:rPr>
        <w:t>抓实电动自行车全链条监管责任，加强醇基燃料、电化学储能电站以及旅游景区玻璃栈道等高风险旅游项目安全监管。</w:t>
      </w:r>
      <w:r>
        <w:rPr>
          <w:rFonts w:ascii="Times New Roman" w:hAnsi="Times New Roman" w:eastAsia="仿宋_GB2312"/>
          <w:szCs w:val="32"/>
          <w:lang w:bidi="ar"/>
        </w:rPr>
        <w:t>（县安委会各成员单位分工负责）</w:t>
      </w:r>
    </w:p>
    <w:p>
      <w:pPr>
        <w:adjustRightInd w:val="0"/>
        <w:snapToGrid w:val="0"/>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kern w:val="0"/>
          <w:szCs w:val="32"/>
          <w:lang w:val="en"/>
        </w:rPr>
        <w:t>28</w:t>
      </w:r>
      <w:r>
        <w:rPr>
          <w:rFonts w:ascii="Times New Roman" w:hAnsi="Times New Roman" w:eastAsia="仿宋_GB2312"/>
          <w:b/>
          <w:kern w:val="0"/>
          <w:szCs w:val="32"/>
          <w:lang w:val="en"/>
        </w:rPr>
        <w:t>.落实企业主体责任。</w:t>
      </w:r>
      <w:r>
        <w:rPr>
          <w:rFonts w:ascii="Times New Roman" w:hAnsi="Times New Roman" w:eastAsia="仿宋_GB2312"/>
          <w:szCs w:val="32"/>
        </w:rPr>
        <w:t>建立健全全员安全生产责任制，高危企业</w:t>
      </w:r>
      <w:r>
        <w:rPr>
          <w:rFonts w:ascii="Times New Roman" w:hAnsi="Times New Roman" w:eastAsia="仿宋_GB2312"/>
          <w:bCs/>
          <w:kern w:val="0"/>
          <w:szCs w:val="32"/>
        </w:rPr>
        <w:t>“一会三卡”覆盖率100%。</w:t>
      </w:r>
      <w:r>
        <w:rPr>
          <w:rFonts w:ascii="Times New Roman" w:hAnsi="Times New Roman" w:eastAsia="仿宋_GB2312"/>
          <w:kern w:val="0"/>
          <w:szCs w:val="32"/>
        </w:rPr>
        <w:t>对高危行业主要负责人和安全管理人员分级分行业组织安全管理能力抽考。持续推进安全生产标准化</w:t>
      </w:r>
      <w:r>
        <w:rPr>
          <w:rFonts w:ascii="Times New Roman" w:hAnsi="Times New Roman" w:eastAsia="仿宋_GB2312"/>
          <w:bCs/>
          <w:kern w:val="0"/>
          <w:szCs w:val="32"/>
        </w:rPr>
        <w:t>建设，提高企业安全管理水平。特种作业人员持证上岗率100%。安全责任、投入、培训、管理、应急救援五落实五到位。依法建立落实隐患排查治理制度，切实强化事故隐患排查，对重大事故隐患严格按照“一单四制”管理。加强风险辨识评估，对排查出来的风险落实分级管控措施。</w:t>
      </w:r>
      <w:r>
        <w:rPr>
          <w:rFonts w:ascii="Times New Roman" w:hAnsi="Times New Roman" w:eastAsia="仿宋_GB2312"/>
          <w:szCs w:val="32"/>
          <w:lang w:bidi="ar"/>
        </w:rPr>
        <w:t>（县安委会各成员单位分工负责）</w:t>
      </w:r>
    </w:p>
    <w:p>
      <w:pPr>
        <w:adjustRightInd w:val="0"/>
        <w:snapToGrid w:val="0"/>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kern w:val="0"/>
          <w:szCs w:val="32"/>
          <w:lang w:val="en"/>
        </w:rPr>
        <w:t>29</w:t>
      </w:r>
      <w:r>
        <w:rPr>
          <w:rFonts w:ascii="Times New Roman" w:hAnsi="Times New Roman" w:eastAsia="仿宋_GB2312"/>
          <w:b/>
          <w:kern w:val="0"/>
          <w:szCs w:val="32"/>
          <w:lang w:val="en"/>
        </w:rPr>
        <w:t>.落实从业人员安全防护责任。</w:t>
      </w:r>
      <w:r>
        <w:rPr>
          <w:rFonts w:ascii="Times New Roman" w:hAnsi="Times New Roman" w:eastAsia="仿宋_GB2312"/>
          <w:szCs w:val="32"/>
        </w:rPr>
        <w:t>从业人员（含劳务派遣、灵活用工人员）教育培训率达100%，使其掌握必要的安全生产知识，掌握本岗位的安全操作技能，了解事故应急处理措施，知悉自身在安全生产方面的权利和义务，知晓各种安全生产举报方式和途径。</w:t>
      </w:r>
      <w:r>
        <w:rPr>
          <w:rFonts w:ascii="Times New Roman" w:hAnsi="Times New Roman" w:eastAsia="仿宋_GB2312"/>
          <w:szCs w:val="32"/>
          <w:lang w:bidi="ar"/>
        </w:rPr>
        <w:t>（县安委会各成员单位分工负责）</w:t>
      </w:r>
    </w:p>
    <w:p>
      <w:pPr>
        <w:spacing w:line="600" w:lineRule="exact"/>
        <w:ind w:firstLine="643" w:firstLineChars="200"/>
        <w:rPr>
          <w:rFonts w:ascii="Times New Roman" w:hAnsi="Times New Roman" w:eastAsia="仿宋_GB2312"/>
          <w:szCs w:val="32"/>
          <w:lang w:bidi="ar"/>
        </w:rPr>
      </w:pPr>
      <w:r>
        <w:rPr>
          <w:rFonts w:hint="eastAsia" w:ascii="Times New Roman" w:hAnsi="Times New Roman" w:eastAsia="仿宋_GB2312"/>
          <w:b/>
          <w:kern w:val="0"/>
          <w:szCs w:val="32"/>
          <w:lang w:val="en"/>
        </w:rPr>
        <w:t>30</w:t>
      </w:r>
      <w:r>
        <w:rPr>
          <w:rFonts w:ascii="Times New Roman" w:hAnsi="Times New Roman" w:eastAsia="仿宋_GB2312"/>
          <w:b/>
          <w:kern w:val="0"/>
          <w:szCs w:val="32"/>
          <w:lang w:val="en"/>
        </w:rPr>
        <w:t>.严肃追责问责。</w:t>
      </w:r>
      <w:r>
        <w:rPr>
          <w:rFonts w:ascii="Times New Roman" w:hAnsi="Times New Roman" w:eastAsia="仿宋_GB2312"/>
          <w:szCs w:val="32"/>
          <w:lang w:bidi="ar"/>
        </w:rPr>
        <w:t>持续开展安全生产领域机动式巡察、安全背后责任作风腐败问题专项监督，</w:t>
      </w:r>
      <w:r>
        <w:rPr>
          <w:rFonts w:ascii="Times New Roman" w:hAnsi="Times New Roman" w:eastAsia="仿宋_GB2312"/>
          <w:bCs/>
          <w:snapToGrid w:val="0"/>
          <w:kern w:val="0"/>
          <w:szCs w:val="32"/>
        </w:rPr>
        <w:t>对整治工作不负责、不作为、慢作为，逾期没有完成目标任务甚至发生事故的，依法依纪严肃问责。</w:t>
      </w:r>
      <w:r>
        <w:rPr>
          <w:rFonts w:ascii="Times New Roman" w:hAnsi="Times New Roman" w:eastAsia="仿宋_GB2312"/>
          <w:szCs w:val="32"/>
          <w:lang w:bidi="ar"/>
        </w:rPr>
        <w:t>建立健全安全生产“预否决”“预黑名单”、事前问责等制度，</w:t>
      </w:r>
      <w:r>
        <w:rPr>
          <w:rFonts w:ascii="Times New Roman" w:hAnsi="Times New Roman" w:eastAsia="仿宋_GB2312"/>
          <w:snapToGrid w:val="0"/>
          <w:kern w:val="0"/>
          <w:szCs w:val="32"/>
        </w:rPr>
        <w:t>对可能造成群死群伤的重大风险隐患，由县政府、县安委会或有关主管监管部门挂牌督办，对拒不整改的采取停产停工、追究刑责等坚决果断措施。</w:t>
      </w:r>
      <w:r>
        <w:rPr>
          <w:rFonts w:ascii="Times New Roman" w:hAnsi="Times New Roman" w:eastAsia="仿宋_GB2312"/>
          <w:szCs w:val="32"/>
          <w:lang w:bidi="ar"/>
        </w:rPr>
        <w:t>（县纪委监委、县安委会各成员单位依职责负责）</w:t>
      </w:r>
    </w:p>
    <w:p>
      <w:pPr>
        <w:adjustRightInd w:val="0"/>
        <w:snapToGrid w:val="0"/>
        <w:spacing w:line="600" w:lineRule="exact"/>
        <w:ind w:firstLine="640" w:firstLineChars="200"/>
        <w:rPr>
          <w:rFonts w:ascii="Times New Roman" w:hAnsi="Times New Roman" w:eastAsia="黑体"/>
          <w:bCs/>
          <w:kern w:val="0"/>
          <w:szCs w:val="32"/>
        </w:rPr>
      </w:pPr>
      <w:r>
        <w:rPr>
          <w:rFonts w:ascii="Times New Roman" w:hAnsi="Times New Roman" w:eastAsia="黑体"/>
          <w:kern w:val="0"/>
          <w:szCs w:val="20"/>
        </w:rPr>
        <w:t>三、推进机制</w:t>
      </w:r>
    </w:p>
    <w:p>
      <w:pPr>
        <w:pBdr>
          <w:top w:val="none" w:color="auto" w:sz="0" w:space="1"/>
          <w:bottom w:val="none" w:color="auto" w:sz="0" w:space="1"/>
        </w:pBdr>
        <w:adjustRightInd w:val="0"/>
        <w:snapToGrid w:val="0"/>
        <w:spacing w:line="600" w:lineRule="exact"/>
        <w:ind w:firstLine="640" w:firstLineChars="200"/>
        <w:rPr>
          <w:rFonts w:ascii="Times New Roman" w:hAnsi="Times New Roman" w:eastAsia="仿宋_GB2312"/>
          <w:bCs/>
          <w:snapToGrid w:val="0"/>
          <w:kern w:val="0"/>
          <w:szCs w:val="32"/>
        </w:rPr>
      </w:pPr>
      <w:r>
        <w:rPr>
          <w:rFonts w:ascii="Times New Roman" w:hAnsi="Times New Roman" w:eastAsia="仿宋_GB2312"/>
          <w:szCs w:val="32"/>
        </w:rPr>
        <w:t>成立打好安全生产翻身仗工作专班，由</w:t>
      </w:r>
      <w:r>
        <w:rPr>
          <w:rFonts w:ascii="Times New Roman" w:hAnsi="Times New Roman" w:eastAsia="仿宋_GB2312"/>
          <w:bCs/>
          <w:snapToGrid w:val="0"/>
          <w:kern w:val="0"/>
          <w:szCs w:val="32"/>
        </w:rPr>
        <w:t>县委常委、常务副县长担任召集人，县人民政府副县长邱铁勇担任副召集人，县政府办、县发改局、县教育局、县科工信局、县公安局、</w:t>
      </w:r>
      <w:r>
        <w:rPr>
          <w:rFonts w:hint="eastAsia" w:ascii="Times New Roman" w:hAnsi="Times New Roman" w:eastAsia="仿宋_GB2312"/>
          <w:bCs/>
          <w:snapToGrid w:val="0"/>
          <w:kern w:val="0"/>
          <w:szCs w:val="32"/>
          <w:lang w:eastAsia="zh-CN"/>
        </w:rPr>
        <w:t>县</w:t>
      </w:r>
      <w:r>
        <w:rPr>
          <w:rFonts w:ascii="Times New Roman" w:hAnsi="Times New Roman" w:eastAsia="仿宋_GB2312"/>
          <w:bCs/>
          <w:snapToGrid w:val="0"/>
          <w:kern w:val="0"/>
          <w:szCs w:val="32"/>
        </w:rPr>
        <w:t>自然资源局、生态环境分局、县住建局、县交运局、县农业农村局、县商务局、县文旅广体局、县应急管理局、县城管局、县市场监管局、县消防救援大队、县交警大队为成员单位，办公室设在县应急管理局，负责日常协调和调度工作。</w:t>
      </w:r>
    </w:p>
    <w:p>
      <w:pPr>
        <w:spacing w:line="600" w:lineRule="exact"/>
        <w:ind w:firstLine="664"/>
        <w:rPr>
          <w:rFonts w:ascii="Times New Roman" w:hAnsi="Times New Roman" w:eastAsia="仿宋_GB2312"/>
          <w:szCs w:val="32"/>
        </w:rPr>
      </w:pPr>
    </w:p>
    <w:p>
      <w:pPr>
        <w:pBdr>
          <w:top w:val="none" w:color="auto" w:sz="0" w:space="1"/>
          <w:bottom w:val="none" w:color="auto" w:sz="0" w:space="1"/>
        </w:pBdr>
        <w:adjustRightInd w:val="0"/>
        <w:snapToGrid w:val="0"/>
        <w:spacing w:line="600" w:lineRule="exact"/>
        <w:ind w:firstLine="640" w:firstLineChars="200"/>
        <w:jc w:val="left"/>
        <w:rPr>
          <w:rFonts w:ascii="Times New Roman" w:hAnsi="Times New Roman" w:eastAsia="仿宋_GB2312"/>
          <w:bCs/>
          <w:snapToGrid w:val="0"/>
          <w:kern w:val="0"/>
          <w:szCs w:val="32"/>
        </w:rPr>
      </w:pPr>
    </w:p>
    <w:p>
      <w:pPr>
        <w:pBdr>
          <w:top w:val="none" w:color="auto" w:sz="0" w:space="1"/>
          <w:bottom w:val="none" w:color="auto" w:sz="0" w:space="1"/>
        </w:pBdr>
        <w:adjustRightInd w:val="0"/>
        <w:snapToGrid w:val="0"/>
        <w:spacing w:line="600" w:lineRule="exact"/>
        <w:ind w:firstLine="640" w:firstLineChars="200"/>
        <w:jc w:val="left"/>
        <w:rPr>
          <w:rFonts w:ascii="Times New Roman" w:hAnsi="Times New Roman" w:eastAsia="仿宋_GB2312"/>
          <w:bCs/>
          <w:snapToGrid w:val="0"/>
          <w:kern w:val="0"/>
          <w:szCs w:val="32"/>
        </w:rPr>
      </w:pPr>
    </w:p>
    <w:p>
      <w:pPr>
        <w:spacing w:line="600" w:lineRule="exact"/>
        <w:rPr>
          <w:rFonts w:ascii="Times New Roman" w:hAnsi="Times New Roman" w:eastAsia="仿宋_GB2312"/>
          <w:szCs w:val="32"/>
        </w:rPr>
        <w:sectPr>
          <w:pgSz w:w="11906" w:h="16838"/>
          <w:pgMar w:top="1701" w:right="1418" w:bottom="1701" w:left="1418" w:header="851" w:footer="992" w:gutter="0"/>
          <w:cols w:space="720" w:num="1"/>
        </w:sectPr>
      </w:pPr>
    </w:p>
    <w:p>
      <w:pPr>
        <w:autoSpaceDE w:val="0"/>
        <w:autoSpaceDN w:val="0"/>
        <w:adjustRightInd w:val="0"/>
        <w:spacing w:line="558" w:lineRule="exact"/>
        <w:jc w:val="center"/>
        <w:rPr>
          <w:rFonts w:ascii="Times New Roman" w:hAnsi="Times New Roman" w:eastAsia="方正小标宋简体"/>
          <w:sz w:val="44"/>
          <w:szCs w:val="44"/>
        </w:rPr>
      </w:pPr>
      <w:r>
        <w:rPr>
          <w:rFonts w:ascii="Times New Roman" w:hAnsi="Times New Roman" w:eastAsia="方正小标宋简体"/>
          <w:sz w:val="44"/>
          <w:szCs w:val="44"/>
        </w:rPr>
        <w:t>攸县打好安全生产翻身仗重点工作任务清单</w:t>
      </w:r>
    </w:p>
    <w:p>
      <w:pPr>
        <w:autoSpaceDE w:val="0"/>
        <w:autoSpaceDN w:val="0"/>
        <w:adjustRightInd w:val="0"/>
        <w:spacing w:line="558" w:lineRule="exact"/>
        <w:jc w:val="center"/>
        <w:rPr>
          <w:rFonts w:ascii="Times New Roman" w:hAnsi="Times New Roman" w:eastAsia="方正小标宋简体"/>
          <w:sz w:val="44"/>
          <w:szCs w:val="44"/>
        </w:rPr>
      </w:pPr>
    </w:p>
    <w:tbl>
      <w:tblPr>
        <w:tblStyle w:val="5"/>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48"/>
        <w:gridCol w:w="1496"/>
        <w:gridCol w:w="6465"/>
        <w:gridCol w:w="1430"/>
        <w:gridCol w:w="205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blHeader/>
        </w:trPr>
        <w:tc>
          <w:tcPr>
            <w:tcW w:w="2744" w:type="dxa"/>
            <w:gridSpan w:val="2"/>
            <w:noWrap w:val="0"/>
            <w:vAlign w:val="center"/>
          </w:tcPr>
          <w:p>
            <w:pPr>
              <w:autoSpaceDE w:val="0"/>
              <w:autoSpaceDN w:val="0"/>
              <w:adjustRightInd w:val="0"/>
              <w:spacing w:line="300" w:lineRule="exact"/>
              <w:jc w:val="center"/>
              <w:rPr>
                <w:rFonts w:ascii="Times New Roman" w:hAnsi="Times New Roman" w:eastAsia="方正黑体简体"/>
                <w:kern w:val="0"/>
                <w:sz w:val="21"/>
                <w:szCs w:val="21"/>
              </w:rPr>
            </w:pPr>
            <w:r>
              <w:rPr>
                <w:rFonts w:ascii="Times New Roman" w:hAnsi="Times New Roman" w:eastAsia="方正黑体简体"/>
                <w:kern w:val="0"/>
                <w:sz w:val="21"/>
                <w:szCs w:val="21"/>
              </w:rPr>
              <w:t>工作任务</w:t>
            </w:r>
          </w:p>
        </w:tc>
        <w:tc>
          <w:tcPr>
            <w:tcW w:w="6465" w:type="dxa"/>
            <w:noWrap w:val="0"/>
            <w:vAlign w:val="center"/>
          </w:tcPr>
          <w:p>
            <w:pPr>
              <w:autoSpaceDE w:val="0"/>
              <w:autoSpaceDN w:val="0"/>
              <w:adjustRightInd w:val="0"/>
              <w:spacing w:line="300" w:lineRule="exact"/>
              <w:jc w:val="center"/>
              <w:rPr>
                <w:rFonts w:ascii="Times New Roman" w:hAnsi="Times New Roman" w:eastAsia="方正黑体简体"/>
                <w:kern w:val="0"/>
                <w:sz w:val="21"/>
                <w:szCs w:val="21"/>
              </w:rPr>
            </w:pPr>
            <w:r>
              <w:rPr>
                <w:rFonts w:hint="eastAsia" w:ascii="Times New Roman" w:hAnsi="Times New Roman" w:eastAsia="方正黑体简体"/>
                <w:kern w:val="0"/>
                <w:sz w:val="21"/>
                <w:szCs w:val="21"/>
              </w:rPr>
              <w:t>工作</w:t>
            </w:r>
            <w:r>
              <w:rPr>
                <w:rFonts w:ascii="Times New Roman" w:hAnsi="Times New Roman" w:eastAsia="方正黑体简体"/>
                <w:kern w:val="0"/>
                <w:sz w:val="21"/>
                <w:szCs w:val="21"/>
              </w:rPr>
              <w:t>事项</w:t>
            </w:r>
          </w:p>
        </w:tc>
        <w:tc>
          <w:tcPr>
            <w:tcW w:w="1430" w:type="dxa"/>
            <w:noWrap w:val="0"/>
            <w:vAlign w:val="center"/>
          </w:tcPr>
          <w:p>
            <w:pPr>
              <w:autoSpaceDE w:val="0"/>
              <w:autoSpaceDN w:val="0"/>
              <w:adjustRightInd w:val="0"/>
              <w:spacing w:line="300" w:lineRule="exact"/>
              <w:jc w:val="center"/>
              <w:rPr>
                <w:rFonts w:ascii="Times New Roman" w:hAnsi="Times New Roman" w:eastAsia="方正黑体简体"/>
                <w:kern w:val="0"/>
                <w:sz w:val="21"/>
                <w:szCs w:val="21"/>
              </w:rPr>
            </w:pPr>
            <w:r>
              <w:rPr>
                <w:rFonts w:ascii="Times New Roman" w:hAnsi="Times New Roman" w:eastAsia="方正黑体简体"/>
                <w:kern w:val="0"/>
                <w:sz w:val="21"/>
                <w:szCs w:val="21"/>
              </w:rPr>
              <w:t>牵头单位</w:t>
            </w:r>
          </w:p>
        </w:tc>
        <w:tc>
          <w:tcPr>
            <w:tcW w:w="2056" w:type="dxa"/>
            <w:noWrap w:val="0"/>
            <w:vAlign w:val="center"/>
          </w:tcPr>
          <w:p>
            <w:pPr>
              <w:autoSpaceDE w:val="0"/>
              <w:autoSpaceDN w:val="0"/>
              <w:adjustRightInd w:val="0"/>
              <w:spacing w:line="300" w:lineRule="exact"/>
              <w:jc w:val="center"/>
              <w:rPr>
                <w:rFonts w:ascii="Times New Roman" w:hAnsi="Times New Roman" w:eastAsia="方正黑体简体"/>
                <w:kern w:val="0"/>
                <w:sz w:val="21"/>
                <w:szCs w:val="21"/>
              </w:rPr>
            </w:pPr>
            <w:r>
              <w:rPr>
                <w:rFonts w:ascii="Times New Roman" w:hAnsi="Times New Roman" w:eastAsia="方正黑体简体"/>
                <w:kern w:val="0"/>
                <w:sz w:val="21"/>
                <w:szCs w:val="21"/>
              </w:rPr>
              <w:t>责任单位</w:t>
            </w:r>
          </w:p>
        </w:tc>
        <w:tc>
          <w:tcPr>
            <w:tcW w:w="1544" w:type="dxa"/>
            <w:noWrap w:val="0"/>
            <w:vAlign w:val="center"/>
          </w:tcPr>
          <w:p>
            <w:pPr>
              <w:autoSpaceDE w:val="0"/>
              <w:autoSpaceDN w:val="0"/>
              <w:adjustRightInd w:val="0"/>
              <w:spacing w:line="300" w:lineRule="exact"/>
              <w:jc w:val="center"/>
              <w:rPr>
                <w:rFonts w:ascii="Times New Roman" w:hAnsi="Times New Roman" w:eastAsia="方正黑体简体"/>
                <w:kern w:val="0"/>
                <w:sz w:val="21"/>
                <w:szCs w:val="21"/>
              </w:rPr>
            </w:pPr>
            <w:r>
              <w:rPr>
                <w:rFonts w:ascii="Times New Roman" w:hAnsi="Times New Roman" w:eastAsia="方正黑体简体"/>
                <w:kern w:val="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8" w:hRule="atLeast"/>
        </w:trPr>
        <w:tc>
          <w:tcPr>
            <w:tcW w:w="1248" w:type="dxa"/>
            <w:vMerge w:val="restart"/>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（一）强化安全监管</w:t>
            </w:r>
          </w:p>
        </w:tc>
        <w:tc>
          <w:tcPr>
            <w:tcW w:w="1496"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1.开展隐患</w:t>
            </w:r>
          </w:p>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清零</w:t>
            </w:r>
          </w:p>
        </w:tc>
        <w:tc>
          <w:tcPr>
            <w:tcW w:w="6465"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按照“三管三必须”和“业务相近”“管合法也要管非法”的要求，深入开展隐患清零行动。对省安委会巡查问题、专项整治三年行动和潜在风险隐患排查出来的重大隐患进行回头看，确保100%按期整改到位。</w:t>
            </w:r>
          </w:p>
        </w:tc>
        <w:tc>
          <w:tcPr>
            <w:tcW w:w="1430"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2056"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县安委会有关成员单位</w:t>
            </w:r>
          </w:p>
        </w:tc>
        <w:tc>
          <w:tcPr>
            <w:tcW w:w="154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248"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1496"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6465"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商场、超市、影院、医院、养老院、学校、幼儿园、校外培训机构、托管机构等人员密集场所和高层建筑封堵安全出口、疏散通道的问题，确保100%限期整改到位。</w:t>
            </w:r>
          </w:p>
        </w:tc>
        <w:tc>
          <w:tcPr>
            <w:tcW w:w="1430"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县消防救援</w:t>
            </w:r>
          </w:p>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大队</w:t>
            </w:r>
          </w:p>
        </w:tc>
        <w:tc>
          <w:tcPr>
            <w:tcW w:w="2056"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县商务局、县卫健局、县文旅广体局、县民政局、县教育局、县住建局、县城管局等</w:t>
            </w:r>
          </w:p>
        </w:tc>
        <w:tc>
          <w:tcPr>
            <w:tcW w:w="154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248"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1496"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6465"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督促高危企业重大事故隐患及时报告主管和监管部门，严格落实“一单四制”管理，确保100%按期整改到位。督促各类生产经营单位要建立安全风险和隐患清单（重大风险隐患报主管和监管部门），落实风险管控和隐患整改措施，重大事故隐患严格按照“一单四制”整改“清零”。</w:t>
            </w:r>
          </w:p>
        </w:tc>
        <w:tc>
          <w:tcPr>
            <w:tcW w:w="1430"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2056"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县安委会有关成员单位</w:t>
            </w:r>
          </w:p>
        </w:tc>
        <w:tc>
          <w:tcPr>
            <w:tcW w:w="154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248"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1496"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2.严格监管</w:t>
            </w:r>
          </w:p>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执法</w:t>
            </w:r>
          </w:p>
        </w:tc>
        <w:tc>
          <w:tcPr>
            <w:tcW w:w="6465"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持续深入开展“强执法防事故”行动，按季度实行监管执法排名。</w:t>
            </w:r>
          </w:p>
        </w:tc>
        <w:tc>
          <w:tcPr>
            <w:tcW w:w="1430"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2056"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54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4" w:hRule="atLeast"/>
        </w:trPr>
        <w:tc>
          <w:tcPr>
            <w:tcW w:w="1248"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1496"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6465"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分级分类精准执法，全面落实计划执法，开展交叉执法、联合执法、“互联网+执法”，确保高危行业企业监管执法覆盖率100%，确保发现的重点问题、重大隐患实现“闭环管理”。</w:t>
            </w:r>
          </w:p>
        </w:tc>
        <w:tc>
          <w:tcPr>
            <w:tcW w:w="3486"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54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248"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1496"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6465"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严格落实《安全生产法》《湖南省安全生产条例》和《刑法修正案（十一）》，依法推进行刑衔接，对严重危害公共安全的违法行为依法追究刑事责任。</w:t>
            </w:r>
          </w:p>
        </w:tc>
        <w:tc>
          <w:tcPr>
            <w:tcW w:w="3486"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54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bl>
    <w:p>
      <w:pPr>
        <w:pBdr>
          <w:top w:val="none" w:color="auto" w:sz="0" w:space="1"/>
          <w:bottom w:val="none" w:color="auto" w:sz="0" w:space="1"/>
        </w:pBdr>
        <w:adjustRightInd w:val="0"/>
        <w:snapToGrid w:val="0"/>
        <w:spacing w:line="600" w:lineRule="exact"/>
        <w:ind w:firstLine="640" w:firstLineChars="200"/>
        <w:jc w:val="left"/>
        <w:rPr>
          <w:rFonts w:ascii="Times New Roman" w:hAnsi="Times New Roman" w:eastAsia="仿宋_GB2312"/>
          <w:szCs w:val="32"/>
        </w:rPr>
        <w:sectPr>
          <w:pgSz w:w="16838" w:h="11906" w:orient="landscape"/>
          <w:pgMar w:top="1418" w:right="1420" w:bottom="1418" w:left="1420" w:header="851" w:footer="992" w:gutter="0"/>
          <w:cols w:space="720" w:num="1"/>
        </w:sectPr>
      </w:pPr>
    </w:p>
    <w:tbl>
      <w:tblPr>
        <w:tblStyle w:val="5"/>
        <w:tblW w:w="13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8"/>
        <w:gridCol w:w="1438"/>
        <w:gridCol w:w="6207"/>
        <w:gridCol w:w="1373"/>
        <w:gridCol w:w="1974"/>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blHeader/>
        </w:trPr>
        <w:tc>
          <w:tcPr>
            <w:tcW w:w="2636" w:type="dxa"/>
            <w:gridSpan w:val="2"/>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工作任务</w:t>
            </w:r>
          </w:p>
        </w:tc>
        <w:tc>
          <w:tcPr>
            <w:tcW w:w="6207" w:type="dxa"/>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hint="eastAsia" w:ascii="Times New Roman" w:hAnsi="Times New Roman" w:eastAsia="黑体"/>
                <w:kern w:val="0"/>
                <w:sz w:val="21"/>
                <w:szCs w:val="21"/>
              </w:rPr>
              <w:t>工作</w:t>
            </w:r>
            <w:r>
              <w:rPr>
                <w:rFonts w:ascii="Times New Roman" w:hAnsi="Times New Roman" w:eastAsia="黑体"/>
                <w:kern w:val="0"/>
                <w:sz w:val="21"/>
                <w:szCs w:val="21"/>
              </w:rPr>
              <w:t>事项</w:t>
            </w:r>
          </w:p>
        </w:tc>
        <w:tc>
          <w:tcPr>
            <w:tcW w:w="1373" w:type="dxa"/>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牵头单位</w:t>
            </w:r>
          </w:p>
        </w:tc>
        <w:tc>
          <w:tcPr>
            <w:tcW w:w="1974" w:type="dxa"/>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责任单位</w:t>
            </w:r>
          </w:p>
        </w:tc>
        <w:tc>
          <w:tcPr>
            <w:tcW w:w="1482" w:type="dxa"/>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198" w:type="dxa"/>
            <w:vMerge w:val="restart"/>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（一）强化安全监管</w:t>
            </w:r>
          </w:p>
        </w:tc>
        <w:tc>
          <w:tcPr>
            <w:tcW w:w="1438"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3.强化“打非治违”</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严格落实属地政府“打非”主体责任和行业领域部门责任。严厉打击矿山违法盗采、危化品非法生产运输经营、无资质施工和层层转包、客车客船非法营运、违规电气焊、油气管道乱挖乱钻等典型非法违法行为，每季度公开曝光一批“非法违法”典型案例。</w:t>
            </w:r>
          </w:p>
        </w:tc>
        <w:tc>
          <w:tcPr>
            <w:tcW w:w="1373"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2" w:hRule="atLeast"/>
        </w:trPr>
        <w:tc>
          <w:tcPr>
            <w:tcW w:w="1198" w:type="dxa"/>
            <w:vMerge w:val="continue"/>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c>
          <w:tcPr>
            <w:tcW w:w="143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对顶风作案、屡禁不止，以及责任不落实、监管不到位、失职渎职的，依纪依法从重惩处。深挖严打违法行为背后的“保护伞”，对监管执法人员和不法企业“猫鼠一家”的腐败问题，移交纪检监察机关严肃处理。遏制非法违法生产，通过典型曝光、行刑衔接和联合惩戒，强力打击黑色产业链、整治执法宽松软，形成震慑。</w:t>
            </w:r>
          </w:p>
        </w:tc>
        <w:tc>
          <w:tcPr>
            <w:tcW w:w="1373"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县纪委监委</w:t>
            </w:r>
          </w:p>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70" w:hRule="atLeast"/>
        </w:trPr>
        <w:tc>
          <w:tcPr>
            <w:tcW w:w="1198" w:type="dxa"/>
            <w:vMerge w:val="restart"/>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（二）深化专项整治</w:t>
            </w: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4</w:t>
            </w:r>
            <w:r>
              <w:rPr>
                <w:rFonts w:ascii="Times New Roman" w:hAnsi="Times New Roman" w:eastAsia="方正仿宋简体"/>
                <w:kern w:val="0"/>
                <w:sz w:val="21"/>
                <w:szCs w:val="21"/>
              </w:rPr>
              <w:t>.消防和人员密集场所专项整治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深入推进、持续巩固冬春消防安全专项整治成果，盯紧盯牢望云国际、湘东大市场等高层建筑、大型商业综合体、厂房仓储、劳动密集型企业等高风险场所，以及棚户区集中区、城中村、群租房、城乡结合部、老旧小区等低设防区域，突出违规使用醇基燃料、电动自行车进楼入户、封闭堵塞消防车通道、违规动火动焊、私拉乱接电线、违规搭建临时建筑等问题隐患专项治理。较大以上火灾事故责任追究率100%。</w:t>
            </w:r>
          </w:p>
        </w:tc>
        <w:tc>
          <w:tcPr>
            <w:tcW w:w="1373"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县消防救援</w:t>
            </w:r>
          </w:p>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大队</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县公安局、县住建局、县科工信局、县商务局、县市场服务中心、县应急管理局等部门</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00"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5</w:t>
            </w:r>
            <w:r>
              <w:rPr>
                <w:rFonts w:ascii="Times New Roman" w:hAnsi="Times New Roman" w:eastAsia="方正仿宋简体"/>
                <w:kern w:val="0"/>
                <w:sz w:val="21"/>
                <w:szCs w:val="21"/>
              </w:rPr>
              <w:t>.烟花爆竹安全专项整治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坚决整治多股东独立组织生产、分包转包、“四超二改”等顽瘴痼疾，批发企业“六严禁”落实率100%，零售店“下店上宅、前店后宅”关闭取缔率100%；生产企业对标改造率100%；生产企业风险预警系统建成率100%。对非法生产、经营、储存、运输、燃放烟花爆竹行为，坚持露头就打。</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县应急管理局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县公安局、县交运局、县市场监管局、县邮政公司等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bl>
    <w:tbl>
      <w:tblPr>
        <w:tblStyle w:val="5"/>
        <w:tblpPr w:leftFromText="180" w:rightFromText="180" w:vertAnchor="text" w:horzAnchor="page" w:tblpX="1427" w:tblpY="417"/>
        <w:tblOverlap w:val="never"/>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15"/>
        <w:gridCol w:w="1337"/>
        <w:gridCol w:w="1"/>
        <w:gridCol w:w="5773"/>
        <w:gridCol w:w="1"/>
        <w:gridCol w:w="1276"/>
        <w:gridCol w:w="1"/>
        <w:gridCol w:w="1835"/>
        <w:gridCol w:w="1"/>
        <w:gridCol w:w="1378"/>
        <w:gridCol w:w="1"/>
        <w:gridCol w:w="1376"/>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 w:type="dxa"/>
          <w:trHeight w:val="567" w:hRule="atLeast"/>
          <w:tblHeader/>
        </w:trPr>
        <w:tc>
          <w:tcPr>
            <w:tcW w:w="2452" w:type="dxa"/>
            <w:gridSpan w:val="2"/>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工作任务</w:t>
            </w:r>
          </w:p>
        </w:tc>
        <w:tc>
          <w:tcPr>
            <w:tcW w:w="5774" w:type="dxa"/>
            <w:gridSpan w:val="2"/>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hint="eastAsia" w:ascii="Times New Roman" w:hAnsi="Times New Roman" w:eastAsia="黑体"/>
                <w:kern w:val="0"/>
                <w:sz w:val="21"/>
                <w:szCs w:val="21"/>
              </w:rPr>
              <w:t>工作</w:t>
            </w:r>
            <w:r>
              <w:rPr>
                <w:rFonts w:ascii="Times New Roman" w:hAnsi="Times New Roman" w:eastAsia="黑体"/>
                <w:kern w:val="0"/>
                <w:sz w:val="21"/>
                <w:szCs w:val="21"/>
              </w:rPr>
              <w:t>事项</w:t>
            </w:r>
          </w:p>
        </w:tc>
        <w:tc>
          <w:tcPr>
            <w:tcW w:w="1277" w:type="dxa"/>
            <w:gridSpan w:val="2"/>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牵头单位</w:t>
            </w:r>
          </w:p>
        </w:tc>
        <w:tc>
          <w:tcPr>
            <w:tcW w:w="1836" w:type="dxa"/>
            <w:gridSpan w:val="2"/>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责任单位</w:t>
            </w:r>
          </w:p>
        </w:tc>
        <w:tc>
          <w:tcPr>
            <w:tcW w:w="1379" w:type="dxa"/>
            <w:gridSpan w:val="2"/>
            <w:noWrap w:val="0"/>
            <w:vAlign w:val="center"/>
          </w:tcPr>
          <w:p>
            <w:pPr>
              <w:autoSpaceDE w:val="0"/>
              <w:autoSpaceDN w:val="0"/>
              <w:adjustRightInd w:val="0"/>
              <w:spacing w:line="300" w:lineRule="exact"/>
              <w:jc w:val="center"/>
              <w:rPr>
                <w:rFonts w:ascii="Times New Roman" w:hAnsi="Times New Roman" w:eastAsia="黑体"/>
                <w:kern w:val="0"/>
                <w:sz w:val="21"/>
                <w:szCs w:val="21"/>
              </w:rPr>
            </w:pPr>
            <w:r>
              <w:rPr>
                <w:rFonts w:ascii="Times New Roman" w:hAnsi="Times New Roman" w:eastAsia="黑体"/>
                <w:kern w:val="0"/>
                <w:sz w:val="21"/>
                <w:szCs w:val="21"/>
              </w:rPr>
              <w:t>完成时限</w:t>
            </w:r>
          </w:p>
        </w:tc>
        <w:tc>
          <w:tcPr>
            <w:tcW w:w="1377" w:type="dxa"/>
            <w:gridSpan w:val="2"/>
            <w:noWrap w:val="0"/>
            <w:vAlign w:val="center"/>
          </w:tcPr>
          <w:p>
            <w:pPr>
              <w:autoSpaceDE w:val="0"/>
              <w:autoSpaceDN w:val="0"/>
              <w:adjustRightInd w:val="0"/>
              <w:spacing w:line="300" w:lineRule="exact"/>
              <w:jc w:val="center"/>
              <w:rPr>
                <w:rFonts w:ascii="Times New Roman" w:hAnsi="Times New Roman"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46" w:hRule="atLeast"/>
        </w:trPr>
        <w:tc>
          <w:tcPr>
            <w:tcW w:w="1115" w:type="dxa"/>
            <w:vMerge w:val="restart"/>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（二）深化专项整治</w:t>
            </w:r>
          </w:p>
        </w:tc>
        <w:tc>
          <w:tcPr>
            <w:tcW w:w="1338" w:type="dxa"/>
            <w:gridSpan w:val="2"/>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6</w:t>
            </w:r>
            <w:r>
              <w:rPr>
                <w:rFonts w:ascii="Times New Roman" w:hAnsi="Times New Roman" w:eastAsia="方正仿宋简体"/>
                <w:kern w:val="0"/>
                <w:sz w:val="21"/>
                <w:szCs w:val="21"/>
              </w:rPr>
              <w:t>.危险化学品安全专项整治</w:t>
            </w:r>
          </w:p>
        </w:tc>
        <w:tc>
          <w:tcPr>
            <w:tcW w:w="5774" w:type="dxa"/>
            <w:gridSpan w:val="2"/>
            <w:noWrap w:val="0"/>
            <w:vAlign w:val="center"/>
          </w:tcPr>
          <w:p>
            <w:pPr>
              <w:autoSpaceDE w:val="0"/>
              <w:autoSpaceDN w:val="0"/>
              <w:adjustRightInd w:val="0"/>
              <w:spacing w:line="34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组织开展二轮“消地协作”重大危险源联合督导检查，企业对标自查率100%、交叉执法检查覆盖率100%。组织对涉及氯化、重氮化、氟化、过氧化等危险化工工艺企业开展专家指导服务及“回头看”，确保“一企一策”整改率100%。推进大型油气储存基地气体检测、紧急切断、视频监控、雷电预警“四个系统”建设达标率100%。推动精细化工企业反应安全风险评估、自动化控制装备改造、从业人员学历资质达标、人员密集场所搬迁改造“四项清零”100%达标。督促危险化学品产业转移项目安全设计诊断发现问题隐患的整改销号，督促指导化工园区开展“十有两禁”整治提升，确保保持一般或较低安全风险等级。持续推进危险化学品重点企业安全生产分管负责人、专职安全管理人员和班组长“三类人员”培训率不少于60%。危险化学品企业专职安全管理人员和高风险岗位操作人员资质达标率100%。</w:t>
            </w:r>
          </w:p>
        </w:tc>
        <w:tc>
          <w:tcPr>
            <w:tcW w:w="12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高新区</w:t>
            </w:r>
          </w:p>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县应急管理局</w:t>
            </w:r>
          </w:p>
        </w:tc>
        <w:tc>
          <w:tcPr>
            <w:tcW w:w="1836"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县消防救援大队、县发改局、县人社局、县科工信局等</w:t>
            </w:r>
          </w:p>
        </w:tc>
        <w:tc>
          <w:tcPr>
            <w:tcW w:w="1379"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c>
          <w:tcPr>
            <w:tcW w:w="13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62" w:hRule="atLeast"/>
        </w:trPr>
        <w:tc>
          <w:tcPr>
            <w:tcW w:w="1115"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338" w:type="dxa"/>
            <w:gridSpan w:val="2"/>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7</w:t>
            </w:r>
            <w:r>
              <w:rPr>
                <w:rFonts w:ascii="Times New Roman" w:hAnsi="Times New Roman" w:eastAsia="方正仿宋简体"/>
                <w:kern w:val="0"/>
                <w:sz w:val="21"/>
                <w:szCs w:val="21"/>
              </w:rPr>
              <w:t>.矿山安全专项整治</w:t>
            </w:r>
          </w:p>
        </w:tc>
        <w:tc>
          <w:tcPr>
            <w:tcW w:w="5774" w:type="dxa"/>
            <w:gridSpan w:val="2"/>
            <w:noWrap w:val="0"/>
            <w:vAlign w:val="center"/>
          </w:tcPr>
          <w:p>
            <w:pPr>
              <w:spacing w:line="34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加强煤矿隐蔽致灾因素普查治理，落实水害防治“三十条”，落实顶板治理相关措施，全面推进煤矿支护改革。到2023年底，全县煤矿30个以上固定岗位实现自动化无人值守；正常生产煤矿三级标准化达标率100%，2处煤矿达到二级标准化；煤矿机械化采煤工作面达到6个，1处煤矿完成技改竣工验收。</w:t>
            </w:r>
          </w:p>
        </w:tc>
        <w:tc>
          <w:tcPr>
            <w:tcW w:w="1277" w:type="dxa"/>
            <w:gridSpan w:val="2"/>
            <w:vMerge w:val="restart"/>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县应急管理局</w:t>
            </w:r>
          </w:p>
        </w:tc>
        <w:tc>
          <w:tcPr>
            <w:tcW w:w="1836" w:type="dxa"/>
            <w:gridSpan w:val="2"/>
            <w:vMerge w:val="restart"/>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县自然资源局、县财政局、县发改局、县公安局、县煤炭产业事务中心等</w:t>
            </w:r>
          </w:p>
        </w:tc>
        <w:tc>
          <w:tcPr>
            <w:tcW w:w="1379" w:type="dxa"/>
            <w:gridSpan w:val="2"/>
            <w:vMerge w:val="restart"/>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c>
          <w:tcPr>
            <w:tcW w:w="13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115" w:type="dxa"/>
            <w:vMerge w:val="continue"/>
            <w:noWrap w:val="0"/>
            <w:vAlign w:val="center"/>
          </w:tcPr>
          <w:p>
            <w:pPr>
              <w:autoSpaceDE w:val="0"/>
              <w:autoSpaceDN w:val="0"/>
              <w:adjustRightInd w:val="0"/>
              <w:spacing w:line="300" w:lineRule="exact"/>
              <w:jc w:val="center"/>
              <w:rPr>
                <w:rFonts w:ascii="Times New Roman" w:hAnsi="Times New Roman" w:eastAsia="仿宋_GB2312"/>
                <w:kern w:val="0"/>
                <w:szCs w:val="21"/>
              </w:rPr>
            </w:pPr>
          </w:p>
        </w:tc>
        <w:tc>
          <w:tcPr>
            <w:tcW w:w="1338" w:type="dxa"/>
            <w:gridSpan w:val="2"/>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5774" w:type="dxa"/>
            <w:gridSpan w:val="2"/>
            <w:noWrap w:val="0"/>
            <w:vAlign w:val="center"/>
          </w:tcPr>
          <w:p>
            <w:pPr>
              <w:autoSpaceDE w:val="0"/>
              <w:autoSpaceDN w:val="0"/>
              <w:adjustRightInd w:val="0"/>
              <w:spacing w:line="34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盯紧看牢尾矿库特别是头顶库，加强监测和巡查，及时排查管控风险隐患。关闭不具备安全生产条件非煤矿山1座以上、尾矿库闭库销号2座；正常生产的非煤地下矿山100%配备五职矿长，没有条件配备的必须委托科研技术机构提供技术服务。</w:t>
            </w:r>
          </w:p>
        </w:tc>
        <w:tc>
          <w:tcPr>
            <w:tcW w:w="1277" w:type="dxa"/>
            <w:gridSpan w:val="2"/>
            <w:vMerge w:val="continue"/>
            <w:noWrap w:val="0"/>
            <w:vAlign w:val="center"/>
          </w:tcPr>
          <w:p>
            <w:pPr>
              <w:autoSpaceDE w:val="0"/>
              <w:autoSpaceDN w:val="0"/>
              <w:adjustRightInd w:val="0"/>
              <w:spacing w:line="300" w:lineRule="exact"/>
              <w:jc w:val="center"/>
              <w:rPr>
                <w:rFonts w:ascii="Times New Roman" w:hAnsi="Times New Roman" w:eastAsia="仿宋_GB2312"/>
                <w:kern w:val="0"/>
                <w:szCs w:val="21"/>
              </w:rPr>
            </w:pPr>
          </w:p>
        </w:tc>
        <w:tc>
          <w:tcPr>
            <w:tcW w:w="1836" w:type="dxa"/>
            <w:gridSpan w:val="2"/>
            <w:vMerge w:val="continue"/>
            <w:noWrap w:val="0"/>
            <w:vAlign w:val="center"/>
          </w:tcPr>
          <w:p>
            <w:pPr>
              <w:autoSpaceDE w:val="0"/>
              <w:autoSpaceDN w:val="0"/>
              <w:adjustRightInd w:val="0"/>
              <w:spacing w:line="300" w:lineRule="exact"/>
              <w:jc w:val="center"/>
              <w:rPr>
                <w:rFonts w:ascii="Times New Roman" w:hAnsi="Times New Roman" w:eastAsia="仿宋_GB2312"/>
                <w:kern w:val="0"/>
                <w:szCs w:val="21"/>
              </w:rPr>
            </w:pPr>
          </w:p>
        </w:tc>
        <w:tc>
          <w:tcPr>
            <w:tcW w:w="1379" w:type="dxa"/>
            <w:gridSpan w:val="2"/>
            <w:vMerge w:val="continue"/>
            <w:noWrap w:val="0"/>
            <w:vAlign w:val="center"/>
          </w:tcPr>
          <w:p>
            <w:pPr>
              <w:autoSpaceDE w:val="0"/>
              <w:autoSpaceDN w:val="0"/>
              <w:adjustRightInd w:val="0"/>
              <w:spacing w:line="300" w:lineRule="exact"/>
              <w:jc w:val="center"/>
              <w:rPr>
                <w:rFonts w:ascii="Times New Roman" w:hAnsi="Times New Roman" w:eastAsia="仿宋_GB2312"/>
                <w:szCs w:val="21"/>
              </w:rPr>
            </w:pPr>
          </w:p>
        </w:tc>
        <w:tc>
          <w:tcPr>
            <w:tcW w:w="1377" w:type="dxa"/>
            <w:gridSpan w:val="2"/>
            <w:noWrap w:val="0"/>
            <w:vAlign w:val="center"/>
          </w:tcPr>
          <w:p>
            <w:pPr>
              <w:autoSpaceDE w:val="0"/>
              <w:autoSpaceDN w:val="0"/>
              <w:adjustRightIn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6" w:hRule="atLeast"/>
        </w:trPr>
        <w:tc>
          <w:tcPr>
            <w:tcW w:w="1115"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（二）深化专项整治</w:t>
            </w:r>
          </w:p>
        </w:tc>
        <w:tc>
          <w:tcPr>
            <w:tcW w:w="1338" w:type="dxa"/>
            <w:gridSpan w:val="2"/>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8</w:t>
            </w:r>
            <w:r>
              <w:rPr>
                <w:rFonts w:ascii="Times New Roman" w:hAnsi="Times New Roman" w:eastAsia="方正仿宋简体"/>
                <w:kern w:val="0"/>
                <w:sz w:val="21"/>
                <w:szCs w:val="21"/>
              </w:rPr>
              <w:t>.交通安全专项整治</w:t>
            </w:r>
          </w:p>
        </w:tc>
        <w:tc>
          <w:tcPr>
            <w:tcW w:w="5774" w:type="dxa"/>
            <w:gridSpan w:val="2"/>
            <w:noWrap w:val="0"/>
            <w:vAlign w:val="top"/>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持续推进交通顽瘴痼疾整治。深入实施公路安全生命防护工程和农村公路平交路口“千灯万带”示范工程。加强“两客一危”车辆智能监控、不停车治超以及水上视频监控。强化部门联动和信息共享，加强低速电动车、变型拖拉机、“大吨小标”等非法非标车辆源头治理，落实道路运输车辆及校车动态监督管理；依法查处超速超员、疲劳驾驶，货运车辆非法改装、超限超载，面包车、7座以上客车非法营运，摩托车、电动自行车不戴安全头盔，农用车、拖拉机、工程车等非法载人，公交车、工程运输车、出租车“野蛮驾驶”等违法违规行为；加强“两站两员”队伍建设，夯实农村地区交通安全管理基础。</w:t>
            </w:r>
          </w:p>
        </w:tc>
        <w:tc>
          <w:tcPr>
            <w:tcW w:w="12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县交运局</w:t>
            </w:r>
          </w:p>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县交警大队</w:t>
            </w:r>
          </w:p>
        </w:tc>
        <w:tc>
          <w:tcPr>
            <w:tcW w:w="1836"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县财政局、县科工信局、县教育局、县农业农村局、县住建局、县市场监管局、县应急管理局等</w:t>
            </w:r>
          </w:p>
        </w:tc>
        <w:tc>
          <w:tcPr>
            <w:tcW w:w="1379"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c>
          <w:tcPr>
            <w:tcW w:w="13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2" w:hRule="atLeast"/>
        </w:trPr>
        <w:tc>
          <w:tcPr>
            <w:tcW w:w="1115" w:type="dxa"/>
            <w:vMerge w:val="continue"/>
            <w:noWrap w:val="0"/>
            <w:vAlign w:val="top"/>
          </w:tcPr>
          <w:p>
            <w:pPr>
              <w:autoSpaceDE w:val="0"/>
              <w:autoSpaceDN w:val="0"/>
              <w:adjustRightInd w:val="0"/>
              <w:spacing w:line="300" w:lineRule="exact"/>
              <w:rPr>
                <w:rFonts w:ascii="Times New Roman" w:hAnsi="Times New Roman" w:eastAsia="方正仿宋简体"/>
                <w:kern w:val="0"/>
                <w:sz w:val="21"/>
                <w:szCs w:val="21"/>
              </w:rPr>
            </w:pPr>
          </w:p>
        </w:tc>
        <w:tc>
          <w:tcPr>
            <w:tcW w:w="1338" w:type="dxa"/>
            <w:gridSpan w:val="2"/>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9</w:t>
            </w:r>
            <w:r>
              <w:rPr>
                <w:rFonts w:ascii="Times New Roman" w:hAnsi="Times New Roman" w:eastAsia="方正仿宋简体"/>
                <w:kern w:val="0"/>
                <w:sz w:val="21"/>
                <w:szCs w:val="21"/>
              </w:rPr>
              <w:t>.建筑领域专项整治（含自建房）</w:t>
            </w:r>
          </w:p>
        </w:tc>
        <w:tc>
          <w:tcPr>
            <w:tcW w:w="5774" w:type="dxa"/>
            <w:gridSpan w:val="2"/>
            <w:noWrap w:val="0"/>
            <w:vAlign w:val="top"/>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深入推进建筑施工安全生产专项整治，突出城乡在建住房厂房、市政工程、隧道桥梁、水利、电力等建设项目，深基坑、高支模、高边坡等危大工程，塔吊等起重机械设备的安全、运行、拆卸等关键环节，确保房屋市政工程事故起数和死亡人数同比“双下降”，建筑业百亿元产值死亡率控制在0.8以内。持续推进居民自建房专项整治，确保2023年6月30日前完成自建房结构安全、消防安全等整治任务，对已经排查出来的问题隐患整改率100%。</w:t>
            </w:r>
          </w:p>
        </w:tc>
        <w:tc>
          <w:tcPr>
            <w:tcW w:w="12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县住建局</w:t>
            </w:r>
          </w:p>
        </w:tc>
        <w:tc>
          <w:tcPr>
            <w:tcW w:w="1836"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县交运局、县水利局、县自然资源局、县市场监管局、县城管局、县消防救援大队等</w:t>
            </w:r>
          </w:p>
        </w:tc>
        <w:tc>
          <w:tcPr>
            <w:tcW w:w="1379"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2023年6月底前，长期坚持</w:t>
            </w:r>
          </w:p>
        </w:tc>
        <w:tc>
          <w:tcPr>
            <w:tcW w:w="13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trPr>
        <w:tc>
          <w:tcPr>
            <w:tcW w:w="1115" w:type="dxa"/>
            <w:vMerge w:val="continue"/>
            <w:noWrap w:val="0"/>
            <w:vAlign w:val="top"/>
          </w:tcPr>
          <w:p>
            <w:pPr>
              <w:autoSpaceDE w:val="0"/>
              <w:autoSpaceDN w:val="0"/>
              <w:adjustRightInd w:val="0"/>
              <w:spacing w:line="300" w:lineRule="exact"/>
              <w:rPr>
                <w:rFonts w:ascii="Times New Roman" w:hAnsi="Times New Roman" w:eastAsia="方正仿宋简体"/>
                <w:kern w:val="0"/>
                <w:sz w:val="21"/>
                <w:szCs w:val="21"/>
              </w:rPr>
            </w:pPr>
          </w:p>
        </w:tc>
        <w:tc>
          <w:tcPr>
            <w:tcW w:w="1338" w:type="dxa"/>
            <w:gridSpan w:val="2"/>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10</w:t>
            </w:r>
            <w:r>
              <w:rPr>
                <w:rFonts w:ascii="Times New Roman" w:hAnsi="Times New Roman" w:eastAsia="方正仿宋简体"/>
                <w:kern w:val="0"/>
                <w:sz w:val="21"/>
                <w:szCs w:val="21"/>
              </w:rPr>
              <w:t>.燃气安全专项整治</w:t>
            </w:r>
          </w:p>
        </w:tc>
        <w:tc>
          <w:tcPr>
            <w:tcW w:w="5774" w:type="dxa"/>
            <w:gridSpan w:val="2"/>
            <w:noWrap w:val="0"/>
            <w:vAlign w:val="top"/>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持续开展燃气安全专项整治工作，确保全覆盖、无死角、零盲区消除安全隐患。持续推进老旧燃气管道改造，积极争取中央预算内补助资金和省级配套资金支持，完成更新改造燃气市政及庭院管网3.2公里，燃气立管2公里，户内设施0.05万户。</w:t>
            </w:r>
          </w:p>
        </w:tc>
        <w:tc>
          <w:tcPr>
            <w:tcW w:w="12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县住建局</w:t>
            </w:r>
          </w:p>
        </w:tc>
        <w:tc>
          <w:tcPr>
            <w:tcW w:w="1836"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县发改局、县财政局、县公安局、县市场监管局等</w:t>
            </w:r>
          </w:p>
        </w:tc>
        <w:tc>
          <w:tcPr>
            <w:tcW w:w="1379"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c>
          <w:tcPr>
            <w:tcW w:w="137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r>
    </w:tbl>
    <w:p>
      <w:pPr>
        <w:spacing w:line="600" w:lineRule="exact"/>
        <w:rPr>
          <w:rFonts w:ascii="Times New Roman" w:hAnsi="Times New Roman" w:eastAsia="仿宋_GB2312"/>
          <w:szCs w:val="32"/>
        </w:rPr>
      </w:pPr>
    </w:p>
    <w:tbl>
      <w:tblPr>
        <w:tblStyle w:val="5"/>
        <w:tblpPr w:leftFromText="180" w:rightFromText="180" w:vertAnchor="text" w:horzAnchor="page" w:tblpX="1464" w:tblpY="254"/>
        <w:tblOverlap w:val="never"/>
        <w:tblW w:w="13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8"/>
        <w:gridCol w:w="1438"/>
        <w:gridCol w:w="6207"/>
        <w:gridCol w:w="1373"/>
        <w:gridCol w:w="1974"/>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blHeader/>
        </w:trPr>
        <w:tc>
          <w:tcPr>
            <w:tcW w:w="2636" w:type="dxa"/>
            <w:gridSpan w:val="2"/>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工作任务</w:t>
            </w:r>
          </w:p>
        </w:tc>
        <w:tc>
          <w:tcPr>
            <w:tcW w:w="6207"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工作事项</w:t>
            </w:r>
          </w:p>
        </w:tc>
        <w:tc>
          <w:tcPr>
            <w:tcW w:w="1373"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牵头单位</w:t>
            </w:r>
          </w:p>
        </w:tc>
        <w:tc>
          <w:tcPr>
            <w:tcW w:w="1974"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责任单位</w:t>
            </w:r>
          </w:p>
        </w:tc>
        <w:tc>
          <w:tcPr>
            <w:tcW w:w="1482"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198"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（二）深化专项整治</w:t>
            </w: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11</w:t>
            </w:r>
            <w:r>
              <w:rPr>
                <w:rFonts w:ascii="Times New Roman" w:hAnsi="Times New Roman" w:eastAsia="方正仿宋简体"/>
                <w:kern w:val="0"/>
                <w:sz w:val="21"/>
                <w:szCs w:val="21"/>
              </w:rPr>
              <w:t>.工贸企业安全整治</w:t>
            </w:r>
          </w:p>
        </w:tc>
        <w:tc>
          <w:tcPr>
            <w:tcW w:w="620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ascii="Times New Roman" w:hAnsi="Times New Roman" w:eastAsia="方正仿宋简体"/>
                <w:kern w:val="0"/>
                <w:sz w:val="21"/>
                <w:szCs w:val="21"/>
              </w:rPr>
            </w:pPr>
            <w:r>
              <w:rPr>
                <w:rFonts w:ascii="Times New Roman" w:hAnsi="Times New Roman" w:eastAsia="方正仿宋简体"/>
                <w:kern w:val="0"/>
                <w:sz w:val="21"/>
                <w:szCs w:val="21"/>
              </w:rPr>
              <w:t>全面启动钢铁、铝加工和涉爆粉尘企业重大事故隐患“清零”回头看行动，确保重大事故隐患100%“清零”。推进工贸行业双重预防机制建设，年底前规模以上工贸企业100%完成建设。配合省、市全面启动工贸监管信息化应用，四季度前100%规模以上工贸企业使用系统。严格安全设施“三同时”手续，所有入园新建企业100%做到安全设施“三同时”要求。对现存但未落实安全设计诊断的企业，进一步推动安全设计诊断和安全现状评价。加强工贸安全监管人员能力培训，新调整人员培训率100%。</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县应急管理局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县科工信局、县商务局、县住建局、县文旅广体局、县市场监管局、县财政局、县消防救援大队等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12</w:t>
            </w:r>
            <w:r>
              <w:rPr>
                <w:rFonts w:ascii="Times New Roman" w:hAnsi="Times New Roman" w:eastAsia="方正仿宋简体"/>
                <w:kern w:val="0"/>
                <w:sz w:val="21"/>
                <w:szCs w:val="21"/>
              </w:rPr>
              <w:t>.危险废物及辐射安全专项整治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组织开展危险废物经营单位环境安全专项整治行动</w:t>
            </w:r>
            <w:r>
              <w:rPr>
                <w:rFonts w:hint="eastAsia" w:ascii="Times New Roman" w:hAnsi="Times New Roman" w:eastAsia="方正仿宋简体"/>
                <w:kern w:val="0"/>
                <w:sz w:val="21"/>
                <w:szCs w:val="21"/>
              </w:rPr>
              <w:t>，</w:t>
            </w:r>
            <w:r>
              <w:rPr>
                <w:rFonts w:ascii="Times New Roman" w:hAnsi="Times New Roman" w:eastAsia="方正仿宋简体"/>
                <w:kern w:val="0"/>
                <w:sz w:val="21"/>
                <w:szCs w:val="21"/>
              </w:rPr>
              <w:t>确保危险废物经营单位不发生较大环境污染和生态破坏事件。强化核与辐射安全监管工作</w:t>
            </w:r>
            <w:r>
              <w:rPr>
                <w:rFonts w:hint="eastAsia" w:ascii="Times New Roman" w:hAnsi="Times New Roman" w:eastAsia="方正仿宋简体"/>
                <w:kern w:val="0"/>
                <w:sz w:val="21"/>
                <w:szCs w:val="21"/>
              </w:rPr>
              <w:t>，</w:t>
            </w:r>
            <w:r>
              <w:rPr>
                <w:rFonts w:ascii="Times New Roman" w:hAnsi="Times New Roman" w:eastAsia="方正仿宋简体"/>
                <w:kern w:val="0"/>
                <w:sz w:val="21"/>
                <w:szCs w:val="21"/>
              </w:rPr>
              <w:t>加强辐射事故应急能力、辐射监管和监测能力建设。</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生态环境分局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县应急管理局、县消防救援大队、县公安局、县市场监管局等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w:t>
            </w:r>
            <w:r>
              <w:rPr>
                <w:rFonts w:hint="eastAsia" w:ascii="Times New Roman" w:hAnsi="Times New Roman" w:eastAsia="方正仿宋简体"/>
                <w:kern w:val="0"/>
                <w:sz w:val="21"/>
                <w:szCs w:val="21"/>
              </w:rPr>
              <w:t>3</w:t>
            </w:r>
            <w:r>
              <w:rPr>
                <w:rFonts w:ascii="Times New Roman" w:hAnsi="Times New Roman" w:eastAsia="方正仿宋简体"/>
                <w:kern w:val="0"/>
                <w:sz w:val="21"/>
                <w:szCs w:val="21"/>
              </w:rPr>
              <w:t>.特种设备安全专项整治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突出危险化品相关特种设备、气瓶、客运索道、大型游乐设施、电站锅炉、压力容器、压力管道、乘客电梯、起重机械等重点设备，强化检测检验和执法检查，严厉打击未经登记和检验使用、无维保使用、特种作业人员不持证上岗以及非法生产、经营、充装行为。</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县市场监管局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县科工信局、县文旅广体局、县应急管理局等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5"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w:t>
            </w:r>
            <w:r>
              <w:rPr>
                <w:rFonts w:hint="eastAsia" w:ascii="Times New Roman" w:hAnsi="Times New Roman" w:eastAsia="方正仿宋简体"/>
                <w:kern w:val="0"/>
                <w:sz w:val="21"/>
                <w:szCs w:val="21"/>
              </w:rPr>
              <w:t>4</w:t>
            </w:r>
            <w:r>
              <w:rPr>
                <w:rFonts w:ascii="Times New Roman" w:hAnsi="Times New Roman" w:eastAsia="方正仿宋简体"/>
                <w:kern w:val="0"/>
                <w:sz w:val="21"/>
                <w:szCs w:val="21"/>
              </w:rPr>
              <w:t>.能源安全专项整治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加强火电、新能源、油气管道安全监管，杜绝电力人身伤亡责任事故，不发生因监管不力造成的油气管道损坏事故。</w:t>
            </w:r>
          </w:p>
        </w:tc>
        <w:tc>
          <w:tcPr>
            <w:tcW w:w="1373"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县发改局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县住建局、县农业农村局、县供电公司等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w:t>
            </w:r>
            <w:r>
              <w:rPr>
                <w:rFonts w:hint="eastAsia" w:ascii="Times New Roman" w:hAnsi="Times New Roman" w:eastAsia="方正仿宋简体"/>
                <w:kern w:val="0"/>
                <w:sz w:val="21"/>
                <w:szCs w:val="21"/>
              </w:rPr>
              <w:t>5</w:t>
            </w:r>
            <w:r>
              <w:rPr>
                <w:rFonts w:ascii="Times New Roman" w:hAnsi="Times New Roman" w:eastAsia="方正仿宋简体"/>
                <w:kern w:val="0"/>
                <w:sz w:val="21"/>
                <w:szCs w:val="21"/>
              </w:rPr>
              <w:t>.文化体育旅游安全专项整治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严查无照经营、无证上岗、未经许可经营文化娱乐、旅行社业务等非法经营活动，加强旅行社旅游租车管理，对旅行社旅游包车合同开展专项清查达到100%。加强对高风险旅游体育项目的安全监管，严防踩踏、高坠、翻车等事故发生。</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县文旅广体局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县交运局、县交警大队等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5"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w:t>
            </w:r>
            <w:r>
              <w:rPr>
                <w:rFonts w:hint="eastAsia" w:ascii="Times New Roman" w:hAnsi="Times New Roman" w:eastAsia="方正仿宋简体"/>
                <w:kern w:val="0"/>
                <w:sz w:val="21"/>
                <w:szCs w:val="21"/>
              </w:rPr>
              <w:t>6</w:t>
            </w:r>
            <w:r>
              <w:rPr>
                <w:rFonts w:ascii="Times New Roman" w:hAnsi="Times New Roman" w:eastAsia="方正仿宋简体"/>
                <w:kern w:val="0"/>
                <w:sz w:val="21"/>
                <w:szCs w:val="21"/>
              </w:rPr>
              <w:t>.学生安全专项整治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开齐开足学生安全教育课程。开展防溺水、校车、实验室、学校、幼儿园、校外培训机构、托管机构安全专项整治。确保学生安全事故持续下降，坚决杜绝学生安全亡人事故。</w:t>
            </w:r>
          </w:p>
        </w:tc>
        <w:tc>
          <w:tcPr>
            <w:tcW w:w="1373"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县教育局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县市场监管局、县交运局、县住建局、县交警大队等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bl>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tbl>
      <w:tblPr>
        <w:tblStyle w:val="5"/>
        <w:tblpPr w:leftFromText="180" w:rightFromText="180" w:vertAnchor="text" w:horzAnchor="page" w:tblpX="1439" w:tblpY="23"/>
        <w:tblOverlap w:val="never"/>
        <w:tblW w:w="13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8"/>
        <w:gridCol w:w="1438"/>
        <w:gridCol w:w="6207"/>
        <w:gridCol w:w="1373"/>
        <w:gridCol w:w="1974"/>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blHeader/>
        </w:trPr>
        <w:tc>
          <w:tcPr>
            <w:tcW w:w="2636" w:type="dxa"/>
            <w:gridSpan w:val="2"/>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工作任务</w:t>
            </w:r>
          </w:p>
        </w:tc>
        <w:tc>
          <w:tcPr>
            <w:tcW w:w="6207"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工作事项</w:t>
            </w:r>
          </w:p>
        </w:tc>
        <w:tc>
          <w:tcPr>
            <w:tcW w:w="1373"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牵头单位</w:t>
            </w:r>
          </w:p>
        </w:tc>
        <w:tc>
          <w:tcPr>
            <w:tcW w:w="1974"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责任单位</w:t>
            </w:r>
          </w:p>
        </w:tc>
        <w:tc>
          <w:tcPr>
            <w:tcW w:w="1482" w:type="dxa"/>
            <w:noWrap w:val="0"/>
            <w:vAlign w:val="center"/>
          </w:tcPr>
          <w:p>
            <w:pPr>
              <w:autoSpaceDE w:val="0"/>
              <w:autoSpaceDN w:val="0"/>
              <w:adjustRightInd w:val="0"/>
              <w:spacing w:line="300" w:lineRule="exact"/>
              <w:jc w:val="center"/>
              <w:rPr>
                <w:rFonts w:hint="eastAsia" w:ascii="方正黑体简体" w:hAnsi="Times New Roman" w:eastAsia="方正黑体简体"/>
                <w:kern w:val="0"/>
                <w:sz w:val="21"/>
                <w:szCs w:val="21"/>
              </w:rPr>
            </w:pPr>
            <w:r>
              <w:rPr>
                <w:rFonts w:hint="eastAsia" w:ascii="方正黑体简体" w:hAnsi="Times New Roman" w:eastAsia="方正黑体简体"/>
                <w:kern w:val="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73" w:hRule="atLeast"/>
        </w:trPr>
        <w:tc>
          <w:tcPr>
            <w:tcW w:w="1198"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（二）深化专项整治</w:t>
            </w:r>
          </w:p>
        </w:tc>
        <w:tc>
          <w:tcPr>
            <w:tcW w:w="1438"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w:t>
            </w:r>
            <w:r>
              <w:rPr>
                <w:rFonts w:hint="eastAsia" w:ascii="Times New Roman" w:hAnsi="Times New Roman" w:eastAsia="方正仿宋简体"/>
                <w:kern w:val="0"/>
                <w:sz w:val="21"/>
                <w:szCs w:val="21"/>
              </w:rPr>
              <w:t>7</w:t>
            </w:r>
            <w:r>
              <w:rPr>
                <w:rFonts w:ascii="Times New Roman" w:hAnsi="Times New Roman" w:eastAsia="方正仿宋简体"/>
                <w:kern w:val="0"/>
                <w:sz w:val="21"/>
                <w:szCs w:val="21"/>
              </w:rPr>
              <w:t>.自然灾害防治。防汛抗旱及地灾方面</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确保遇设计标准内洪水时，不溃一堤一垸、不垮一库一坝，保证重要城镇和交通干线安全；确保遇超标准洪水时，保证城市、大中型水库、重点堤垸和重要交通干线安全；确保暴雨山洪和次生灾害发生时，避免群死群伤；确保遇中等程度干旱时，生活、生产和生态用水安全；确保遇严重干旱时，生活用水基本有保障。</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县应急管理局</w:t>
            </w:r>
          </w:p>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县水利局</w:t>
            </w:r>
          </w:p>
        </w:tc>
        <w:tc>
          <w:tcPr>
            <w:tcW w:w="197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Times New Roman" w:hAnsi="Times New Roman" w:eastAsia="方正仿宋简体"/>
                <w:kern w:val="0"/>
                <w:sz w:val="21"/>
                <w:szCs w:val="21"/>
              </w:rPr>
            </w:pPr>
            <w:r>
              <w:rPr>
                <w:rFonts w:ascii="Times New Roman" w:hAnsi="Times New Roman" w:eastAsia="方正仿宋简体"/>
                <w:kern w:val="0"/>
                <w:sz w:val="21"/>
                <w:szCs w:val="21"/>
              </w:rPr>
              <w:t>县自然资源局、县住建局、县交运局、县农业农村局、县财政局、县城管局、县消防救援大队、县气象局、县交通事务中心、县供电公司等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78"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自然保护地、国有林场等重点区域建设和新建林火阻隔系统145.2公里，其中生物防火林带72.4公里，隔离带58公里，防火道14.8公里，新建森林消防蓄水池1500立方米，新建自然保护地专业消防队伍1支，健全完善17支乡镇（街道）应急队伍，森林火灾受害率控制在0.9‰以内，森林火灾数量同比去年减少30%以上。</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县应急管理局</w:t>
            </w:r>
          </w:p>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县林业局</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县发改局、县财政局、县黄丰桥国有林场、县机关事务中心等</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10"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3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w:t>
            </w:r>
            <w:r>
              <w:rPr>
                <w:rFonts w:hint="eastAsia" w:ascii="Times New Roman" w:hAnsi="Times New Roman" w:eastAsia="方正仿宋简体"/>
                <w:kern w:val="0"/>
                <w:sz w:val="21"/>
                <w:szCs w:val="21"/>
              </w:rPr>
              <w:t>8</w:t>
            </w:r>
            <w:r>
              <w:rPr>
                <w:rFonts w:ascii="Times New Roman" w:hAnsi="Times New Roman" w:eastAsia="方正仿宋简体"/>
                <w:kern w:val="0"/>
                <w:sz w:val="21"/>
                <w:szCs w:val="21"/>
              </w:rPr>
              <w:t>.其他行业领域</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民爆、商务、医院、养老院、电力、畜牧、食品药品、仓储物流、再生资源回收等其他行业领域主管部门要结合工作实际，针对安全生产薄弱环节和可能发生安全生产事故点位，明确打好安全生产翻身仗指标，全面开展安全专项整治。</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县公安局、县商务局、县卫健局、县民政局、县发改局、县市场监管局、县消防救援大队等依职责负责</w:t>
            </w:r>
          </w:p>
        </w:tc>
        <w:tc>
          <w:tcPr>
            <w:tcW w:w="1482"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bl>
    <w:p>
      <w:pPr>
        <w:spacing w:line="340" w:lineRule="exact"/>
        <w:rPr>
          <w:rFonts w:hint="eastAsia" w:ascii="方正黑体简体" w:hAnsi="Times New Roman" w:eastAsia="方正黑体简体"/>
          <w:kern w:val="0"/>
          <w:sz w:val="21"/>
          <w:szCs w:val="21"/>
        </w:rPr>
      </w:pPr>
    </w:p>
    <w:p>
      <w:pPr>
        <w:spacing w:line="340" w:lineRule="exact"/>
        <w:rPr>
          <w:rFonts w:ascii="Times New Roman" w:hAnsi="Times New Roman" w:eastAsia="仿宋_GB2312"/>
          <w:kern w:val="0"/>
          <w:sz w:val="21"/>
          <w:szCs w:val="21"/>
        </w:rPr>
      </w:pPr>
    </w:p>
    <w:p>
      <w:pPr>
        <w:spacing w:line="340" w:lineRule="exact"/>
        <w:rPr>
          <w:rFonts w:ascii="Times New Roman" w:hAnsi="Times New Roman" w:eastAsia="仿宋_GB2312"/>
          <w:kern w:val="0"/>
          <w:sz w:val="21"/>
          <w:szCs w:val="21"/>
        </w:rPr>
      </w:pPr>
    </w:p>
    <w:tbl>
      <w:tblPr>
        <w:tblStyle w:val="5"/>
        <w:tblW w:w="13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8"/>
        <w:gridCol w:w="1441"/>
        <w:gridCol w:w="6207"/>
        <w:gridCol w:w="1373"/>
        <w:gridCol w:w="1974"/>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blHeader/>
        </w:trPr>
        <w:tc>
          <w:tcPr>
            <w:tcW w:w="2639" w:type="dxa"/>
            <w:gridSpan w:val="2"/>
            <w:noWrap w:val="0"/>
            <w:vAlign w:val="center"/>
          </w:tcPr>
          <w:p>
            <w:pPr>
              <w:spacing w:line="340" w:lineRule="exact"/>
              <w:jc w:val="center"/>
              <w:rPr>
                <w:rFonts w:ascii="方正黑体简体" w:hAnsi="Times New Roman" w:eastAsia="方正黑体简体"/>
                <w:kern w:val="0"/>
                <w:sz w:val="21"/>
                <w:szCs w:val="21"/>
              </w:rPr>
            </w:pPr>
            <w:r>
              <w:rPr>
                <w:rFonts w:ascii="方正黑体简体" w:hAnsi="Times New Roman" w:eastAsia="方正黑体简体"/>
                <w:kern w:val="0"/>
                <w:sz w:val="21"/>
                <w:szCs w:val="21"/>
              </w:rPr>
              <w:t>工作任务</w:t>
            </w:r>
          </w:p>
        </w:tc>
        <w:tc>
          <w:tcPr>
            <w:tcW w:w="6207" w:type="dxa"/>
            <w:noWrap w:val="0"/>
            <w:vAlign w:val="center"/>
          </w:tcPr>
          <w:p>
            <w:pPr>
              <w:spacing w:line="340" w:lineRule="exact"/>
              <w:jc w:val="center"/>
              <w:rPr>
                <w:rFonts w:ascii="方正黑体简体" w:hAnsi="Times New Roman" w:eastAsia="方正黑体简体"/>
                <w:kern w:val="0"/>
                <w:sz w:val="21"/>
                <w:szCs w:val="21"/>
              </w:rPr>
            </w:pPr>
            <w:r>
              <w:rPr>
                <w:rFonts w:hint="eastAsia" w:ascii="方正黑体简体" w:hAnsi="Times New Roman" w:eastAsia="方正黑体简体"/>
                <w:kern w:val="0"/>
                <w:sz w:val="21"/>
                <w:szCs w:val="21"/>
              </w:rPr>
              <w:t>工作</w:t>
            </w:r>
            <w:r>
              <w:rPr>
                <w:rFonts w:ascii="方正黑体简体" w:hAnsi="Times New Roman" w:eastAsia="方正黑体简体"/>
                <w:kern w:val="0"/>
                <w:sz w:val="21"/>
                <w:szCs w:val="21"/>
              </w:rPr>
              <w:t>事项</w:t>
            </w:r>
          </w:p>
        </w:tc>
        <w:tc>
          <w:tcPr>
            <w:tcW w:w="1373" w:type="dxa"/>
            <w:noWrap w:val="0"/>
            <w:vAlign w:val="center"/>
          </w:tcPr>
          <w:p>
            <w:pPr>
              <w:spacing w:line="340" w:lineRule="exact"/>
              <w:jc w:val="center"/>
              <w:rPr>
                <w:rFonts w:ascii="方正黑体简体" w:hAnsi="Times New Roman" w:eastAsia="方正黑体简体"/>
                <w:kern w:val="0"/>
                <w:sz w:val="21"/>
                <w:szCs w:val="21"/>
              </w:rPr>
            </w:pPr>
            <w:r>
              <w:rPr>
                <w:rFonts w:ascii="方正黑体简体" w:hAnsi="Times New Roman" w:eastAsia="方正黑体简体"/>
                <w:kern w:val="0"/>
                <w:sz w:val="21"/>
                <w:szCs w:val="21"/>
              </w:rPr>
              <w:t>牵头单位</w:t>
            </w:r>
          </w:p>
        </w:tc>
        <w:tc>
          <w:tcPr>
            <w:tcW w:w="1974" w:type="dxa"/>
            <w:noWrap w:val="0"/>
            <w:vAlign w:val="center"/>
          </w:tcPr>
          <w:p>
            <w:pPr>
              <w:spacing w:line="340" w:lineRule="exact"/>
              <w:jc w:val="center"/>
              <w:rPr>
                <w:rFonts w:ascii="方正黑体简体" w:hAnsi="Times New Roman" w:eastAsia="方正黑体简体"/>
                <w:kern w:val="0"/>
                <w:sz w:val="21"/>
                <w:szCs w:val="21"/>
              </w:rPr>
            </w:pPr>
            <w:r>
              <w:rPr>
                <w:rFonts w:ascii="方正黑体简体" w:hAnsi="Times New Roman" w:eastAsia="方正黑体简体"/>
                <w:kern w:val="0"/>
                <w:sz w:val="21"/>
                <w:szCs w:val="21"/>
              </w:rPr>
              <w:t>责任单位</w:t>
            </w:r>
          </w:p>
        </w:tc>
        <w:tc>
          <w:tcPr>
            <w:tcW w:w="1479" w:type="dxa"/>
            <w:noWrap w:val="0"/>
            <w:vAlign w:val="center"/>
          </w:tcPr>
          <w:p>
            <w:pPr>
              <w:spacing w:line="340" w:lineRule="exact"/>
              <w:jc w:val="center"/>
              <w:rPr>
                <w:rFonts w:ascii="方正黑体简体" w:hAnsi="Times New Roman" w:eastAsia="方正黑体简体"/>
                <w:kern w:val="0"/>
                <w:sz w:val="21"/>
                <w:szCs w:val="21"/>
              </w:rPr>
            </w:pPr>
            <w:r>
              <w:rPr>
                <w:rFonts w:ascii="方正黑体简体" w:hAnsi="Times New Roman" w:eastAsia="方正黑体简体"/>
                <w:kern w:val="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rPr>
        <w:tc>
          <w:tcPr>
            <w:tcW w:w="1198"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（三）提升本质安全水平</w:t>
            </w: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1</w:t>
            </w:r>
            <w:r>
              <w:rPr>
                <w:rFonts w:hint="eastAsia" w:ascii="Times New Roman" w:hAnsi="Times New Roman" w:eastAsia="方正仿宋简体"/>
                <w:kern w:val="0"/>
                <w:sz w:val="21"/>
                <w:szCs w:val="21"/>
              </w:rPr>
              <w:t>9</w:t>
            </w:r>
            <w:r>
              <w:rPr>
                <w:rFonts w:ascii="Times New Roman" w:hAnsi="Times New Roman" w:eastAsia="方正仿宋简体"/>
                <w:kern w:val="0"/>
                <w:sz w:val="21"/>
                <w:szCs w:val="21"/>
              </w:rPr>
              <w:t>.强化源头管控</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从源头上严把项目审批安全关，建立完善安全风险评估与论证机制，不得“边审批、边设计、边施工”，对危化品、矿山、烟花爆竹、建筑施工、金属冶炼等行业领域高危项目和人员密集场所，不达安全标准的不能许可和开工。高新区要根据规划严格执行规范标准，严格安全监管，严禁淘汰落后产能落户和进园入区，对违规审批、强行上马造成事故的，实行终身追责。对直接关系安全的取消下放事项，实事求是组织评估，不得把责任层层推卸给不具备专业能力的乡镇街道和社区。强化外包队伍管理，坚持“谁的资质谁负责、挂谁的牌子谁负责”，对发生安全事故的严格追究资质方的责任。</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479"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60"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2</w:t>
            </w:r>
            <w:r>
              <w:rPr>
                <w:rFonts w:hint="eastAsia" w:ascii="Times New Roman" w:hAnsi="Times New Roman" w:eastAsia="方正仿宋简体"/>
                <w:kern w:val="0"/>
                <w:sz w:val="21"/>
                <w:szCs w:val="21"/>
              </w:rPr>
              <w:t>0</w:t>
            </w:r>
            <w:r>
              <w:rPr>
                <w:rFonts w:ascii="Times New Roman" w:hAnsi="Times New Roman" w:eastAsia="方正仿宋简体"/>
                <w:kern w:val="0"/>
                <w:sz w:val="21"/>
                <w:szCs w:val="21"/>
              </w:rPr>
              <w:t>.构建双重预防机制</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督促企业依法加强风险辨识评估和隐患排查，依法依规建立风险分级管控和隐患排查治理双重预防机制。高危企业100%建立落实双重预防机制。切实强化高风险作业现场管理，加强企业安全生产过程管控。持续提升专业技术服务机构服务水平，切实为企业提供高水平安全技术和管理服务。充分发挥安全生产责任保险第三方管理的作用，帮助企业提高双重预防能力。支持引导社区居民开展风险隐患排查和治理，积极推进安全风险网格化管理。</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479"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20"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21</w:t>
            </w:r>
            <w:r>
              <w:rPr>
                <w:rFonts w:ascii="Times New Roman" w:hAnsi="Times New Roman" w:eastAsia="方正仿宋简体"/>
                <w:kern w:val="0"/>
                <w:sz w:val="21"/>
                <w:szCs w:val="21"/>
              </w:rPr>
              <w:t>.推动科技兴安</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协同推进国家灾害事件、安全事故电子地图建设与成果运用，用好矿山安全风险监测“一张网”等信息化建设成果，推进危险化学品重大危险源在线监测预警系统和多层大体量劳动密集型企业、公众聚集场所以及医院学校养老院等人员密集场所“智慧消防”建设应用，推广运用粉尘风险监测预警系统。推广试点城市安全风险综合监测预警平台。推广矿山、危险化学品、烟花爆竹、森林火灾防控、消防救援、“两客一危”等行业领域现代技术装备应用，推动实现“机械化换人、自动化减人、智能化无人”。</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县科工信局、县应急管理局、县交运局、县林业局、县消防救援大队、县交警大队等部门依职责分工负责</w:t>
            </w:r>
          </w:p>
        </w:tc>
        <w:tc>
          <w:tcPr>
            <w:tcW w:w="1479"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4" w:hRule="atLeast"/>
        </w:trPr>
        <w:tc>
          <w:tcPr>
            <w:tcW w:w="119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（三）提升本质安全水平</w:t>
            </w: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22</w:t>
            </w:r>
            <w:r>
              <w:rPr>
                <w:rFonts w:ascii="Times New Roman" w:hAnsi="Times New Roman" w:eastAsia="方正仿宋简体"/>
                <w:kern w:val="0"/>
                <w:sz w:val="21"/>
                <w:szCs w:val="21"/>
              </w:rPr>
              <w:t>.夯实基层基础</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加强安全生产基础设施建设和安全生产监管能力建设，乡镇（街道）以及工业园区、风景区等应当依法明确负责安全生产监督管理的有关工作机构及其职责，强化工作保障。推进基层应急管理体系和能力现代化，按规定落实有关任务。探索推进乡镇（街道）应急站和消防所一体化建设，推动构建共建共治共享的安全治理格局。</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县高新区、县应急管理局、县委编办、县消防救援大队、县财政局等各负有安全监管和主管职责部门</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68" w:hRule="atLeast"/>
        </w:trPr>
        <w:tc>
          <w:tcPr>
            <w:tcW w:w="1198"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（四）筑牢人民防线</w:t>
            </w: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23</w:t>
            </w:r>
            <w:r>
              <w:rPr>
                <w:rFonts w:ascii="Times New Roman" w:hAnsi="Times New Roman" w:eastAsia="方正仿宋简体"/>
                <w:kern w:val="0"/>
                <w:sz w:val="21"/>
                <w:szCs w:val="21"/>
              </w:rPr>
              <w:t>.强化宣传引导</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运用各类主流媒体、新媒体平台，面向全社会公众开展公益性安全宣传、法规常识宣传，培育安全文化。组织好“安全生产月”“防灾减灾日”“消防安全日”等集中宣传活动，持续深入开展安全宣传“五进”活动，创新方式、丰富载体，提升宣传质效。</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1974"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县安委会各成员单位</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8"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2</w:t>
            </w:r>
            <w:r>
              <w:rPr>
                <w:rFonts w:hint="eastAsia" w:ascii="Times New Roman" w:hAnsi="Times New Roman" w:eastAsia="方正仿宋简体"/>
                <w:kern w:val="0"/>
                <w:sz w:val="21"/>
                <w:szCs w:val="21"/>
              </w:rPr>
              <w:t>4</w:t>
            </w:r>
            <w:r>
              <w:rPr>
                <w:rFonts w:ascii="Times New Roman" w:hAnsi="Times New Roman" w:eastAsia="方正仿宋简体"/>
                <w:kern w:val="0"/>
                <w:sz w:val="21"/>
                <w:szCs w:val="21"/>
              </w:rPr>
              <w:t>.深化警示教育</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持续组织开展《安全生产法》《湖南省安全生产条例》和《刑法修正案（十一）》宣贯。在主流媒体上公开播放安全生产警示片，加大对典型案例解读宣传。</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1974"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县委宣传部、县融媒体中心、县消防救援大队</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4"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25</w:t>
            </w:r>
            <w:r>
              <w:rPr>
                <w:rFonts w:ascii="Times New Roman" w:hAnsi="Times New Roman" w:eastAsia="方正仿宋简体"/>
                <w:kern w:val="0"/>
                <w:sz w:val="21"/>
                <w:szCs w:val="21"/>
              </w:rPr>
              <w:t>.落实举报奖励</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畅通各类举报投诉渠道，加大举报奖励力度，鼓励人民群众和企业员工通过“12350”“12345”等方式举报安全生产非法违法行为和重大安全隐患，形成全社会参与支持、群防群治的氛围。</w:t>
            </w:r>
          </w:p>
        </w:tc>
        <w:tc>
          <w:tcPr>
            <w:tcW w:w="1373"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w:t>
            </w:r>
          </w:p>
        </w:tc>
        <w:tc>
          <w:tcPr>
            <w:tcW w:w="1974" w:type="dxa"/>
            <w:noWrap w:val="0"/>
            <w:vAlign w:val="center"/>
          </w:tcPr>
          <w:p>
            <w:pPr>
              <w:autoSpaceDE w:val="0"/>
              <w:autoSpaceDN w:val="0"/>
              <w:adjustRightInd w:val="0"/>
              <w:spacing w:line="300" w:lineRule="exact"/>
              <w:ind w:left="-160" w:leftChars="-50" w:right="-160" w:rightChars="-50"/>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县安委会各成员单位</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0" w:hRule="atLeast"/>
        </w:trPr>
        <w:tc>
          <w:tcPr>
            <w:tcW w:w="1198"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（五）健全责任体系</w:t>
            </w: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26</w:t>
            </w:r>
            <w:r>
              <w:rPr>
                <w:rFonts w:ascii="Times New Roman" w:hAnsi="Times New Roman" w:eastAsia="方正仿宋简体"/>
                <w:kern w:val="0"/>
                <w:sz w:val="21"/>
                <w:szCs w:val="21"/>
              </w:rPr>
              <w:t>.落实党政领导责任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严格落实《地方党政领导干部安全生产责任制规定》及省市实施细则，及时更新各级党政领导干部安全生产“职责清单”和“年度任务清单”，把履责情况纳入述职考核、考核巡查等指标体系，并作为对党政领导班子和有关领导干部考核、有关人选考察的重要内容。党政主要负责人每季度至少召开1次会议，定期研判重大安全风险，研究解决重大问题，其他班子成员按职责分工履行“一岗双责”。</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w:t>
            </w:r>
            <w:r>
              <w:rPr>
                <w:rFonts w:hint="eastAsia" w:ascii="Times New Roman" w:hAnsi="Times New Roman" w:eastAsia="方正仿宋简体"/>
                <w:kern w:val="0"/>
                <w:sz w:val="21"/>
                <w:szCs w:val="21"/>
              </w:rPr>
              <w:t>级</w:t>
            </w:r>
            <w:r>
              <w:rPr>
                <w:rFonts w:ascii="Times New Roman" w:hAnsi="Times New Roman" w:eastAsia="方正仿宋简体"/>
                <w:kern w:val="0"/>
                <w:sz w:val="21"/>
                <w:szCs w:val="21"/>
              </w:rPr>
              <w:t>党委政府负责</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trPr>
        <w:tc>
          <w:tcPr>
            <w:tcW w:w="1198" w:type="dxa"/>
            <w:vMerge w:val="restart"/>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（五）健全责任体系</w:t>
            </w: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27</w:t>
            </w:r>
            <w:r>
              <w:rPr>
                <w:rFonts w:ascii="Times New Roman" w:hAnsi="Times New Roman" w:eastAsia="方正仿宋简体"/>
                <w:kern w:val="0"/>
                <w:sz w:val="21"/>
                <w:szCs w:val="21"/>
              </w:rPr>
              <w:t>.落实部门监管责任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按照“三管三必须”要求，负有安全生产监管职责的单位将安全生产有关要求纳入部门权力和责任清单，切实履行部门行业安全生产主管监管责任。按照“业务相近”的要求，对新能源新材料新工艺新业态及时明确主责部门，厘清职责边界，消除盲区漏洞。抓实电动自行车全链条监管责任，加强醇基燃料、电化学储能电站以及旅游景区玻璃栈道等高风险旅游项目安全监管。</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00"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28</w:t>
            </w:r>
            <w:r>
              <w:rPr>
                <w:rFonts w:ascii="Times New Roman" w:hAnsi="Times New Roman" w:eastAsia="方正仿宋简体"/>
                <w:kern w:val="0"/>
                <w:sz w:val="21"/>
                <w:szCs w:val="21"/>
              </w:rPr>
              <w:t>.落实企业主体责任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建立健全全员安全生产责任制，高危企业“一会三卡”覆盖率100%。对高危行业主要负责人和安全管理人员分级分行业组织安全管理能力抽考。持续推进安全生产标准化建设，提高企业安全管理水平。特种作业人员持证上岗率100%。安全责任、投入、培训、管理、应急救援五落实五到位。依法建立落实隐患排查治理制度，切实强化事故隐患排查，对重大事故隐患严格按照“一单四制”管理。加强风险辨识评估，对排查出来的风险落实分级管控措施。</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县安委办牵头，各负有安全监管和主管职责部门</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0"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29</w:t>
            </w:r>
            <w:r>
              <w:rPr>
                <w:rFonts w:ascii="Times New Roman" w:hAnsi="Times New Roman" w:eastAsia="方正仿宋简体"/>
                <w:kern w:val="0"/>
                <w:sz w:val="21"/>
                <w:szCs w:val="21"/>
              </w:rPr>
              <w:t>.落实个人防护责任</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从业人员（含劳务派遣、灵活用工人员）教育培训率达100%，使其掌握必要的安全生产知识，掌握本岗位的安全操作技能，了解事故应急处理措施，知悉自身在安全生产方面的权利和义务，知晓各种安全生产举报方式和途径。</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各负有安全监管和主管职责部门</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12" w:hRule="atLeast"/>
        </w:trPr>
        <w:tc>
          <w:tcPr>
            <w:tcW w:w="1198" w:type="dxa"/>
            <w:vMerge w:val="continue"/>
            <w:noWrap w:val="0"/>
            <w:vAlign w:val="center"/>
          </w:tcPr>
          <w:p>
            <w:pPr>
              <w:autoSpaceDE w:val="0"/>
              <w:autoSpaceDN w:val="0"/>
              <w:adjustRightInd w:val="0"/>
              <w:spacing w:line="300" w:lineRule="exact"/>
              <w:rPr>
                <w:rFonts w:ascii="Times New Roman" w:hAnsi="Times New Roman" w:eastAsia="方正仿宋简体"/>
                <w:kern w:val="0"/>
                <w:sz w:val="21"/>
                <w:szCs w:val="21"/>
              </w:rPr>
            </w:pPr>
          </w:p>
        </w:tc>
        <w:tc>
          <w:tcPr>
            <w:tcW w:w="1441"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hint="eastAsia" w:ascii="Times New Roman" w:hAnsi="Times New Roman" w:eastAsia="方正仿宋简体"/>
                <w:kern w:val="0"/>
                <w:sz w:val="21"/>
                <w:szCs w:val="21"/>
              </w:rPr>
              <w:t>30</w:t>
            </w:r>
            <w:r>
              <w:rPr>
                <w:rFonts w:ascii="Times New Roman" w:hAnsi="Times New Roman" w:eastAsia="方正仿宋简体"/>
                <w:kern w:val="0"/>
                <w:sz w:val="21"/>
                <w:szCs w:val="21"/>
              </w:rPr>
              <w:t>.严肃追责问责</w:t>
            </w:r>
          </w:p>
        </w:tc>
        <w:tc>
          <w:tcPr>
            <w:tcW w:w="6207" w:type="dxa"/>
            <w:noWrap w:val="0"/>
            <w:vAlign w:val="center"/>
          </w:tcPr>
          <w:p>
            <w:pPr>
              <w:autoSpaceDE w:val="0"/>
              <w:autoSpaceDN w:val="0"/>
              <w:adjustRightInd w:val="0"/>
              <w:spacing w:line="300" w:lineRule="exact"/>
              <w:rPr>
                <w:rFonts w:ascii="Times New Roman" w:hAnsi="Times New Roman" w:eastAsia="方正仿宋简体"/>
                <w:kern w:val="0"/>
                <w:sz w:val="21"/>
                <w:szCs w:val="21"/>
              </w:rPr>
            </w:pPr>
            <w:r>
              <w:rPr>
                <w:rFonts w:ascii="Times New Roman" w:hAnsi="Times New Roman" w:eastAsia="方正仿宋简体"/>
                <w:kern w:val="0"/>
                <w:sz w:val="21"/>
                <w:szCs w:val="21"/>
              </w:rPr>
              <w:t>持续开展安全生产领域机动式巡察、安全背后责任作风腐败问题专项监督，对整治工作不负责、不作为、慢作为，逾期没有完成目标任务甚至发生事故的，依法依纪严肃问责。建立健全安全生产“预否决”“预黑名单”、事前问责等制度，对可能造成群死群伤的重大风险隐患，由县政府、县安委会或有关主管监管部门挂牌督办，对拒不整改的采取停产停工、追究刑责等坚决果断措施。</w:t>
            </w:r>
          </w:p>
        </w:tc>
        <w:tc>
          <w:tcPr>
            <w:tcW w:w="3347" w:type="dxa"/>
            <w:gridSpan w:val="2"/>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县纪委监委、各负有安全监管和主管职责部门</w:t>
            </w:r>
          </w:p>
        </w:tc>
        <w:tc>
          <w:tcPr>
            <w:tcW w:w="1479" w:type="dxa"/>
            <w:noWrap w:val="0"/>
            <w:vAlign w:val="center"/>
          </w:tcPr>
          <w:p>
            <w:pPr>
              <w:autoSpaceDE w:val="0"/>
              <w:autoSpaceDN w:val="0"/>
              <w:adjustRightInd w:val="0"/>
              <w:spacing w:line="300" w:lineRule="exact"/>
              <w:jc w:val="center"/>
              <w:rPr>
                <w:rFonts w:ascii="Times New Roman" w:hAnsi="Times New Roman" w:eastAsia="方正仿宋简体"/>
                <w:kern w:val="0"/>
                <w:sz w:val="21"/>
                <w:szCs w:val="21"/>
              </w:rPr>
            </w:pPr>
            <w:r>
              <w:rPr>
                <w:rFonts w:ascii="Times New Roman" w:hAnsi="Times New Roman" w:eastAsia="方正仿宋简体"/>
                <w:kern w:val="0"/>
                <w:sz w:val="21"/>
                <w:szCs w:val="21"/>
              </w:rPr>
              <w:t>2023年12月底前，长期坚持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17FA9"/>
    <w:rsid w:val="1AF218D4"/>
    <w:rsid w:val="6EFF4FA2"/>
    <w:rsid w:val="71B77E32"/>
    <w:rsid w:val="72C4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table" w:customStyle="1" w:styleId="5">
    <w:name w:val="网格型2"/>
    <w:basedOn w:val="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2023-06-15T08:04:00Z</dcterms:created>
  <dc:creator>Administrator</dc:creator>
  <cp:lastModifiedBy>Administrator</cp:lastModifiedBy>
  <dcterms:modified xsi:type="dcterms:W3CDTF">2023-06-25T00:58:50Z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