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hAnsi="Times New Roman" w:cs="Times New Roman"/>
          <w:color w:val="auto"/>
          <w:sz w:val="32"/>
          <w:szCs w:val="32"/>
        </w:rPr>
      </w:pPr>
    </w:p>
    <w:p>
      <w:pPr>
        <w:pStyle w:val="10"/>
        <w:jc w:val="center"/>
        <w:rPr>
          <w:rFonts w:ascii="Times New Roman" w:hAnsi="Times New Roman" w:cs="Times New Roman"/>
          <w:color w:val="auto"/>
          <w:sz w:val="56"/>
          <w:szCs w:val="56"/>
        </w:rPr>
      </w:pPr>
    </w:p>
    <w:p>
      <w:pPr>
        <w:pStyle w:val="10"/>
        <w:jc w:val="center"/>
        <w:rPr>
          <w:rFonts w:ascii="Times New Roman" w:hAnsi="Times New Roman" w:cs="Times New Roman"/>
          <w:color w:val="auto"/>
          <w:sz w:val="84"/>
          <w:szCs w:val="84"/>
        </w:rPr>
      </w:pPr>
    </w:p>
    <w:p>
      <w:pPr>
        <w:pStyle w:val="10"/>
        <w:jc w:val="center"/>
        <w:rPr>
          <w:rFonts w:ascii="Times New Roman" w:hAnsi="Times New Roman" w:cs="Times New Roman"/>
          <w:color w:val="auto"/>
          <w:sz w:val="84"/>
          <w:szCs w:val="84"/>
        </w:rPr>
      </w:pPr>
    </w:p>
    <w:p>
      <w:pPr>
        <w:pStyle w:val="10"/>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2019年度</w:t>
      </w:r>
    </w:p>
    <w:p>
      <w:pPr>
        <w:pStyle w:val="10"/>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中共醴陵市委组织部</w:t>
      </w:r>
    </w:p>
    <w:p>
      <w:pPr>
        <w:pStyle w:val="10"/>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pPr>
        <w:pStyle w:val="10"/>
        <w:spacing w:before="240"/>
        <w:jc w:val="center"/>
        <w:rPr>
          <w:rFonts w:ascii="Times New Roman" w:hAnsi="Times New Roman" w:cs="Times New Roman"/>
          <w:color w:val="auto"/>
          <w:sz w:val="56"/>
          <w:szCs w:val="56"/>
        </w:rPr>
      </w:pPr>
    </w:p>
    <w:p>
      <w:pPr>
        <w:pStyle w:val="10"/>
        <w:jc w:val="center"/>
        <w:rPr>
          <w:rFonts w:ascii="Times New Roman" w:hAnsi="Times New Roman" w:cs="Times New Roman"/>
          <w:color w:val="auto"/>
          <w:sz w:val="56"/>
          <w:szCs w:val="56"/>
        </w:rPr>
      </w:pPr>
    </w:p>
    <w:p>
      <w:pPr>
        <w:pStyle w:val="10"/>
        <w:jc w:val="center"/>
        <w:rPr>
          <w:rFonts w:ascii="Times New Roman" w:hAnsi="Times New Roman" w:cs="Times New Roman"/>
          <w:color w:val="auto"/>
          <w:sz w:val="56"/>
          <w:szCs w:val="56"/>
        </w:rPr>
      </w:pPr>
    </w:p>
    <w:p>
      <w:pPr>
        <w:pStyle w:val="10"/>
        <w:jc w:val="center"/>
        <w:rPr>
          <w:rFonts w:ascii="Times New Roman" w:hAnsi="Times New Roman" w:cs="Times New Roman"/>
          <w:color w:val="auto"/>
          <w:sz w:val="56"/>
          <w:szCs w:val="56"/>
        </w:rPr>
      </w:pPr>
    </w:p>
    <w:p>
      <w:pPr>
        <w:pStyle w:val="10"/>
        <w:jc w:val="center"/>
        <w:rPr>
          <w:rFonts w:ascii="Times New Roman" w:hAnsi="Times New Roman" w:cs="Times New Roman"/>
          <w:color w:val="auto"/>
          <w:sz w:val="56"/>
          <w:szCs w:val="56"/>
        </w:rPr>
      </w:pPr>
    </w:p>
    <w:p>
      <w:pPr>
        <w:pStyle w:val="10"/>
        <w:jc w:val="center"/>
        <w:rPr>
          <w:rFonts w:ascii="Times New Roman" w:hAnsi="Times New Roman" w:cs="Times New Roman"/>
          <w:color w:val="auto"/>
          <w:sz w:val="56"/>
          <w:szCs w:val="56"/>
        </w:rPr>
      </w:pPr>
    </w:p>
    <w:p>
      <w:pPr>
        <w:pStyle w:val="10"/>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目  录</w:t>
      </w:r>
    </w:p>
    <w:p>
      <w:pPr>
        <w:pStyle w:val="10"/>
        <w:spacing w:line="500" w:lineRule="exact"/>
        <w:jc w:val="both"/>
        <w:rPr>
          <w:rFonts w:ascii="Times New Roman" w:hAnsi="Times New Roman" w:eastAsia="仿宋_GB2312" w:cs="Times New Roman"/>
          <w:b/>
          <w:color w:val="auto"/>
          <w:sz w:val="28"/>
          <w:szCs w:val="28"/>
        </w:rPr>
      </w:pPr>
    </w:p>
    <w:p>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第一部分  中共醴陵市委组织部单位概况</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w:t>
      </w:r>
    </w:p>
    <w:p>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第二部分  2019年度部门决算表</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六、一般公共预算财政拨款基本支出决算表</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七、一般公共预算财政拨款“三公”经费支出决算表</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八、政府性基金预算财政拨款收入支出决算表</w:t>
      </w:r>
    </w:p>
    <w:p>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第三部分  2019年度部门决算情况说明</w:t>
      </w:r>
    </w:p>
    <w:p>
      <w:pPr>
        <w:pStyle w:val="10"/>
        <w:spacing w:line="5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三、支出决算情况说明</w:t>
      </w:r>
    </w:p>
    <w:p>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四、财政拨款收入支出决算总体情况说明</w:t>
      </w:r>
    </w:p>
    <w:p>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五、一般公共预算财政拨款支出决算情况说明</w:t>
      </w:r>
    </w:p>
    <w:p>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六、一般公共预算财政拨款基本支出决算情况说明</w:t>
      </w:r>
    </w:p>
    <w:p>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七、一般公共预算财政拨款三公经费支出决算情况说明</w:t>
      </w:r>
    </w:p>
    <w:p>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八、政府性基金预算收入支出决算情况</w:t>
      </w:r>
    </w:p>
    <w:p>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九、预算绩效情况说明</w:t>
      </w:r>
    </w:p>
    <w:p>
      <w:pPr>
        <w:autoSpaceDE w:val="0"/>
        <w:autoSpaceDN w:val="0"/>
        <w:adjustRightInd w:val="0"/>
        <w:spacing w:line="5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十、其他重要事项情况说明</w:t>
      </w:r>
    </w:p>
    <w:p>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第四部分  名词解释</w:t>
      </w:r>
    </w:p>
    <w:p>
      <w:pPr>
        <w:pStyle w:val="10"/>
        <w:spacing w:line="500" w:lineRule="exact"/>
        <w:jc w:val="both"/>
        <w:rPr>
          <w:rFonts w:ascii="Times New Roman" w:hAnsi="Times New Roman" w:cs="Times New Roman"/>
          <w:color w:val="auto"/>
          <w:sz w:val="32"/>
          <w:szCs w:val="32"/>
        </w:rPr>
      </w:pPr>
      <w:r>
        <w:rPr>
          <w:rFonts w:ascii="Times New Roman" w:hAnsi="Times New Roman" w:cs="Times New Roman"/>
          <w:color w:val="auto"/>
          <w:sz w:val="32"/>
          <w:szCs w:val="32"/>
        </w:rPr>
        <w:t>第五部分  其他</w:t>
      </w: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rPr>
          <w:rFonts w:ascii="Times New Roman" w:hAnsi="Times New Roman" w:cs="Times New Roman"/>
          <w:sz w:val="72"/>
          <w:szCs w:val="72"/>
        </w:rPr>
      </w:pPr>
    </w:p>
    <w:p>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第一部分</w:t>
      </w:r>
    </w:p>
    <w:p>
      <w:pPr>
        <w:pStyle w:val="10"/>
        <w:jc w:val="center"/>
        <w:rPr>
          <w:rFonts w:ascii="Times New Roman" w:hAnsi="Times New Roman" w:cs="Times New Roman"/>
          <w:color w:val="auto"/>
          <w:sz w:val="52"/>
          <w:szCs w:val="52"/>
        </w:rPr>
      </w:pPr>
    </w:p>
    <w:p>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中共醴陵市委组织部概况</w:t>
      </w: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一、部门职责</w:t>
      </w:r>
    </w:p>
    <w:p>
      <w:pPr>
        <w:spacing w:line="600" w:lineRule="exact"/>
        <w:ind w:firstLine="640"/>
        <w:rPr>
          <w:rFonts w:ascii="Times New Roman" w:hAnsi="Times New Roman" w:eastAsia="仿宋_GB2312" w:cs="Times New Roman"/>
          <w:b/>
          <w:kern w:val="0"/>
          <w:sz w:val="32"/>
          <w:szCs w:val="32"/>
        </w:rPr>
      </w:pPr>
      <w:r>
        <w:rPr>
          <w:rFonts w:ascii="Times New Roman" w:hAnsi="Times New Roman" w:eastAsia="仿宋_GB2312" w:cs="Times New Roman"/>
          <w:kern w:val="0"/>
          <w:sz w:val="32"/>
          <w:szCs w:val="32"/>
        </w:rPr>
        <w:t>中共醴陵市委组织部为全额拨款党群单位，主管组织、干部和人才工作。本部门主要职责是：</w:t>
      </w:r>
    </w:p>
    <w:p>
      <w:pPr>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w:t>
      </w:r>
      <w:r>
        <w:rPr>
          <w:rFonts w:ascii="Times New Roman" w:hAnsi="Times New Roman" w:eastAsia="仿宋_GB2312" w:cs="Times New Roman"/>
          <w:sz w:val="32"/>
          <w:szCs w:val="32"/>
        </w:rPr>
        <w:t>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ascii="Times New Roman" w:hAnsi="Times New Roman" w:eastAsia="仿宋_GB2312" w:cs="Times New Roman"/>
          <w:sz w:val="32"/>
          <w:szCs w:val="32"/>
        </w:rPr>
        <w:t>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导。组织落实培养选拔中青年干部、妇女干部、少数民族干部、党外干部的有关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（三）</w:t>
      </w:r>
      <w:r>
        <w:rPr>
          <w:rFonts w:ascii="Times New Roman" w:hAnsi="Times New Roman" w:eastAsia="仿宋_GB2312" w:cs="Times New Roman"/>
          <w:sz w:val="32"/>
          <w:szCs w:val="32"/>
        </w:rPr>
        <w:t>研究全市组织系统信息网络建设；负责党内统计和干部统计的工作；负责市管干部人事档案管理工作，指导全市档案管理工作。</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（五）负责制订全市干部教育培训计划。指导、协调、检查全市干部教育工作；组织市委管理的干部和中青年干部以及组织（政工、人事）部门负责人等各级培训工作；负责上级调训干部的组织和协调。</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（六）调查了解全市人才工作情况，制订或参与制订有关专业人才工作的政策；指导、协调、检查人才工作；负责市级有突出贡献专家的上报和评选工作，组织指导开展有关人才引进活动。</w:t>
      </w:r>
    </w:p>
    <w:p>
      <w:pPr>
        <w:spacing w:line="600" w:lineRule="exact"/>
        <w:ind w:firstLine="64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（七）</w:t>
      </w:r>
      <w:r>
        <w:rPr>
          <w:rFonts w:ascii="Times New Roman" w:hAnsi="Times New Roman" w:eastAsia="仿宋_GB2312" w:cs="Times New Roman"/>
          <w:sz w:val="32"/>
          <w:szCs w:val="32"/>
        </w:rPr>
        <w:t>领导和管理市委老干部局，指导、管理和协调党校。</w:t>
      </w:r>
    </w:p>
    <w:p>
      <w:pPr>
        <w:spacing w:line="600" w:lineRule="exact"/>
        <w:ind w:firstLine="640"/>
        <w:rPr>
          <w:rFonts w:ascii="Times New Roman" w:hAnsi="Times New Roman" w:eastAsia="仿宋_GB2312" w:cs="Times New Roman"/>
          <w:bCs/>
          <w:kern w:val="0"/>
          <w:sz w:val="32"/>
          <w:szCs w:val="32"/>
        </w:rPr>
      </w:pPr>
      <w:r>
        <w:rPr>
          <w:rFonts w:ascii="Times New Roman" w:hAnsi="Times New Roman" w:eastAsia="黑体" w:cs="Times New Roman"/>
          <w:bCs/>
          <w:kern w:val="0"/>
          <w:sz w:val="32"/>
          <w:szCs w:val="32"/>
        </w:rPr>
        <w:t>二、机构设置及决算单位构成</w:t>
      </w:r>
    </w:p>
    <w:p>
      <w:pPr>
        <w:spacing w:line="600" w:lineRule="exact"/>
        <w:ind w:firstLine="64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（一）内设机构设置。中共醴陵市委组织部内设机构包括：办公室、干部综合科、干部信息科、干部监督科、干部教育科、公务员管理办、组织科、人才科、党员教育中心、老干部管理科。</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纳入财政部 2019年度部门决算编制范围的二级预算单位包括：无</w:t>
      </w:r>
    </w:p>
    <w:p>
      <w:pPr>
        <w:widowControl/>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（二）决算单位构成。中共醴陵市委组织部2019年部门决算汇总公开单位构成包括</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中共</w:t>
      </w:r>
      <w:r>
        <w:rPr>
          <w:rFonts w:ascii="Times New Roman" w:hAnsi="Times New Roman" w:eastAsia="仿宋_GB2312" w:cs="Times New Roman"/>
          <w:bCs/>
          <w:kern w:val="0"/>
          <w:sz w:val="32"/>
          <w:szCs w:val="32"/>
        </w:rPr>
        <w:t>醴陵市委组织部本级。</w:t>
      </w:r>
    </w:p>
    <w:p>
      <w:pPr>
        <w:jc w:val="center"/>
        <w:rPr>
          <w:rFonts w:ascii="Times New Roman" w:hAnsi="Times New Roman" w:eastAsia="仿宋_GB2312"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widowControl/>
        <w:spacing w:line="600" w:lineRule="exact"/>
        <w:rPr>
          <w:rFonts w:ascii="Times New Roman" w:hAnsi="Times New Roman" w:eastAsia="仿宋_GB2312" w:cs="Times New Roman"/>
          <w:kern w:val="0"/>
          <w:sz w:val="32"/>
          <w:szCs w:val="32"/>
        </w:rPr>
      </w:pPr>
    </w:p>
    <w:p>
      <w:pPr>
        <w:jc w:val="center"/>
        <w:rPr>
          <w:rFonts w:ascii="Times New Roman" w:hAnsi="Times New Roman" w:eastAsia="仿宋_GB2312" w:cs="Times New Roman"/>
          <w:sz w:val="28"/>
          <w:szCs w:val="28"/>
        </w:rPr>
      </w:pPr>
    </w:p>
    <w:p>
      <w:pPr>
        <w:pStyle w:val="10"/>
        <w:jc w:val="center"/>
        <w:rPr>
          <w:rFonts w:ascii="Times New Roman" w:hAnsi="Times New Roman" w:cs="Times New Roman"/>
          <w:color w:val="auto"/>
          <w:sz w:val="84"/>
          <w:szCs w:val="84"/>
        </w:rPr>
      </w:pPr>
    </w:p>
    <w:p>
      <w:pPr>
        <w:pStyle w:val="10"/>
        <w:jc w:val="center"/>
        <w:rPr>
          <w:rFonts w:ascii="Times New Roman" w:hAnsi="Times New Roman" w:cs="Times New Roman"/>
          <w:color w:val="auto"/>
          <w:sz w:val="84"/>
          <w:szCs w:val="84"/>
        </w:rPr>
      </w:pPr>
    </w:p>
    <w:p>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第二部分</w:t>
      </w:r>
    </w:p>
    <w:p>
      <w:pPr>
        <w:pStyle w:val="10"/>
        <w:jc w:val="center"/>
        <w:rPr>
          <w:rFonts w:ascii="Times New Roman" w:hAnsi="Times New Roman" w:eastAsia="方正小标宋简体" w:cs="Times New Roman"/>
          <w:color w:val="auto"/>
          <w:sz w:val="52"/>
          <w:szCs w:val="52"/>
        </w:rPr>
      </w:pPr>
    </w:p>
    <w:p>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部门决算表</w:t>
      </w: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widowControl/>
        <w:spacing w:line="600" w:lineRule="exact"/>
        <w:rPr>
          <w:rFonts w:ascii="Times New Roman" w:hAnsi="Times New Roman" w:eastAsia="仿宋_GB2312" w:cs="Times New Roman"/>
          <w:b/>
          <w:kern w:val="0"/>
          <w:sz w:val="32"/>
          <w:szCs w:val="32"/>
        </w:rPr>
      </w:pPr>
    </w:p>
    <w:p>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一、收入支出决算总表</w:t>
      </w:r>
    </w:p>
    <w:p>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二、收入决算表</w:t>
      </w:r>
    </w:p>
    <w:p>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三、支出决算表</w:t>
      </w:r>
    </w:p>
    <w:p>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四、财政拨款收入支出决算总表</w:t>
      </w:r>
    </w:p>
    <w:p>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五、一般公共预算财政拨款支出决算表</w:t>
      </w:r>
    </w:p>
    <w:p>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六、一般公共预算财政拨款基本支出决算表</w:t>
      </w:r>
    </w:p>
    <w:p>
      <w:pPr>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七、一般公共预算财政拨款“三公”经费支出决算表</w:t>
      </w:r>
    </w:p>
    <w:p>
      <w:pPr>
        <w:spacing w:line="600" w:lineRule="exact"/>
        <w:rPr>
          <w:rFonts w:ascii="Times New Roman" w:hAnsi="Times New Roman" w:eastAsia="仿宋_GB2312" w:cs="Times New Roman"/>
          <w:kern w:val="0"/>
          <w:sz w:val="32"/>
          <w:szCs w:val="32"/>
        </w:rPr>
        <w:sectPr>
          <w:footerReference r:id="rId3" w:type="default"/>
          <w:pgSz w:w="11906" w:h="16838"/>
          <w:pgMar w:top="1701" w:right="1418" w:bottom="1418" w:left="1418" w:header="851" w:footer="992" w:gutter="0"/>
          <w:cols w:space="425" w:num="1"/>
          <w:docGrid w:type="lines" w:linePitch="312" w:charSpace="0"/>
        </w:sectPr>
      </w:pPr>
      <w:r>
        <w:rPr>
          <w:rFonts w:ascii="Times New Roman" w:hAnsi="Times New Roman" w:eastAsia="仿宋_GB2312" w:cs="Times New Roman"/>
          <w:kern w:val="0"/>
          <w:sz w:val="32"/>
          <w:szCs w:val="32"/>
        </w:rPr>
        <w:t>八、政府性基金预算财政拨款收入支出决算表</w:t>
      </w:r>
    </w:p>
    <w:p>
      <w:pPr>
        <w:widowControl/>
        <w:tabs>
          <w:tab w:val="left" w:pos="3572"/>
          <w:tab w:val="left" w:pos="4164"/>
          <w:tab w:val="left" w:pos="6424"/>
          <w:tab w:val="left" w:pos="10364"/>
          <w:tab w:val="left" w:pos="10956"/>
        </w:tabs>
        <w:spacing w:line="500" w:lineRule="exact"/>
        <w:ind w:left="34"/>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收入支出决算总表</w:t>
      </w:r>
    </w:p>
    <w:p>
      <w:pPr>
        <w:widowControl/>
        <w:tabs>
          <w:tab w:val="left" w:pos="3572"/>
          <w:tab w:val="left" w:pos="4164"/>
          <w:tab w:val="left" w:pos="6424"/>
          <w:tab w:val="left" w:pos="10364"/>
          <w:tab w:val="left" w:pos="10956"/>
        </w:tabs>
        <w:spacing w:line="240" w:lineRule="exact"/>
        <w:ind w:left="34"/>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90"/>
        <w:gridCol w:w="720"/>
        <w:gridCol w:w="1225"/>
        <w:gridCol w:w="5090"/>
        <w:gridCol w:w="72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gridSpan w:val="3"/>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收入</w:t>
            </w:r>
          </w:p>
        </w:tc>
        <w:tc>
          <w:tcPr>
            <w:tcW w:w="0" w:type="auto"/>
            <w:gridSpan w:val="3"/>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项目</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行次</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金额</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项目</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行次</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栏次</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栏次</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一、一般公共预算财政拨款收入</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1,159.90</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一、一般公共服务支出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29</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1,233.58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二、政府性基金预算财政拨款收入</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二、外交支出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30</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三、上级补助收入</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三、国防支出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31</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四、事业收入</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四、公共安全支出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32</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五、经营收入</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五、教育支出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33</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六、附属单位上缴收入</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6</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六、科学技术支出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34</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七、其他收入</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7</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七、文化旅游体育与传媒支出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35</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8</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八、社会保障和就业支出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36</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9</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九、卫生健康支出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37</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10</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十、节能环保支出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38</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11</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十一、城乡社区支出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39</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12</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十二、农林水支出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40</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13</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十三、交通运输支出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41</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14</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十四、资源勘探信息等支出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42</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15</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十五、商业服务业等支出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43</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16</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十六、金融支出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44</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17</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十七、援助其他地区支出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45</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18</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十八、自然资源海洋气象等支出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46</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19</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十九、住房保障支出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47</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20</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二十、粮油物资储备支出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48</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21</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二十一、灾害防治及应急管理支出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49</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22</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二十二、其他支出</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50</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23</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51</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本年收入合计</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24</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1,181.85</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本年支出合计</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52</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1,276.11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用事业基金弥补收支差额</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25</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结余分配</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53</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年初结转和结余</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26</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315.88</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年末结转和结余</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54</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221.62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27</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55</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总计</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28</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1,497.73</w:t>
            </w:r>
          </w:p>
        </w:tc>
        <w:tc>
          <w:tcPr>
            <w:tcW w:w="0" w:type="auto"/>
            <w:shd w:val="clear" w:color="FFFFFF"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总计</w:t>
            </w:r>
          </w:p>
        </w:tc>
        <w:tc>
          <w:tcPr>
            <w:tcW w:w="0" w:type="auto"/>
            <w:shd w:val="clear" w:color="FFFFFF"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56</w:t>
            </w:r>
          </w:p>
        </w:tc>
        <w:tc>
          <w:tcPr>
            <w:tcW w:w="0" w:type="auto"/>
            <w:shd w:val="clear" w:color="auto" w:fill="FFFFFF"/>
            <w:noWrap/>
            <w:tcMar>
              <w:top w:w="15" w:type="dxa"/>
              <w:left w:w="15" w:type="dxa"/>
              <w:right w:w="15" w:type="dxa"/>
            </w:tcMar>
            <w:vAlign w:val="center"/>
          </w:tcPr>
          <w:p>
            <w:pPr>
              <w:widowControl/>
              <w:spacing w:line="240" w:lineRule="exact"/>
              <w:jc w:val="center"/>
              <w:rPr>
                <w:rFonts w:ascii="Times New Roman" w:hAnsi="Times New Roman" w:cs="Times New Roman"/>
                <w:bCs/>
                <w:kern w:val="0"/>
                <w:szCs w:val="21"/>
              </w:rPr>
            </w:pPr>
            <w:r>
              <w:rPr>
                <w:rFonts w:ascii="Times New Roman" w:hAnsi="Times New Roman" w:cs="Times New Roman"/>
                <w:bCs/>
                <w:kern w:val="0"/>
                <w:szCs w:val="21"/>
              </w:rPr>
              <w:t>1,497.73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0" w:type="auto"/>
            <w:gridSpan w:val="6"/>
            <w:shd w:val="clear" w:color="auto" w:fill="FFFFFF"/>
            <w:noWrap/>
            <w:tcMar>
              <w:top w:w="15" w:type="dxa"/>
              <w:left w:w="15" w:type="dxa"/>
              <w:right w:w="15" w:type="dxa"/>
            </w:tcMar>
            <w:vAlign w:val="center"/>
          </w:tcPr>
          <w:p>
            <w:pPr>
              <w:widowControl/>
              <w:spacing w:line="240" w:lineRule="exact"/>
              <w:jc w:val="left"/>
              <w:rPr>
                <w:rFonts w:ascii="Times New Roman" w:hAnsi="Times New Roman" w:cs="Times New Roman"/>
                <w:bCs/>
                <w:kern w:val="0"/>
                <w:szCs w:val="21"/>
              </w:rPr>
            </w:pPr>
            <w:r>
              <w:rPr>
                <w:rFonts w:ascii="Times New Roman" w:hAnsi="Times New Roman" w:cs="Times New Roman"/>
                <w:bCs/>
                <w:kern w:val="0"/>
                <w:szCs w:val="21"/>
              </w:rPr>
              <w:t>注：本表反映部门本年度的总收支和年末结转结余情况。</w:t>
            </w:r>
          </w:p>
        </w:tc>
      </w:tr>
    </w:tbl>
    <w:p>
      <w:pPr>
        <w:widowControl/>
        <w:tabs>
          <w:tab w:val="left" w:pos="372"/>
          <w:tab w:val="left" w:pos="712"/>
          <w:tab w:val="left" w:pos="1052"/>
          <w:tab w:val="left" w:pos="5604"/>
          <w:tab w:val="left" w:pos="6884"/>
          <w:tab w:val="left" w:pos="8124"/>
          <w:tab w:val="left" w:pos="9344"/>
          <w:tab w:val="left" w:pos="10584"/>
          <w:tab w:val="left" w:pos="11744"/>
          <w:tab w:val="left" w:pos="13044"/>
        </w:tabs>
        <w:spacing w:line="500" w:lineRule="exact"/>
        <w:ind w:left="34"/>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收入决算表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center"/>
        <w:rPr>
          <w:rFonts w:ascii="Times New Roman" w:hAnsi="Times New Roman" w:cs="Times New Roman"/>
          <w:bCs/>
          <w:kern w:val="0"/>
          <w:szCs w:val="21"/>
        </w:rPr>
      </w:pPr>
      <w:r>
        <w:rPr>
          <w:rFonts w:ascii="Times New Roman" w:hAnsi="Times New Roman" w:cs="Times New Roman"/>
          <w:bCs/>
          <w:kern w:val="0"/>
          <w:szCs w:val="21"/>
        </w:rPr>
        <w:t xml:space="preserve">                                                                                                                          公开02表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13863" w:type="dxa"/>
        <w:jc w:val="center"/>
        <w:tblLayout w:type="fixed"/>
        <w:tblCellMar>
          <w:top w:w="0" w:type="dxa"/>
          <w:left w:w="0" w:type="dxa"/>
          <w:bottom w:w="0" w:type="dxa"/>
          <w:right w:w="0" w:type="dxa"/>
        </w:tblCellMar>
      </w:tblPr>
      <w:tblGrid>
        <w:gridCol w:w="3210"/>
        <w:gridCol w:w="3153"/>
        <w:gridCol w:w="840"/>
        <w:gridCol w:w="840"/>
        <w:gridCol w:w="840"/>
        <w:gridCol w:w="840"/>
        <w:gridCol w:w="840"/>
        <w:gridCol w:w="840"/>
        <w:gridCol w:w="1430"/>
        <w:gridCol w:w="1030"/>
      </w:tblGrid>
      <w:tr>
        <w:tblPrEx>
          <w:tblCellMar>
            <w:top w:w="0" w:type="dxa"/>
            <w:left w:w="0" w:type="dxa"/>
            <w:bottom w:w="0" w:type="dxa"/>
            <w:right w:w="0" w:type="dxa"/>
          </w:tblCellMar>
        </w:tblPrEx>
        <w:trPr>
          <w:cantSplit/>
          <w:trHeight w:val="308" w:hRule="atLeast"/>
          <w:jc w:val="center"/>
        </w:trPr>
        <w:tc>
          <w:tcPr>
            <w:tcW w:w="6363"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项目</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本年收入合计</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财政拨款收入</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上级补助收入</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事业收入</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经营收入</w:t>
            </w:r>
          </w:p>
        </w:tc>
        <w:tc>
          <w:tcPr>
            <w:tcW w:w="840" w:type="dxa"/>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附属单位上缴收入</w:t>
            </w:r>
          </w:p>
        </w:tc>
        <w:tc>
          <w:tcPr>
            <w:tcW w:w="2460" w:type="dxa"/>
            <w:gridSpan w:val="2"/>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其他收入</w:t>
            </w:r>
          </w:p>
        </w:tc>
      </w:tr>
      <w:tr>
        <w:tblPrEx>
          <w:tblCellMar>
            <w:top w:w="0" w:type="dxa"/>
            <w:left w:w="0" w:type="dxa"/>
            <w:bottom w:w="0" w:type="dxa"/>
            <w:right w:w="0" w:type="dxa"/>
          </w:tblCellMar>
        </w:tblPrEx>
        <w:trPr>
          <w:cantSplit/>
          <w:trHeight w:val="308" w:hRule="atLeast"/>
          <w:jc w:val="center"/>
        </w:trPr>
        <w:tc>
          <w:tcPr>
            <w:tcW w:w="3210" w:type="dxa"/>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功能分类科目编码</w:t>
            </w:r>
          </w:p>
        </w:tc>
        <w:tc>
          <w:tcPr>
            <w:tcW w:w="3153" w:type="dxa"/>
            <w:vMerge w:val="restart"/>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科目名称</w:t>
            </w: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2460" w:type="dxa"/>
            <w:gridSpan w:val="2"/>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r>
      <w:tr>
        <w:tblPrEx>
          <w:tblCellMar>
            <w:top w:w="0" w:type="dxa"/>
            <w:left w:w="0" w:type="dxa"/>
            <w:bottom w:w="0" w:type="dxa"/>
            <w:right w:w="0" w:type="dxa"/>
          </w:tblCellMar>
        </w:tblPrEx>
        <w:trPr>
          <w:cantSplit/>
          <w:trHeight w:val="308" w:hRule="atLeast"/>
          <w:jc w:val="center"/>
        </w:trPr>
        <w:tc>
          <w:tcPr>
            <w:tcW w:w="3210"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3153" w:type="dxa"/>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2460" w:type="dxa"/>
            <w:gridSpan w:val="2"/>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r>
      <w:tr>
        <w:tblPrEx>
          <w:tblCellMar>
            <w:top w:w="0" w:type="dxa"/>
            <w:left w:w="0" w:type="dxa"/>
            <w:bottom w:w="0" w:type="dxa"/>
            <w:right w:w="0" w:type="dxa"/>
          </w:tblCellMar>
        </w:tblPrEx>
        <w:trPr>
          <w:cantSplit/>
          <w:trHeight w:val="308" w:hRule="atLeast"/>
          <w:jc w:val="center"/>
        </w:trPr>
        <w:tc>
          <w:tcPr>
            <w:tcW w:w="3210" w:type="dxa"/>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3153" w:type="dxa"/>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840" w:type="dxa"/>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c>
          <w:tcPr>
            <w:tcW w:w="2460" w:type="dxa"/>
            <w:gridSpan w:val="2"/>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p>
        </w:tc>
      </w:tr>
      <w:tr>
        <w:tblPrEx>
          <w:tblCellMar>
            <w:top w:w="0" w:type="dxa"/>
            <w:left w:w="0" w:type="dxa"/>
            <w:bottom w:w="0" w:type="dxa"/>
            <w:right w:w="0" w:type="dxa"/>
          </w:tblCellMar>
        </w:tblPrEx>
        <w:trPr>
          <w:cantSplit/>
          <w:trHeight w:val="308" w:hRule="atLeast"/>
          <w:jc w:val="center"/>
        </w:trPr>
        <w:tc>
          <w:tcPr>
            <w:tcW w:w="6363" w:type="dxa"/>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栏次</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3</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4</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5</w:t>
            </w:r>
          </w:p>
        </w:tc>
        <w:tc>
          <w:tcPr>
            <w:tcW w:w="8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6</w:t>
            </w:r>
          </w:p>
        </w:tc>
        <w:tc>
          <w:tcPr>
            <w:tcW w:w="246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7</w:t>
            </w:r>
          </w:p>
        </w:tc>
      </w:tr>
      <w:tr>
        <w:tblPrEx>
          <w:tblCellMar>
            <w:top w:w="0" w:type="dxa"/>
            <w:left w:w="0" w:type="dxa"/>
            <w:bottom w:w="0" w:type="dxa"/>
            <w:right w:w="0" w:type="dxa"/>
          </w:tblCellMar>
        </w:tblPrEx>
        <w:trPr>
          <w:cantSplit/>
          <w:trHeight w:val="308" w:hRule="atLeast"/>
          <w:jc w:val="center"/>
        </w:trPr>
        <w:tc>
          <w:tcPr>
            <w:tcW w:w="6363" w:type="dxa"/>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合计</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1,181.85</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1,159.90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一般公共服务支出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1,143.71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1,121.76</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20132</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组织事务</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992.21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970.26</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2013201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行政运行</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426.69</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404.74</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21.95</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2013202</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一般行政管理事务</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270.22</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270.22</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2013299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其他组织事务支出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295.30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295.30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其他一般公共服务支出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151.50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151.50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2019999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其他一般公共服务支出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151.50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151.50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205</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教育支出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20599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其他教育支出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2059999</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其他教育支出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26.01</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210</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卫生健康支出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21011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行政事业单位医疗</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2101101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行政单位医疗</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9.63</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213</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农林水支出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21301</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农业</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cantSplit/>
          <w:trHeight w:val="308" w:hRule="atLeast"/>
          <w:jc w:val="center"/>
        </w:trPr>
        <w:tc>
          <w:tcPr>
            <w:tcW w:w="32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2130152</w:t>
            </w:r>
          </w:p>
        </w:tc>
        <w:tc>
          <w:tcPr>
            <w:tcW w:w="3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 xml:space="preserve">  对高校毕业生到基层任职补助</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2.50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c>
          <w:tcPr>
            <w:tcW w:w="246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rPr>
                <w:rFonts w:ascii="Times New Roman" w:hAnsi="Times New Roman" w:cs="Times New Roman"/>
                <w:bCs/>
                <w:kern w:val="0"/>
                <w:szCs w:val="21"/>
              </w:rPr>
            </w:pPr>
            <w:r>
              <w:rPr>
                <w:rFonts w:ascii="Times New Roman" w:hAnsi="Times New Roman" w:cs="Times New Roman"/>
                <w:bCs/>
                <w:kern w:val="0"/>
                <w:szCs w:val="21"/>
              </w:rPr>
              <w:t>0.00</w:t>
            </w:r>
          </w:p>
        </w:tc>
      </w:tr>
      <w:tr>
        <w:tblPrEx>
          <w:tblCellMar>
            <w:top w:w="0" w:type="dxa"/>
            <w:left w:w="0" w:type="dxa"/>
            <w:bottom w:w="0" w:type="dxa"/>
            <w:right w:w="0" w:type="dxa"/>
          </w:tblCellMar>
        </w:tblPrEx>
        <w:trPr>
          <w:gridAfter w:val="1"/>
          <w:wAfter w:w="1030" w:type="dxa"/>
          <w:cantSplit/>
          <w:trHeight w:val="308" w:hRule="atLeast"/>
          <w:jc w:val="center"/>
        </w:trPr>
        <w:tc>
          <w:tcPr>
            <w:tcW w:w="12833" w:type="dxa"/>
            <w:gridSpan w:val="9"/>
            <w:tcBorders>
              <w:top w:val="nil"/>
              <w:left w:val="nil"/>
              <w:bottom w:val="nil"/>
              <w:right w:val="nil"/>
            </w:tcBorders>
            <w:shd w:val="clear" w:color="auto" w:fill="auto"/>
            <w:noWrap/>
            <w:tcMar>
              <w:top w:w="15" w:type="dxa"/>
              <w:left w:w="15" w:type="dxa"/>
              <w:right w:w="15" w:type="dxa"/>
            </w:tcMar>
            <w:vAlign w:val="center"/>
          </w:tcPr>
          <w:p>
            <w:pPr>
              <w:widowControl/>
              <w:spacing w:line="300" w:lineRule="exact"/>
              <w:jc w:val="left"/>
              <w:rPr>
                <w:rFonts w:ascii="Times New Roman" w:hAnsi="Times New Roman" w:cs="Times New Roman"/>
                <w:bCs/>
                <w:kern w:val="0"/>
                <w:szCs w:val="21"/>
              </w:rPr>
            </w:pPr>
            <w:r>
              <w:rPr>
                <w:rFonts w:ascii="Times New Roman" w:hAnsi="Times New Roman" w:cs="Times New Roman"/>
                <w:bCs/>
                <w:kern w:val="0"/>
                <w:szCs w:val="21"/>
              </w:rPr>
              <w:t>注：本表反映部门本年度取得的各项收入情况。</w:t>
            </w:r>
          </w:p>
        </w:tc>
      </w:tr>
    </w:tbl>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center"/>
        <w:rPr>
          <w:rFonts w:ascii="Times New Roman" w:hAnsi="Times New Roman" w:eastAsia="方正小标宋简体" w:cs="Times New Roman"/>
          <w:kern w:val="0"/>
          <w:sz w:val="44"/>
          <w:szCs w:val="44"/>
        </w:rPr>
      </w:pPr>
    </w:p>
    <w:p>
      <w:pPr>
        <w:widowControl/>
        <w:tabs>
          <w:tab w:val="left" w:pos="431"/>
          <w:tab w:val="left" w:pos="771"/>
          <w:tab w:val="left" w:pos="1111"/>
          <w:tab w:val="left" w:pos="5545"/>
          <w:tab w:val="left" w:pos="7065"/>
          <w:tab w:val="left" w:pos="8445"/>
          <w:tab w:val="left" w:pos="9865"/>
          <w:tab w:val="left" w:pos="11305"/>
          <w:tab w:val="left" w:pos="12825"/>
        </w:tabs>
        <w:ind w:left="91"/>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支出决算表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center"/>
        <w:rPr>
          <w:rFonts w:ascii="Times New Roman" w:hAnsi="Times New Roman" w:cs="Times New Roman"/>
          <w:bCs/>
          <w:kern w:val="0"/>
          <w:szCs w:val="21"/>
        </w:rPr>
      </w:pPr>
      <w:r>
        <w:rPr>
          <w:rFonts w:ascii="Times New Roman" w:hAnsi="Times New Roman" w:cs="Times New Roman"/>
          <w:bCs/>
          <w:kern w:val="0"/>
          <w:szCs w:val="21"/>
        </w:rPr>
        <w:t xml:space="preserve">                                                                                                                            公开03表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4998" w:type="pct"/>
        <w:tblInd w:w="0" w:type="dxa"/>
        <w:tblLayout w:type="autofit"/>
        <w:tblCellMar>
          <w:top w:w="0" w:type="dxa"/>
          <w:left w:w="0" w:type="dxa"/>
          <w:bottom w:w="0" w:type="dxa"/>
          <w:right w:w="0" w:type="dxa"/>
        </w:tblCellMar>
      </w:tblPr>
      <w:tblGrid>
        <w:gridCol w:w="2791"/>
        <w:gridCol w:w="3111"/>
        <w:gridCol w:w="1338"/>
        <w:gridCol w:w="1338"/>
        <w:gridCol w:w="1338"/>
        <w:gridCol w:w="1338"/>
        <w:gridCol w:w="1338"/>
        <w:gridCol w:w="1434"/>
      </w:tblGrid>
      <w:tr>
        <w:tblPrEx>
          <w:tblCellMar>
            <w:top w:w="0" w:type="dxa"/>
            <w:left w:w="0" w:type="dxa"/>
            <w:bottom w:w="0" w:type="dxa"/>
            <w:right w:w="0" w:type="dxa"/>
          </w:tblCellMar>
        </w:tblPrEx>
        <w:trPr>
          <w:cantSplit/>
          <w:trHeight w:val="308" w:hRule="atLeast"/>
        </w:trPr>
        <w:tc>
          <w:tcPr>
            <w:tcW w:w="2104" w:type="pct"/>
            <w:gridSpan w:val="2"/>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本年支出合计</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基本支出</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项目支出</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22"/>
              </w:rPr>
            </w:pPr>
            <w:r>
              <w:rPr>
                <w:rFonts w:ascii="Times New Roman" w:hAnsi="Times New Roman" w:eastAsia="宋体" w:cs="Times New Roman"/>
                <w:kern w:val="0"/>
                <w:sz w:val="22"/>
              </w:rPr>
              <w:t>上缴上级</w:t>
            </w:r>
          </w:p>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支出</w:t>
            </w:r>
          </w:p>
        </w:tc>
        <w:tc>
          <w:tcPr>
            <w:tcW w:w="477"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经营支出</w:t>
            </w:r>
          </w:p>
        </w:tc>
        <w:tc>
          <w:tcPr>
            <w:tcW w:w="511" w:type="pct"/>
            <w:vMerge w:val="restart"/>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对附属单位补助支出</w:t>
            </w:r>
          </w:p>
        </w:tc>
      </w:tr>
      <w:tr>
        <w:tblPrEx>
          <w:tblCellMar>
            <w:top w:w="0" w:type="dxa"/>
            <w:left w:w="0" w:type="dxa"/>
            <w:bottom w:w="0" w:type="dxa"/>
            <w:right w:w="0" w:type="dxa"/>
          </w:tblCellMar>
        </w:tblPrEx>
        <w:trPr>
          <w:cantSplit/>
          <w:trHeight w:val="312" w:hRule="atLeast"/>
        </w:trPr>
        <w:tc>
          <w:tcPr>
            <w:tcW w:w="995" w:type="pct"/>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功能分类科目编码</w:t>
            </w:r>
          </w:p>
        </w:tc>
        <w:tc>
          <w:tcPr>
            <w:tcW w:w="1109" w:type="pct"/>
            <w:vMerge w:val="restart"/>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科目名称</w:t>
            </w: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511"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r>
      <w:tr>
        <w:tblPrEx>
          <w:tblCellMar>
            <w:top w:w="0" w:type="dxa"/>
            <w:left w:w="0" w:type="dxa"/>
            <w:bottom w:w="0" w:type="dxa"/>
            <w:right w:w="0" w:type="dxa"/>
          </w:tblCellMar>
        </w:tblPrEx>
        <w:trPr>
          <w:cantSplit/>
          <w:trHeight w:val="312" w:hRule="atLeast"/>
        </w:trPr>
        <w:tc>
          <w:tcPr>
            <w:tcW w:w="995" w:type="pct"/>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1109" w:type="pct"/>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511"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r>
      <w:tr>
        <w:tblPrEx>
          <w:tblCellMar>
            <w:top w:w="0" w:type="dxa"/>
            <w:left w:w="0" w:type="dxa"/>
            <w:bottom w:w="0" w:type="dxa"/>
            <w:right w:w="0" w:type="dxa"/>
          </w:tblCellMar>
        </w:tblPrEx>
        <w:trPr>
          <w:cantSplit/>
          <w:trHeight w:val="312" w:hRule="atLeast"/>
        </w:trPr>
        <w:tc>
          <w:tcPr>
            <w:tcW w:w="995" w:type="pct"/>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1109" w:type="pct"/>
            <w:vMerge w:val="continue"/>
            <w:tcBorders>
              <w:top w:val="nil"/>
              <w:left w:val="nil"/>
              <w:bottom w:val="single" w:color="000000" w:sz="4" w:space="0"/>
              <w:right w:val="single" w:color="000000" w:sz="4" w:space="0"/>
            </w:tcBorders>
            <w:shd w:val="clear" w:color="FFFFFF" w:fill="FFFFFF"/>
            <w:noWrap/>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477"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c>
          <w:tcPr>
            <w:tcW w:w="511" w:type="pct"/>
            <w:vMerge w:val="continue"/>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Times New Roman" w:hAnsi="Times New Roman" w:eastAsia="宋体" w:cs="Times New Roman"/>
                <w:sz w:val="22"/>
              </w:rPr>
            </w:pPr>
          </w:p>
        </w:tc>
      </w:tr>
      <w:tr>
        <w:tblPrEx>
          <w:tblCellMar>
            <w:top w:w="0" w:type="dxa"/>
            <w:left w:w="0" w:type="dxa"/>
            <w:bottom w:w="0" w:type="dxa"/>
            <w:right w:w="0" w:type="dxa"/>
          </w:tblCellMar>
        </w:tblPrEx>
        <w:trPr>
          <w:cantSplit/>
          <w:trHeight w:val="308" w:hRule="atLeast"/>
        </w:trPr>
        <w:tc>
          <w:tcPr>
            <w:tcW w:w="2104" w:type="pct"/>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栏次</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w:t>
            </w:r>
          </w:p>
        </w:tc>
        <w:tc>
          <w:tcPr>
            <w:tcW w:w="477"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w:t>
            </w:r>
          </w:p>
        </w:tc>
        <w:tc>
          <w:tcPr>
            <w:tcW w:w="511" w:type="pct"/>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w:t>
            </w:r>
          </w:p>
        </w:tc>
      </w:tr>
      <w:tr>
        <w:tblPrEx>
          <w:tblCellMar>
            <w:top w:w="0" w:type="dxa"/>
            <w:left w:w="0" w:type="dxa"/>
            <w:bottom w:w="0" w:type="dxa"/>
            <w:right w:w="0" w:type="dxa"/>
          </w:tblCellMar>
        </w:tblPrEx>
        <w:trPr>
          <w:cantSplit/>
          <w:trHeight w:val="308" w:hRule="atLeast"/>
        </w:trPr>
        <w:tc>
          <w:tcPr>
            <w:tcW w:w="2104" w:type="pct"/>
            <w:gridSpan w:val="2"/>
            <w:tcBorders>
              <w:top w:val="nil"/>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1,276.11</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565.67</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710.44</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0.00</w:t>
            </w:r>
          </w:p>
        </w:tc>
        <w:tc>
          <w:tcPr>
            <w:tcW w:w="51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w:t>
            </w:r>
          </w:p>
        </w:tc>
        <w:tc>
          <w:tcPr>
            <w:tcW w:w="110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一般公共服务支出</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1,233.58</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556.17</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677.41</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w:t>
            </w:r>
          </w:p>
        </w:tc>
        <w:tc>
          <w:tcPr>
            <w:tcW w:w="110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组织事务</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1,087.58</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556.17</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531.41</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2013201</w:t>
            </w:r>
          </w:p>
        </w:tc>
        <w:tc>
          <w:tcPr>
            <w:tcW w:w="1109"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行政运行</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494.18</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494.18</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2013202</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一般行政管理事务</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273.94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273.94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其他组织事务支出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319.45</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61.99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257.46</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其他一般公共服务支出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2019999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其他一般公共服务支出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教育支出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其他教育支出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2059999</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其他教育支出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卫生健康支出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21011</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行政事业单位医疗</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2101101</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行政单位医疗</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农林水支出</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21301</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农业</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99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2130152</w:t>
            </w:r>
          </w:p>
        </w:tc>
        <w:tc>
          <w:tcPr>
            <w:tcW w:w="11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对高校毕业生到基层任职补助</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cantSplit/>
          <w:trHeight w:val="308"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注：本表反映部门本年度各项支出情况。</w:t>
            </w:r>
          </w:p>
        </w:tc>
      </w:tr>
    </w:tbl>
    <w:p>
      <w:pPr>
        <w:widowControl/>
        <w:tabs>
          <w:tab w:val="left" w:pos="3191"/>
          <w:tab w:val="left" w:pos="3771"/>
          <w:tab w:val="left" w:pos="5131"/>
          <w:tab w:val="left" w:pos="8465"/>
          <w:tab w:val="left" w:pos="9045"/>
          <w:tab w:val="left" w:pos="10465"/>
          <w:tab w:val="left" w:pos="11845"/>
        </w:tabs>
        <w:spacing w:line="460" w:lineRule="exact"/>
        <w:ind w:left="91"/>
        <w:jc w:val="left"/>
        <w:rPr>
          <w:rFonts w:ascii="Times New Roman" w:hAnsi="Times New Roman" w:eastAsia="方正小标宋简体" w:cs="Times New Roman"/>
          <w:kern w:val="0"/>
          <w:sz w:val="44"/>
          <w:szCs w:val="44"/>
        </w:rPr>
      </w:pPr>
      <w:r>
        <w:rPr>
          <w:rFonts w:ascii="Times New Roman" w:hAnsi="Times New Roman" w:eastAsia="宋体" w:cs="Times New Roman"/>
          <w:kern w:val="0"/>
          <w:sz w:val="20"/>
          <w:szCs w:val="20"/>
        </w:rPr>
        <w:t>　</w:t>
      </w:r>
      <w:r>
        <w:rPr>
          <w:rFonts w:ascii="Times New Roman" w:hAnsi="Times New Roman" w:eastAsia="宋体" w:cs="Times New Roman"/>
          <w:kern w:val="0"/>
          <w:sz w:val="20"/>
          <w:szCs w:val="20"/>
        </w:rPr>
        <w:tab/>
      </w:r>
      <w:r>
        <w:rPr>
          <w:rFonts w:ascii="Times New Roman" w:hAnsi="Times New Roman" w:eastAsia="宋体" w:cs="Times New Roman"/>
          <w:kern w:val="0"/>
          <w:sz w:val="20"/>
          <w:szCs w:val="20"/>
        </w:rPr>
        <w:t>　</w:t>
      </w:r>
      <w:r>
        <w:rPr>
          <w:rFonts w:ascii="Times New Roman" w:hAnsi="Times New Roman" w:eastAsia="宋体" w:cs="Times New Roman"/>
          <w:kern w:val="0"/>
          <w:sz w:val="20"/>
          <w:szCs w:val="20"/>
        </w:rPr>
        <w:tab/>
      </w:r>
      <w:r>
        <w:rPr>
          <w:rFonts w:ascii="Times New Roman" w:hAnsi="Times New Roman" w:eastAsia="宋体" w:cs="Times New Roman"/>
          <w:kern w:val="0"/>
          <w:sz w:val="20"/>
          <w:szCs w:val="20"/>
        </w:rPr>
        <w:t>　</w:t>
      </w:r>
      <w:r>
        <w:rPr>
          <w:rFonts w:ascii="Times New Roman" w:hAnsi="Times New Roman" w:eastAsia="宋体" w:cs="Times New Roman"/>
          <w:kern w:val="0"/>
          <w:sz w:val="20"/>
          <w:szCs w:val="20"/>
        </w:rPr>
        <w:tab/>
      </w:r>
      <w:r>
        <w:rPr>
          <w:rFonts w:ascii="Times New Roman" w:hAnsi="Times New Roman" w:eastAsia="方正小标宋简体" w:cs="Times New Roman"/>
          <w:kern w:val="0"/>
          <w:sz w:val="44"/>
          <w:szCs w:val="44"/>
        </w:rPr>
        <w:t>财政拨款收入支出决算总表</w:t>
      </w:r>
      <w:r>
        <w:rPr>
          <w:rFonts w:ascii="Times New Roman" w:hAnsi="Times New Roman" w:eastAsia="方正小标宋简体" w:cs="Times New Roman"/>
          <w:kern w:val="0"/>
          <w:sz w:val="44"/>
          <w:szCs w:val="44"/>
        </w:rPr>
        <w:tab/>
      </w:r>
      <w:r>
        <w:rPr>
          <w:rFonts w:ascii="Times New Roman" w:hAnsi="Times New Roman" w:eastAsia="方正小标宋简体" w:cs="Times New Roman"/>
          <w:kern w:val="0"/>
          <w:sz w:val="44"/>
          <w:szCs w:val="44"/>
        </w:rPr>
        <w:t>　</w:t>
      </w:r>
    </w:p>
    <w:p>
      <w:pPr>
        <w:widowControl/>
        <w:tabs>
          <w:tab w:val="left" w:pos="372"/>
          <w:tab w:val="left" w:pos="712"/>
          <w:tab w:val="left" w:pos="1052"/>
          <w:tab w:val="left" w:pos="5604"/>
          <w:tab w:val="left" w:pos="6884"/>
          <w:tab w:val="left" w:pos="8124"/>
          <w:tab w:val="left" w:pos="9344"/>
          <w:tab w:val="left" w:pos="10584"/>
          <w:tab w:val="left" w:pos="11744"/>
          <w:tab w:val="left" w:pos="13044"/>
        </w:tabs>
        <w:spacing w:line="240" w:lineRule="exact"/>
        <w:ind w:left="34"/>
        <w:jc w:val="right"/>
        <w:rPr>
          <w:rFonts w:ascii="Times New Roman" w:hAnsi="Times New Roman" w:cs="Times New Roman"/>
          <w:bCs/>
          <w:kern w:val="0"/>
          <w:szCs w:val="21"/>
        </w:rPr>
      </w:pPr>
      <w:r>
        <w:rPr>
          <w:rFonts w:ascii="Times New Roman" w:hAnsi="Times New Roman" w:cs="Times New Roman"/>
          <w:bCs/>
          <w:kern w:val="0"/>
          <w:szCs w:val="21"/>
        </w:rPr>
        <w:t>公开04表</w:t>
      </w:r>
    </w:p>
    <w:p>
      <w:pPr>
        <w:widowControl/>
        <w:tabs>
          <w:tab w:val="left" w:pos="372"/>
          <w:tab w:val="left" w:pos="712"/>
          <w:tab w:val="left" w:pos="1052"/>
          <w:tab w:val="left" w:pos="5604"/>
          <w:tab w:val="left" w:pos="6884"/>
          <w:tab w:val="left" w:pos="8124"/>
          <w:tab w:val="left" w:pos="9344"/>
          <w:tab w:val="left" w:pos="10584"/>
          <w:tab w:val="left" w:pos="11744"/>
          <w:tab w:val="left" w:pos="13044"/>
        </w:tabs>
        <w:spacing w:line="240" w:lineRule="exact"/>
        <w:ind w:left="34"/>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4991" w:type="pct"/>
        <w:tblInd w:w="0" w:type="dxa"/>
        <w:shd w:val="clear" w:color="auto" w:fill="FFFFFF" w:themeFill="background1"/>
        <w:tblLayout w:type="autofit"/>
        <w:tblCellMar>
          <w:top w:w="0" w:type="dxa"/>
          <w:left w:w="0" w:type="dxa"/>
          <w:bottom w:w="0" w:type="dxa"/>
          <w:right w:w="0" w:type="dxa"/>
        </w:tblCellMar>
      </w:tblPr>
      <w:tblGrid>
        <w:gridCol w:w="2848"/>
        <w:gridCol w:w="454"/>
        <w:gridCol w:w="1353"/>
        <w:gridCol w:w="3437"/>
        <w:gridCol w:w="569"/>
        <w:gridCol w:w="1345"/>
        <w:gridCol w:w="1869"/>
        <w:gridCol w:w="2132"/>
      </w:tblGrid>
      <w:tr>
        <w:tblPrEx>
          <w:shd w:val="clear" w:color="auto" w:fill="FFFFFF" w:themeFill="background1"/>
          <w:tblCellMar>
            <w:top w:w="0" w:type="dxa"/>
            <w:left w:w="0" w:type="dxa"/>
            <w:bottom w:w="0" w:type="dxa"/>
            <w:right w:w="0" w:type="dxa"/>
          </w:tblCellMar>
        </w:tblPrEx>
        <w:trPr>
          <w:trHeight w:val="170" w:hRule="atLeast"/>
        </w:trPr>
        <w:tc>
          <w:tcPr>
            <w:tcW w:w="1662"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ab/>
            </w:r>
            <w:r>
              <w:rPr>
                <w:rFonts w:ascii="Times New Roman" w:cs="Times New Roman" w:hAnsiTheme="majorEastAsia" w:eastAsiaTheme="majorEastAsia"/>
                <w:kern w:val="0"/>
                <w:sz w:val="18"/>
                <w:szCs w:val="18"/>
              </w:rPr>
              <w:t>　收</w:t>
            </w:r>
            <w:r>
              <w:rPr>
                <w:rFonts w:ascii="Times New Roman" w:hAnsi="Times New Roman" w:cs="Times New Roman" w:eastAsiaTheme="majorEastAsia"/>
                <w:kern w:val="0"/>
                <w:sz w:val="18"/>
                <w:szCs w:val="18"/>
              </w:rPr>
              <w:t xml:space="preserve">     </w:t>
            </w:r>
            <w:r>
              <w:rPr>
                <w:rFonts w:ascii="Times New Roman" w:cs="Times New Roman" w:hAnsiTheme="majorEastAsia" w:eastAsiaTheme="majorEastAsia"/>
                <w:kern w:val="0"/>
                <w:sz w:val="18"/>
                <w:szCs w:val="18"/>
              </w:rPr>
              <w:t>入</w:t>
            </w:r>
          </w:p>
        </w:tc>
        <w:tc>
          <w:tcPr>
            <w:tcW w:w="3338" w:type="pct"/>
            <w:gridSpan w:val="5"/>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支</w:t>
            </w:r>
            <w:r>
              <w:rPr>
                <w:rFonts w:ascii="Times New Roman" w:hAnsi="Times New Roman" w:cs="Times New Roman" w:eastAsiaTheme="majorEastAsia"/>
                <w:kern w:val="0"/>
                <w:sz w:val="18"/>
                <w:szCs w:val="18"/>
              </w:rPr>
              <w:t xml:space="preserve">     </w:t>
            </w:r>
            <w:r>
              <w:rPr>
                <w:rFonts w:ascii="Times New Roman" w:cs="Times New Roman" w:hAnsiTheme="majorEastAsia" w:eastAsiaTheme="majorEastAsia"/>
                <w:kern w:val="0"/>
                <w:sz w:val="18"/>
                <w:szCs w:val="18"/>
              </w:rPr>
              <w:t>出</w:t>
            </w:r>
          </w:p>
        </w:tc>
      </w:tr>
      <w:tr>
        <w:tblPrEx>
          <w:tblCellMar>
            <w:top w:w="0" w:type="dxa"/>
            <w:left w:w="0" w:type="dxa"/>
            <w:bottom w:w="0" w:type="dxa"/>
            <w:right w:w="0" w:type="dxa"/>
          </w:tblCellMar>
        </w:tblPrEx>
        <w:trPr>
          <w:trHeight w:val="24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项目</w:t>
            </w:r>
          </w:p>
        </w:tc>
        <w:tc>
          <w:tcPr>
            <w:tcW w:w="1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行次</w:t>
            </w:r>
          </w:p>
        </w:tc>
        <w:tc>
          <w:tcPr>
            <w:tcW w:w="48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金额</w:t>
            </w:r>
          </w:p>
        </w:tc>
        <w:tc>
          <w:tcPr>
            <w:tcW w:w="1227"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项目</w:t>
            </w:r>
          </w:p>
        </w:tc>
        <w:tc>
          <w:tcPr>
            <w:tcW w:w="20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行次</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合计</w:t>
            </w:r>
          </w:p>
        </w:tc>
        <w:tc>
          <w:tcPr>
            <w:tcW w:w="667"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一般公共预算财政拨款</w:t>
            </w:r>
          </w:p>
        </w:tc>
        <w:tc>
          <w:tcPr>
            <w:tcW w:w="761"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政府性基金预算财政拨款</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次</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栏次</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一、一般公共预算财政拨款</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1,159.90</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一、一般公共服务支出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30</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1,209.22</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1,209.22</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二、政府性基金预算财政拨款</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二、外交支出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31</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三、国防支出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32</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四、公共安全支出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33</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五、教育支出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34</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19.39</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19.39</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6</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六、科学技术支出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35</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7</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七、文化旅游体育与传媒支出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36</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8</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八、社会保障和就业支出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37</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9</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九、卫生健康支出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38</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9.50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9.50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10</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十、节能环保支出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39</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11</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十一、城乡社区支出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40</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十二、农林水支出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41</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13.64</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13.64</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13</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十三、交通运输支出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42</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14</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十四、资源勘探信息等支出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43</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15</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十五、商业服务业等支出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44</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16</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十六、金融支出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45</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17</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十七、援助其他地区支出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46</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18</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十八、自然资源海洋气象等支出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47</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19</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十九、住房保障支出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48</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20</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二十、粮油物资储备支出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49</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21</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二十一、灾害防治及应急管理支出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50</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22</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二十二、其他支出</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51</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23</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52</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本年收入合计</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24</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1,159.90</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本年支出合计</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53</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1,251.75</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1,251.75</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年初财政拨款结转和结余</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25</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301.75</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年末财政拨款结转和结余</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54</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209.90</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209.90</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一、一般公共预算财政拨款</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26</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301.75</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55</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r>
      <w:tr>
        <w:tblPrEx>
          <w:shd w:val="clear" w:color="auto" w:fill="FFFFFF" w:themeFill="background1"/>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二、政府性基金预算财政拨款</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27</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56</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28</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57</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p>
        </w:tc>
      </w:tr>
      <w:tr>
        <w:tblPrEx>
          <w:tblCellMar>
            <w:top w:w="0" w:type="dxa"/>
            <w:left w:w="0" w:type="dxa"/>
            <w:bottom w:w="0" w:type="dxa"/>
            <w:right w:w="0" w:type="dxa"/>
          </w:tblCellMar>
        </w:tblPrEx>
        <w:trPr>
          <w:trHeight w:val="170" w:hRule="atLeast"/>
        </w:trPr>
        <w:tc>
          <w:tcPr>
            <w:tcW w:w="1017"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总计</w:t>
            </w:r>
          </w:p>
        </w:tc>
        <w:tc>
          <w:tcPr>
            <w:tcW w:w="1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29</w:t>
            </w:r>
          </w:p>
        </w:tc>
        <w:tc>
          <w:tcPr>
            <w:tcW w:w="48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1,461.65</w:t>
            </w:r>
          </w:p>
        </w:tc>
        <w:tc>
          <w:tcPr>
            <w:tcW w:w="12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总计</w:t>
            </w:r>
          </w:p>
        </w:tc>
        <w:tc>
          <w:tcPr>
            <w:tcW w:w="20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58</w:t>
            </w:r>
          </w:p>
        </w:tc>
        <w:tc>
          <w:tcPr>
            <w:tcW w:w="48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1,461.65</w:t>
            </w:r>
          </w:p>
        </w:tc>
        <w:tc>
          <w:tcPr>
            <w:tcW w:w="66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1,461.65</w:t>
            </w:r>
          </w:p>
        </w:tc>
        <w:tc>
          <w:tcPr>
            <w:tcW w:w="76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rPr>
                <w:rFonts w:ascii="Times New Roman" w:hAnsi="Times New Roman" w:cs="Times New Roman" w:eastAsiaTheme="majorEastAsia"/>
                <w:kern w:val="0"/>
                <w:sz w:val="18"/>
                <w:szCs w:val="18"/>
              </w:rPr>
            </w:pPr>
            <w:r>
              <w:rPr>
                <w:rFonts w:ascii="Times New Roman" w:hAnsi="Times New Roman" w:cs="Times New Roman" w:eastAsiaTheme="majorEastAsia"/>
                <w:kern w:val="0"/>
                <w:sz w:val="18"/>
                <w:szCs w:val="18"/>
              </w:rPr>
              <w:t>0.00</w:t>
            </w:r>
          </w:p>
        </w:tc>
      </w:tr>
      <w:tr>
        <w:tblPrEx>
          <w:tblCellMar>
            <w:top w:w="0" w:type="dxa"/>
            <w:left w:w="0" w:type="dxa"/>
            <w:bottom w:w="0" w:type="dxa"/>
            <w:right w:w="0" w:type="dxa"/>
          </w:tblCellMar>
        </w:tblPrEx>
        <w:trPr>
          <w:trHeight w:val="170" w:hRule="atLeast"/>
        </w:trPr>
        <w:tc>
          <w:tcPr>
            <w:tcW w:w="5000" w:type="pct"/>
            <w:gridSpan w:val="8"/>
            <w:tcBorders>
              <w:top w:val="nil"/>
              <w:left w:val="nil"/>
              <w:bottom w:val="nil"/>
              <w:right w:val="nil"/>
            </w:tcBorders>
            <w:shd w:val="clear" w:color="auto" w:fill="FFFFFF" w:themeFill="background1"/>
            <w:noWrap/>
            <w:tcMar>
              <w:top w:w="15" w:type="dxa"/>
              <w:left w:w="15" w:type="dxa"/>
              <w:right w:w="15" w:type="dxa"/>
            </w:tcMar>
            <w:vAlign w:val="center"/>
          </w:tcPr>
          <w:p>
            <w:pPr>
              <w:widowControl/>
              <w:spacing w:line="220" w:lineRule="exact"/>
              <w:jc w:val="left"/>
              <w:rPr>
                <w:rFonts w:ascii="Times New Roman" w:hAnsi="Times New Roman" w:cs="Times New Roman" w:eastAsiaTheme="majorEastAsia"/>
                <w:kern w:val="0"/>
                <w:sz w:val="18"/>
                <w:szCs w:val="18"/>
              </w:rPr>
            </w:pPr>
            <w:r>
              <w:rPr>
                <w:rFonts w:ascii="Times New Roman" w:cs="Times New Roman" w:hAnsiTheme="majorEastAsia" w:eastAsiaTheme="majorEastAsia"/>
                <w:kern w:val="0"/>
                <w:sz w:val="18"/>
                <w:szCs w:val="18"/>
              </w:rPr>
              <w:t>注：本表反映部门本年度一般公共预算财政拨款和政府性基金预算财政拨款的总收支和年末结转结余情况。</w:t>
            </w:r>
          </w:p>
        </w:tc>
      </w:tr>
    </w:tbl>
    <w:p>
      <w:pPr>
        <w:widowControl/>
        <w:tabs>
          <w:tab w:val="left" w:pos="431"/>
          <w:tab w:val="left" w:pos="771"/>
          <w:tab w:val="left" w:pos="1111"/>
          <w:tab w:val="left" w:pos="5545"/>
          <w:tab w:val="left" w:pos="7805"/>
          <w:tab w:val="left" w:pos="10065"/>
        </w:tabs>
        <w:ind w:left="91"/>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一般公共预算财政拨款支出决算表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right"/>
        <w:rPr>
          <w:rFonts w:ascii="Times New Roman" w:hAnsi="Times New Roman" w:cs="Times New Roman"/>
          <w:bCs/>
          <w:kern w:val="0"/>
          <w:szCs w:val="21"/>
        </w:rPr>
      </w:pPr>
      <w:r>
        <w:rPr>
          <w:rFonts w:ascii="Times New Roman" w:hAnsi="Times New Roman" w:cs="Times New Roman"/>
          <w:bCs/>
          <w:kern w:val="0"/>
          <w:szCs w:val="21"/>
        </w:rPr>
        <w:t>公开05表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4998" w:type="pct"/>
        <w:tblInd w:w="0" w:type="dxa"/>
        <w:shd w:val="clear" w:color="auto" w:fill="FFFFFF" w:themeFill="background1"/>
        <w:tblLayout w:type="autofit"/>
        <w:tblCellMar>
          <w:top w:w="0" w:type="dxa"/>
          <w:left w:w="0" w:type="dxa"/>
          <w:bottom w:w="0" w:type="dxa"/>
          <w:right w:w="0" w:type="dxa"/>
        </w:tblCellMar>
      </w:tblPr>
      <w:tblGrid>
        <w:gridCol w:w="3147"/>
        <w:gridCol w:w="4003"/>
        <w:gridCol w:w="2289"/>
        <w:gridCol w:w="2289"/>
        <w:gridCol w:w="2298"/>
      </w:tblGrid>
      <w:tr>
        <w:tblPrEx>
          <w:shd w:val="clear" w:color="auto" w:fill="FFFFFF" w:themeFill="background1"/>
          <w:tblCellMar>
            <w:top w:w="0" w:type="dxa"/>
            <w:left w:w="0" w:type="dxa"/>
            <w:bottom w:w="0" w:type="dxa"/>
            <w:right w:w="0" w:type="dxa"/>
          </w:tblCellMar>
        </w:tblPrEx>
        <w:trPr>
          <w:trHeight w:val="308" w:hRule="atLeast"/>
        </w:trPr>
        <w:tc>
          <w:tcPr>
            <w:tcW w:w="2549"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w:t>
            </w:r>
          </w:p>
        </w:tc>
        <w:tc>
          <w:tcPr>
            <w:tcW w:w="2451" w:type="pct"/>
            <w:gridSpan w:val="3"/>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本年支出</w:t>
            </w:r>
          </w:p>
        </w:tc>
      </w:tr>
      <w:tr>
        <w:tblPrEx>
          <w:tblCellMar>
            <w:top w:w="0" w:type="dxa"/>
            <w:left w:w="0" w:type="dxa"/>
            <w:bottom w:w="0" w:type="dxa"/>
            <w:right w:w="0" w:type="dxa"/>
          </w:tblCellMar>
        </w:tblPrEx>
        <w:trPr>
          <w:trHeight w:val="312" w:hRule="atLeast"/>
        </w:trPr>
        <w:tc>
          <w:tcPr>
            <w:tcW w:w="1122" w:type="pct"/>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功能分类科目编码</w:t>
            </w:r>
          </w:p>
        </w:tc>
        <w:tc>
          <w:tcPr>
            <w:tcW w:w="1427" w:type="pct"/>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科目名称</w:t>
            </w:r>
          </w:p>
        </w:tc>
        <w:tc>
          <w:tcPr>
            <w:tcW w:w="816"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小计</w:t>
            </w:r>
          </w:p>
        </w:tc>
        <w:tc>
          <w:tcPr>
            <w:tcW w:w="816"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基本支出</w:t>
            </w:r>
          </w:p>
        </w:tc>
        <w:tc>
          <w:tcPr>
            <w:tcW w:w="819"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项目支出</w:t>
            </w:r>
          </w:p>
        </w:tc>
      </w:tr>
      <w:tr>
        <w:tblPrEx>
          <w:tblCellMar>
            <w:top w:w="0" w:type="dxa"/>
            <w:left w:w="0" w:type="dxa"/>
            <w:bottom w:w="0" w:type="dxa"/>
            <w:right w:w="0" w:type="dxa"/>
          </w:tblCellMar>
        </w:tblPrEx>
        <w:trPr>
          <w:trHeight w:val="312" w:hRule="atLeast"/>
        </w:trPr>
        <w:tc>
          <w:tcPr>
            <w:tcW w:w="1122" w:type="pct"/>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1427" w:type="pct"/>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Times New Roman" w:hAnsi="Times New Roman" w:eastAsia="宋体" w:cs="Times New Roman"/>
                <w:sz w:val="22"/>
              </w:rPr>
            </w:pPr>
          </w:p>
        </w:tc>
        <w:tc>
          <w:tcPr>
            <w:tcW w:w="816"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816"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819"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r>
      <w:tr>
        <w:tblPrEx>
          <w:tblCellMar>
            <w:top w:w="0" w:type="dxa"/>
            <w:left w:w="0" w:type="dxa"/>
            <w:bottom w:w="0" w:type="dxa"/>
            <w:right w:w="0" w:type="dxa"/>
          </w:tblCellMar>
        </w:tblPrEx>
        <w:trPr>
          <w:trHeight w:val="308" w:hRule="atLeast"/>
        </w:trPr>
        <w:tc>
          <w:tcPr>
            <w:tcW w:w="2549" w:type="pct"/>
            <w:gridSpan w:val="2"/>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栏次</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w:t>
            </w:r>
          </w:p>
        </w:tc>
      </w:tr>
      <w:tr>
        <w:tblPrEx>
          <w:tblCellMar>
            <w:top w:w="0" w:type="dxa"/>
            <w:left w:w="0" w:type="dxa"/>
            <w:bottom w:w="0" w:type="dxa"/>
            <w:right w:w="0" w:type="dxa"/>
          </w:tblCellMar>
        </w:tblPrEx>
        <w:trPr>
          <w:trHeight w:val="308" w:hRule="atLeast"/>
        </w:trPr>
        <w:tc>
          <w:tcPr>
            <w:tcW w:w="2549" w:type="pct"/>
            <w:gridSpan w:val="2"/>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b/>
                <w:sz w:val="22"/>
              </w:rPr>
            </w:pPr>
            <w:r>
              <w:rPr>
                <w:rFonts w:ascii="Times New Roman" w:hAnsi="Times New Roman" w:eastAsia="宋体" w:cs="Times New Roman"/>
                <w:b/>
                <w:kern w:val="0"/>
                <w:sz w:val="22"/>
              </w:rPr>
              <w:t>1,251.75</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b/>
                <w:sz w:val="22"/>
              </w:rPr>
            </w:pPr>
            <w:r>
              <w:rPr>
                <w:rFonts w:ascii="Times New Roman" w:hAnsi="Times New Roman" w:eastAsia="宋体" w:cs="Times New Roman"/>
                <w:b/>
                <w:kern w:val="0"/>
                <w:sz w:val="22"/>
              </w:rPr>
              <w:t>541.31</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b/>
                <w:sz w:val="22"/>
              </w:rPr>
            </w:pPr>
            <w:r>
              <w:rPr>
                <w:rFonts w:ascii="Times New Roman" w:hAnsi="Times New Roman" w:eastAsia="宋体" w:cs="Times New Roman"/>
                <w:b/>
                <w:kern w:val="0"/>
                <w:sz w:val="22"/>
              </w:rPr>
              <w:t>710.44</w:t>
            </w:r>
          </w:p>
        </w:tc>
      </w:tr>
      <w:tr>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一般公共服务支出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1,209.22</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531.82</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677.41</w:t>
            </w:r>
          </w:p>
        </w:tc>
      </w:tr>
      <w:tr>
        <w:tblPrEx>
          <w:shd w:val="clear" w:color="auto" w:fill="FFFFFF" w:themeFill="background1"/>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组织事务</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1,063.22</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531.82</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531.41</w:t>
            </w:r>
          </w:p>
        </w:tc>
      </w:tr>
      <w:tr>
        <w:tblPrEx>
          <w:shd w:val="clear" w:color="auto" w:fill="FFFFFF" w:themeFill="background1"/>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2013201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行政运行</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469.83</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469.83</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2013202</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一般行政管理事务</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273.94</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273.94</w:t>
            </w:r>
          </w:p>
        </w:tc>
      </w:tr>
      <w:tr>
        <w:tblPrEx>
          <w:shd w:val="clear" w:color="auto" w:fill="FFFFFF" w:themeFill="background1"/>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2013299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其他组织事务支出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319.45</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61.99</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257.46</w:t>
            </w:r>
          </w:p>
        </w:tc>
      </w:tr>
      <w:tr>
        <w:tblPrEx>
          <w:shd w:val="clear" w:color="auto" w:fill="FFFFFF" w:themeFill="background1"/>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其他一般公共服务支出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r>
      <w:tr>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2019999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其他一般公共服务支出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146.00</w:t>
            </w:r>
          </w:p>
        </w:tc>
      </w:tr>
      <w:tr>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教育支出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r>
      <w:tr>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其他教育支出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r>
      <w:tr>
        <w:tblPrEx>
          <w:shd w:val="clear" w:color="auto" w:fill="FFFFFF" w:themeFill="background1"/>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2059999</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其他教育支出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19.39</w:t>
            </w:r>
          </w:p>
        </w:tc>
      </w:tr>
      <w:tr>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卫生健康支出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21011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行政事业单位医疗</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shd w:val="clear" w:color="auto" w:fill="FFFFFF" w:themeFill="background1"/>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2101101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行政单位医疗</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9.50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r>
      <w:tr>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农林水支出</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r>
      <w:tr>
        <w:tblPrEx>
          <w:shd w:val="clear" w:color="auto" w:fill="FFFFFF" w:themeFill="background1"/>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21301</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农业</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r>
      <w:tr>
        <w:tblPrEx>
          <w:tblCellMar>
            <w:top w:w="0" w:type="dxa"/>
            <w:left w:w="0" w:type="dxa"/>
            <w:bottom w:w="0" w:type="dxa"/>
            <w:right w:w="0" w:type="dxa"/>
          </w:tblCellMar>
        </w:tblPrEx>
        <w:trPr>
          <w:trHeight w:val="308" w:hRule="atLeast"/>
        </w:trPr>
        <w:tc>
          <w:tcPr>
            <w:tcW w:w="1122"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2130152</w:t>
            </w:r>
          </w:p>
        </w:tc>
        <w:tc>
          <w:tcPr>
            <w:tcW w:w="142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 xml:space="preserve">  对高校毕业生到基层任职补助</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c>
          <w:tcPr>
            <w:tcW w:w="8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81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13.64</w:t>
            </w:r>
          </w:p>
        </w:tc>
      </w:tr>
      <w:tr>
        <w:tblPrEx>
          <w:tblCellMar>
            <w:top w:w="0" w:type="dxa"/>
            <w:left w:w="0" w:type="dxa"/>
            <w:bottom w:w="0" w:type="dxa"/>
            <w:right w:w="0" w:type="dxa"/>
          </w:tblCellMar>
        </w:tblPrEx>
        <w:trPr>
          <w:trHeight w:val="308" w:hRule="atLeast"/>
        </w:trPr>
        <w:tc>
          <w:tcPr>
            <w:tcW w:w="5000" w:type="pct"/>
            <w:gridSpan w:val="5"/>
            <w:tcBorders>
              <w:top w:val="nil"/>
              <w:left w:val="nil"/>
              <w:bottom w:val="nil"/>
              <w:right w:val="nil"/>
            </w:tcBorders>
            <w:shd w:val="clear" w:color="auto" w:fill="FFFFFF" w:themeFill="background1"/>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注：本表反映部门本年度一般公共预算财政拨款支出情况。</w:t>
            </w:r>
          </w:p>
        </w:tc>
      </w:tr>
    </w:tbl>
    <w:p>
      <w:pPr>
        <w:widowControl/>
        <w:tabs>
          <w:tab w:val="left" w:pos="798"/>
          <w:tab w:val="left" w:pos="4250"/>
          <w:tab w:val="left" w:pos="5370"/>
          <w:tab w:val="left" w:pos="6136"/>
          <w:tab w:val="left" w:pos="8488"/>
          <w:tab w:val="left" w:pos="9708"/>
          <w:tab w:val="left" w:pos="10474"/>
          <w:tab w:val="left" w:pos="14806"/>
        </w:tabs>
        <w:ind w:left="32"/>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一般公共预算财政拨款基本支出决算表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right"/>
        <w:rPr>
          <w:rFonts w:ascii="Times New Roman" w:hAnsi="Times New Roman" w:cs="Times New Roman"/>
          <w:bCs/>
          <w:kern w:val="0"/>
          <w:szCs w:val="21"/>
        </w:rPr>
      </w:pPr>
      <w:r>
        <w:rPr>
          <w:rFonts w:ascii="Times New Roman" w:hAnsi="Times New Roman" w:cs="Times New Roman"/>
          <w:bCs/>
          <w:kern w:val="0"/>
          <w:szCs w:val="21"/>
        </w:rPr>
        <w:t>公开06表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5085" w:type="pct"/>
        <w:tblInd w:w="0" w:type="dxa"/>
        <w:shd w:val="clear" w:color="auto" w:fill="FFFFFF" w:themeFill="background1"/>
        <w:tblLayout w:type="autofit"/>
        <w:tblCellMar>
          <w:top w:w="0" w:type="dxa"/>
          <w:left w:w="0" w:type="dxa"/>
          <w:bottom w:w="0" w:type="dxa"/>
          <w:right w:w="0" w:type="dxa"/>
        </w:tblCellMar>
      </w:tblPr>
      <w:tblGrid>
        <w:gridCol w:w="1412"/>
        <w:gridCol w:w="2731"/>
        <w:gridCol w:w="1082"/>
        <w:gridCol w:w="885"/>
        <w:gridCol w:w="1830"/>
        <w:gridCol w:w="982"/>
        <w:gridCol w:w="902"/>
        <w:gridCol w:w="3451"/>
        <w:gridCol w:w="996"/>
      </w:tblGrid>
      <w:tr>
        <w:tblPrEx>
          <w:shd w:val="clear" w:color="auto" w:fill="FFFFFF" w:themeFill="background1"/>
          <w:tblCellMar>
            <w:top w:w="0" w:type="dxa"/>
            <w:left w:w="0" w:type="dxa"/>
            <w:bottom w:w="0" w:type="dxa"/>
            <w:right w:w="0" w:type="dxa"/>
          </w:tblCellMar>
        </w:tblPrEx>
        <w:trPr>
          <w:trHeight w:val="170" w:hRule="atLeast"/>
        </w:trPr>
        <w:tc>
          <w:tcPr>
            <w:tcW w:w="1831"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人员经费</w:t>
            </w:r>
          </w:p>
        </w:tc>
        <w:tc>
          <w:tcPr>
            <w:tcW w:w="3169" w:type="pct"/>
            <w:gridSpan w:val="6"/>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公用经费</w:t>
            </w:r>
          </w:p>
        </w:tc>
      </w:tr>
      <w:tr>
        <w:tblPrEx>
          <w:shd w:val="clear" w:color="auto" w:fill="FFFFFF" w:themeFill="background1"/>
          <w:tblCellMar>
            <w:top w:w="0" w:type="dxa"/>
            <w:left w:w="0" w:type="dxa"/>
            <w:bottom w:w="0" w:type="dxa"/>
            <w:right w:w="0" w:type="dxa"/>
          </w:tblCellMar>
        </w:tblPrEx>
        <w:trPr>
          <w:trHeight w:val="22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科目编码</w:t>
            </w:r>
          </w:p>
        </w:tc>
        <w:tc>
          <w:tcPr>
            <w:tcW w:w="957"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科目名称</w:t>
            </w:r>
          </w:p>
        </w:tc>
        <w:tc>
          <w:tcPr>
            <w:tcW w:w="379"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决算数</w:t>
            </w:r>
          </w:p>
        </w:tc>
        <w:tc>
          <w:tcPr>
            <w:tcW w:w="310"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科目编码</w:t>
            </w:r>
          </w:p>
        </w:tc>
        <w:tc>
          <w:tcPr>
            <w:tcW w:w="641"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科目名称</w:t>
            </w:r>
          </w:p>
        </w:tc>
        <w:tc>
          <w:tcPr>
            <w:tcW w:w="344"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决算数</w:t>
            </w:r>
          </w:p>
        </w:tc>
        <w:tc>
          <w:tcPr>
            <w:tcW w:w="316"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科目编码</w:t>
            </w:r>
          </w:p>
        </w:tc>
        <w:tc>
          <w:tcPr>
            <w:tcW w:w="1209"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科目名称</w:t>
            </w:r>
          </w:p>
        </w:tc>
        <w:tc>
          <w:tcPr>
            <w:tcW w:w="349"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决算数</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工资福利支出</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356.23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商品和服务支出</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115.43</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307</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债务利息及费用支出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30101</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基本工资</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79.42</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30201</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办公费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11.73</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30701</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国内债务付息</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30102</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津贴补贴</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51.34</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30202</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印刷费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22.72</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30702</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国外债务付息</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30103</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奖金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55.43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30203</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咨询费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资本性支出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1.86</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30106</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伙食补助费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17.94</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30204</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手续费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31001</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房屋建筑物购建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30107</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绩效工资</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14.30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30205</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水费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31002</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办公设备购置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1.86</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30108</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机关事业单位基本养老保险缴费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23.35</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30206</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电费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0.54</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31003</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专用设备购置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30109</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职业年金缴费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2.93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30207</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邮电费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31005</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基础设施建设</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30110</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职工基本医疗保险缴费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13.21</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30208</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取暖费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31006</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大型修缮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30111</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公务员医疗补助缴费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30209</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物业管理费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31007</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信息网络及软件购置更新</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30112</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其他社会保障缴费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1.06</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30211</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差旅费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4.66</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31008</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物资储备</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30113</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住房公积金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28.53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30212</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因公出国（境）费用</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31009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土地补偿</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30114</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医疗费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12.90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30213</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维修（护）费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31010</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安置补助</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30199</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其他工资福利支出</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55.83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30214</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租赁费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31011</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地上附着物和青苗补偿</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对个人和家庭的补助</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67.78</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30215</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会议费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3.77</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31012</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拆迁补偿</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30301</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离休费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30216</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培训费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0.72</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31013</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公务用车购置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30302</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退休费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30217</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公务接待费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1.53</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31019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其他交通工具购置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30303</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退职（役）费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30218</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专用材料费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0.72</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31021</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文物和陈列品购置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30304</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抚恤金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30224</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被装购置费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31022</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无形资产购置</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30305</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生活补助</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62.36</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30225</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专用燃料费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31099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其他资本性支出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30306</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救济费</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5.43</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30226</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劳务费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16.55</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其他支出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30307</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医疗费补助</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30227</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委托业务费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39906</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赠与</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30308</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助学金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30228</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工会经费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3.06</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39907</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国家赔偿费用支出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30309</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奖励金</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30229</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福利费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39908</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对民间非营利组织和群众性自治组织补贴</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30310</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个人农业生产补贴</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30231</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公务用车运行维护费</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39999</w:t>
            </w: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其他支出</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0.00</w:t>
            </w: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30399</w:t>
            </w: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其他对个人和家庭的补助</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30239</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其他交通费用</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17.98</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right"/>
              <w:rPr>
                <w:rFonts w:ascii="Times New Roman" w:hAnsi="Times New Roman" w:cs="Times New Roman"/>
                <w:sz w:val="18"/>
                <w:szCs w:val="18"/>
              </w:rPr>
            </w:pP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center"/>
              <w:rPr>
                <w:rFonts w:ascii="Times New Roman" w:hAnsi="Times New Roman" w:cs="Times New Roman"/>
                <w:sz w:val="18"/>
                <w:szCs w:val="18"/>
              </w:rPr>
            </w:pP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30240</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税金及附加费用</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0.00</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right"/>
              <w:rPr>
                <w:rFonts w:ascii="Times New Roman" w:hAnsi="Times New Roman" w:cs="Times New Roman"/>
                <w:sz w:val="18"/>
                <w:szCs w:val="18"/>
              </w:rPr>
            </w:pPr>
          </w:p>
        </w:tc>
      </w:tr>
      <w:tr>
        <w:tblPrEx>
          <w:shd w:val="clear" w:color="auto" w:fill="FFFFFF" w:themeFill="background1"/>
          <w:tblCellMar>
            <w:top w:w="0" w:type="dxa"/>
            <w:left w:w="0" w:type="dxa"/>
            <w:bottom w:w="0" w:type="dxa"/>
            <w:right w:w="0" w:type="dxa"/>
          </w:tblCellMar>
        </w:tblPrEx>
        <w:trPr>
          <w:trHeight w:val="170" w:hRule="atLeast"/>
        </w:trPr>
        <w:tc>
          <w:tcPr>
            <w:tcW w:w="495"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957"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center"/>
              <w:rPr>
                <w:rFonts w:ascii="Times New Roman" w:hAnsi="Times New Roman" w:cs="Times New Roman"/>
                <w:sz w:val="18"/>
                <w:szCs w:val="18"/>
              </w:rPr>
            </w:pPr>
          </w:p>
        </w:tc>
        <w:tc>
          <w:tcPr>
            <w:tcW w:w="3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30299</w:t>
            </w:r>
          </w:p>
        </w:tc>
        <w:tc>
          <w:tcPr>
            <w:tcW w:w="64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hAnsi="Times New Roman" w:cs="Times New Roman"/>
                <w:kern w:val="0"/>
                <w:sz w:val="18"/>
                <w:szCs w:val="18"/>
              </w:rPr>
              <w:t xml:space="preserve">  </w:t>
            </w:r>
            <w:r>
              <w:rPr>
                <w:rFonts w:ascii="Times New Roman" w:cs="Times New Roman" w:hAnsiTheme="minorEastAsia"/>
                <w:kern w:val="0"/>
                <w:sz w:val="18"/>
                <w:szCs w:val="18"/>
              </w:rPr>
              <w:t>其他商品和服务支出</w:t>
            </w:r>
          </w:p>
        </w:tc>
        <w:tc>
          <w:tcPr>
            <w:tcW w:w="34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31.45</w:t>
            </w:r>
          </w:p>
        </w:tc>
        <w:tc>
          <w:tcPr>
            <w:tcW w:w="316"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120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left"/>
              <w:rPr>
                <w:rFonts w:ascii="Times New Roman" w:hAnsi="Times New Roman" w:cs="Times New Roman"/>
                <w:sz w:val="18"/>
                <w:szCs w:val="18"/>
              </w:rPr>
            </w:pP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spacing w:line="220" w:lineRule="exact"/>
              <w:jc w:val="right"/>
              <w:rPr>
                <w:rFonts w:ascii="Times New Roman" w:hAnsi="Times New Roman" w:cs="Times New Roman"/>
                <w:sz w:val="18"/>
                <w:szCs w:val="18"/>
              </w:rPr>
            </w:pPr>
          </w:p>
        </w:tc>
      </w:tr>
      <w:tr>
        <w:tblPrEx>
          <w:shd w:val="clear" w:color="auto" w:fill="FFFFFF" w:themeFill="background1"/>
          <w:tblCellMar>
            <w:top w:w="0" w:type="dxa"/>
            <w:left w:w="0" w:type="dxa"/>
            <w:bottom w:w="0" w:type="dxa"/>
            <w:right w:w="0" w:type="dxa"/>
          </w:tblCellMar>
        </w:tblPrEx>
        <w:trPr>
          <w:trHeight w:val="170" w:hRule="atLeast"/>
        </w:trPr>
        <w:tc>
          <w:tcPr>
            <w:tcW w:w="1452" w:type="pct"/>
            <w:gridSpan w:val="2"/>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人员经费合计</w:t>
            </w:r>
          </w:p>
        </w:tc>
        <w:tc>
          <w:tcPr>
            <w:tcW w:w="37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424.02</w:t>
            </w:r>
          </w:p>
        </w:tc>
        <w:tc>
          <w:tcPr>
            <w:tcW w:w="2820" w:type="pct"/>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center"/>
              <w:textAlignment w:val="center"/>
              <w:rPr>
                <w:rFonts w:ascii="Times New Roman" w:hAnsi="Times New Roman" w:cs="Times New Roman"/>
                <w:sz w:val="18"/>
                <w:szCs w:val="18"/>
              </w:rPr>
            </w:pPr>
            <w:r>
              <w:rPr>
                <w:rFonts w:ascii="Times New Roman" w:cs="Times New Roman" w:hAnsiTheme="minorEastAsia"/>
                <w:kern w:val="0"/>
                <w:sz w:val="18"/>
                <w:szCs w:val="18"/>
              </w:rPr>
              <w:t>公用经费合计</w:t>
            </w:r>
          </w:p>
        </w:tc>
        <w:tc>
          <w:tcPr>
            <w:tcW w:w="349"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spacing w:line="220" w:lineRule="exact"/>
              <w:jc w:val="right"/>
              <w:textAlignment w:val="center"/>
              <w:rPr>
                <w:rFonts w:ascii="Times New Roman" w:hAnsi="Times New Roman" w:cs="Times New Roman"/>
                <w:sz w:val="18"/>
                <w:szCs w:val="18"/>
              </w:rPr>
            </w:pPr>
            <w:r>
              <w:rPr>
                <w:rFonts w:ascii="Times New Roman" w:hAnsi="Times New Roman" w:cs="Times New Roman"/>
                <w:kern w:val="0"/>
                <w:sz w:val="18"/>
                <w:szCs w:val="18"/>
              </w:rPr>
              <w:t>117.29</w:t>
            </w:r>
          </w:p>
        </w:tc>
      </w:tr>
      <w:tr>
        <w:tblPrEx>
          <w:shd w:val="clear" w:color="auto" w:fill="FFFFFF" w:themeFill="background1"/>
          <w:tblCellMar>
            <w:top w:w="0" w:type="dxa"/>
            <w:left w:w="0" w:type="dxa"/>
            <w:bottom w:w="0" w:type="dxa"/>
            <w:right w:w="0" w:type="dxa"/>
          </w:tblCellMar>
        </w:tblPrEx>
        <w:trPr>
          <w:trHeight w:val="170" w:hRule="atLeast"/>
        </w:trPr>
        <w:tc>
          <w:tcPr>
            <w:tcW w:w="5000" w:type="pct"/>
            <w:gridSpan w:val="9"/>
            <w:tcBorders>
              <w:top w:val="nil"/>
              <w:left w:val="nil"/>
              <w:bottom w:val="nil"/>
              <w:right w:val="nil"/>
            </w:tcBorders>
            <w:shd w:val="clear" w:color="auto" w:fill="FFFFFF" w:themeFill="background1"/>
            <w:noWrap/>
            <w:tcMar>
              <w:top w:w="15" w:type="dxa"/>
              <w:left w:w="15" w:type="dxa"/>
              <w:right w:w="15" w:type="dxa"/>
            </w:tcMar>
            <w:vAlign w:val="center"/>
          </w:tcPr>
          <w:p>
            <w:pPr>
              <w:widowControl/>
              <w:spacing w:line="220" w:lineRule="exact"/>
              <w:jc w:val="left"/>
              <w:textAlignment w:val="center"/>
              <w:rPr>
                <w:rFonts w:ascii="Times New Roman" w:hAnsi="Times New Roman" w:cs="Times New Roman"/>
                <w:sz w:val="18"/>
                <w:szCs w:val="18"/>
              </w:rPr>
            </w:pPr>
            <w:r>
              <w:rPr>
                <w:rFonts w:ascii="Times New Roman" w:cs="Times New Roman" w:hAnsiTheme="minorEastAsia"/>
                <w:kern w:val="0"/>
                <w:sz w:val="18"/>
                <w:szCs w:val="18"/>
              </w:rPr>
              <w:t>注：本表反映部门本年度一般公共预算财政拨款基本支出明细情况。</w:t>
            </w:r>
          </w:p>
        </w:tc>
      </w:tr>
    </w:tbl>
    <w:p>
      <w:pPr>
        <w:widowControl/>
        <w:tabs>
          <w:tab w:val="left" w:pos="1191"/>
          <w:tab w:val="left" w:pos="2311"/>
          <w:tab w:val="left" w:pos="3371"/>
          <w:tab w:val="left" w:pos="4591"/>
          <w:tab w:val="left" w:pos="5731"/>
          <w:tab w:val="left" w:pos="6827"/>
          <w:tab w:val="left" w:pos="7667"/>
          <w:tab w:val="left" w:pos="8627"/>
          <w:tab w:val="left" w:pos="9507"/>
          <w:tab w:val="left" w:pos="10547"/>
          <w:tab w:val="left" w:pos="11447"/>
        </w:tabs>
        <w:ind w:left="91"/>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一般公共预算财政拨款“三公”经费支出决算表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right"/>
        <w:rPr>
          <w:rFonts w:ascii="Times New Roman" w:hAnsi="Times New Roman" w:cs="Times New Roman"/>
          <w:bCs/>
          <w:kern w:val="0"/>
          <w:szCs w:val="21"/>
        </w:rPr>
      </w:pPr>
      <w:r>
        <w:rPr>
          <w:rFonts w:ascii="Times New Roman" w:hAnsi="Times New Roman" w:cs="Times New Roman"/>
          <w:bCs/>
          <w:kern w:val="0"/>
          <w:szCs w:val="21"/>
        </w:rPr>
        <w:t>公开07表</w:t>
      </w:r>
    </w:p>
    <w:p>
      <w:pPr>
        <w:widowControl/>
        <w:tabs>
          <w:tab w:val="left" w:pos="372"/>
          <w:tab w:val="left" w:pos="712"/>
          <w:tab w:val="left" w:pos="1052"/>
          <w:tab w:val="left" w:pos="5604"/>
          <w:tab w:val="left" w:pos="6884"/>
          <w:tab w:val="left" w:pos="8124"/>
          <w:tab w:val="left" w:pos="9344"/>
          <w:tab w:val="left" w:pos="10584"/>
          <w:tab w:val="left" w:pos="11744"/>
          <w:tab w:val="left" w:pos="13044"/>
        </w:tabs>
        <w:ind w:left="32"/>
        <w:jc w:val="left"/>
        <w:rPr>
          <w:rFonts w:ascii="Times New Roman" w:hAnsi="Times New Roman" w:eastAsia="宋体" w:cs="Times New Roman"/>
          <w:kern w:val="0"/>
          <w:sz w:val="20"/>
          <w:szCs w:val="20"/>
        </w:rPr>
      </w:pPr>
      <w:r>
        <w:rPr>
          <w:rFonts w:ascii="Times New Roman" w:hAnsi="Times New Roman" w:cs="Times New Roman"/>
          <w:bCs/>
          <w:kern w:val="0"/>
          <w:szCs w:val="21"/>
        </w:rPr>
        <w:t>部门：中共醴陵市委组织部                                                                                                金额单位：万元</w:t>
      </w:r>
    </w:p>
    <w:tbl>
      <w:tblPr>
        <w:tblStyle w:val="6"/>
        <w:tblW w:w="4997" w:type="pct"/>
        <w:tblInd w:w="0" w:type="dxa"/>
        <w:shd w:val="clear" w:color="auto" w:fill="FFFFFF" w:themeFill="background1"/>
        <w:tblLayout w:type="autofit"/>
        <w:tblCellMar>
          <w:top w:w="0" w:type="dxa"/>
          <w:left w:w="0" w:type="dxa"/>
          <w:bottom w:w="0" w:type="dxa"/>
          <w:right w:w="0" w:type="dxa"/>
        </w:tblCellMar>
      </w:tblPr>
      <w:tblGrid>
        <w:gridCol w:w="2429"/>
        <w:gridCol w:w="1015"/>
        <w:gridCol w:w="1015"/>
        <w:gridCol w:w="1015"/>
        <w:gridCol w:w="1018"/>
        <w:gridCol w:w="1024"/>
        <w:gridCol w:w="1015"/>
        <w:gridCol w:w="1015"/>
        <w:gridCol w:w="1015"/>
        <w:gridCol w:w="1015"/>
        <w:gridCol w:w="1019"/>
        <w:gridCol w:w="1429"/>
      </w:tblGrid>
      <w:tr>
        <w:tblPrEx>
          <w:tblCellMar>
            <w:top w:w="0" w:type="dxa"/>
            <w:left w:w="0" w:type="dxa"/>
            <w:bottom w:w="0" w:type="dxa"/>
            <w:right w:w="0" w:type="dxa"/>
          </w:tblCellMar>
        </w:tblPrEx>
        <w:trPr>
          <w:trHeight w:val="308" w:hRule="atLeast"/>
        </w:trPr>
        <w:tc>
          <w:tcPr>
            <w:tcW w:w="2680" w:type="pct"/>
            <w:gridSpan w:val="6"/>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预算数</w:t>
            </w:r>
          </w:p>
        </w:tc>
        <w:tc>
          <w:tcPr>
            <w:tcW w:w="2320" w:type="pct"/>
            <w:gridSpan w:val="6"/>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决算数</w:t>
            </w:r>
          </w:p>
        </w:tc>
      </w:tr>
      <w:tr>
        <w:tblPrEx>
          <w:tblCellMar>
            <w:top w:w="0" w:type="dxa"/>
            <w:left w:w="0" w:type="dxa"/>
            <w:bottom w:w="0" w:type="dxa"/>
            <w:right w:w="0" w:type="dxa"/>
          </w:tblCellMar>
        </w:tblPrEx>
        <w:trPr>
          <w:trHeight w:val="308" w:hRule="atLeast"/>
        </w:trPr>
        <w:tc>
          <w:tcPr>
            <w:tcW w:w="866" w:type="pct"/>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362"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因公出国（境）费</w:t>
            </w:r>
          </w:p>
        </w:tc>
        <w:tc>
          <w:tcPr>
            <w:tcW w:w="1087" w:type="pct"/>
            <w:gridSpan w:val="3"/>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公务用车购置及运行费</w:t>
            </w:r>
          </w:p>
        </w:tc>
        <w:tc>
          <w:tcPr>
            <w:tcW w:w="364"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公务接待费</w:t>
            </w:r>
          </w:p>
        </w:tc>
        <w:tc>
          <w:tcPr>
            <w:tcW w:w="362"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362"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因公出国（境）费</w:t>
            </w:r>
          </w:p>
        </w:tc>
        <w:tc>
          <w:tcPr>
            <w:tcW w:w="1087" w:type="pct"/>
            <w:gridSpan w:val="3"/>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公务用车购置及运行费</w:t>
            </w:r>
          </w:p>
        </w:tc>
        <w:tc>
          <w:tcPr>
            <w:tcW w:w="510" w:type="pct"/>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公务接待费</w:t>
            </w:r>
          </w:p>
        </w:tc>
      </w:tr>
      <w:tr>
        <w:tblPrEx>
          <w:tblCellMar>
            <w:top w:w="0" w:type="dxa"/>
            <w:left w:w="0" w:type="dxa"/>
            <w:bottom w:w="0" w:type="dxa"/>
            <w:right w:w="0" w:type="dxa"/>
          </w:tblCellMar>
        </w:tblPrEx>
        <w:trPr>
          <w:trHeight w:val="615" w:hRule="atLeast"/>
        </w:trPr>
        <w:tc>
          <w:tcPr>
            <w:tcW w:w="866" w:type="pct"/>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362"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小计</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公务用车购置费</w:t>
            </w:r>
          </w:p>
        </w:tc>
        <w:tc>
          <w:tcPr>
            <w:tcW w:w="36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公务用车运行费</w:t>
            </w:r>
          </w:p>
        </w:tc>
        <w:tc>
          <w:tcPr>
            <w:tcW w:w="364"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362"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362"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小计</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公务用车购置费</w:t>
            </w:r>
          </w:p>
        </w:tc>
        <w:tc>
          <w:tcPr>
            <w:tcW w:w="36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公务用车运行费</w:t>
            </w:r>
          </w:p>
        </w:tc>
        <w:tc>
          <w:tcPr>
            <w:tcW w:w="510" w:type="pct"/>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r>
      <w:tr>
        <w:tblPrEx>
          <w:tblCellMar>
            <w:top w:w="0" w:type="dxa"/>
            <w:left w:w="0" w:type="dxa"/>
            <w:bottom w:w="0" w:type="dxa"/>
            <w:right w:w="0" w:type="dxa"/>
          </w:tblCellMar>
        </w:tblPrEx>
        <w:trPr>
          <w:trHeight w:val="308" w:hRule="atLeast"/>
        </w:trPr>
        <w:tc>
          <w:tcPr>
            <w:tcW w:w="866" w:type="pc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w:t>
            </w:r>
          </w:p>
        </w:tc>
        <w:tc>
          <w:tcPr>
            <w:tcW w:w="36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w:t>
            </w:r>
          </w:p>
        </w:tc>
        <w:tc>
          <w:tcPr>
            <w:tcW w:w="364"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7</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8</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9</w:t>
            </w:r>
          </w:p>
        </w:tc>
        <w:tc>
          <w:tcPr>
            <w:tcW w:w="362"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10</w:t>
            </w:r>
          </w:p>
        </w:tc>
        <w:tc>
          <w:tcPr>
            <w:tcW w:w="363"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11</w:t>
            </w:r>
          </w:p>
        </w:tc>
        <w:tc>
          <w:tcPr>
            <w:tcW w:w="510" w:type="pc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12</w:t>
            </w:r>
          </w:p>
        </w:tc>
      </w:tr>
      <w:tr>
        <w:tblPrEx>
          <w:tblCellMar>
            <w:top w:w="0" w:type="dxa"/>
            <w:left w:w="0" w:type="dxa"/>
            <w:bottom w:w="0" w:type="dxa"/>
            <w:right w:w="0" w:type="dxa"/>
          </w:tblCellMar>
        </w:tblPrEx>
        <w:trPr>
          <w:trHeight w:val="308" w:hRule="atLeast"/>
        </w:trPr>
        <w:tc>
          <w:tcPr>
            <w:tcW w:w="866" w:type="pct"/>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12.30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7.30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4"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5.00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8.89</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7.30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2"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363"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0.00</w:t>
            </w:r>
          </w:p>
        </w:tc>
        <w:tc>
          <w:tcPr>
            <w:tcW w:w="510"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right"/>
              <w:textAlignment w:val="center"/>
              <w:rPr>
                <w:rFonts w:ascii="Times New Roman" w:hAnsi="Times New Roman" w:eastAsia="宋体" w:cs="Times New Roman"/>
                <w:sz w:val="22"/>
              </w:rPr>
            </w:pPr>
            <w:r>
              <w:rPr>
                <w:rFonts w:ascii="Times New Roman" w:hAnsi="Times New Roman" w:eastAsia="宋体" w:cs="Times New Roman"/>
                <w:kern w:val="0"/>
                <w:sz w:val="22"/>
              </w:rPr>
              <w:t>1.59</w:t>
            </w:r>
          </w:p>
        </w:tc>
      </w:tr>
      <w:tr>
        <w:tblPrEx>
          <w:shd w:val="clear" w:color="auto" w:fill="FFFFFF" w:themeFill="background1"/>
          <w:tblCellMar>
            <w:top w:w="0" w:type="dxa"/>
            <w:left w:w="0" w:type="dxa"/>
            <w:bottom w:w="0" w:type="dxa"/>
            <w:right w:w="0" w:type="dxa"/>
          </w:tblCellMar>
        </w:tblPrEx>
        <w:trPr>
          <w:trHeight w:val="615" w:hRule="atLeast"/>
        </w:trPr>
        <w:tc>
          <w:tcPr>
            <w:tcW w:w="5000" w:type="pct"/>
            <w:gridSpan w:val="12"/>
            <w:tcBorders>
              <w:top w:val="nil"/>
              <w:left w:val="nil"/>
              <w:bottom w:val="nil"/>
              <w:right w:val="nil"/>
            </w:tcBorders>
            <w:shd w:val="clear" w:color="auto" w:fill="FFFFFF" w:themeFill="background1"/>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pStyle w:val="10"/>
        <w:jc w:val="center"/>
        <w:rPr>
          <w:rFonts w:ascii="Times New Roman" w:hAnsi="Times New Roman" w:cs="Times New Roman"/>
          <w:color w:val="auto"/>
          <w:sz w:val="72"/>
          <w:szCs w:val="72"/>
        </w:rPr>
      </w:pPr>
    </w:p>
    <w:p>
      <w:pPr>
        <w:pStyle w:val="10"/>
        <w:jc w:val="center"/>
        <w:rPr>
          <w:rFonts w:ascii="Times New Roman" w:hAnsi="Times New Roman" w:cs="Times New Roman"/>
          <w:color w:val="auto"/>
          <w:sz w:val="72"/>
          <w:szCs w:val="72"/>
        </w:rPr>
      </w:pPr>
    </w:p>
    <w:p>
      <w:pPr>
        <w:pStyle w:val="10"/>
        <w:jc w:val="center"/>
        <w:rPr>
          <w:rFonts w:ascii="Times New Roman" w:hAnsi="Times New Roman" w:cs="Times New Roman"/>
          <w:color w:val="auto"/>
          <w:sz w:val="72"/>
          <w:szCs w:val="72"/>
        </w:rPr>
      </w:pPr>
    </w:p>
    <w:p>
      <w:pPr>
        <w:pStyle w:val="10"/>
        <w:jc w:val="center"/>
        <w:rPr>
          <w:rFonts w:ascii="Times New Roman" w:hAnsi="Times New Roman" w:cs="Times New Roman"/>
          <w:color w:val="auto"/>
          <w:sz w:val="72"/>
          <w:szCs w:val="72"/>
        </w:rPr>
      </w:pPr>
    </w:p>
    <w:p>
      <w:pPr>
        <w:pStyle w:val="10"/>
        <w:jc w:val="center"/>
        <w:rPr>
          <w:rFonts w:ascii="Times New Roman" w:hAnsi="Times New Roman" w:cs="Times New Roman"/>
          <w:color w:val="auto"/>
          <w:sz w:val="72"/>
          <w:szCs w:val="72"/>
        </w:rPr>
      </w:pPr>
    </w:p>
    <w:p>
      <w:pPr>
        <w:widowControl/>
        <w:tabs>
          <w:tab w:val="left" w:pos="372"/>
          <w:tab w:val="left" w:pos="712"/>
          <w:tab w:val="left" w:pos="1052"/>
          <w:tab w:val="left" w:pos="2972"/>
          <w:tab w:val="left" w:pos="4372"/>
          <w:tab w:val="left" w:pos="5792"/>
          <w:tab w:val="left" w:pos="7152"/>
          <w:tab w:val="left" w:pos="8512"/>
          <w:tab w:val="left" w:pos="10192"/>
        </w:tabs>
        <w:ind w:left="32"/>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政府性基金预算财政拨款收入支出决算表</w:t>
      </w:r>
    </w:p>
    <w:tbl>
      <w:tblPr>
        <w:tblStyle w:val="6"/>
        <w:tblW w:w="4997" w:type="pct"/>
        <w:tblInd w:w="0" w:type="dxa"/>
        <w:tblLayout w:type="autofit"/>
        <w:tblCellMar>
          <w:top w:w="0" w:type="dxa"/>
          <w:left w:w="0" w:type="dxa"/>
          <w:bottom w:w="0" w:type="dxa"/>
          <w:right w:w="0" w:type="dxa"/>
        </w:tblCellMar>
      </w:tblPr>
      <w:tblGrid>
        <w:gridCol w:w="2430"/>
        <w:gridCol w:w="208"/>
        <w:gridCol w:w="211"/>
        <w:gridCol w:w="3162"/>
        <w:gridCol w:w="1316"/>
        <w:gridCol w:w="1316"/>
        <w:gridCol w:w="1316"/>
        <w:gridCol w:w="1317"/>
        <w:gridCol w:w="1317"/>
        <w:gridCol w:w="1431"/>
      </w:tblGrid>
      <w:tr>
        <w:tblPrEx>
          <w:tblCellMar>
            <w:top w:w="0" w:type="dxa"/>
            <w:left w:w="0" w:type="dxa"/>
            <w:bottom w:w="0" w:type="dxa"/>
            <w:right w:w="0" w:type="dxa"/>
          </w:tblCellMar>
        </w:tblPrEx>
        <w:trPr>
          <w:trHeight w:val="255" w:hRule="atLeast"/>
        </w:trPr>
        <w:tc>
          <w:tcPr>
            <w:tcW w:w="710" w:type="pct"/>
            <w:tcBorders>
              <w:top w:val="nil"/>
              <w:left w:val="nil"/>
              <w:bottom w:val="nil"/>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96" w:type="pct"/>
            <w:tcBorders>
              <w:top w:val="nil"/>
              <w:left w:val="nil"/>
              <w:bottom w:val="nil"/>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96" w:type="pct"/>
            <w:tcBorders>
              <w:top w:val="nil"/>
              <w:left w:val="nil"/>
              <w:bottom w:val="nil"/>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1149" w:type="pct"/>
            <w:tcBorders>
              <w:top w:val="nil"/>
              <w:left w:val="nil"/>
              <w:bottom w:val="nil"/>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Times New Roman" w:hAnsi="Times New Roman" w:eastAsia="宋体" w:cs="Times New Roman"/>
                <w:sz w:val="20"/>
                <w:szCs w:val="20"/>
              </w:rPr>
            </w:pPr>
            <w:r>
              <w:rPr>
                <w:rFonts w:ascii="Times New Roman" w:hAnsi="Times New Roman" w:eastAsia="宋体" w:cs="Times New Roman"/>
                <w:kern w:val="0"/>
                <w:sz w:val="20"/>
                <w:szCs w:val="20"/>
              </w:rPr>
              <w:t>公开08表</w:t>
            </w:r>
          </w:p>
        </w:tc>
      </w:tr>
      <w:tr>
        <w:tblPrEx>
          <w:tblCellMar>
            <w:top w:w="0" w:type="dxa"/>
            <w:left w:w="0" w:type="dxa"/>
            <w:bottom w:w="0" w:type="dxa"/>
            <w:right w:w="0" w:type="dxa"/>
          </w:tblCellMar>
        </w:tblPrEx>
        <w:trPr>
          <w:trHeight w:val="255" w:hRule="atLeast"/>
        </w:trPr>
        <w:tc>
          <w:tcPr>
            <w:tcW w:w="710" w:type="pct"/>
            <w:tcBorders>
              <w:top w:val="nil"/>
              <w:left w:val="nil"/>
              <w:bottom w:val="single" w:color="000000" w:sz="4" w:space="0"/>
              <w:right w:val="nil"/>
            </w:tcBorders>
            <w:shd w:val="clear" w:color="auto" w:fill="auto"/>
            <w:noWrap/>
            <w:tcMar>
              <w:top w:w="15" w:type="dxa"/>
              <w:left w:w="15" w:type="dxa"/>
              <w:right w:w="15" w:type="dxa"/>
            </w:tcMar>
            <w:vAlign w:val="bottom"/>
          </w:tcPr>
          <w:p>
            <w:pPr>
              <w:widowControl/>
              <w:jc w:val="left"/>
              <w:textAlignment w:val="bottom"/>
              <w:rPr>
                <w:rFonts w:ascii="Times New Roman" w:hAnsi="Times New Roman" w:eastAsia="宋体" w:cs="Times New Roman"/>
                <w:sz w:val="20"/>
                <w:szCs w:val="20"/>
              </w:rPr>
            </w:pPr>
            <w:r>
              <w:rPr>
                <w:rFonts w:ascii="Times New Roman" w:hAnsi="Times New Roman" w:eastAsia="宋体" w:cs="Times New Roman"/>
                <w:kern w:val="0"/>
                <w:sz w:val="20"/>
                <w:szCs w:val="20"/>
              </w:rPr>
              <w:t>部门：中共醴陵市委组织部</w:t>
            </w:r>
          </w:p>
        </w:tc>
        <w:tc>
          <w:tcPr>
            <w:tcW w:w="96" w:type="pct"/>
            <w:tcBorders>
              <w:top w:val="nil"/>
              <w:left w:val="nil"/>
              <w:bottom w:val="single" w:color="000000" w:sz="4" w:space="0"/>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96" w:type="pct"/>
            <w:tcBorders>
              <w:top w:val="nil"/>
              <w:left w:val="nil"/>
              <w:bottom w:val="single" w:color="000000" w:sz="4" w:space="0"/>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1149" w:type="pct"/>
            <w:tcBorders>
              <w:top w:val="nil"/>
              <w:left w:val="nil"/>
              <w:bottom w:val="single" w:color="000000" w:sz="4" w:space="0"/>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pPr>
              <w:rPr>
                <w:rFonts w:ascii="Times New Roman" w:hAnsi="Times New Roman" w:cs="Times New Roman"/>
                <w:sz w:val="20"/>
                <w:szCs w:val="20"/>
              </w:rPr>
            </w:pPr>
          </w:p>
        </w:tc>
        <w:tc>
          <w:tcPr>
            <w:tcW w:w="491" w:type="pct"/>
            <w:tcBorders>
              <w:top w:val="nil"/>
              <w:left w:val="nil"/>
              <w:bottom w:val="single" w:color="000000" w:sz="4" w:space="0"/>
              <w:right w:val="nil"/>
            </w:tcBorders>
            <w:shd w:val="clear" w:color="auto" w:fill="auto"/>
            <w:noWrap/>
            <w:tcMar>
              <w:top w:w="15" w:type="dxa"/>
              <w:left w:w="15" w:type="dxa"/>
              <w:right w:w="15" w:type="dxa"/>
            </w:tcMar>
            <w:vAlign w:val="bottom"/>
          </w:tcPr>
          <w:p>
            <w:pPr>
              <w:widowControl/>
              <w:jc w:val="right"/>
              <w:textAlignment w:val="bottom"/>
              <w:rPr>
                <w:rFonts w:ascii="Times New Roman" w:hAnsi="Times New Roman" w:eastAsia="宋体" w:cs="Times New Roman"/>
                <w:sz w:val="20"/>
                <w:szCs w:val="20"/>
              </w:rPr>
            </w:pPr>
            <w:r>
              <w:rPr>
                <w:rFonts w:ascii="Times New Roman" w:hAnsi="Times New Roman" w:eastAsia="宋体" w:cs="Times New Roman"/>
                <w:kern w:val="0"/>
                <w:sz w:val="20"/>
                <w:szCs w:val="20"/>
              </w:rPr>
              <w:t>金额单位：万元</w:t>
            </w:r>
          </w:p>
        </w:tc>
      </w:tr>
      <w:tr>
        <w:tblPrEx>
          <w:tblCellMar>
            <w:top w:w="0" w:type="dxa"/>
            <w:left w:w="0" w:type="dxa"/>
            <w:bottom w:w="0" w:type="dxa"/>
            <w:right w:w="0" w:type="dxa"/>
          </w:tblCellMar>
        </w:tblPrEx>
        <w:trPr>
          <w:trHeight w:val="308" w:hRule="atLeast"/>
        </w:trPr>
        <w:tc>
          <w:tcPr>
            <w:tcW w:w="2052" w:type="pct"/>
            <w:gridSpan w:val="4"/>
            <w:tcBorders>
              <w:top w:val="single" w:color="000000" w:sz="4" w:space="0"/>
              <w:left w:val="single" w:color="000000" w:sz="4" w:space="0"/>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w:t>
            </w:r>
          </w:p>
        </w:tc>
        <w:tc>
          <w:tcPr>
            <w:tcW w:w="491" w:type="pct"/>
            <w:vMerge w:val="restart"/>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年初结转和结余</w:t>
            </w:r>
          </w:p>
        </w:tc>
        <w:tc>
          <w:tcPr>
            <w:tcW w:w="491" w:type="pct"/>
            <w:vMerge w:val="restart"/>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本年收入</w:t>
            </w:r>
          </w:p>
        </w:tc>
        <w:tc>
          <w:tcPr>
            <w:tcW w:w="1473" w:type="pct"/>
            <w:gridSpan w:val="3"/>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本年支出</w:t>
            </w:r>
          </w:p>
        </w:tc>
        <w:tc>
          <w:tcPr>
            <w:tcW w:w="491" w:type="pct"/>
            <w:vMerge w:val="restart"/>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年末结转和结余</w:t>
            </w:r>
          </w:p>
        </w:tc>
      </w:tr>
      <w:tr>
        <w:tblPrEx>
          <w:tblCellMar>
            <w:top w:w="0" w:type="dxa"/>
            <w:left w:w="0" w:type="dxa"/>
            <w:bottom w:w="0" w:type="dxa"/>
            <w:right w:w="0" w:type="dxa"/>
          </w:tblCellMar>
        </w:tblPrEx>
        <w:trPr>
          <w:trHeight w:val="312" w:hRule="atLeast"/>
        </w:trPr>
        <w:tc>
          <w:tcPr>
            <w:tcW w:w="903" w:type="pct"/>
            <w:gridSpan w:val="3"/>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功能分类科目编码</w:t>
            </w:r>
          </w:p>
        </w:tc>
        <w:tc>
          <w:tcPr>
            <w:tcW w:w="1149" w:type="pct"/>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科目名称</w:t>
            </w:r>
          </w:p>
        </w:tc>
        <w:tc>
          <w:tcPr>
            <w:tcW w:w="491" w:type="pct"/>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小计</w:t>
            </w:r>
          </w:p>
        </w:tc>
        <w:tc>
          <w:tcPr>
            <w:tcW w:w="491" w:type="pct"/>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基本支出</w:t>
            </w:r>
          </w:p>
        </w:tc>
        <w:tc>
          <w:tcPr>
            <w:tcW w:w="491" w:type="pct"/>
            <w:vMerge w:val="restart"/>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项目支出</w:t>
            </w: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r>
      <w:tr>
        <w:tblPrEx>
          <w:tblCellMar>
            <w:top w:w="0" w:type="dxa"/>
            <w:left w:w="0" w:type="dxa"/>
            <w:bottom w:w="0" w:type="dxa"/>
            <w:right w:w="0" w:type="dxa"/>
          </w:tblCellMar>
        </w:tblPrEx>
        <w:trPr>
          <w:trHeight w:val="312" w:hRule="atLeast"/>
        </w:trPr>
        <w:tc>
          <w:tcPr>
            <w:tcW w:w="903" w:type="pct"/>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1149" w:type="pct"/>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r>
      <w:tr>
        <w:tblPrEx>
          <w:tblCellMar>
            <w:top w:w="0" w:type="dxa"/>
            <w:left w:w="0" w:type="dxa"/>
            <w:bottom w:w="0" w:type="dxa"/>
            <w:right w:w="0" w:type="dxa"/>
          </w:tblCellMar>
        </w:tblPrEx>
        <w:trPr>
          <w:trHeight w:val="312" w:hRule="atLeast"/>
        </w:trPr>
        <w:tc>
          <w:tcPr>
            <w:tcW w:w="903" w:type="pct"/>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1149" w:type="pct"/>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nil"/>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c>
          <w:tcPr>
            <w:tcW w:w="491" w:type="pct"/>
            <w:vMerge w:val="continue"/>
            <w:tcBorders>
              <w:top w:val="single" w:color="000000" w:sz="4" w:space="0"/>
              <w:left w:val="nil"/>
              <w:bottom w:val="single" w:color="000000" w:sz="4" w:space="0"/>
              <w:right w:val="single" w:color="000000" w:sz="4" w:space="0"/>
            </w:tcBorders>
            <w:shd w:val="clear" w:color="FFFFFF" w:fill="FFFFFF" w:themeFill="background1"/>
            <w:tcMar>
              <w:top w:w="15" w:type="dxa"/>
              <w:left w:w="15" w:type="dxa"/>
              <w:right w:w="15" w:type="dxa"/>
            </w:tcMar>
            <w:vAlign w:val="center"/>
          </w:tcPr>
          <w:p>
            <w:pPr>
              <w:jc w:val="center"/>
              <w:rPr>
                <w:rFonts w:ascii="Times New Roman" w:hAnsi="Times New Roman" w:eastAsia="宋体" w:cs="Times New Roman"/>
                <w:sz w:val="22"/>
              </w:rPr>
            </w:pPr>
          </w:p>
        </w:tc>
      </w:tr>
      <w:tr>
        <w:tblPrEx>
          <w:tblCellMar>
            <w:top w:w="0" w:type="dxa"/>
            <w:left w:w="0" w:type="dxa"/>
            <w:bottom w:w="0" w:type="dxa"/>
            <w:right w:w="0" w:type="dxa"/>
          </w:tblCellMar>
        </w:tblPrEx>
        <w:trPr>
          <w:trHeight w:val="308" w:hRule="atLeast"/>
        </w:trPr>
        <w:tc>
          <w:tcPr>
            <w:tcW w:w="2052" w:type="pct"/>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栏次</w:t>
            </w:r>
          </w:p>
        </w:tc>
        <w:tc>
          <w:tcPr>
            <w:tcW w:w="49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1</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2</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3</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4</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5</w:t>
            </w:r>
          </w:p>
        </w:tc>
        <w:tc>
          <w:tcPr>
            <w:tcW w:w="491" w:type="pct"/>
            <w:tcBorders>
              <w:top w:val="nil"/>
              <w:left w:val="nil"/>
              <w:bottom w:val="single" w:color="000000" w:sz="4" w:space="0"/>
              <w:right w:val="single" w:color="000000" w:sz="4" w:space="0"/>
            </w:tcBorders>
            <w:shd w:val="clear" w:color="FFFFFF"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6</w:t>
            </w:r>
          </w:p>
        </w:tc>
      </w:tr>
      <w:tr>
        <w:tblPrEx>
          <w:tblCellMar>
            <w:top w:w="0" w:type="dxa"/>
            <w:left w:w="0" w:type="dxa"/>
            <w:bottom w:w="0" w:type="dxa"/>
            <w:right w:w="0" w:type="dxa"/>
          </w:tblCellMar>
        </w:tblPrEx>
        <w:trPr>
          <w:trHeight w:val="308" w:hRule="atLeast"/>
        </w:trPr>
        <w:tc>
          <w:tcPr>
            <w:tcW w:w="2052" w:type="pct"/>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Times New Roman" w:hAnsi="Times New Roman" w:eastAsia="宋体" w:cs="Times New Roman"/>
                <w:sz w:val="22"/>
              </w:rPr>
            </w:pPr>
            <w:r>
              <w:rPr>
                <w:rFonts w:ascii="Times New Roman" w:hAnsi="Times New Roman" w:eastAsia="宋体" w:cs="Times New Roman"/>
                <w:kern w:val="0"/>
                <w:sz w:val="22"/>
              </w:rPr>
              <w:t>合计</w:t>
            </w:r>
          </w:p>
        </w:tc>
        <w:tc>
          <w:tcPr>
            <w:tcW w:w="491" w:type="pc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b/>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b/>
                <w:sz w:val="22"/>
              </w:rPr>
            </w:pPr>
          </w:p>
        </w:tc>
      </w:tr>
      <w:tr>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r>
      <w:tr>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r>
      <w:tr>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r>
      <w:tr>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r>
      <w:tr>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r>
      <w:tr>
        <w:tblPrEx>
          <w:tblCellMar>
            <w:top w:w="0" w:type="dxa"/>
            <w:left w:w="0" w:type="dxa"/>
            <w:bottom w:w="0" w:type="dxa"/>
            <w:right w:w="0" w:type="dxa"/>
          </w:tblCellMar>
        </w:tblPrEx>
        <w:trPr>
          <w:trHeight w:val="308" w:hRule="atLeast"/>
        </w:trPr>
        <w:tc>
          <w:tcPr>
            <w:tcW w:w="90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11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Times New Roman" w:hAnsi="Times New Roman" w:eastAsia="宋体" w:cs="Times New Roman"/>
                <w:sz w:val="22"/>
              </w:rPr>
            </w:pPr>
          </w:p>
        </w:tc>
      </w:tr>
      <w:tr>
        <w:tblPrEx>
          <w:tblCellMar>
            <w:top w:w="0" w:type="dxa"/>
            <w:left w:w="0" w:type="dxa"/>
            <w:bottom w:w="0" w:type="dxa"/>
            <w:right w:w="0" w:type="dxa"/>
          </w:tblCellMar>
        </w:tblPrEx>
        <w:trPr>
          <w:trHeight w:val="308"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rPr>
            </w:pPr>
            <w:r>
              <w:rPr>
                <w:rFonts w:ascii="Times New Roman" w:hAnsi="Times New Roman" w:eastAsia="宋体" w:cs="Times New Roman"/>
                <w:kern w:val="0"/>
                <w:sz w:val="22"/>
              </w:rPr>
              <w:t>注：本表反映部门本年度政府性基金预算财政拨款收入、支出及结转和结余情况。</w:t>
            </w:r>
          </w:p>
        </w:tc>
      </w:tr>
    </w:tbl>
    <w:p>
      <w:pPr>
        <w:pStyle w:val="10"/>
        <w:jc w:val="left"/>
        <w:rPr>
          <w:rFonts w:ascii="宋体" w:hAnsi="宋体" w:eastAsia="宋体" w:cs="宋体"/>
          <w:sz w:val="24"/>
          <w:szCs w:val="24"/>
        </w:rPr>
      </w:pPr>
    </w:p>
    <w:p>
      <w:pPr>
        <w:pStyle w:val="10"/>
        <w:jc w:val="left"/>
        <w:rPr>
          <w:rFonts w:hint="eastAsia" w:ascii="仿宋_GB2312" w:hAnsi="仿宋_GB2312" w:eastAsia="仿宋_GB2312" w:cs="仿宋_GB2312"/>
          <w:color w:val="auto"/>
          <w:sz w:val="32"/>
          <w:szCs w:val="32"/>
        </w:rPr>
        <w:sectPr>
          <w:pgSz w:w="16838" w:h="11906" w:orient="landscape"/>
          <w:pgMar w:top="1418" w:right="1418" w:bottom="1134" w:left="1418" w:header="851" w:footer="992" w:gutter="0"/>
          <w:cols w:space="425" w:num="1"/>
          <w:docGrid w:type="lines" w:linePitch="312" w:charSpace="0"/>
        </w:sectPr>
      </w:pPr>
      <w:r>
        <w:rPr>
          <w:rFonts w:ascii="宋体" w:hAnsi="宋体" w:eastAsia="宋体" w:cs="宋体"/>
          <w:sz w:val="24"/>
          <w:szCs w:val="24"/>
        </w:rPr>
        <w:t>醴陵市</w:t>
      </w:r>
      <w:r>
        <w:rPr>
          <w:rFonts w:hint="eastAsia" w:ascii="宋体" w:hAnsi="宋体" w:eastAsia="宋体" w:cs="宋体"/>
          <w:sz w:val="24"/>
          <w:szCs w:val="24"/>
          <w:lang w:val="en-US" w:eastAsia="zh-CN"/>
        </w:rPr>
        <w:t>委组织部</w:t>
      </w:r>
      <w:r>
        <w:rPr>
          <w:rFonts w:ascii="宋体" w:hAnsi="宋体" w:eastAsia="宋体" w:cs="宋体"/>
          <w:sz w:val="24"/>
          <w:szCs w:val="24"/>
        </w:rPr>
        <w:t>没有政府性基金收入，也没有使用政府性基金安排的支出，故本表无数据</w:t>
      </w:r>
    </w:p>
    <w:p>
      <w:pPr>
        <w:pStyle w:val="10"/>
        <w:jc w:val="center"/>
        <w:rPr>
          <w:rFonts w:ascii="Times New Roman" w:hAnsi="Times New Roman" w:cs="Times New Roman"/>
          <w:color w:val="auto"/>
          <w:sz w:val="32"/>
          <w:szCs w:val="32"/>
        </w:rPr>
      </w:pPr>
    </w:p>
    <w:p>
      <w:pPr>
        <w:pStyle w:val="10"/>
        <w:jc w:val="center"/>
        <w:rPr>
          <w:rFonts w:ascii="Times New Roman" w:hAnsi="Times New Roman" w:cs="Times New Roman"/>
          <w:color w:val="auto"/>
          <w:sz w:val="32"/>
          <w:szCs w:val="32"/>
        </w:rPr>
      </w:pPr>
    </w:p>
    <w:p>
      <w:pPr>
        <w:pStyle w:val="10"/>
        <w:jc w:val="center"/>
        <w:rPr>
          <w:rFonts w:ascii="Times New Roman" w:hAnsi="Times New Roman" w:cs="Times New Roman"/>
          <w:color w:val="auto"/>
          <w:sz w:val="32"/>
          <w:szCs w:val="32"/>
        </w:rPr>
      </w:pPr>
    </w:p>
    <w:p>
      <w:pPr>
        <w:pStyle w:val="10"/>
        <w:jc w:val="center"/>
        <w:rPr>
          <w:rFonts w:ascii="Times New Roman" w:hAnsi="Times New Roman" w:cs="Times New Roman"/>
          <w:color w:val="auto"/>
          <w:sz w:val="32"/>
          <w:szCs w:val="32"/>
        </w:rPr>
      </w:pPr>
    </w:p>
    <w:p>
      <w:pPr>
        <w:pStyle w:val="10"/>
        <w:jc w:val="center"/>
        <w:rPr>
          <w:rFonts w:ascii="Times New Roman" w:hAnsi="Times New Roman" w:cs="Times New Roman"/>
          <w:color w:val="auto"/>
          <w:sz w:val="32"/>
          <w:szCs w:val="32"/>
        </w:rPr>
      </w:pPr>
    </w:p>
    <w:p>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第三部分</w:t>
      </w:r>
    </w:p>
    <w:p>
      <w:pPr>
        <w:pStyle w:val="10"/>
        <w:jc w:val="center"/>
        <w:rPr>
          <w:rFonts w:ascii="Times New Roman" w:hAnsi="Times New Roman" w:eastAsia="方正小标宋简体" w:cs="Times New Roman"/>
          <w:color w:val="auto"/>
          <w:sz w:val="52"/>
          <w:szCs w:val="52"/>
        </w:rPr>
      </w:pPr>
    </w:p>
    <w:p>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2019年度部门决算情况说明</w:t>
      </w:r>
    </w:p>
    <w:p>
      <w:pPr>
        <w:widowControl/>
        <w:jc w:val="center"/>
        <w:rPr>
          <w:rFonts w:ascii="Times New Roman" w:hAnsi="Times New Roman" w:eastAsia="黑体" w:cs="Times New Roman"/>
          <w:kern w:val="0"/>
          <w:sz w:val="32"/>
          <w:szCs w:val="32"/>
        </w:rPr>
      </w:pPr>
      <w:r>
        <w:rPr>
          <w:rFonts w:ascii="Times New Roman" w:hAnsi="Times New Roman" w:eastAsia="黑体" w:cs="Times New Roman"/>
          <w:sz w:val="32"/>
          <w:szCs w:val="32"/>
        </w:rPr>
        <w:br w:type="page"/>
      </w:r>
    </w:p>
    <w:p>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一、收入支出决算总体情况说明</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2019年度财政拨款收入1159.9万元，其他收入21.95万元，合计1181.85万元，年初结转315.88万元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支出1276.11万元，年末结转221.62万元。与2018年度相比，拨款收入减少417.14万元，减少26.45%，支出减少327.34万元，减少20.41%，主要是因为合理安排收支预算，减少开支。</w:t>
      </w:r>
    </w:p>
    <w:p>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二、收入决算情况说明</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2019年度收入合计1181.85万元，其中：财政拨款收入1159.9万元，占98.14%；上级补助收入0万元，占0%；事业收入0万元，占0%；经营收入0万元，占0%；附属单位上缴收入0万元，占0%；其他收入21.95万元，占1.86%。</w:t>
      </w:r>
    </w:p>
    <w:p>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三、支出决算情况说明</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2019年度支出合计1276.11万元，其中：基本支出565.67万元，占44.33%；项目支出710.44万元，占55.67%；上缴上级支出0万元，占0%；经营支出0万元，占0%；对附属单位补助支出0万元，占0%。</w:t>
      </w:r>
    </w:p>
    <w:p>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四、财政拨款收入支出决算总体情况说明</w:t>
      </w:r>
    </w:p>
    <w:p>
      <w:pPr>
        <w:pStyle w:val="10"/>
        <w:spacing w:line="600" w:lineRule="exact"/>
        <w:ind w:firstLine="616" w:firstLineChars="200"/>
        <w:jc w:val="both"/>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2019年度财政拨款收入</w:t>
      </w:r>
      <w:r>
        <w:rPr>
          <w:rFonts w:ascii="Times New Roman" w:hAnsi="Times New Roman" w:eastAsia="仿宋_GB2312" w:cs="Times New Roman"/>
          <w:color w:val="auto"/>
          <w:sz w:val="32"/>
          <w:szCs w:val="32"/>
        </w:rPr>
        <w:t>1159.9</w:t>
      </w:r>
      <w:r>
        <w:rPr>
          <w:rFonts w:ascii="Times New Roman" w:hAnsi="Times New Roman" w:eastAsia="仿宋_GB2312" w:cs="Times New Roman"/>
          <w:color w:val="auto"/>
          <w:spacing w:val="-6"/>
          <w:sz w:val="32"/>
          <w:szCs w:val="32"/>
        </w:rPr>
        <w:t>万元，与2018年度相比，减少</w:t>
      </w:r>
      <w:r>
        <w:rPr>
          <w:rFonts w:ascii="Times New Roman" w:hAnsi="Times New Roman" w:eastAsia="仿宋_GB2312" w:cs="Times New Roman"/>
          <w:color w:val="auto"/>
          <w:sz w:val="32"/>
          <w:szCs w:val="32"/>
        </w:rPr>
        <w:t>417.14</w:t>
      </w:r>
      <w:r>
        <w:rPr>
          <w:rFonts w:ascii="Times New Roman" w:hAnsi="Times New Roman" w:eastAsia="仿宋_GB2312" w:cs="Times New Roman"/>
          <w:color w:val="auto"/>
          <w:spacing w:val="-6"/>
          <w:sz w:val="32"/>
          <w:szCs w:val="32"/>
        </w:rPr>
        <w:t>万元,减少</w:t>
      </w:r>
      <w:r>
        <w:rPr>
          <w:rFonts w:ascii="Times New Roman" w:hAnsi="Times New Roman" w:eastAsia="仿宋_GB2312" w:cs="Times New Roman"/>
          <w:color w:val="auto"/>
          <w:sz w:val="32"/>
          <w:szCs w:val="32"/>
        </w:rPr>
        <w:t>26.45%</w:t>
      </w:r>
      <w:r>
        <w:rPr>
          <w:rFonts w:ascii="Times New Roman" w:hAnsi="Times New Roman" w:eastAsia="仿宋_GB2312" w:cs="Times New Roman"/>
          <w:color w:val="auto"/>
          <w:spacing w:val="-6"/>
          <w:sz w:val="32"/>
          <w:szCs w:val="32"/>
        </w:rPr>
        <w:t>，支出1251.</w:t>
      </w:r>
      <w:r>
        <w:rPr>
          <w:rFonts w:hint="eastAsia" w:ascii="Times New Roman" w:hAnsi="Times New Roman" w:eastAsia="仿宋_GB2312" w:cs="Times New Roman"/>
          <w:color w:val="auto"/>
          <w:spacing w:val="-6"/>
          <w:sz w:val="32"/>
          <w:szCs w:val="32"/>
          <w:lang w:val="en-US" w:eastAsia="zh-CN"/>
        </w:rPr>
        <w:t>7</w:t>
      </w:r>
      <w:r>
        <w:rPr>
          <w:rFonts w:ascii="Times New Roman" w:hAnsi="Times New Roman" w:eastAsia="仿宋_GB2312" w:cs="Times New Roman"/>
          <w:color w:val="auto"/>
          <w:spacing w:val="-6"/>
          <w:sz w:val="32"/>
          <w:szCs w:val="32"/>
        </w:rPr>
        <w:t>5万元，与2018年度相比，减少322.</w:t>
      </w:r>
      <w:r>
        <w:rPr>
          <w:rFonts w:hint="eastAsia" w:ascii="Times New Roman" w:hAnsi="Times New Roman" w:eastAsia="仿宋_GB2312" w:cs="Times New Roman"/>
          <w:color w:val="auto"/>
          <w:spacing w:val="-6"/>
          <w:sz w:val="32"/>
          <w:szCs w:val="32"/>
          <w:lang w:val="en-US" w:eastAsia="zh-CN"/>
        </w:rPr>
        <w:t>1</w:t>
      </w:r>
      <w:r>
        <w:rPr>
          <w:rFonts w:ascii="Times New Roman" w:hAnsi="Times New Roman" w:eastAsia="仿宋_GB2312" w:cs="Times New Roman"/>
          <w:color w:val="auto"/>
          <w:spacing w:val="-6"/>
          <w:sz w:val="32"/>
          <w:szCs w:val="32"/>
        </w:rPr>
        <w:t>2万元，减少20.50%。主要是因为合理安排收支预算，减少开支。</w:t>
      </w:r>
    </w:p>
    <w:p>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五、一般公共预算财政拨款支出决算情况说明</w:t>
      </w:r>
    </w:p>
    <w:p>
      <w:pPr>
        <w:pStyle w:val="10"/>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（一）财政拨款支出决算总体情况</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2019年度财政拨款支出</w:t>
      </w:r>
      <w:r>
        <w:rPr>
          <w:rFonts w:ascii="Times New Roman" w:hAnsi="Times New Roman" w:eastAsia="仿宋_GB2312" w:cs="Times New Roman"/>
          <w:color w:val="auto"/>
          <w:spacing w:val="-6"/>
          <w:sz w:val="32"/>
          <w:szCs w:val="32"/>
        </w:rPr>
        <w:t>1251.</w:t>
      </w:r>
      <w:r>
        <w:rPr>
          <w:rFonts w:hint="eastAsia" w:ascii="Times New Roman" w:hAnsi="Times New Roman" w:eastAsia="仿宋_GB2312" w:cs="Times New Roman"/>
          <w:color w:val="auto"/>
          <w:spacing w:val="-6"/>
          <w:sz w:val="32"/>
          <w:szCs w:val="32"/>
          <w:lang w:val="en-US" w:eastAsia="zh-CN"/>
        </w:rPr>
        <w:t>7</w:t>
      </w:r>
      <w:r>
        <w:rPr>
          <w:rFonts w:ascii="Times New Roman" w:hAnsi="Times New Roman" w:eastAsia="仿宋_GB2312" w:cs="Times New Roman"/>
          <w:color w:val="auto"/>
          <w:spacing w:val="-6"/>
          <w:sz w:val="32"/>
          <w:szCs w:val="32"/>
        </w:rPr>
        <w:t>5</w:t>
      </w:r>
      <w:r>
        <w:rPr>
          <w:rFonts w:ascii="Times New Roman" w:hAnsi="Times New Roman" w:eastAsia="仿宋_GB2312" w:cs="Times New Roman"/>
          <w:color w:val="auto"/>
          <w:sz w:val="32"/>
          <w:szCs w:val="32"/>
        </w:rPr>
        <w:t>万元，占本年支出合计的98.05%，与2018年度相比，财政拨款支出减少32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2万元，减少20.5%，主要是因为合理安排收支预算，减少开支。</w:t>
      </w:r>
    </w:p>
    <w:p>
      <w:pPr>
        <w:pStyle w:val="10"/>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（二）财政拨款支出决算结构情况</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2019年度财政拨款支出</w:t>
      </w:r>
      <w:r>
        <w:rPr>
          <w:rFonts w:ascii="Times New Roman" w:hAnsi="Times New Roman" w:eastAsia="仿宋_GB2312" w:cs="Times New Roman"/>
          <w:color w:val="auto"/>
          <w:spacing w:val="-6"/>
          <w:sz w:val="32"/>
          <w:szCs w:val="32"/>
        </w:rPr>
        <w:t>1251.</w:t>
      </w:r>
      <w:r>
        <w:rPr>
          <w:rFonts w:hint="eastAsia" w:ascii="Times New Roman" w:hAnsi="Times New Roman" w:eastAsia="仿宋_GB2312" w:cs="Times New Roman"/>
          <w:color w:val="auto"/>
          <w:spacing w:val="-6"/>
          <w:sz w:val="32"/>
          <w:szCs w:val="32"/>
          <w:lang w:val="en-US" w:eastAsia="zh-CN"/>
        </w:rPr>
        <w:t>7</w:t>
      </w:r>
      <w:r>
        <w:rPr>
          <w:rFonts w:ascii="Times New Roman" w:hAnsi="Times New Roman" w:eastAsia="仿宋_GB2312" w:cs="Times New Roman"/>
          <w:color w:val="auto"/>
          <w:spacing w:val="-6"/>
          <w:sz w:val="32"/>
          <w:szCs w:val="32"/>
        </w:rPr>
        <w:t>5</w:t>
      </w:r>
      <w:r>
        <w:rPr>
          <w:rFonts w:ascii="Times New Roman" w:hAnsi="Times New Roman" w:eastAsia="仿宋_GB2312" w:cs="Times New Roman"/>
          <w:color w:val="auto"/>
          <w:sz w:val="32"/>
          <w:szCs w:val="32"/>
        </w:rPr>
        <w:t>万元，主要用于以下方面：一般公共服务（类）支出1209.22万元，占96.6%；教育支出19.39万元，占1.55%；农林水支出13.64万元，占1.09%;卫生健康支出9.5万元，占0.76%。</w:t>
      </w:r>
    </w:p>
    <w:p>
      <w:pPr>
        <w:pStyle w:val="10"/>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（三）财政拨款支出决算具体情况</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2019年度财政拨款支出年初预算数为797.9万元，支出决算数为1251.25万元，完成年初预算的156.82%，其中：</w:t>
      </w:r>
    </w:p>
    <w:p>
      <w:pPr>
        <w:pStyle w:val="10"/>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1、组织事务20132</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年初预算为783.28万元，支出决算为1209.22万元，完成年初预算的100%，决算数大于年初预算数的主要原因是：一是基本工资与社保增加，二是人员数量增加，三是机构改革，老干部局与我单位合并，人社局部分职能</w:t>
      </w:r>
      <w:r>
        <w:rPr>
          <w:rFonts w:hint="eastAsia" w:ascii="Times New Roman" w:hAnsi="Times New Roman" w:eastAsia="仿宋_GB2312" w:cs="Times New Roman"/>
          <w:color w:val="auto"/>
          <w:sz w:val="32"/>
          <w:szCs w:val="32"/>
          <w:lang w:val="en-US" w:eastAsia="zh-CN"/>
        </w:rPr>
        <w:t>划转</w:t>
      </w:r>
      <w:r>
        <w:rPr>
          <w:rFonts w:ascii="Times New Roman" w:hAnsi="Times New Roman" w:eastAsia="仿宋_GB2312" w:cs="Times New Roman"/>
          <w:color w:val="auto"/>
          <w:sz w:val="32"/>
          <w:szCs w:val="32"/>
        </w:rPr>
        <w:t>至我单位。</w:t>
      </w:r>
    </w:p>
    <w:p>
      <w:pPr>
        <w:pStyle w:val="10"/>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2、卫生健康支出210</w:t>
      </w:r>
    </w:p>
    <w:p>
      <w:pPr>
        <w:pStyle w:val="10"/>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2019年度年初预算为9.62万元，支出决算为9.5万元，完成年初预算的98.75%，决算数小于年初预算数的主要原因是：</w:t>
      </w:r>
      <w:r>
        <w:rPr>
          <w:rFonts w:hint="eastAsia" w:ascii="Times New Roman" w:hAnsi="Times New Roman" w:eastAsia="仿宋_GB2312" w:cs="Times New Roman"/>
          <w:color w:val="auto"/>
          <w:sz w:val="32"/>
          <w:szCs w:val="32"/>
          <w:lang w:val="en-US" w:eastAsia="zh-CN"/>
        </w:rPr>
        <w:t>预算科学合理，实际支出严格把关。</w:t>
      </w:r>
    </w:p>
    <w:p>
      <w:pPr>
        <w:pStyle w:val="10"/>
        <w:numPr>
          <w:ilvl w:val="0"/>
          <w:numId w:val="1"/>
        </w:numPr>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农林水支出213</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2019年度年初预算5万元，支出决算13.64万元，完成年初预算的100%，决算数大于年初预算的主要原因是</w:t>
      </w:r>
      <w:r>
        <w:rPr>
          <w:rFonts w:hint="eastAsia" w:ascii="Times New Roman" w:hAnsi="Times New Roman" w:eastAsia="仿宋_GB2312" w:cs="Times New Roman"/>
          <w:color w:val="auto"/>
          <w:sz w:val="32"/>
          <w:szCs w:val="32"/>
          <w:lang w:val="en-US" w:eastAsia="zh-CN"/>
        </w:rPr>
        <w:t>，追加对高校毕业生到基层任职补助</w:t>
      </w:r>
      <w:r>
        <w:rPr>
          <w:rFonts w:ascii="Times New Roman" w:hAnsi="Times New Roman" w:eastAsia="仿宋_GB2312" w:cs="Times New Roman"/>
          <w:color w:val="auto"/>
          <w:sz w:val="32"/>
          <w:szCs w:val="32"/>
        </w:rPr>
        <w:t>。</w:t>
      </w:r>
    </w:p>
    <w:p>
      <w:pPr>
        <w:pStyle w:val="10"/>
        <w:numPr>
          <w:ilvl w:val="0"/>
          <w:numId w:val="1"/>
        </w:numPr>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教育支出205</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2019年度年初预算0万元，支出决算19.39万元，完成年初预算的100%，决算数大于年初预算数的主要原因是</w:t>
      </w:r>
      <w:r>
        <w:rPr>
          <w:rFonts w:hint="eastAsia" w:ascii="Times New Roman" w:hAnsi="Times New Roman" w:eastAsia="仿宋_GB2312" w:cs="Times New Roman"/>
          <w:color w:val="auto"/>
          <w:sz w:val="32"/>
          <w:szCs w:val="32"/>
          <w:lang w:val="en-US" w:eastAsia="zh-CN"/>
        </w:rPr>
        <w:t>，追加柔性引才用才省级试点工作经费</w:t>
      </w:r>
      <w:r>
        <w:rPr>
          <w:rFonts w:ascii="Times New Roman" w:hAnsi="Times New Roman" w:eastAsia="仿宋_GB2312" w:cs="Times New Roman"/>
          <w:color w:val="auto"/>
          <w:sz w:val="32"/>
          <w:szCs w:val="32"/>
        </w:rPr>
        <w:t>。</w:t>
      </w:r>
    </w:p>
    <w:p>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六、一般公共预算财政拨款基本支出决算情况说明</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基本支出541.31万元，其中：人员经费424.02万元，占基本支出的78.33%,主要包括基本工资、津贴补贴、奖金、伙食补助费等；公用经费117.29万元，占基本支出的21.67%主要包括办公费、印刷费、咨询费、手续费等。</w:t>
      </w:r>
    </w:p>
    <w:p>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七、一般公共预算财政拨款三公经费支出决算情况说明</w:t>
      </w:r>
    </w:p>
    <w:p>
      <w:pPr>
        <w:pStyle w:val="10"/>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“三公”经费财政拨款支出预算为12.3万元，支出决算为8.89万元，完成预算的72.28%，其中：</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因公出国（境）费支出预算为7.3万元，支出决算为7.3万元，完成预算的100%，与上年相比增加7.3万元，增加100%,增加的主要原因是上级组织部门组织出国考察学习。</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为5万元，支出决算为1.59万元，完成预算的31.80%，决算数小于年初预算数的主要原因是严格执行中央八项规定，规范接待行为，与上年相比减少7.04万元，减少81.58%,减少的主要原因是公务接待活动减少。</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公务用车购置费及运行维护费支出预算为0万元，支出决算为0万元。</w:t>
      </w:r>
    </w:p>
    <w:p>
      <w:pPr>
        <w:pStyle w:val="10"/>
        <w:spacing w:line="58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pPr>
        <w:pStyle w:val="1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2019年度“三公”经费财政拨款支出决算中，公务接待费支出决算1.59万元，占17.89%,因公出国（境）费支出决算7.3万元，占82.11%,公务用车购置费及运行维护费支出决算0万元，占0。其中：</w:t>
      </w:r>
    </w:p>
    <w:p>
      <w:pPr>
        <w:pStyle w:val="10"/>
        <w:spacing w:line="58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color w:val="auto"/>
          <w:sz w:val="32"/>
          <w:szCs w:val="32"/>
        </w:rPr>
        <w:t>1、因公出国（境）费支出决算为7.3万元，全年安排因公出国（境）团组1个，累计1人次,开支内容包括：</w:t>
      </w:r>
    </w:p>
    <w:p>
      <w:pPr>
        <w:pStyle w:val="10"/>
        <w:spacing w:line="580" w:lineRule="exact"/>
        <w:ind w:firstLine="640" w:firstLineChars="200"/>
        <w:jc w:val="both"/>
        <w:rPr>
          <w:rFonts w:ascii="Times New Roman" w:hAnsi="Times New Roman" w:eastAsia="仿宋_GB2312" w:cs="Times New Roman"/>
          <w:color w:val="auto"/>
          <w:spacing w:val="-10"/>
          <w:sz w:val="32"/>
          <w:szCs w:val="32"/>
        </w:rPr>
      </w:pPr>
      <w:r>
        <w:rPr>
          <w:rFonts w:ascii="Times New Roman" w:hAnsi="Times New Roman" w:eastAsia="仿宋_GB2312" w:cs="Times New Roman"/>
          <w:color w:val="auto"/>
          <w:sz w:val="32"/>
          <w:szCs w:val="32"/>
        </w:rPr>
        <w:t>赴</w:t>
      </w:r>
      <w:r>
        <w:rPr>
          <w:rFonts w:ascii="Times New Roman" w:hAnsi="Times New Roman" w:eastAsia="仿宋_GB2312" w:cs="Times New Roman"/>
          <w:color w:val="auto"/>
          <w:spacing w:val="-10"/>
          <w:sz w:val="32"/>
          <w:szCs w:val="32"/>
        </w:rPr>
        <w:t>新加坡团支出7.3万元，主要用于上级部门组织出国考察学习。</w:t>
      </w:r>
    </w:p>
    <w:p>
      <w:pPr>
        <w:pStyle w:val="1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2、公务接待费支出决算为1.59万元，主要是上级与友邻单位县市来醴的公务活动发生的接待支出。</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3、公务用车购置费及运行维护费支出决算为0万元，截止</w:t>
      </w:r>
      <w:r>
        <w:rPr>
          <w:rFonts w:ascii="Times New Roman" w:hAnsi="Times New Roman" w:eastAsia="仿宋_GB2312" w:cs="Times New Roman"/>
          <w:spacing w:val="-10"/>
          <w:kern w:val="0"/>
          <w:sz w:val="32"/>
          <w:szCs w:val="32"/>
        </w:rPr>
        <w:t>2019年12月31日，我单位开支财政拨款的公务用车保有量为0辆。</w:t>
      </w:r>
    </w:p>
    <w:p>
      <w:pPr>
        <w:pStyle w:val="10"/>
        <w:spacing w:line="58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八、政府性基金预算收入支出决算情况</w:t>
      </w:r>
    </w:p>
    <w:p>
      <w:pPr>
        <w:pStyle w:val="10"/>
        <w:spacing w:line="580" w:lineRule="exact"/>
        <w:ind w:firstLine="640" w:firstLineChars="200"/>
        <w:jc w:val="both"/>
        <w:rPr>
          <w:rFonts w:ascii="Times New Roman" w:hAnsi="Times New Roman" w:eastAsia="仿宋_GB2312" w:cs="Times New Roman"/>
          <w:i/>
          <w:color w:val="auto"/>
          <w:sz w:val="32"/>
          <w:szCs w:val="32"/>
        </w:rPr>
      </w:pPr>
      <w:r>
        <w:rPr>
          <w:rFonts w:ascii="Times New Roman" w:hAnsi="Times New Roman" w:eastAsia="仿宋_GB2312" w:cs="Times New Roman"/>
          <w:iCs/>
          <w:color w:val="auto"/>
          <w:sz w:val="32"/>
          <w:szCs w:val="32"/>
        </w:rPr>
        <w:t>本单位无政府性基金收支</w:t>
      </w:r>
    </w:p>
    <w:p>
      <w:pPr>
        <w:pStyle w:val="10"/>
        <w:spacing w:line="58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九、关于2019年度预算绩效情况说明</w:t>
      </w:r>
    </w:p>
    <w:p>
      <w:pPr>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（一）预算绩效管理工作开展情况</w:t>
      </w:r>
    </w:p>
    <w:p>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根据预算绩效管理要求，本单位组织对2019年度2个项目支出开展了绩效自评，共涉及资金106万元，占项目支出预算总额的22.27%。本单位共组织对2个一级项目和2个专项经费开展了重点绩效自我评价，涉及资金106万元。从评价情况来看，有关项目</w:t>
      </w:r>
      <w:r>
        <w:rPr>
          <w:rFonts w:ascii="Times New Roman" w:hAnsi="Times New Roman" w:eastAsia="仿宋_GB2312" w:cs="Times New Roman"/>
          <w:color w:val="auto"/>
          <w:spacing w:val="-6"/>
          <w:sz w:val="32"/>
          <w:szCs w:val="32"/>
        </w:rPr>
        <w:t>立项程序完整、规范，预算执行及时、有效，绩效目标得到较好实现，绩效管理水平不断提高，绩效指标体系建设逐渐丰富和完善。</w:t>
      </w:r>
    </w:p>
    <w:p>
      <w:pPr>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（二）部门决算中项目绩效自评结果</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 整体绩效评价报告</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详见第五部分 其他</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 项目绩效评价报告</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详见第五部分 其他</w:t>
      </w:r>
    </w:p>
    <w:p>
      <w:pPr>
        <w:pStyle w:val="10"/>
        <w:spacing w:line="600"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十、其他重要事项情况说明</w:t>
      </w:r>
    </w:p>
    <w:p>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（一）机关运行经费支出情况</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本部门2019年度机关运行经费支出117.29万元，比年初预算数减少29.56万元，降低20.13%。主要原因是严格执行中央规定，严控各项经费支出。</w:t>
      </w:r>
    </w:p>
    <w:p>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（二）一般性支出情况</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2019年本部门开支会议费23.44万元，用于：</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1、扫黑除恶专项斗争工作汇报会0.2万元，20人。</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2、两新组织党建工作经验交流暨结对共建工作推进会0.4万元，70人。</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3、镇（街、示范区）市直单位党（工）委书记履职基层和意识形态工作责任述职评议会0.</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万元，128人。</w:t>
      </w:r>
    </w:p>
    <w:p>
      <w:pPr>
        <w:pStyle w:val="10"/>
        <w:ind w:firstLine="640" w:firstLineChars="200"/>
        <w:rPr>
          <w:rFonts w:ascii="Times New Roman" w:hAnsi="Times New Roman" w:eastAsia="仿宋_GB2312" w:cs="Times New Roman"/>
          <w:color w:val="auto"/>
          <w:spacing w:val="-10"/>
          <w:sz w:val="32"/>
          <w:szCs w:val="32"/>
        </w:rPr>
      </w:pPr>
      <w:r>
        <w:rPr>
          <w:rFonts w:ascii="Times New Roman" w:hAnsi="Times New Roman" w:eastAsia="仿宋_GB2312" w:cs="Times New Roman"/>
          <w:color w:val="auto"/>
          <w:sz w:val="32"/>
          <w:szCs w:val="32"/>
        </w:rPr>
        <w:t>4、柔</w:t>
      </w:r>
      <w:r>
        <w:rPr>
          <w:rFonts w:ascii="Times New Roman" w:hAnsi="Times New Roman" w:eastAsia="仿宋_GB2312" w:cs="Times New Roman"/>
          <w:color w:val="auto"/>
          <w:spacing w:val="-10"/>
          <w:sz w:val="32"/>
          <w:szCs w:val="32"/>
        </w:rPr>
        <w:t>性引才用才省级试点暨柔性引才用才研讨会0.9万元，80人。</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5、柔性引才用才省级交流试点工作动员会0.4万元，40人。</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6、新招录公务员分配会0.4万元，90人。</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7、对照党章找差距及调研指导交流会0.4万元，15人。</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8、主题教育应知应会知识测试0.4万元，47人。</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9、柔性引才示范基地授牌仪式会0.8万元，210人。</w:t>
      </w:r>
    </w:p>
    <w:p>
      <w:pPr>
        <w:pStyle w:val="10"/>
        <w:tabs>
          <w:tab w:val="left" w:pos="312"/>
        </w:tabs>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10、其他会议（涉及保密等会议）。</w:t>
      </w:r>
    </w:p>
    <w:p>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开支培训费116.11万元，用于：</w:t>
      </w:r>
    </w:p>
    <w:p>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1、省党史陈列馆红色故事培训0.25万元。</w:t>
      </w:r>
    </w:p>
    <w:p>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、“不忘初心，牢记使命”学习教育基层党组织培训6.6万元。</w:t>
      </w:r>
    </w:p>
    <w:p>
      <w:pPr>
        <w:pStyle w:val="10"/>
        <w:overflowPunct w:val="0"/>
        <w:spacing w:line="580" w:lineRule="exact"/>
        <w:ind w:firstLine="640" w:firstLineChars="200"/>
        <w:jc w:val="both"/>
        <w:rPr>
          <w:rFonts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、株</w:t>
      </w:r>
      <w:r>
        <w:rPr>
          <w:rFonts w:ascii="Times New Roman" w:hAnsi="Times New Roman" w:eastAsia="仿宋_GB2312" w:cs="Times New Roman"/>
          <w:color w:val="auto"/>
          <w:spacing w:val="-6"/>
          <w:sz w:val="32"/>
          <w:szCs w:val="32"/>
        </w:rPr>
        <w:t>洲市党员教育培训讲师竞赛和精品党课评选培训2.25万元。</w:t>
      </w:r>
    </w:p>
    <w:p>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、醴陵红色微党课创作12万元。</w:t>
      </w:r>
    </w:p>
    <w:p>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、省党史陈列馆讲解艺术培训0.76万元。</w:t>
      </w:r>
    </w:p>
    <w:p>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、青年创业精英故事培训0.9万元。</w:t>
      </w:r>
    </w:p>
    <w:p>
      <w:pPr>
        <w:pStyle w:val="1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、陶瓷烟花学院干部教育网络基地经费5万元。</w:t>
      </w:r>
    </w:p>
    <w:p>
      <w:pPr>
        <w:pStyle w:val="1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、市委党校干训经费12万元。</w:t>
      </w:r>
    </w:p>
    <w:p>
      <w:pPr>
        <w:pStyle w:val="1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、株洲市乡村振兴双创人才集训营培训10万元。</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、村书记培训班培训16.87万元。</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、主题教育宣讲活动1.24万元。</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、2019年两新组织党组织书记培训班6.67万元。</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、农民大学生培养计划26万元。</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、主题教育花鼓戏剧团宣讲5万元。</w:t>
      </w:r>
    </w:p>
    <w:p>
      <w:pPr>
        <w:pStyle w:val="10"/>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5、其他培训（涉及保密等培训）</w:t>
      </w:r>
    </w:p>
    <w:p>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（三）政府采购支出情况</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本部门2019年度政府采购支出总额63.54万元，其中：政府采购货物支出63.54万元、政府采购工程支出0万元、政府采购服务支出0万元。</w:t>
      </w:r>
    </w:p>
    <w:p>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（四）国有资产占用情况</w:t>
      </w:r>
    </w:p>
    <w:p>
      <w:pPr>
        <w:pStyle w:val="10"/>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2019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（五）其他</w:t>
      </w:r>
    </w:p>
    <w:p>
      <w:pPr>
        <w:pStyle w:val="1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本单位没有独立网站，因此只在财政局部门决算公开专栏中公开。</w:t>
      </w:r>
    </w:p>
    <w:p>
      <w:pPr>
        <w:ind w:firstLine="640" w:firstLineChars="200"/>
        <w:rPr>
          <w:rFonts w:ascii="Times New Roman" w:hAnsi="Times New Roman" w:eastAsia="仿宋" w:cs="Times New Roman"/>
          <w:kern w:val="0"/>
          <w:sz w:val="32"/>
          <w:szCs w:val="32"/>
        </w:rPr>
      </w:pPr>
    </w:p>
    <w:p>
      <w:pPr>
        <w:widowControl/>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br w:type="page"/>
      </w:r>
    </w:p>
    <w:p>
      <w:pPr>
        <w:ind w:firstLine="640" w:firstLineChars="200"/>
        <w:rPr>
          <w:rFonts w:ascii="Times New Roman" w:hAnsi="Times New Roman" w:cs="Times New Roman"/>
          <w:kern w:val="0"/>
          <w:sz w:val="32"/>
          <w:szCs w:val="32"/>
        </w:rPr>
      </w:pPr>
    </w:p>
    <w:p>
      <w:pPr>
        <w:pStyle w:val="10"/>
        <w:jc w:val="center"/>
        <w:rPr>
          <w:rFonts w:ascii="Times New Roman" w:hAnsi="Times New Roman" w:cs="Times New Roman"/>
          <w:color w:val="auto"/>
          <w:sz w:val="72"/>
          <w:szCs w:val="72"/>
        </w:rPr>
      </w:pPr>
    </w:p>
    <w:p>
      <w:pPr>
        <w:pStyle w:val="10"/>
        <w:jc w:val="center"/>
        <w:rPr>
          <w:rFonts w:ascii="Times New Roman" w:hAnsi="Times New Roman" w:cs="Times New Roman"/>
          <w:color w:val="auto"/>
          <w:sz w:val="72"/>
          <w:szCs w:val="72"/>
        </w:rPr>
      </w:pPr>
    </w:p>
    <w:p>
      <w:pPr>
        <w:pStyle w:val="10"/>
        <w:jc w:val="center"/>
        <w:rPr>
          <w:rFonts w:ascii="Times New Roman" w:hAnsi="Times New Roman" w:cs="Times New Roman"/>
          <w:color w:val="auto"/>
          <w:sz w:val="72"/>
          <w:szCs w:val="72"/>
        </w:rPr>
      </w:pPr>
    </w:p>
    <w:p>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第四部分</w:t>
      </w:r>
    </w:p>
    <w:p>
      <w:pPr>
        <w:jc w:val="center"/>
        <w:rPr>
          <w:rFonts w:ascii="Times New Roman" w:hAnsi="Times New Roman" w:eastAsia="方正小标宋简体" w:cs="Times New Roman"/>
          <w:kern w:val="0"/>
          <w:sz w:val="52"/>
          <w:szCs w:val="52"/>
        </w:rPr>
      </w:pPr>
    </w:p>
    <w:p>
      <w:pPr>
        <w:jc w:val="center"/>
        <w:rPr>
          <w:rFonts w:ascii="Times New Roman" w:hAnsi="Times New Roman" w:eastAsia="方正小标宋简体" w:cs="Times New Roman"/>
          <w:kern w:val="0"/>
          <w:sz w:val="52"/>
          <w:szCs w:val="52"/>
        </w:rPr>
      </w:pPr>
      <w:r>
        <w:rPr>
          <w:rFonts w:ascii="Times New Roman" w:hAnsi="Times New Roman" w:eastAsia="方正小标宋简体" w:cs="Times New Roman"/>
          <w:kern w:val="0"/>
          <w:sz w:val="52"/>
          <w:szCs w:val="52"/>
        </w:rPr>
        <w:t>名词解释</w:t>
      </w:r>
    </w:p>
    <w:p>
      <w:pPr>
        <w:widowControl/>
        <w:jc w:val="left"/>
        <w:rPr>
          <w:rFonts w:ascii="Times New Roman" w:hAnsi="Times New Roman" w:eastAsia="黑体" w:cs="Times New Roman"/>
          <w:kern w:val="0"/>
          <w:sz w:val="52"/>
          <w:szCs w:val="52"/>
        </w:rPr>
      </w:pPr>
      <w:r>
        <w:rPr>
          <w:rFonts w:ascii="Times New Roman" w:hAnsi="Times New Roman" w:eastAsia="黑体" w:cs="Times New Roman"/>
          <w:kern w:val="0"/>
          <w:sz w:val="52"/>
          <w:szCs w:val="52"/>
        </w:rPr>
        <w:br w:type="page"/>
      </w:r>
    </w:p>
    <w:p>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 财政拨款收入：指单位从同级财政部门取得的财政预算资金。</w:t>
      </w:r>
    </w:p>
    <w:p>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二、事业收入：指事业单位开展专业业务活动及辅助活动取得的收入。</w:t>
      </w:r>
    </w:p>
    <w:p>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三、经营收入：指事业单位在专业业务活动及其辅助活动之外开展非独立核算经营活动取得的收入。</w:t>
      </w:r>
    </w:p>
    <w:p>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四、其他收入：指单位取得的除上述收入以外的各项收入。</w:t>
      </w:r>
    </w:p>
    <w:p>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六、年初结转和结余：指单位以前年度尚未完成、结转到本年按有关规定继续使用的资金。</w:t>
      </w:r>
    </w:p>
    <w:p>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七、“三公经费”支出：指通过财政拨款资金安排的因公出国（境）费、公务用车购置及运行费和公务接待费支出。</w:t>
      </w:r>
    </w:p>
    <w:p>
      <w:pPr>
        <w:spacing w:line="600" w:lineRule="exact"/>
        <w:jc w:val="left"/>
        <w:rPr>
          <w:rFonts w:ascii="Times New Roman" w:hAnsi="Times New Roman" w:eastAsia="仿宋_GB2312" w:cs="Times New Roman"/>
          <w:i/>
          <w:sz w:val="32"/>
          <w:szCs w:val="32"/>
        </w:rPr>
      </w:pPr>
      <w:r>
        <w:rPr>
          <w:rFonts w:ascii="Times New Roman" w:hAnsi="Times New Roman" w:eastAsia="仿宋_GB2312" w:cs="Times New Roman"/>
          <w:i/>
          <w:sz w:val="32"/>
          <w:szCs w:val="32"/>
        </w:rPr>
        <w:br w:type="page"/>
      </w:r>
    </w:p>
    <w:p>
      <w:pPr>
        <w:pStyle w:val="10"/>
        <w:jc w:val="center"/>
        <w:rPr>
          <w:rFonts w:ascii="Times New Roman" w:hAnsi="Times New Roman" w:cs="Times New Roman"/>
          <w:color w:val="auto"/>
          <w:sz w:val="72"/>
          <w:szCs w:val="72"/>
        </w:rPr>
      </w:pPr>
    </w:p>
    <w:p>
      <w:pPr>
        <w:pStyle w:val="10"/>
        <w:jc w:val="center"/>
        <w:rPr>
          <w:rFonts w:ascii="Times New Roman" w:hAnsi="Times New Roman" w:cs="Times New Roman"/>
          <w:color w:val="auto"/>
          <w:sz w:val="72"/>
          <w:szCs w:val="72"/>
        </w:rPr>
      </w:pPr>
    </w:p>
    <w:p>
      <w:pPr>
        <w:pStyle w:val="10"/>
        <w:rPr>
          <w:rFonts w:ascii="Times New Roman" w:hAnsi="Times New Roman" w:cs="Times New Roman"/>
          <w:color w:val="auto"/>
          <w:sz w:val="72"/>
          <w:szCs w:val="72"/>
        </w:rPr>
      </w:pPr>
    </w:p>
    <w:p>
      <w:pPr>
        <w:pStyle w:val="10"/>
        <w:rPr>
          <w:rFonts w:ascii="Times New Roman" w:hAnsi="Times New Roman" w:cs="Times New Roman"/>
          <w:color w:val="auto"/>
          <w:sz w:val="72"/>
          <w:szCs w:val="72"/>
        </w:rPr>
      </w:pPr>
    </w:p>
    <w:p>
      <w:pPr>
        <w:pStyle w:val="10"/>
        <w:jc w:val="center"/>
        <w:rPr>
          <w:rFonts w:ascii="Times New Roman" w:hAnsi="Times New Roman" w:eastAsia="方正小标宋简体" w:cs="Times New Roman"/>
          <w:color w:val="auto"/>
          <w:sz w:val="52"/>
          <w:szCs w:val="52"/>
        </w:rPr>
      </w:pPr>
      <w:r>
        <w:rPr>
          <w:rFonts w:ascii="Times New Roman" w:hAnsi="Times New Roman" w:eastAsia="方正小标宋简体" w:cs="Times New Roman"/>
          <w:color w:val="auto"/>
          <w:sz w:val="52"/>
          <w:szCs w:val="52"/>
        </w:rPr>
        <w:t>第五部分</w:t>
      </w:r>
    </w:p>
    <w:p>
      <w:pPr>
        <w:pStyle w:val="10"/>
        <w:jc w:val="center"/>
        <w:rPr>
          <w:rFonts w:ascii="Times New Roman" w:hAnsi="Times New Roman" w:eastAsia="方正小标宋简体" w:cs="Times New Roman"/>
          <w:color w:val="auto"/>
          <w:sz w:val="52"/>
          <w:szCs w:val="52"/>
        </w:rPr>
      </w:pPr>
    </w:p>
    <w:p>
      <w:pPr>
        <w:spacing w:line="600" w:lineRule="exact"/>
        <w:jc w:val="center"/>
        <w:rPr>
          <w:rFonts w:ascii="Times New Roman" w:hAnsi="Times New Roman" w:eastAsia="仿宋" w:cs="Times New Roman"/>
          <w:kern w:val="0"/>
          <w:sz w:val="32"/>
          <w:szCs w:val="32"/>
        </w:rPr>
      </w:pPr>
      <w:r>
        <w:rPr>
          <w:rFonts w:ascii="Times New Roman" w:hAnsi="Times New Roman" w:eastAsia="方正小标宋简体" w:cs="Times New Roman"/>
          <w:sz w:val="52"/>
          <w:szCs w:val="52"/>
        </w:rPr>
        <w:t>其  他</w:t>
      </w:r>
      <w:r>
        <w:rPr>
          <w:rFonts w:ascii="Times New Roman" w:hAnsi="Times New Roman" w:eastAsia="方正小标宋简体" w:cs="Times New Roman"/>
          <w:sz w:val="52"/>
          <w:szCs w:val="52"/>
        </w:rPr>
        <w:br w:type="page"/>
      </w:r>
    </w:p>
    <w:p>
      <w:pPr>
        <w:spacing w:line="64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2019年度部门整体支出绩效评价报告</w:t>
      </w:r>
    </w:p>
    <w:p>
      <w:pPr>
        <w:spacing w:line="640" w:lineRule="exact"/>
        <w:ind w:firstLine="640" w:firstLineChars="200"/>
        <w:rPr>
          <w:rFonts w:ascii="Times New Roman" w:hAnsi="Times New Roman" w:eastAsia="仿宋" w:cs="Times New Roman"/>
          <w:kern w:val="0"/>
          <w:sz w:val="32"/>
          <w:szCs w:val="32"/>
        </w:rPr>
      </w:pPr>
    </w:p>
    <w:p>
      <w:pPr>
        <w:spacing w:line="6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一、项目概况</w:t>
      </w:r>
    </w:p>
    <w:p>
      <w:pPr>
        <w:overflowPunct w:val="0"/>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（一）部门基本情况</w:t>
      </w:r>
    </w:p>
    <w:p>
      <w:pPr>
        <w:overflowPunct w:val="0"/>
        <w:snapToGrid w:val="0"/>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1．主要职能</w:t>
      </w:r>
    </w:p>
    <w:p>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醴陵市委组织部为全额拨款党群单位，主管组织、干部和人才工作。本部门主要职责是：</w:t>
      </w:r>
    </w:p>
    <w:p>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一）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r>
        <w:rPr>
          <w:rFonts w:ascii="Times New Roman" w:hAnsi="Times New Roman" w:eastAsia="微软雅黑"/>
          <w:sz w:val="32"/>
          <w:szCs w:val="32"/>
        </w:rPr>
        <w:t>.</w:t>
      </w:r>
    </w:p>
    <w:p>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二）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导。组织落实培养选拔中青年干部、妇女干部、少数民族干部、党外干部的有关工作。</w:t>
      </w:r>
    </w:p>
    <w:p>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（三）研究全市组织系统信息网络建设；负责党内统计和干部统计的工作；负责市管干部人事档案管理工作，指导全市档案管理工作。</w:t>
      </w:r>
    </w:p>
    <w:p>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pPr>
        <w:pStyle w:val="5"/>
        <w:widowControl/>
        <w:spacing w:before="0" w:beforeAutospacing="0" w:after="0" w:afterAutospacing="0" w:line="600" w:lineRule="atLeast"/>
        <w:ind w:firstLine="645"/>
        <w:rPr>
          <w:rFonts w:ascii="Times New Roman" w:hAnsi="Times New Roman" w:eastAsia="微软雅黑"/>
          <w:sz w:val="32"/>
          <w:szCs w:val="32"/>
        </w:rPr>
      </w:pPr>
      <w:r>
        <w:rPr>
          <w:rFonts w:ascii="Times New Roman" w:hAnsi="Times New Roman" w:eastAsia="仿宋_GB2312"/>
          <w:sz w:val="32"/>
          <w:szCs w:val="32"/>
        </w:rPr>
        <w:t>（五）负责制订全市干部教育培训计划。指导、协调、检查全市干部教育工作；组织市委管理的干部和中青年干部以及组织（政工、人事）部门负责人等各级培训工作；负责上级调训干部的组织和协调。</w:t>
      </w:r>
    </w:p>
    <w:p>
      <w:pPr>
        <w:pStyle w:val="5"/>
        <w:widowControl/>
        <w:spacing w:before="0" w:beforeAutospacing="0" w:after="0" w:afterAutospacing="0" w:line="600" w:lineRule="atLeast"/>
        <w:ind w:firstLine="645"/>
        <w:rPr>
          <w:rFonts w:ascii="Times New Roman" w:hAnsi="Times New Roman" w:eastAsia="仿宋_GB2312"/>
          <w:sz w:val="32"/>
          <w:szCs w:val="32"/>
        </w:rPr>
      </w:pPr>
      <w:r>
        <w:rPr>
          <w:rFonts w:ascii="Times New Roman" w:hAnsi="Times New Roman" w:eastAsia="仿宋_GB2312"/>
          <w:sz w:val="32"/>
          <w:szCs w:val="32"/>
        </w:rPr>
        <w:t>（六）调查了解全市人才工作情况，制订或参与制订有关专业人才工作的政策；指导、协调、检查人才工作；负责市级有突出贡献专家的上报和评选工作，组织指导开展有关人才引进活动。</w:t>
      </w:r>
    </w:p>
    <w:p>
      <w:pPr>
        <w:pStyle w:val="5"/>
        <w:widowControl/>
        <w:spacing w:before="0" w:beforeAutospacing="0" w:after="0" w:afterAutospacing="0" w:line="600" w:lineRule="atLeast"/>
        <w:ind w:firstLine="645"/>
        <w:rPr>
          <w:rFonts w:ascii="Times New Roman" w:hAnsi="Times New Roman" w:eastAsia="仿宋_GB2312"/>
          <w:sz w:val="32"/>
          <w:szCs w:val="32"/>
        </w:rPr>
      </w:pPr>
      <w:r>
        <w:rPr>
          <w:rFonts w:ascii="Times New Roman" w:hAnsi="Times New Roman" w:eastAsia="仿宋_GB2312"/>
          <w:sz w:val="32"/>
          <w:szCs w:val="32"/>
        </w:rPr>
        <w:t>（七）管理全市老干部工作。</w:t>
      </w:r>
    </w:p>
    <w:p>
      <w:pPr>
        <w:pStyle w:val="5"/>
        <w:widowControl/>
        <w:spacing w:before="0" w:beforeAutospacing="0" w:after="0" w:afterAutospacing="0" w:line="600" w:lineRule="atLeast"/>
        <w:ind w:firstLine="645"/>
        <w:rPr>
          <w:rFonts w:ascii="Times New Roman" w:hAnsi="Times New Roman" w:eastAsia="仿宋_GB2312"/>
          <w:b/>
          <w:sz w:val="32"/>
          <w:szCs w:val="32"/>
        </w:rPr>
      </w:pPr>
      <w:r>
        <w:rPr>
          <w:rFonts w:ascii="Times New Roman" w:hAnsi="Times New Roman" w:eastAsia="仿宋_GB2312"/>
          <w:sz w:val="32"/>
          <w:szCs w:val="32"/>
        </w:rPr>
        <w:t>（八）指导、管理和协调党校。</w:t>
      </w:r>
    </w:p>
    <w:p>
      <w:pPr>
        <w:overflowPunct w:val="0"/>
        <w:spacing w:line="600" w:lineRule="exact"/>
        <w:ind w:firstLine="640"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2．机构情况</w:t>
      </w:r>
    </w:p>
    <w:p>
      <w:pPr>
        <w:pStyle w:val="10"/>
        <w:overflowPunct w:val="0"/>
        <w:spacing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醴陵市组织部含一个所属参公单位、一个所属事业单位：党员教育中心、人才服务中心。</w:t>
      </w:r>
    </w:p>
    <w:p>
      <w:pPr>
        <w:overflowPunct w:val="0"/>
        <w:spacing w:line="600" w:lineRule="exact"/>
        <w:ind w:firstLine="640"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3. 人员情况</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行政编制24人、事业编制6人，聘用制人员2人。</w:t>
      </w:r>
    </w:p>
    <w:p>
      <w:pPr>
        <w:overflowPunct w:val="0"/>
        <w:spacing w:line="600" w:lineRule="exact"/>
        <w:ind w:firstLine="616" w:firstLineChars="200"/>
        <w:rPr>
          <w:rFonts w:ascii="Times New Roman" w:hAnsi="Times New Roman" w:eastAsia="楷体_GB2312" w:cs="Times New Roman"/>
          <w:b/>
          <w:spacing w:val="-6"/>
          <w:kern w:val="0"/>
          <w:sz w:val="32"/>
          <w:szCs w:val="32"/>
        </w:rPr>
      </w:pPr>
      <w:r>
        <w:rPr>
          <w:rFonts w:ascii="Times New Roman" w:hAnsi="Times New Roman" w:eastAsia="楷体_GB2312" w:cs="Times New Roman"/>
          <w:b/>
          <w:spacing w:val="-6"/>
          <w:kern w:val="0"/>
          <w:sz w:val="32"/>
          <w:szCs w:val="32"/>
        </w:rPr>
        <w:t>（二）部门整体支出规模、使用方向和主要内容、涉及范围等</w:t>
      </w:r>
    </w:p>
    <w:p>
      <w:pPr>
        <w:pStyle w:val="10"/>
        <w:overflowPunct w:val="0"/>
        <w:spacing w:line="580" w:lineRule="exact"/>
        <w:ind w:firstLine="640" w:firstLineChars="200"/>
        <w:jc w:val="both"/>
        <w:rPr>
          <w:rFonts w:ascii="Times New Roman" w:hAnsi="Times New Roman" w:eastAsia="楷体" w:cs="Times New Roman"/>
          <w:color w:val="auto"/>
          <w:sz w:val="32"/>
          <w:szCs w:val="32"/>
        </w:rPr>
      </w:pPr>
      <w:r>
        <w:rPr>
          <w:rFonts w:ascii="Times New Roman" w:hAnsi="Times New Roman" w:eastAsia="仿宋_GB2312" w:cs="Times New Roman"/>
          <w:color w:val="auto"/>
          <w:sz w:val="32"/>
          <w:szCs w:val="32"/>
        </w:rPr>
        <w:t>2019年度全年总体支出1276.11万元，其中基本支出565.67万元，包括工资福利性支出、一般商品和服务支出、对个人和家庭的补助支出以及工作性项目支出；预算内重点项目支出710.44万元，包括远程教育、党内专题学习教育、党代表活动、干部大组工公务员网及信息网维护、干部外出培训、人才战略、干部集中培训、柔性引才用才、农民大学生培养计划、党员干部慰问、党内关怀基金、高校毕业生到基层任职补助、株洲市选派退出领导岗位干部到村任职工作、机关“五化”建设、机关支部党建活动十三个项目。</w:t>
      </w:r>
    </w:p>
    <w:p>
      <w:pPr>
        <w:spacing w:line="6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二、项目资金使用及管理情况</w:t>
      </w:r>
    </w:p>
    <w:p>
      <w:pPr>
        <w:spacing w:line="600" w:lineRule="exact"/>
        <w:ind w:firstLine="640" w:firstLineChars="200"/>
        <w:rPr>
          <w:rFonts w:ascii="Times New Roman" w:hAnsi="Times New Roman" w:eastAsia="楷体" w:cs="Times New Roman"/>
          <w:b/>
          <w:color w:val="000000" w:themeColor="text1"/>
          <w:kern w:val="0"/>
          <w:sz w:val="32"/>
          <w:szCs w:val="32"/>
        </w:rPr>
      </w:pPr>
      <w:r>
        <w:rPr>
          <w:rFonts w:ascii="Times New Roman" w:hAnsi="Times New Roman" w:eastAsia="楷体" w:cs="Times New Roman"/>
          <w:b/>
          <w:color w:val="000000" w:themeColor="text1"/>
          <w:kern w:val="0"/>
          <w:sz w:val="32"/>
          <w:szCs w:val="32"/>
        </w:rPr>
        <w:t>（一）基本支出</w:t>
      </w:r>
    </w:p>
    <w:p>
      <w:pPr>
        <w:spacing w:line="600" w:lineRule="exact"/>
        <w:ind w:firstLine="640" w:firstLineChars="200"/>
        <w:rPr>
          <w:rFonts w:ascii="Times New Roman" w:hAnsi="Times New Roman" w:eastAsia="仿宋" w:cs="Times New Roman"/>
          <w:color w:val="000000" w:themeColor="text1"/>
          <w:kern w:val="0"/>
          <w:sz w:val="32"/>
          <w:szCs w:val="32"/>
        </w:rPr>
      </w:pPr>
      <w:r>
        <w:rPr>
          <w:rFonts w:ascii="Times New Roman" w:hAnsi="Times New Roman" w:eastAsia="仿宋" w:cs="Times New Roman"/>
          <w:color w:val="000000" w:themeColor="text1"/>
          <w:kern w:val="0"/>
          <w:sz w:val="32"/>
          <w:szCs w:val="32"/>
        </w:rPr>
        <w:t>基本支出565.67万元，主要用于日常开支，其中按经济科目分类：工资福利支出365.73.万元 、商品和服务支出125.18万元、对个人和家庭的补助74.76万元。三公经费支出情况：2019年度部门预算安排“三公”经费12.3万元，实际支出8.89万元。其中公务接待费1.59万元，因公出国（境）支出7.3万元。</w:t>
      </w:r>
    </w:p>
    <w:p>
      <w:pPr>
        <w:spacing w:line="600" w:lineRule="exact"/>
        <w:ind w:firstLine="640" w:firstLineChars="200"/>
        <w:rPr>
          <w:rFonts w:ascii="Times New Roman" w:hAnsi="Times New Roman" w:eastAsia="楷体" w:cs="Times New Roman"/>
          <w:b/>
          <w:color w:val="000000" w:themeColor="text1"/>
          <w:kern w:val="0"/>
          <w:sz w:val="32"/>
          <w:szCs w:val="32"/>
        </w:rPr>
      </w:pPr>
      <w:r>
        <w:rPr>
          <w:rFonts w:ascii="Times New Roman" w:hAnsi="Times New Roman" w:eastAsia="楷体" w:cs="Times New Roman"/>
          <w:b/>
          <w:color w:val="000000" w:themeColor="text1"/>
          <w:kern w:val="0"/>
          <w:sz w:val="32"/>
          <w:szCs w:val="32"/>
        </w:rPr>
        <w:t>（二）专项支出</w:t>
      </w:r>
    </w:p>
    <w:p>
      <w:pPr>
        <w:spacing w:line="600" w:lineRule="exact"/>
        <w:ind w:firstLine="640" w:firstLineChars="200"/>
        <w:rPr>
          <w:rFonts w:ascii="Times New Roman" w:hAnsi="Times New Roman" w:eastAsia="仿宋" w:cs="Times New Roman"/>
          <w:color w:val="000000" w:themeColor="text1"/>
          <w:kern w:val="0"/>
          <w:sz w:val="32"/>
          <w:szCs w:val="32"/>
        </w:rPr>
      </w:pPr>
      <w:r>
        <w:rPr>
          <w:rFonts w:ascii="Times New Roman" w:hAnsi="Times New Roman" w:eastAsia="仿宋" w:cs="Times New Roman"/>
          <w:color w:val="000000" w:themeColor="text1"/>
          <w:kern w:val="0"/>
          <w:sz w:val="32"/>
          <w:szCs w:val="32"/>
        </w:rPr>
        <w:t>专项资金财政预算拨款4</w:t>
      </w:r>
      <w:r>
        <w:rPr>
          <w:rFonts w:hint="eastAsia" w:ascii="Times New Roman" w:hAnsi="Times New Roman" w:eastAsia="仿宋" w:cs="Times New Roman"/>
          <w:color w:val="000000" w:themeColor="text1"/>
          <w:kern w:val="0"/>
          <w:sz w:val="32"/>
          <w:szCs w:val="32"/>
          <w:lang w:val="en-US" w:eastAsia="zh-CN"/>
        </w:rPr>
        <w:t>76.32</w:t>
      </w:r>
      <w:r>
        <w:rPr>
          <w:rFonts w:ascii="Times New Roman" w:hAnsi="Times New Roman" w:eastAsia="仿宋" w:cs="Times New Roman"/>
          <w:color w:val="000000" w:themeColor="text1"/>
          <w:kern w:val="0"/>
          <w:sz w:val="32"/>
          <w:szCs w:val="32"/>
        </w:rPr>
        <w:t>万元，2019年度项目支出710.44万元(含上年结转）。</w:t>
      </w:r>
    </w:p>
    <w:p>
      <w:pPr>
        <w:spacing w:line="600" w:lineRule="exact"/>
        <w:ind w:firstLine="616" w:firstLineChars="200"/>
        <w:rPr>
          <w:rFonts w:ascii="Times New Roman" w:hAnsi="Times New Roman" w:eastAsia="仿宋" w:cs="Times New Roman"/>
          <w:color w:val="000000" w:themeColor="text1"/>
          <w:spacing w:val="-6"/>
          <w:kern w:val="0"/>
          <w:sz w:val="32"/>
          <w:szCs w:val="32"/>
        </w:rPr>
      </w:pPr>
      <w:r>
        <w:rPr>
          <w:rFonts w:ascii="Times New Roman" w:hAnsi="Times New Roman" w:eastAsia="仿宋" w:cs="Times New Roman"/>
          <w:color w:val="000000" w:themeColor="text1"/>
          <w:spacing w:val="-6"/>
          <w:kern w:val="0"/>
          <w:sz w:val="32"/>
          <w:szCs w:val="32"/>
        </w:rPr>
        <w:t>3. 按照要求，制定了市委组织部专项资金管理制度、严格执行到位。</w:t>
      </w:r>
    </w:p>
    <w:p>
      <w:pPr>
        <w:spacing w:line="6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三、项目组织实施情况</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（一）按照文件要求，办理项目竣工验收手续，确保专项资金用到实处。</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（二）制定了市委组织部项目资金管理制度、加强了日常检查监督管理，确保专项资金安全。</w:t>
      </w:r>
    </w:p>
    <w:p>
      <w:pPr>
        <w:spacing w:line="64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四、项目绩效情况</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本着经济节约为主的原则，从严控制市委组织部专项经费开支，按照预算科目和项目资金的规定使用财政资金，保障部门整体支出的规范化、制度化。</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项目支出完成后，后续政策、资金、人员机构安排和管理措施等都可以继续跟进，不会影响项目的可持续性。</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五、存在的主要问题</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预算编制与实际支出项目有的存在差异。</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六、改进措施和有关建议</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按照预算规定的项目和用途严格财务审核，经费支出严格按照预算规定项目的财务支出内容进行财务核算，在预算金额内严格控制费用的支出。</w:t>
      </w:r>
    </w:p>
    <w:p>
      <w:pPr>
        <w:spacing w:line="600" w:lineRule="exact"/>
        <w:ind w:firstLine="640" w:firstLineChars="200"/>
        <w:rPr>
          <w:rFonts w:ascii="Times New Roman" w:hAnsi="Times New Roman" w:eastAsia="仿宋" w:cs="Times New Roman"/>
          <w:kern w:val="0"/>
          <w:sz w:val="32"/>
          <w:szCs w:val="32"/>
        </w:rPr>
      </w:pPr>
    </w:p>
    <w:p>
      <w:pPr>
        <w:spacing w:line="600" w:lineRule="exact"/>
        <w:ind w:firstLine="640" w:firstLineChars="200"/>
        <w:rPr>
          <w:rFonts w:ascii="Times New Roman" w:hAnsi="Times New Roman" w:eastAsia="仿宋" w:cs="Times New Roman"/>
          <w:kern w:val="0"/>
          <w:sz w:val="32"/>
          <w:szCs w:val="32"/>
        </w:rPr>
      </w:pPr>
    </w:p>
    <w:p>
      <w:pPr>
        <w:spacing w:line="600" w:lineRule="exact"/>
        <w:rPr>
          <w:rFonts w:ascii="Times New Roman" w:hAnsi="Times New Roman" w:eastAsia="仿宋" w:cs="Times New Roman"/>
          <w:kern w:val="0"/>
          <w:sz w:val="32"/>
          <w:szCs w:val="32"/>
        </w:rPr>
      </w:pPr>
    </w:p>
    <w:p>
      <w:pPr>
        <w:spacing w:line="600" w:lineRule="exact"/>
        <w:jc w:val="center"/>
        <w:rPr>
          <w:rFonts w:ascii="Times New Roman" w:hAnsi="Times New Roman" w:eastAsia="方正小标宋简体" w:cs="Times New Roman"/>
          <w:bCs/>
          <w:kern w:val="0"/>
          <w:sz w:val="44"/>
          <w:szCs w:val="44"/>
        </w:rPr>
      </w:pPr>
    </w:p>
    <w:p>
      <w:pPr>
        <w:spacing w:line="6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2019年度市委组织部干部集中培训专项资金</w:t>
      </w:r>
    </w:p>
    <w:p>
      <w:pPr>
        <w:spacing w:line="60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bCs/>
          <w:kern w:val="0"/>
          <w:sz w:val="44"/>
          <w:szCs w:val="44"/>
        </w:rPr>
        <w:t>绩效自评报告</w:t>
      </w:r>
    </w:p>
    <w:p>
      <w:pPr>
        <w:spacing w:line="600" w:lineRule="exact"/>
        <w:ind w:firstLine="640" w:firstLineChars="200"/>
        <w:rPr>
          <w:rFonts w:ascii="Times New Roman" w:hAnsi="Times New Roman" w:eastAsia="仿宋" w:cs="Times New Roman"/>
          <w:kern w:val="0"/>
          <w:sz w:val="32"/>
          <w:szCs w:val="32"/>
        </w:rPr>
      </w:pP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一、项目概况</w:t>
      </w:r>
    </w:p>
    <w:p>
      <w:pPr>
        <w:spacing w:line="600" w:lineRule="exact"/>
        <w:ind w:firstLine="640" w:firstLineChars="200"/>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（一）项目单位基本情况。</w:t>
      </w:r>
    </w:p>
    <w:p>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醴陵市委组织部为全额拨款党群单位，主管组织、干部和人才工作。本部门主要职责是：</w:t>
      </w:r>
    </w:p>
    <w:p>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一）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r>
        <w:rPr>
          <w:rFonts w:ascii="Times New Roman" w:hAnsi="Times New Roman" w:eastAsia="微软雅黑"/>
          <w:sz w:val="31"/>
          <w:szCs w:val="31"/>
        </w:rPr>
        <w:t>.</w:t>
      </w:r>
    </w:p>
    <w:p>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二）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导。组织落实培养选拔中青年干部、妇女干部、少数民族干部、党外干部的有关工作。</w:t>
      </w:r>
    </w:p>
    <w:p>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（三）研究全市组织系统信息网络建设；负责党内统计和干部统计的工作；负责市管干部人事档案管理工作，指导全市档案管理工作。</w:t>
      </w:r>
    </w:p>
    <w:p>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pPr>
        <w:pStyle w:val="5"/>
        <w:widowControl/>
        <w:spacing w:before="0" w:beforeAutospacing="0" w:after="0" w:afterAutospacing="0" w:line="600" w:lineRule="atLeast"/>
        <w:ind w:firstLine="645"/>
        <w:rPr>
          <w:rFonts w:ascii="Times New Roman" w:hAnsi="Times New Roman" w:eastAsia="微软雅黑"/>
          <w:szCs w:val="24"/>
        </w:rPr>
      </w:pPr>
      <w:r>
        <w:rPr>
          <w:rFonts w:ascii="Times New Roman" w:hAnsi="Times New Roman" w:eastAsia="仿宋_GB2312"/>
          <w:sz w:val="31"/>
          <w:szCs w:val="31"/>
        </w:rPr>
        <w:t>（五）负责制订全市干部教育培训计划。指导、协调、检查全市干部教育工作；组织市委管理的干部和中青年干部以及组织（政工、人事）部门负责人等各级培训工作；负责上级调训干部的组织和协调。</w:t>
      </w:r>
    </w:p>
    <w:p>
      <w:pPr>
        <w:pStyle w:val="5"/>
        <w:widowControl/>
        <w:spacing w:before="0" w:beforeAutospacing="0" w:after="0" w:afterAutospacing="0" w:line="600" w:lineRule="atLeast"/>
        <w:ind w:firstLine="645"/>
        <w:rPr>
          <w:rFonts w:ascii="Times New Roman" w:hAnsi="Times New Roman" w:eastAsia="仿宋_GB2312"/>
          <w:sz w:val="31"/>
          <w:szCs w:val="31"/>
        </w:rPr>
      </w:pPr>
      <w:r>
        <w:rPr>
          <w:rFonts w:ascii="Times New Roman" w:hAnsi="Times New Roman" w:eastAsia="仿宋_GB2312"/>
          <w:sz w:val="31"/>
          <w:szCs w:val="31"/>
        </w:rPr>
        <w:t>（六）调查了解全市人才工作情况，制订或参与制订有关专业人才工作的政策；指导、协调、检查人才工作；负责市级有突出贡献专家的上报和评选工作，组织指导开展有关人才引进活动。</w:t>
      </w:r>
    </w:p>
    <w:p>
      <w:pPr>
        <w:pStyle w:val="5"/>
        <w:widowControl/>
        <w:spacing w:before="0" w:beforeAutospacing="0" w:after="0" w:afterAutospacing="0" w:line="600" w:lineRule="atLeast"/>
        <w:ind w:firstLine="645"/>
        <w:rPr>
          <w:rFonts w:ascii="Times New Roman" w:hAnsi="Times New Roman" w:eastAsia="仿宋_GB2312"/>
          <w:sz w:val="31"/>
          <w:szCs w:val="31"/>
        </w:rPr>
      </w:pPr>
      <w:r>
        <w:rPr>
          <w:rFonts w:ascii="Times New Roman" w:hAnsi="Times New Roman" w:eastAsia="仿宋_GB2312"/>
          <w:sz w:val="31"/>
          <w:szCs w:val="31"/>
        </w:rPr>
        <w:t>（七）管理全市老干部工作。</w:t>
      </w:r>
    </w:p>
    <w:p>
      <w:pPr>
        <w:pStyle w:val="5"/>
        <w:widowControl/>
        <w:spacing w:before="0" w:beforeAutospacing="0" w:after="0" w:afterAutospacing="0" w:line="600" w:lineRule="atLeast"/>
        <w:ind w:firstLine="645"/>
        <w:rPr>
          <w:rFonts w:ascii="Times New Roman" w:hAnsi="Times New Roman" w:eastAsia="仿宋_GB2312"/>
          <w:b/>
          <w:sz w:val="32"/>
          <w:szCs w:val="32"/>
        </w:rPr>
      </w:pPr>
      <w:r>
        <w:rPr>
          <w:rFonts w:ascii="Times New Roman" w:hAnsi="Times New Roman" w:eastAsia="仿宋_GB2312"/>
          <w:sz w:val="31"/>
          <w:szCs w:val="31"/>
        </w:rPr>
        <w:t>（八）指导、管理和协调党校。</w:t>
      </w:r>
    </w:p>
    <w:p>
      <w:pPr>
        <w:spacing w:line="600" w:lineRule="exact"/>
        <w:ind w:firstLine="616" w:firstLineChars="200"/>
        <w:rPr>
          <w:rFonts w:ascii="Times New Roman" w:hAnsi="Times New Roman" w:eastAsia="楷体_GB2312" w:cs="Times New Roman"/>
          <w:b/>
          <w:spacing w:val="-6"/>
          <w:kern w:val="0"/>
          <w:sz w:val="32"/>
          <w:szCs w:val="32"/>
        </w:rPr>
      </w:pPr>
      <w:r>
        <w:rPr>
          <w:rFonts w:ascii="Times New Roman" w:hAnsi="Times New Roman" w:eastAsia="楷体_GB2312" w:cs="Times New Roman"/>
          <w:b w:val="0"/>
          <w:bCs/>
          <w:spacing w:val="-6"/>
          <w:kern w:val="0"/>
          <w:sz w:val="32"/>
          <w:szCs w:val="32"/>
        </w:rPr>
        <w:t>（二）干部集中培训工作经费主要用于在市内开展的培训工作</w:t>
      </w:r>
      <w:r>
        <w:rPr>
          <w:rFonts w:ascii="Times New Roman" w:hAnsi="Times New Roman" w:eastAsia="楷体_GB2312" w:cs="Times New Roman"/>
          <w:b/>
          <w:spacing w:val="-6"/>
          <w:kern w:val="0"/>
          <w:sz w:val="32"/>
          <w:szCs w:val="32"/>
        </w:rPr>
        <w:t>。</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二、项目资金使用及管理情况</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（一）2019年度年初预算数为56万元，实际使用48万元。</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（二）按照要求，制定了干部集中培训工作经费管理制度、严格执行到位。</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三、项目组织实施情况</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（一）该专项不涉及项目招投标、调整、竣工验收等情况。</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（二）制定了干部集中培训工作经费管理制度、加强了日常检查监督管理，确保专项资金安全。</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四、项目绩效情况</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本着经济节约为主的原则，从严控制经费开支，按照预算科目和项目资金的规定使用财政资金，保障部门整体支出的规范化、制度化。</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各项培训工作高效完成。项目支出完成后，后续政策、资金、人员机构安排和管理措施等都可以继续跟进，不会影响项目的可持续性。</w:t>
      </w:r>
    </w:p>
    <w:p>
      <w:pPr>
        <w:spacing w:line="600" w:lineRule="exact"/>
        <w:ind w:firstLine="640" w:firstLineChars="200"/>
        <w:rPr>
          <w:rFonts w:ascii="Times New Roman" w:hAnsi="Times New Roman" w:eastAsia="仿宋" w:cs="Times New Roman"/>
          <w:kern w:val="0"/>
          <w:sz w:val="32"/>
          <w:szCs w:val="32"/>
        </w:rPr>
      </w:pPr>
    </w:p>
    <w:p>
      <w:pPr>
        <w:spacing w:line="600" w:lineRule="exact"/>
        <w:ind w:firstLine="640" w:firstLineChars="200"/>
        <w:rPr>
          <w:rFonts w:ascii="Times New Roman" w:hAnsi="Times New Roman" w:eastAsia="仿宋" w:cs="Times New Roman"/>
          <w:kern w:val="0"/>
          <w:sz w:val="32"/>
          <w:szCs w:val="32"/>
        </w:rPr>
      </w:pPr>
    </w:p>
    <w:p>
      <w:pPr>
        <w:spacing w:line="600" w:lineRule="exact"/>
        <w:ind w:firstLine="640" w:firstLineChars="200"/>
        <w:rPr>
          <w:rFonts w:ascii="Times New Roman" w:hAnsi="Times New Roman" w:eastAsia="仿宋" w:cs="Times New Roman"/>
          <w:kern w:val="0"/>
          <w:sz w:val="32"/>
          <w:szCs w:val="32"/>
        </w:rPr>
      </w:pPr>
    </w:p>
    <w:p>
      <w:pPr>
        <w:ind w:firstLine="640" w:firstLineChars="200"/>
        <w:jc w:val="left"/>
        <w:rPr>
          <w:rFonts w:ascii="Times New Roman" w:hAnsi="Times New Roman" w:eastAsia="仿宋" w:cs="Times New Roman"/>
          <w:kern w:val="0"/>
          <w:sz w:val="32"/>
          <w:szCs w:val="32"/>
        </w:rPr>
      </w:pPr>
    </w:p>
    <w:p>
      <w:pPr>
        <w:ind w:firstLine="640" w:firstLineChars="200"/>
        <w:jc w:val="left"/>
        <w:rPr>
          <w:rFonts w:ascii="Times New Roman" w:hAnsi="Times New Roman" w:eastAsia="仿宋" w:cs="Times New Roman"/>
          <w:kern w:val="0"/>
          <w:sz w:val="32"/>
          <w:szCs w:val="32"/>
        </w:rPr>
      </w:pPr>
    </w:p>
    <w:p>
      <w:pPr>
        <w:ind w:firstLine="640" w:firstLineChars="200"/>
        <w:jc w:val="left"/>
        <w:rPr>
          <w:rFonts w:ascii="Times New Roman" w:hAnsi="Times New Roman" w:eastAsia="仿宋" w:cs="Times New Roman"/>
          <w:kern w:val="0"/>
          <w:sz w:val="32"/>
          <w:szCs w:val="32"/>
        </w:rPr>
      </w:pPr>
    </w:p>
    <w:p>
      <w:pPr>
        <w:ind w:firstLine="640" w:firstLineChars="200"/>
        <w:jc w:val="left"/>
        <w:rPr>
          <w:rFonts w:ascii="Times New Roman" w:hAnsi="Times New Roman" w:eastAsia="仿宋" w:cs="Times New Roman"/>
          <w:kern w:val="0"/>
          <w:sz w:val="32"/>
          <w:szCs w:val="32"/>
        </w:rPr>
      </w:pPr>
    </w:p>
    <w:p>
      <w:pPr>
        <w:rPr>
          <w:rFonts w:ascii="Times New Roman" w:hAnsi="Times New Roman" w:cs="Times New Roman"/>
          <w:b/>
          <w:kern w:val="0"/>
          <w:sz w:val="32"/>
          <w:szCs w:val="32"/>
        </w:rPr>
      </w:pPr>
    </w:p>
    <w:p>
      <w:pPr>
        <w:spacing w:line="600" w:lineRule="exact"/>
        <w:jc w:val="center"/>
        <w:rPr>
          <w:rFonts w:ascii="Times New Roman" w:hAnsi="Times New Roman" w:eastAsia="方正小标宋简体" w:cs="Times New Roman"/>
          <w:bCs/>
          <w:kern w:val="0"/>
          <w:sz w:val="44"/>
          <w:szCs w:val="44"/>
        </w:rPr>
      </w:pPr>
    </w:p>
    <w:p>
      <w:pPr>
        <w:spacing w:line="6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2019年度市委组织部干部外出培训专项资金</w:t>
      </w:r>
    </w:p>
    <w:p>
      <w:pPr>
        <w:spacing w:line="60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bCs/>
          <w:kern w:val="0"/>
          <w:sz w:val="44"/>
          <w:szCs w:val="44"/>
        </w:rPr>
        <w:t>绩效自评报告</w:t>
      </w:r>
    </w:p>
    <w:p>
      <w:pPr>
        <w:spacing w:line="600" w:lineRule="exact"/>
        <w:ind w:firstLine="640" w:firstLineChars="200"/>
        <w:rPr>
          <w:rFonts w:ascii="Times New Roman" w:hAnsi="Times New Roman" w:eastAsia="仿宋" w:cs="Times New Roman"/>
          <w:kern w:val="0"/>
          <w:sz w:val="32"/>
          <w:szCs w:val="32"/>
        </w:rPr>
      </w:pP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一、项目概况</w:t>
      </w:r>
    </w:p>
    <w:p>
      <w:pPr>
        <w:spacing w:line="600" w:lineRule="exact"/>
        <w:ind w:firstLine="640" w:firstLine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（一）项目单位基本情况。</w:t>
      </w:r>
    </w:p>
    <w:p>
      <w:pPr>
        <w:pStyle w:val="5"/>
        <w:widowControl/>
        <w:spacing w:before="0" w:beforeAutospacing="0" w:after="0" w:afterAutospacing="0" w:line="600" w:lineRule="atLeast"/>
        <w:ind w:firstLine="645"/>
        <w:rPr>
          <w:rFonts w:ascii="Times New Roman" w:hAnsi="Times New Roman" w:eastAsia="仿宋_GB2312"/>
          <w:sz w:val="32"/>
          <w:szCs w:val="32"/>
        </w:rPr>
      </w:pPr>
      <w:r>
        <w:rPr>
          <w:rFonts w:ascii="Times New Roman" w:hAnsi="Times New Roman" w:eastAsia="仿宋_GB2312"/>
          <w:sz w:val="32"/>
          <w:szCs w:val="32"/>
        </w:rPr>
        <w:t>醴陵市委组织部为全额拨款党群单位，主管组织、干部和人才工作。本部门主要职责是：</w:t>
      </w:r>
    </w:p>
    <w:p>
      <w:pPr>
        <w:pStyle w:val="5"/>
        <w:widowControl/>
        <w:spacing w:before="0" w:beforeAutospacing="0" w:after="0" w:afterAutospacing="0" w:line="600" w:lineRule="atLeast"/>
        <w:ind w:firstLine="645"/>
        <w:rPr>
          <w:rFonts w:ascii="Times New Roman" w:hAnsi="Times New Roman" w:eastAsia="仿宋_GB2312"/>
          <w:sz w:val="32"/>
          <w:szCs w:val="32"/>
        </w:rPr>
      </w:pPr>
      <w:r>
        <w:rPr>
          <w:rFonts w:ascii="Times New Roman" w:hAnsi="Times New Roman" w:eastAsia="仿宋_GB2312"/>
          <w:sz w:val="32"/>
          <w:szCs w:val="32"/>
        </w:rPr>
        <w:t>（一）负责研究和指导全市党组织建设，探索党组织的设置形式和工作方式等有关问题；研究新时期党建工作；组织开展党的建设理论研究；负责党代表的联络，服务，指导工作。组织党代表开展培训，调研，视察等工作；负责党员管理和发展工作，做好党员培训工作规划落实、远教站点学用管理、农民大学生培养计划实施等工作；负责全市村级活动场所和社区建设，做好村级干部教育培训工作，负责离任村干部生活补贴的审批工作.</w:t>
      </w:r>
    </w:p>
    <w:p>
      <w:pPr>
        <w:spacing w:line="600" w:lineRule="exact"/>
        <w:ind w:firstLine="640"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z w:val="32"/>
          <w:szCs w:val="32"/>
        </w:rPr>
        <w:t>（二）负责全市干部队伍建设的宏观管理，制订全市干部、人事工作的重要政策和制度；负责市委管理的干部的考察、任免、出国（境）、离（退）休审批手续的办理；承办市委管理干部的调配、交流及转业军官安置工作；承办株洲市管干部的工资、待遇、离（退）休呈报手续；负责全市干部公开选拔工作宏观指导，承办副科级以上干部公开选拔的具体工作；负责全市党委、人大、政协、群众团体和民主党派等机关参照国家公务员制度管理的组织实施和宏观指</w:t>
      </w:r>
      <w:r>
        <w:rPr>
          <w:rFonts w:ascii="Times New Roman" w:hAnsi="Times New Roman" w:eastAsia="仿宋_GB2312" w:cs="Times New Roman"/>
          <w:spacing w:val="-6"/>
          <w:kern w:val="0"/>
          <w:sz w:val="32"/>
          <w:szCs w:val="32"/>
        </w:rPr>
        <w:t>导。组织落实培养选拔中青年干部、妇女干部、少数民族干部、党外干部的有关工作。</w:t>
      </w:r>
    </w:p>
    <w:p>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（三）研究全市组织系统信息网络建设；负责党内统计和干部统计的工作；负责市管干部人事档案管理工作，指导全市档案管理工作。</w:t>
      </w:r>
    </w:p>
    <w:p>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四）负责干部监督工作的指导和实施，负责全市组织工作和干部工作的督促检查，及时向省委组织部、株洲市委组织部和醴陵市委反映重要情况，对反映领导班子和领导干部的重要问题进行调查了解和督办；负责有关干部监督制度落实情况的督查和历史遗留问题的审查。</w:t>
      </w:r>
    </w:p>
    <w:p>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（五）负责制订全市干部教育培训计划。指导、协调、检查全市干部教育工作；组织市委管理的干部和中青年干部以及组织（政工、人事）部门负责人等各级培训工作；负责上级调训干部的组织和协调。</w:t>
      </w:r>
    </w:p>
    <w:p>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（六）调查了解全市人才工作情况，制订或参与制订有关专业人才工作的政策；指导、协调、检查人才工作；负责市级有突出贡献专家的上报和评选工作，组织指导开展有关人才引进活动。</w:t>
      </w:r>
    </w:p>
    <w:p>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（七）管理全市老干部工作。</w:t>
      </w:r>
    </w:p>
    <w:p>
      <w:pPr>
        <w:spacing w:line="600" w:lineRule="exac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（八）指导、管理和协调党校。</w:t>
      </w:r>
    </w:p>
    <w:p>
      <w:pPr>
        <w:spacing w:line="600" w:lineRule="exact"/>
        <w:ind w:firstLine="616" w:firstLineChars="200"/>
        <w:rPr>
          <w:rFonts w:ascii="Times New Roman" w:hAnsi="Times New Roman" w:eastAsia="楷体_GB2312" w:cs="Times New Roman"/>
          <w:b w:val="0"/>
          <w:bCs/>
          <w:spacing w:val="-6"/>
          <w:kern w:val="0"/>
          <w:sz w:val="32"/>
          <w:szCs w:val="32"/>
        </w:rPr>
      </w:pPr>
      <w:bookmarkStart w:id="0" w:name="_GoBack"/>
      <w:r>
        <w:rPr>
          <w:rFonts w:ascii="Times New Roman" w:hAnsi="Times New Roman" w:eastAsia="楷体_GB2312" w:cs="Times New Roman"/>
          <w:b w:val="0"/>
          <w:bCs/>
          <w:spacing w:val="-6"/>
          <w:kern w:val="0"/>
          <w:sz w:val="32"/>
          <w:szCs w:val="32"/>
        </w:rPr>
        <w:t>（二）干部外出培训工作经费主要用于在市外开展的培训工作。</w:t>
      </w:r>
    </w:p>
    <w:bookmarkEnd w:id="0"/>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二、项目资金使用及管理情况</w:t>
      </w:r>
    </w:p>
    <w:p>
      <w:pPr>
        <w:spacing w:line="600" w:lineRule="exact"/>
        <w:ind w:firstLine="640"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kern w:val="0"/>
          <w:sz w:val="32"/>
          <w:szCs w:val="32"/>
        </w:rPr>
        <w:t>（一）</w:t>
      </w:r>
      <w:r>
        <w:rPr>
          <w:rFonts w:ascii="Times New Roman" w:hAnsi="Times New Roman" w:eastAsia="仿宋_GB2312" w:cs="Times New Roman"/>
          <w:spacing w:val="-6"/>
          <w:kern w:val="0"/>
          <w:sz w:val="32"/>
          <w:szCs w:val="32"/>
        </w:rPr>
        <w:t>2019年度年初预算数为50万元，实际使用14.38万元。</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（二）按照要求，制定了干部外出培训工作经费管理制度、严格执行到位。</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三、项目组织实施情况</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（一）该专项不涉及项目招投标、调整、竣工验收等情况。</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（二）制定了干部外出培训工作经费管理制度、加强了日常检查监督管理，确保专项资金安全。</w:t>
      </w:r>
    </w:p>
    <w:p>
      <w:pPr>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四、项目绩效情况</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本着经济节约为主的原则，从严控制经费开支，按照预算科目和项目资金的规定使用财政资金，保障部门整体支出的规范化、制度化。</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各项培训工作高效完成。项目支出完成后，后续政策、资金、人员机构安排和管理措施等都可以继续跟进，不会影响项目的可持续性。</w:t>
      </w:r>
    </w:p>
    <w:p>
      <w:pPr>
        <w:rPr>
          <w:rFonts w:ascii="Times New Roman" w:hAnsi="Times New Roman" w:cs="Times New Roman"/>
          <w:b/>
          <w:kern w:val="0"/>
          <w:sz w:val="32"/>
          <w:szCs w:val="32"/>
        </w:rPr>
      </w:pPr>
    </w:p>
    <w:sectPr>
      <w:pgSz w:w="11906" w:h="16838"/>
      <w:pgMar w:top="1701"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82282"/>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4EC9D1"/>
    <w:multiLevelType w:val="singleLevel"/>
    <w:tmpl w:val="A34EC9D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229B"/>
    <w:rsid w:val="000273BD"/>
    <w:rsid w:val="000415B7"/>
    <w:rsid w:val="00041885"/>
    <w:rsid w:val="0006155F"/>
    <w:rsid w:val="000658A3"/>
    <w:rsid w:val="00074155"/>
    <w:rsid w:val="000A3F69"/>
    <w:rsid w:val="00152C6D"/>
    <w:rsid w:val="00161DBA"/>
    <w:rsid w:val="00162D39"/>
    <w:rsid w:val="00172A27"/>
    <w:rsid w:val="001A67DB"/>
    <w:rsid w:val="001D51E5"/>
    <w:rsid w:val="001F0C3B"/>
    <w:rsid w:val="00214427"/>
    <w:rsid w:val="00257CE3"/>
    <w:rsid w:val="002647E4"/>
    <w:rsid w:val="00265724"/>
    <w:rsid w:val="0027426B"/>
    <w:rsid w:val="002A26AD"/>
    <w:rsid w:val="00327B6B"/>
    <w:rsid w:val="003479BD"/>
    <w:rsid w:val="003768D5"/>
    <w:rsid w:val="0039786C"/>
    <w:rsid w:val="00416464"/>
    <w:rsid w:val="00442BAE"/>
    <w:rsid w:val="004506F9"/>
    <w:rsid w:val="004717A2"/>
    <w:rsid w:val="00477CBF"/>
    <w:rsid w:val="00491741"/>
    <w:rsid w:val="00500E5F"/>
    <w:rsid w:val="005122EF"/>
    <w:rsid w:val="00512F3F"/>
    <w:rsid w:val="00517C33"/>
    <w:rsid w:val="00523644"/>
    <w:rsid w:val="0054069E"/>
    <w:rsid w:val="005767CC"/>
    <w:rsid w:val="00590D9F"/>
    <w:rsid w:val="00595D26"/>
    <w:rsid w:val="005A74E6"/>
    <w:rsid w:val="005C6BB9"/>
    <w:rsid w:val="005D4D55"/>
    <w:rsid w:val="005E2CFB"/>
    <w:rsid w:val="0062378F"/>
    <w:rsid w:val="00651EEC"/>
    <w:rsid w:val="006A351B"/>
    <w:rsid w:val="006B0422"/>
    <w:rsid w:val="006B4379"/>
    <w:rsid w:val="006B750C"/>
    <w:rsid w:val="006C0B0E"/>
    <w:rsid w:val="006C1B53"/>
    <w:rsid w:val="006C21A7"/>
    <w:rsid w:val="006C6398"/>
    <w:rsid w:val="006D7730"/>
    <w:rsid w:val="006E5284"/>
    <w:rsid w:val="006F3EB5"/>
    <w:rsid w:val="00702E34"/>
    <w:rsid w:val="00704395"/>
    <w:rsid w:val="00720FF1"/>
    <w:rsid w:val="00796319"/>
    <w:rsid w:val="007F441D"/>
    <w:rsid w:val="00811A03"/>
    <w:rsid w:val="00812ED5"/>
    <w:rsid w:val="00821336"/>
    <w:rsid w:val="008277D9"/>
    <w:rsid w:val="00827A13"/>
    <w:rsid w:val="0086088A"/>
    <w:rsid w:val="00877A08"/>
    <w:rsid w:val="008A3E8D"/>
    <w:rsid w:val="008E48AD"/>
    <w:rsid w:val="009237C4"/>
    <w:rsid w:val="00950252"/>
    <w:rsid w:val="00967F5D"/>
    <w:rsid w:val="00993D1B"/>
    <w:rsid w:val="00996269"/>
    <w:rsid w:val="009A0F95"/>
    <w:rsid w:val="009A62CE"/>
    <w:rsid w:val="009B3ADF"/>
    <w:rsid w:val="009C3B52"/>
    <w:rsid w:val="009E0FAD"/>
    <w:rsid w:val="00A42218"/>
    <w:rsid w:val="00A64E59"/>
    <w:rsid w:val="00A70249"/>
    <w:rsid w:val="00A7776E"/>
    <w:rsid w:val="00B022AE"/>
    <w:rsid w:val="00B21204"/>
    <w:rsid w:val="00B33BEA"/>
    <w:rsid w:val="00B55464"/>
    <w:rsid w:val="00B57C9F"/>
    <w:rsid w:val="00B75F30"/>
    <w:rsid w:val="00B845B3"/>
    <w:rsid w:val="00B85D8B"/>
    <w:rsid w:val="00B9552D"/>
    <w:rsid w:val="00BC1E2F"/>
    <w:rsid w:val="00BE3674"/>
    <w:rsid w:val="00BF18BE"/>
    <w:rsid w:val="00C3049A"/>
    <w:rsid w:val="00C31B1E"/>
    <w:rsid w:val="00C77645"/>
    <w:rsid w:val="00CE04C3"/>
    <w:rsid w:val="00CE76A0"/>
    <w:rsid w:val="00D148C6"/>
    <w:rsid w:val="00D3727E"/>
    <w:rsid w:val="00DB6E50"/>
    <w:rsid w:val="00DC1771"/>
    <w:rsid w:val="00DD06FF"/>
    <w:rsid w:val="00DD5FE9"/>
    <w:rsid w:val="00E00C7A"/>
    <w:rsid w:val="00E1509D"/>
    <w:rsid w:val="00E55B68"/>
    <w:rsid w:val="00EF0590"/>
    <w:rsid w:val="00F74360"/>
    <w:rsid w:val="00FB462F"/>
    <w:rsid w:val="00FC3C00"/>
    <w:rsid w:val="00FC53B3"/>
    <w:rsid w:val="00FE16FA"/>
    <w:rsid w:val="00FE328A"/>
    <w:rsid w:val="027D074F"/>
    <w:rsid w:val="02D02898"/>
    <w:rsid w:val="084314BA"/>
    <w:rsid w:val="14724F9C"/>
    <w:rsid w:val="18FB55C5"/>
    <w:rsid w:val="192758E4"/>
    <w:rsid w:val="22F75630"/>
    <w:rsid w:val="281240C7"/>
    <w:rsid w:val="298B3C14"/>
    <w:rsid w:val="35890D16"/>
    <w:rsid w:val="382573D3"/>
    <w:rsid w:val="38F83148"/>
    <w:rsid w:val="3C267CC9"/>
    <w:rsid w:val="44C810B3"/>
    <w:rsid w:val="467B3654"/>
    <w:rsid w:val="46FE2DDC"/>
    <w:rsid w:val="49C65EF5"/>
    <w:rsid w:val="4EDB7780"/>
    <w:rsid w:val="525B169D"/>
    <w:rsid w:val="56E84F41"/>
    <w:rsid w:val="57367750"/>
    <w:rsid w:val="5CB8490C"/>
    <w:rsid w:val="5E9634AB"/>
    <w:rsid w:val="60C518EE"/>
    <w:rsid w:val="62121ABE"/>
    <w:rsid w:val="66012B27"/>
    <w:rsid w:val="6F477EED"/>
    <w:rsid w:val="724176BF"/>
    <w:rsid w:val="787709EF"/>
    <w:rsid w:val="7E3E4C14"/>
    <w:rsid w:val="7F6D4C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E0314-E7B0-447A-96A1-FE2B2D8A56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2678</Words>
  <Characters>15267</Characters>
  <Lines>127</Lines>
  <Paragraphs>35</Paragraphs>
  <TotalTime>50</TotalTime>
  <ScaleCrop>false</ScaleCrop>
  <LinksUpToDate>false</LinksUpToDate>
  <CharactersWithSpaces>17910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2020-08-31T07:54:00Z</dcterms:created>
  <dc:creator>李航 null</dc:creator>
  <cp:lastModifiedBy>Administrator</cp:lastModifiedBy>
  <cp:lastPrinted>2020-07-15T07:25:00Z</cp:lastPrinted>
  <dcterms:modified xsi:type="dcterms:W3CDTF">2020-09-02T08:03:12Z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