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eastAsia="方正小标宋简体"/>
          <w:bCs/>
          <w:color w:val="000000"/>
          <w:sz w:val="44"/>
          <w:szCs w:val="44"/>
        </w:rPr>
      </w:pPr>
      <w:r>
        <w:rPr>
          <w:rFonts w:hint="eastAsia" w:ascii="方正小标宋简体" w:eastAsia="方正小标宋简体"/>
          <w:bCs/>
          <w:sz w:val="44"/>
          <w:szCs w:val="44"/>
        </w:rPr>
        <w:t>中共株洲市石峰区委办公室</w:t>
      </w:r>
      <w:r>
        <w:rPr>
          <w:rFonts w:hint="eastAsia" w:ascii="方正小标宋简体" w:eastAsia="方正小标宋简体"/>
          <w:bCs/>
          <w:color w:val="000000"/>
          <w:sz w:val="44"/>
          <w:szCs w:val="44"/>
        </w:rPr>
        <w:t>2023年部门预算公开说明</w:t>
      </w:r>
    </w:p>
    <w:p>
      <w:pPr>
        <w:adjustRightInd w:val="0"/>
        <w:snapToGrid w:val="0"/>
        <w:spacing w:line="560" w:lineRule="exact"/>
        <w:jc w:val="left"/>
        <w:rPr>
          <w:rFonts w:hint="eastAsia" w:ascii="仿宋_GB2312" w:eastAsia="仿宋_GB2312"/>
          <w:bCs/>
          <w:sz w:val="32"/>
          <w:szCs w:val="32"/>
        </w:rPr>
      </w:pPr>
      <w:r>
        <w:rPr>
          <w:rFonts w:hint="eastAsia" w:ascii="仿宋_GB2312" w:eastAsia="仿宋_GB2312"/>
          <w:bCs/>
          <w:sz w:val="32"/>
          <w:szCs w:val="32"/>
        </w:rPr>
        <w:t xml:space="preserve"> </w:t>
      </w:r>
    </w:p>
    <w:p>
      <w:pPr>
        <w:adjustRightInd w:val="0"/>
        <w:snapToGrid w:val="0"/>
        <w:spacing w:line="560" w:lineRule="exact"/>
        <w:ind w:firstLine="640" w:firstLineChars="200"/>
        <w:jc w:val="center"/>
        <w:rPr>
          <w:rFonts w:hint="eastAsia" w:ascii="黑体" w:hAnsi="黑体" w:eastAsia="黑体"/>
          <w:bCs/>
          <w:sz w:val="32"/>
          <w:szCs w:val="32"/>
        </w:rPr>
      </w:pPr>
      <w:r>
        <w:rPr>
          <w:rFonts w:hint="eastAsia" w:ascii="黑体" w:hAnsi="黑体" w:eastAsia="黑体"/>
          <w:bCs/>
          <w:sz w:val="32"/>
          <w:szCs w:val="32"/>
        </w:rPr>
        <w:t>部门预算公开信息目录</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一、部门职能职责</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二、机构设置</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三、部门收支概况</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（一）收入预算</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（二）支出预算</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（三）预算收支增减变化情况说明</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四、其他重要事项情况说明</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（一）机关运行经费</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（二）政府采购预算</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（三）国有资产占有情况</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（四）预算绩效目标</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（五）“三公”经费预算</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（六）会议费、培训费</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（七）其他事项</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五、名词解释</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六、部门预算公开表格</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七、绩效目标申报表格</w:t>
      </w:r>
    </w:p>
    <w:p>
      <w:pPr>
        <w:adjustRightInd w:val="0"/>
        <w:snapToGrid w:val="0"/>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spacing w:line="560" w:lineRule="exact"/>
        <w:jc w:val="left"/>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spacing w:line="560" w:lineRule="exact"/>
        <w:ind w:firstLine="640" w:firstLineChars="200"/>
        <w:jc w:val="left"/>
        <w:rPr>
          <w:rFonts w:hint="eastAsia" w:ascii="黑体" w:hAnsi="黑体" w:eastAsia="黑体"/>
          <w:sz w:val="32"/>
          <w:szCs w:val="32"/>
        </w:rPr>
      </w:pPr>
    </w:p>
    <w:p>
      <w:pPr>
        <w:adjustRightInd w:val="0"/>
        <w:snapToGrid w:val="0"/>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一、部门职能职责</w:t>
      </w:r>
    </w:p>
    <w:p>
      <w:pPr>
        <w:spacing w:line="596" w:lineRule="exact"/>
        <w:ind w:firstLine="640" w:firstLineChars="200"/>
        <w:jc w:val="left"/>
        <w:rPr>
          <w:rFonts w:hint="eastAsia"/>
        </w:rPr>
      </w:pPr>
      <w:r>
        <w:rPr>
          <w:rFonts w:hint="eastAsia" w:ascii="仿宋_GB2312" w:eastAsia="仿宋_GB2312"/>
          <w:sz w:val="32"/>
          <w:szCs w:val="32"/>
        </w:rPr>
        <w:t>根据《中共株洲市委办公室株洲市人民政府办公室关于印发</w:t>
      </w:r>
      <w:r>
        <w:rPr>
          <w:rFonts w:eastAsia="仿宋_GB2312" w:cs="仿宋_GB2312"/>
          <w:sz w:val="32"/>
          <w:szCs w:val="32"/>
        </w:rPr>
        <w:t>&lt;</w:t>
      </w:r>
      <w:r>
        <w:rPr>
          <w:rFonts w:hint="eastAsia" w:ascii="仿宋_GB2312" w:eastAsia="仿宋_GB2312"/>
          <w:sz w:val="32"/>
          <w:szCs w:val="32"/>
        </w:rPr>
        <w:t>石峰区机构改革方案</w:t>
      </w:r>
      <w:r>
        <w:rPr>
          <w:rFonts w:eastAsia="仿宋_GB2312" w:cs="仿宋_GB2312"/>
          <w:sz w:val="32"/>
          <w:szCs w:val="32"/>
        </w:rPr>
        <w:t>&gt;</w:t>
      </w:r>
      <w:r>
        <w:rPr>
          <w:rFonts w:hint="eastAsia" w:ascii="仿宋_GB2312" w:eastAsia="仿宋_GB2312"/>
          <w:sz w:val="32"/>
          <w:szCs w:val="32"/>
        </w:rPr>
        <w:t>的通知》规定，本单位的主要职责：</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负责保障区委日常工作的正常运转。</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负责全区工作情况、社情民意和其他情况的收集、综合、反馈，以及重要工作、热点难点问题的调查研究，为区委科学决策提供依据</w:t>
      </w:r>
      <w:r>
        <w:rPr>
          <w:rFonts w:hint="eastAsia" w:ascii="仿宋_GB2312" w:eastAsia="仿宋_GB2312" w:cs="Arial"/>
          <w:sz w:val="32"/>
          <w:szCs w:val="32"/>
        </w:rPr>
        <w:t>。</w:t>
      </w:r>
    </w:p>
    <w:p>
      <w:pPr>
        <w:numPr>
          <w:ilvl w:val="0"/>
          <w:numId w:val="1"/>
        </w:numPr>
        <w:spacing w:line="596" w:lineRule="exact"/>
        <w:ind w:firstLine="640" w:firstLineChars="200"/>
        <w:jc w:val="left"/>
        <w:rPr>
          <w:rFonts w:eastAsia="仿宋_GB2312" w:cs="Arial"/>
          <w:sz w:val="32"/>
          <w:szCs w:val="32"/>
        </w:rPr>
      </w:pPr>
      <w:r>
        <w:rPr>
          <w:rFonts w:ascii="仿宋_GB2312" w:eastAsia="仿宋_GB2312"/>
          <w:sz w:val="32"/>
          <w:szCs w:val="32"/>
        </w:rPr>
        <w:t>负责中央、省委</w:t>
      </w:r>
      <w:r>
        <w:rPr>
          <w:rFonts w:hint="eastAsia" w:ascii="仿宋_GB2312" w:eastAsia="仿宋_GB2312"/>
          <w:sz w:val="32"/>
          <w:szCs w:val="32"/>
        </w:rPr>
        <w:t>、</w:t>
      </w:r>
      <w:r>
        <w:rPr>
          <w:rFonts w:ascii="仿宋_GB2312" w:eastAsia="仿宋_GB2312"/>
          <w:sz w:val="32"/>
          <w:szCs w:val="32"/>
        </w:rPr>
        <w:t>市委</w:t>
      </w:r>
      <w:r>
        <w:rPr>
          <w:rFonts w:hint="eastAsia" w:ascii="仿宋_GB2312" w:eastAsia="仿宋_GB2312"/>
          <w:sz w:val="32"/>
          <w:szCs w:val="32"/>
        </w:rPr>
        <w:t>和区委</w:t>
      </w:r>
      <w:r>
        <w:rPr>
          <w:rFonts w:ascii="仿宋_GB2312" w:eastAsia="仿宋_GB2312"/>
          <w:sz w:val="32"/>
          <w:szCs w:val="32"/>
        </w:rPr>
        <w:t>重大方针政策、重要工作部署和领导同志重要批示、批件贯彻落实情况的督促检查</w:t>
      </w:r>
      <w:r>
        <w:rPr>
          <w:rFonts w:hint="eastAsia" w:ascii="仿宋_GB2312" w:eastAsia="仿宋_GB2312"/>
          <w:sz w:val="32"/>
          <w:szCs w:val="32"/>
        </w:rPr>
        <w:t>。负责区委及区委各部门年度督查检查考核计划的归口审核和全区性年度督查检查考核计划的统一报批、监督实施</w:t>
      </w:r>
      <w:r>
        <w:rPr>
          <w:rFonts w:hint="eastAsia" w:ascii="仿宋_GB2312" w:eastAsia="仿宋_GB2312" w:cs="Arial"/>
          <w:sz w:val="32"/>
          <w:szCs w:val="32"/>
        </w:rPr>
        <w:t>。</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负责区委文件和区委领导工作报告、讲话文稿的起草、校核、印发工作。</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负责区委会议的服务工作和区委领导参加的重大活动的协调安排</w:t>
      </w:r>
      <w:r>
        <w:rPr>
          <w:rFonts w:hint="eastAsia" w:ascii="仿宋_GB2312" w:eastAsia="仿宋_GB2312" w:cs="Arial"/>
          <w:sz w:val="32"/>
          <w:szCs w:val="32"/>
        </w:rPr>
        <w:t>。</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负责以区委名义向市委请示报告工作的归口、把关工作；负责统筹、指导、督促全区党组织重大事项报告工作</w:t>
      </w:r>
      <w:r>
        <w:rPr>
          <w:rFonts w:ascii="仿宋_GB2312" w:eastAsia="仿宋_GB2312" w:cs="Arial"/>
          <w:sz w:val="32"/>
          <w:szCs w:val="32"/>
        </w:rPr>
        <w:t>。</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负责规定范围内的密码电报、内部明电等的传输、办理工作；负责全区密码通信设备、设施的维护和管理；负责全区密码管理工作；负责区委保密委员会办公室日常工作。</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负责全区党内规范性文件的审核、备案、清理</w:t>
      </w:r>
      <w:r>
        <w:rPr>
          <w:rFonts w:hint="eastAsia" w:ascii="仿宋_GB2312" w:eastAsia="仿宋_GB2312" w:cs="Arial"/>
          <w:sz w:val="32"/>
          <w:szCs w:val="32"/>
        </w:rPr>
        <w:t>。</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cs="Arial"/>
          <w:sz w:val="32"/>
          <w:szCs w:val="32"/>
        </w:rPr>
        <w:t>负责组织、协调、指导和实施区“五问工作法”考核、绩效评估工作。</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cs="Arial"/>
          <w:sz w:val="32"/>
          <w:szCs w:val="32"/>
        </w:rPr>
        <w:t>负责区委全面深化改革委员会、区委财经委员会的组织联络和日常事务工作。</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管理区档案馆，</w:t>
      </w:r>
      <w:r>
        <w:rPr>
          <w:rFonts w:ascii="仿宋_GB2312" w:eastAsia="仿宋_GB2312"/>
          <w:sz w:val="32"/>
          <w:szCs w:val="32"/>
        </w:rPr>
        <w:t>并对其应履行的职责进行指导监督</w:t>
      </w:r>
      <w:r>
        <w:rPr>
          <w:rFonts w:hint="eastAsia" w:ascii="仿宋_GB2312" w:eastAsia="仿宋_GB2312" w:cs="Arial"/>
          <w:sz w:val="32"/>
          <w:szCs w:val="32"/>
        </w:rPr>
        <w:t>。</w:t>
      </w:r>
    </w:p>
    <w:p>
      <w:pPr>
        <w:numPr>
          <w:ilvl w:val="0"/>
          <w:numId w:val="1"/>
        </w:numPr>
        <w:spacing w:line="596" w:lineRule="exact"/>
        <w:ind w:firstLine="645"/>
        <w:textAlignment w:val="baseline"/>
        <w:rPr>
          <w:rFonts w:eastAsia="仿宋_GB2312"/>
          <w:sz w:val="32"/>
          <w:szCs w:val="32"/>
        </w:rPr>
      </w:pPr>
      <w:r>
        <w:rPr>
          <w:rFonts w:hint="eastAsia" w:ascii="仿宋_GB2312" w:eastAsia="仿宋_GB2312"/>
          <w:sz w:val="32"/>
          <w:szCs w:val="32"/>
        </w:rPr>
        <w:t>负责全区外事工作的规范性文件和发展规划；负责重要外宾的来访接待；负责全区涉外活动的组织管理、联络协调，涉外事件的处理；负责审核全区因公出国有关工作职能。</w:t>
      </w:r>
    </w:p>
    <w:p>
      <w:pPr>
        <w:numPr>
          <w:ilvl w:val="0"/>
          <w:numId w:val="1"/>
        </w:numPr>
        <w:spacing w:line="596" w:lineRule="exact"/>
        <w:ind w:firstLine="645"/>
        <w:textAlignment w:val="baseline"/>
        <w:rPr>
          <w:rFonts w:eastAsia="仿宋_GB2312"/>
          <w:sz w:val="32"/>
          <w:szCs w:val="32"/>
        </w:rPr>
      </w:pPr>
      <w:r>
        <w:rPr>
          <w:rFonts w:hint="eastAsia" w:ascii="仿宋_GB2312" w:eastAsia="仿宋_GB2312"/>
          <w:sz w:val="32"/>
          <w:szCs w:val="32"/>
        </w:rPr>
        <w:t>负责全区港澳工作的规范性文件和发展规划；负责港澳同胞的来访接待；负责全区涉港澳活动的组织管理、联络协调，涉港澳事件的处理；负责审核全区因公赴港澳等有关工作职能。</w:t>
      </w:r>
    </w:p>
    <w:p>
      <w:pPr>
        <w:numPr>
          <w:ilvl w:val="0"/>
          <w:numId w:val="1"/>
        </w:numPr>
        <w:spacing w:line="596" w:lineRule="exact"/>
        <w:ind w:firstLine="645"/>
        <w:textAlignment w:val="baseline"/>
        <w:rPr>
          <w:rFonts w:eastAsia="仿宋_GB2312"/>
          <w:sz w:val="32"/>
          <w:szCs w:val="32"/>
        </w:rPr>
      </w:pPr>
      <w:r>
        <w:rPr>
          <w:rFonts w:hint="eastAsia" w:ascii="仿宋_GB2312" w:eastAsia="仿宋_GB2312"/>
          <w:sz w:val="32"/>
          <w:szCs w:val="32"/>
        </w:rPr>
        <w:t>负责全区对台经贸、对台交流合作、对台接待、对台宣传、对台联络的组织、指导、协调、检查和督促，负责赴台人员登记、涉台事件处理等工作职能。</w:t>
      </w:r>
    </w:p>
    <w:p>
      <w:pPr>
        <w:numPr>
          <w:ilvl w:val="0"/>
          <w:numId w:val="1"/>
        </w:numPr>
        <w:spacing w:line="596" w:lineRule="exact"/>
        <w:ind w:firstLine="640" w:firstLineChars="200"/>
        <w:jc w:val="left"/>
        <w:rPr>
          <w:rFonts w:eastAsia="仿宋_GB2312" w:cs="Arial"/>
          <w:sz w:val="32"/>
          <w:szCs w:val="32"/>
        </w:rPr>
      </w:pPr>
      <w:r>
        <w:rPr>
          <w:rFonts w:hint="eastAsia" w:ascii="仿宋_GB2312" w:hAnsi="Arial" w:eastAsia="仿宋_GB2312"/>
          <w:sz w:val="32"/>
          <w:szCs w:val="32"/>
        </w:rPr>
        <w:t>负责全区政务内网规划、建设和管理；</w:t>
      </w:r>
      <w:r>
        <w:rPr>
          <w:rFonts w:hint="eastAsia" w:ascii="仿宋_GB2312" w:eastAsia="仿宋_GB2312"/>
          <w:sz w:val="32"/>
          <w:szCs w:val="32"/>
        </w:rPr>
        <w:t>负责电子公文管理工作，协同做好党政机关电子公文系统安全可靠应用推进。</w:t>
      </w:r>
    </w:p>
    <w:p>
      <w:pPr>
        <w:numPr>
          <w:ilvl w:val="0"/>
          <w:numId w:val="1"/>
        </w:numPr>
        <w:spacing w:line="596" w:lineRule="exact"/>
        <w:ind w:firstLine="640" w:firstLineChars="200"/>
        <w:jc w:val="left"/>
        <w:rPr>
          <w:rFonts w:hint="eastAsia" w:eastAsia="仿宋_GB2312" w:cs="Arial"/>
          <w:sz w:val="32"/>
          <w:szCs w:val="32"/>
        </w:rPr>
      </w:pPr>
      <w:r>
        <w:rPr>
          <w:rFonts w:hint="eastAsia" w:ascii="仿宋_GB2312" w:eastAsia="仿宋_GB2312"/>
          <w:sz w:val="32"/>
          <w:szCs w:val="32"/>
        </w:rPr>
        <w:t>负责全区办公室系统工作协调和业务指导工作</w:t>
      </w:r>
      <w:r>
        <w:rPr>
          <w:rFonts w:hint="eastAsia" w:ascii="仿宋_GB2312" w:eastAsia="仿宋_GB2312" w:cs="Arial"/>
          <w:sz w:val="32"/>
          <w:szCs w:val="32"/>
        </w:rPr>
        <w:t>。</w:t>
      </w:r>
    </w:p>
    <w:p>
      <w:pPr>
        <w:numPr>
          <w:ilvl w:val="0"/>
          <w:numId w:val="1"/>
        </w:numPr>
        <w:spacing w:line="596" w:lineRule="exact"/>
        <w:ind w:firstLine="640" w:firstLineChars="200"/>
        <w:jc w:val="left"/>
        <w:rPr>
          <w:rFonts w:eastAsia="仿宋_GB2312" w:cs="Arial"/>
          <w:sz w:val="32"/>
          <w:szCs w:val="32"/>
        </w:rPr>
      </w:pPr>
      <w:r>
        <w:rPr>
          <w:rFonts w:hint="eastAsia" w:ascii="仿宋_GB2312" w:eastAsia="仿宋_GB2312"/>
          <w:sz w:val="32"/>
          <w:szCs w:val="32"/>
        </w:rPr>
        <w:t>负责落实区委和上级党委办公室交办的其他任务。</w:t>
      </w:r>
    </w:p>
    <w:p>
      <w:pPr>
        <w:adjustRightInd w:val="0"/>
        <w:snapToGrid w:val="0"/>
        <w:spacing w:line="560" w:lineRule="exact"/>
        <w:ind w:firstLine="640" w:firstLineChars="200"/>
        <w:jc w:val="left"/>
        <w:rPr>
          <w:rFonts w:ascii="黑体" w:hAnsi="黑体" w:eastAsia="黑体"/>
          <w:color w:val="000000"/>
          <w:sz w:val="32"/>
          <w:szCs w:val="32"/>
        </w:rPr>
      </w:pPr>
      <w:r>
        <w:rPr>
          <w:rFonts w:hint="eastAsia" w:ascii="黑体" w:hAnsi="黑体" w:eastAsia="黑体"/>
          <w:color w:val="000000"/>
          <w:sz w:val="32"/>
          <w:szCs w:val="32"/>
        </w:rPr>
        <w:t>二、机构设置</w:t>
      </w:r>
    </w:p>
    <w:p>
      <w:pPr>
        <w:adjustRightInd w:val="0"/>
        <w:snapToGrid w:val="0"/>
        <w:spacing w:line="560" w:lineRule="exact"/>
        <w:ind w:firstLine="640" w:firstLineChars="200"/>
        <w:rPr>
          <w:rFonts w:hint="eastAsia" w:eastAsia="仿宋_GB2312"/>
          <w:sz w:val="32"/>
          <w:szCs w:val="32"/>
        </w:rPr>
      </w:pPr>
      <w:r>
        <w:rPr>
          <w:rFonts w:hint="eastAsia" w:eastAsia="仿宋_GB2312"/>
          <w:bCs/>
          <w:color w:val="000000"/>
          <w:sz w:val="32"/>
          <w:szCs w:val="32"/>
        </w:rPr>
        <w:t xml:space="preserve"> </w:t>
      </w:r>
      <w:r>
        <w:rPr>
          <w:rFonts w:hint="eastAsia" w:ascii="仿宋_GB2312" w:eastAsia="仿宋_GB2312"/>
          <w:color w:val="000000"/>
          <w:sz w:val="32"/>
          <w:szCs w:val="32"/>
        </w:rPr>
        <w:t>本部门共有编制人数 21 人，实有人数 21 人。内设科室5个，分别为：</w:t>
      </w:r>
      <w:r>
        <w:rPr>
          <w:rFonts w:hint="eastAsia" w:ascii="仿宋_GB2312" w:eastAsia="仿宋_GB2312"/>
          <w:sz w:val="32"/>
          <w:szCs w:val="32"/>
        </w:rPr>
        <w:t>（一）督查室、（二）综调和信息室、（三）秘书室（区委总值班室）、（四）机要室（保密室）、（五）外事港澳台室。</w:t>
      </w:r>
    </w:p>
    <w:p>
      <w:pPr>
        <w:adjustRightInd w:val="0"/>
        <w:snapToGrid w:val="0"/>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本部门无下属二级预算单位。</w:t>
      </w:r>
    </w:p>
    <w:p>
      <w:pPr>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三、 部门收支概况</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2023年部门预算编报范围包括局机关及所属二级预算单位，无所属二级预算单位。收入包括一般公共预算收入、政府性基金收入、事业单位经营服务等收入；支出既包括保障局机关及直属单位基本运行的经费，也包括归口管理、面向全区分配的专项经费。</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（一）收入预算：</w:t>
      </w:r>
      <w:r>
        <w:rPr>
          <w:rFonts w:hint="eastAsia" w:ascii="仿宋_GB2312" w:eastAsia="仿宋_GB2312"/>
          <w:color w:val="000000"/>
          <w:sz w:val="32"/>
          <w:szCs w:val="32"/>
        </w:rPr>
        <w:t>2023年年初预算数500.89万元，其中，一般公共预算拨款500.89万元；政府性基金拨款0万元；财政专户管理的非税收入拨款0万元；其他收入0万元。(因上年结转数暂未最终确定，本年度收支预算中均不含上年结转数字)</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（二）支出预算：</w:t>
      </w:r>
      <w:r>
        <w:rPr>
          <w:rFonts w:hint="eastAsia" w:ascii="仿宋_GB2312" w:eastAsia="仿宋_GB2312"/>
          <w:color w:val="000000"/>
          <w:sz w:val="32"/>
          <w:szCs w:val="32"/>
        </w:rPr>
        <w:t>2023年年初预算数500.89万元，其中，一般公共服务支出500.89万元。</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具体安排如下：</w:t>
      </w:r>
    </w:p>
    <w:p>
      <w:pPr>
        <w:adjustRightInd w:val="0"/>
        <w:snapToGrid w:val="0"/>
        <w:spacing w:line="560" w:lineRule="exact"/>
        <w:ind w:firstLine="643"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1.基本支出：</w:t>
      </w: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年年初预算数为368.44万元，是指为保障单位机构正常运转、完成日常工作任务而发生的各项支出，包括用于基本工资、津贴补贴等人员经费以及日常公用经费、业务性商品和服务支出。其中包括工资福利支出299.67万元、一般商品和服务支出51.25万元、对个人和家庭的补助17.52万元等。</w:t>
      </w:r>
    </w:p>
    <w:p>
      <w:pPr>
        <w:adjustRightInd w:val="0"/>
        <w:snapToGrid w:val="0"/>
        <w:spacing w:line="560" w:lineRule="exact"/>
        <w:ind w:firstLine="643" w:firstLineChars="200"/>
        <w:jc w:val="left"/>
        <w:rPr>
          <w:rFonts w:hint="eastAsia" w:ascii="仿宋_GB2312" w:eastAsia="仿宋_GB2312"/>
          <w:color w:val="000000"/>
          <w:sz w:val="32"/>
          <w:szCs w:val="32"/>
        </w:rPr>
      </w:pPr>
      <w:r>
        <w:rPr>
          <w:rFonts w:hint="eastAsia" w:ascii="仿宋_GB2312" w:eastAsia="仿宋_GB2312"/>
          <w:b/>
          <w:color w:val="000000"/>
          <w:sz w:val="32"/>
          <w:szCs w:val="32"/>
        </w:rPr>
        <w:t>2.项目支出：</w:t>
      </w:r>
      <w:r>
        <w:rPr>
          <w:rFonts w:hint="eastAsia" w:ascii="仿宋_GB2312" w:eastAsia="仿宋_GB2312"/>
          <w:color w:val="000000"/>
          <w:sz w:val="32"/>
          <w:szCs w:val="32"/>
        </w:rPr>
        <w:t>2023年年初预算数为132.45万元，是指单位为完成特定行政工作任务或事业发展目标而发生的支出，包括有关事业发展专项、基本建设支出、资本性支出等。其中：</w:t>
      </w:r>
    </w:p>
    <w:p>
      <w:pPr>
        <w:adjustRightInd w:val="0"/>
        <w:snapToGrid w:val="0"/>
        <w:spacing w:line="560" w:lineRule="exact"/>
        <w:ind w:firstLine="640" w:firstLineChars="200"/>
        <w:jc w:val="left"/>
        <w:rPr>
          <w:rFonts w:hint="eastAsia" w:ascii="仿宋_GB2312" w:eastAsia="仿宋_GB2312"/>
          <w:color w:val="000000"/>
          <w:sz w:val="32"/>
          <w:szCs w:val="32"/>
          <w:lang w:eastAsia="zh-CN"/>
        </w:rPr>
      </w:pPr>
      <w:r>
        <w:rPr>
          <w:rFonts w:hint="eastAsia" w:ascii="仿宋_GB2312" w:eastAsia="仿宋_GB2312"/>
          <w:color w:val="000000"/>
          <w:sz w:val="32"/>
          <w:szCs w:val="32"/>
        </w:rPr>
        <w:t>（1）业务性专项专项36万元。主要用于区委会议支出、宣传改革经费</w:t>
      </w:r>
      <w:r>
        <w:rPr>
          <w:rFonts w:hint="eastAsia" w:ascii="仿宋_GB2312" w:eastAsia="仿宋_GB2312"/>
          <w:color w:val="000000"/>
          <w:sz w:val="32"/>
          <w:szCs w:val="32"/>
          <w:lang w:eastAsia="zh-CN"/>
        </w:rPr>
        <w:t>。</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（2）档案馆经费18万元。主要用于石峰年鉴编撰、档案信息化扫描。</w:t>
      </w:r>
    </w:p>
    <w:p>
      <w:pPr>
        <w:pStyle w:val="2"/>
        <w:tabs>
          <w:tab w:val="left" w:pos="840"/>
        </w:tabs>
        <w:rPr>
          <w:rFonts w:hint="eastAsia" w:ascii="仿宋_GB2312" w:eastAsia="仿宋_GB2312"/>
          <w:sz w:val="32"/>
          <w:szCs w:val="32"/>
        </w:rPr>
      </w:pPr>
      <w:r>
        <w:rPr>
          <w:rFonts w:hint="eastAsia" w:ascii="仿宋_GB2312" w:eastAsia="仿宋_GB2312"/>
        </w:rPr>
        <w:tab/>
      </w:r>
      <w:r>
        <w:rPr>
          <w:rFonts w:hint="eastAsia" w:ascii="仿宋_GB2312" w:eastAsia="仿宋_GB2312"/>
          <w:sz w:val="32"/>
          <w:szCs w:val="32"/>
        </w:rPr>
        <w:t>（3）机要保密经费57万元。主要用于通信二级（二期）建设项目、国家安全工作等。</w:t>
      </w:r>
    </w:p>
    <w:p>
      <w:pPr>
        <w:pStyle w:val="2"/>
        <w:ind w:firstLine="640" w:firstLineChars="200"/>
        <w:rPr>
          <w:rFonts w:hint="eastAsia" w:eastAsia="仿宋_GB2312"/>
          <w:lang w:val="en-US" w:eastAsia="zh-CN"/>
        </w:rPr>
      </w:pPr>
      <w:r>
        <w:rPr>
          <w:rFonts w:hint="eastAsia" w:ascii="仿宋_GB2312" w:eastAsia="仿宋_GB2312"/>
          <w:color w:val="000000"/>
          <w:sz w:val="32"/>
          <w:szCs w:val="32"/>
          <w:lang w:val="en-US" w:eastAsia="zh-CN"/>
        </w:rPr>
        <w:t>（4）提退人员经费21.45万元。</w:t>
      </w:r>
      <w:r>
        <w:rPr>
          <w:rFonts w:hint="eastAsia" w:ascii="仿宋_GB2312" w:eastAsia="仿宋_GB2312"/>
          <w:sz w:val="32"/>
          <w:szCs w:val="32"/>
        </w:rPr>
        <w:t>主要</w:t>
      </w:r>
      <w:r>
        <w:rPr>
          <w:rFonts w:hint="eastAsia" w:ascii="仿宋_GB2312" w:eastAsia="仿宋_GB2312"/>
          <w:sz w:val="32"/>
          <w:szCs w:val="32"/>
          <w:lang w:eastAsia="zh-CN"/>
        </w:rPr>
        <w:t>提前退休人员的工资、奖金等发放。</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（三）预算收支增减变化情况说明：</w:t>
      </w:r>
      <w:r>
        <w:rPr>
          <w:rFonts w:hint="eastAsia" w:ascii="仿宋_GB2312" w:eastAsia="仿宋_GB2312"/>
          <w:color w:val="000000"/>
          <w:sz w:val="32"/>
          <w:szCs w:val="32"/>
        </w:rPr>
        <w:t>202</w:t>
      </w:r>
      <w:r>
        <w:rPr>
          <w:rFonts w:ascii="仿宋_GB2312" w:eastAsia="仿宋_GB2312"/>
          <w:color w:val="000000"/>
          <w:sz w:val="32"/>
          <w:szCs w:val="32"/>
        </w:rPr>
        <w:t>3</w:t>
      </w:r>
      <w:r>
        <w:rPr>
          <w:rFonts w:hint="eastAsia" w:ascii="仿宋_GB2312" w:eastAsia="仿宋_GB2312"/>
          <w:color w:val="000000"/>
          <w:sz w:val="32"/>
          <w:szCs w:val="32"/>
        </w:rPr>
        <w:t>年度本单位年初预算数为500.89万元，比上年增加61.56万元，主要原因是职能</w:t>
      </w:r>
      <w:r>
        <w:rPr>
          <w:rFonts w:ascii="仿宋_GB2312" w:eastAsia="仿宋_GB2312"/>
          <w:color w:val="000000"/>
          <w:sz w:val="32"/>
          <w:szCs w:val="32"/>
        </w:rPr>
        <w:t>增加</w:t>
      </w:r>
      <w:r>
        <w:rPr>
          <w:rFonts w:hint="eastAsia" w:ascii="仿宋_GB2312" w:eastAsia="仿宋_GB2312"/>
          <w:color w:val="000000"/>
          <w:sz w:val="32"/>
          <w:szCs w:val="32"/>
        </w:rPr>
        <w:t>。</w:t>
      </w:r>
    </w:p>
    <w:p>
      <w:pPr>
        <w:pStyle w:val="2"/>
        <w:rPr>
          <w:rFonts w:hint="default" w:eastAsia="仿宋_GB2312"/>
          <w:lang w:val="en-US" w:eastAsia="zh-CN"/>
        </w:rPr>
      </w:pPr>
      <w:r>
        <w:rPr>
          <w:rFonts w:hint="eastAsia" w:ascii="仿宋_GB2312" w:eastAsia="仿宋_GB2312"/>
          <w:color w:val="000000"/>
          <w:sz w:val="32"/>
          <w:szCs w:val="32"/>
          <w:lang w:val="en-US" w:eastAsia="zh-CN"/>
        </w:rPr>
        <w:t xml:space="preserve">     </w:t>
      </w:r>
    </w:p>
    <w:p>
      <w:pPr>
        <w:adjustRightInd w:val="0"/>
        <w:snapToGrid w:val="0"/>
        <w:spacing w:line="560" w:lineRule="exact"/>
        <w:ind w:firstLine="640" w:firstLineChars="200"/>
        <w:jc w:val="left"/>
        <w:rPr>
          <w:rFonts w:hint="eastAsia" w:ascii="黑体" w:hAnsi="黑体" w:eastAsia="黑体"/>
          <w:color w:val="000000"/>
          <w:sz w:val="32"/>
          <w:szCs w:val="32"/>
        </w:rPr>
      </w:pPr>
      <w:r>
        <w:rPr>
          <w:rFonts w:hint="eastAsia" w:ascii="黑体" w:hAnsi="黑体" w:eastAsia="黑体"/>
          <w:color w:val="000000"/>
          <w:sz w:val="32"/>
          <w:szCs w:val="32"/>
        </w:rPr>
        <w:t>四、其他重要事项情况说明</w:t>
      </w:r>
    </w:p>
    <w:p>
      <w:pPr>
        <w:ind w:firstLine="480" w:firstLineChars="150"/>
      </w:pPr>
      <w:r>
        <w:rPr>
          <w:rFonts w:hint="eastAsia" w:ascii="楷体_GB2312" w:eastAsia="楷体_GB2312"/>
          <w:bCs/>
          <w:color w:val="000000"/>
          <w:sz w:val="32"/>
          <w:szCs w:val="32"/>
        </w:rPr>
        <w:t>（一）机关运行经费：</w:t>
      </w:r>
      <w:r>
        <w:rPr>
          <w:rFonts w:hint="eastAsia" w:ascii="仿宋_GB2312" w:eastAsia="仿宋_GB2312"/>
          <w:color w:val="000000"/>
          <w:sz w:val="32"/>
          <w:szCs w:val="32"/>
        </w:rPr>
        <w:t>本部门2023年年初预算机关运行经费(一般商品和服务支出)安排51.25万元，比上年度预算减少7.3万元，</w:t>
      </w:r>
      <w:r>
        <w:rPr>
          <w:rFonts w:hint="eastAsia" w:ascii="仿宋_GB2312" w:eastAsia="仿宋_GB2312"/>
          <w:bCs/>
          <w:color w:val="000000"/>
          <w:sz w:val="32"/>
          <w:szCs w:val="32"/>
        </w:rPr>
        <w:t>减少的主要：原因是</w:t>
      </w:r>
      <w:r>
        <w:rPr>
          <w:rFonts w:hint="eastAsia" w:ascii="仿宋_GB2312" w:eastAsia="仿宋_GB2312"/>
          <w:color w:val="000000"/>
          <w:sz w:val="32"/>
          <w:szCs w:val="32"/>
        </w:rPr>
        <w:t>厉行节约，减少公用支出。</w:t>
      </w:r>
    </w:p>
    <w:p>
      <w:pPr>
        <w:adjustRightInd w:val="0"/>
        <w:snapToGrid w:val="0"/>
        <w:spacing w:line="560" w:lineRule="exact"/>
        <w:ind w:firstLine="640" w:firstLineChars="200"/>
        <w:jc w:val="left"/>
        <w:rPr>
          <w:rFonts w:hint="eastAsia" w:ascii="仿宋_GB2312" w:eastAsia="仿宋_GB2312"/>
          <w:color w:val="000000"/>
          <w:sz w:val="32"/>
          <w:szCs w:val="32"/>
          <w:lang w:val="en-US" w:eastAsia="zh-CN"/>
        </w:rPr>
      </w:pPr>
      <w:r>
        <w:rPr>
          <w:rFonts w:hint="eastAsia" w:ascii="楷体_GB2312" w:eastAsia="楷体_GB2312"/>
          <w:bCs/>
          <w:color w:val="000000"/>
          <w:sz w:val="32"/>
          <w:szCs w:val="32"/>
        </w:rPr>
        <w:t>（二)政府采购预算：</w:t>
      </w:r>
      <w:r>
        <w:rPr>
          <w:rFonts w:hint="eastAsia" w:ascii="仿宋_GB2312" w:eastAsia="仿宋_GB2312"/>
          <w:color w:val="000000"/>
          <w:sz w:val="32"/>
          <w:szCs w:val="32"/>
        </w:rPr>
        <w:t>2023年年初预算数为</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万元。包含：</w:t>
      </w:r>
      <w:r>
        <w:rPr>
          <w:rFonts w:hint="eastAsia" w:ascii="仿宋_GB2312" w:eastAsia="仿宋_GB2312"/>
          <w:color w:val="000000"/>
          <w:sz w:val="32"/>
          <w:szCs w:val="32"/>
          <w:lang w:eastAsia="zh-CN"/>
        </w:rPr>
        <w:t>办公用品购置、印刷费</w:t>
      </w:r>
      <w:r>
        <w:rPr>
          <w:rFonts w:hint="eastAsia" w:ascii="仿宋_GB2312" w:eastAsia="仿宋_GB2312"/>
          <w:color w:val="000000"/>
          <w:sz w:val="32"/>
          <w:szCs w:val="32"/>
        </w:rPr>
        <w:t>等</w:t>
      </w:r>
      <w:r>
        <w:rPr>
          <w:rFonts w:hint="eastAsia" w:ascii="仿宋_GB2312" w:eastAsia="仿宋_GB2312"/>
          <w:color w:val="000000"/>
          <w:sz w:val="32"/>
          <w:szCs w:val="32"/>
          <w:lang w:val="en-US" w:eastAsia="zh-CN"/>
        </w:rPr>
        <w:t>,为货物类采购预算。</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楷体_GB2312" w:eastAsia="楷体_GB2312"/>
          <w:bCs/>
          <w:color w:val="000000"/>
          <w:sz w:val="32"/>
          <w:szCs w:val="32"/>
        </w:rPr>
        <w:t>（三）国有资产占有情况：</w:t>
      </w:r>
      <w:r>
        <w:rPr>
          <w:rFonts w:hint="eastAsia" w:ascii="仿宋_GB2312" w:eastAsia="仿宋_GB2312"/>
          <w:color w:val="000000"/>
          <w:sz w:val="32"/>
          <w:szCs w:val="32"/>
        </w:rPr>
        <w:t>截止2022年12月31日，本部门共有办公及业务用房 0 平方米；车辆 0 辆，其中一般公务用车0辆、一般执法执勤用车0辆、货币化用车0辆；单位价值200万以上大型设备 0 套。2022年部门预算安排购置车辆0 辆，预算安排购置价值200万以上大型设备 0 套。</w:t>
      </w:r>
    </w:p>
    <w:p>
      <w:pPr>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（四）预算绩效目标：</w:t>
      </w:r>
      <w:r>
        <w:rPr>
          <w:rFonts w:hint="eastAsia" w:ascii="仿宋_GB2312" w:eastAsia="仿宋_GB2312"/>
          <w:color w:val="000000"/>
          <w:sz w:val="32"/>
          <w:szCs w:val="32"/>
        </w:rPr>
        <w:t>本部门整体支出和项目支出实行绩效目标管理，纳入2023年部门整体支出绩效目标的金额为 500.89万元，其中，基本支出368.44 万元，项目支出 132.45万元（具体详见绩效目标表）。</w:t>
      </w:r>
      <w:r>
        <w:rPr>
          <w:rFonts w:hint="eastAsia" w:eastAsia="仿宋_GB2312"/>
          <w:color w:val="000000"/>
          <w:sz w:val="32"/>
          <w:szCs w:val="32"/>
        </w:rPr>
        <w:t xml:space="preserve"> </w:t>
      </w:r>
    </w:p>
    <w:p>
      <w:pPr>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（五）“三公”经费预算：</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2023年“三公”经费预算数0万元，其中：公务接待费0万元、公务用车购置费0万元，公务用车运行费0万元、因公出国（境）费0万元。2022年公务用车购置数0台。</w:t>
      </w:r>
    </w:p>
    <w:p>
      <w:pPr>
        <w:adjustRightInd w:val="0"/>
        <w:snapToGrid w:val="0"/>
        <w:spacing w:line="560" w:lineRule="exact"/>
        <w:ind w:firstLine="640" w:firstLineChars="200"/>
        <w:jc w:val="left"/>
        <w:rPr>
          <w:rFonts w:hint="eastAsia" w:ascii="楷体_GB2312" w:eastAsia="楷体_GB2312"/>
          <w:bCs/>
          <w:color w:val="000000"/>
          <w:sz w:val="32"/>
          <w:szCs w:val="32"/>
        </w:rPr>
      </w:pPr>
      <w:r>
        <w:rPr>
          <w:rFonts w:hint="eastAsia" w:ascii="楷体_GB2312" w:eastAsia="楷体_GB2312"/>
          <w:bCs/>
          <w:color w:val="000000"/>
          <w:sz w:val="32"/>
          <w:szCs w:val="32"/>
        </w:rPr>
        <w:t>（六）会议费、培训费预算：</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2023年预算安排会议费</w:t>
      </w:r>
      <w:r>
        <w:rPr>
          <w:rFonts w:hint="eastAsia" w:ascii="仿宋_GB2312" w:eastAsia="仿宋_GB2312"/>
          <w:color w:val="000000"/>
          <w:sz w:val="32"/>
          <w:szCs w:val="32"/>
          <w:lang w:val="en-US" w:eastAsia="zh-CN"/>
        </w:rPr>
        <w:t>26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，主要用于区委全会、党务工作会、常委会等，计划参与人数</w:t>
      </w:r>
      <w:r>
        <w:rPr>
          <w:rFonts w:hint="eastAsia" w:ascii="仿宋_GB2312" w:eastAsia="仿宋_GB2312"/>
          <w:color w:val="000000"/>
          <w:sz w:val="32"/>
          <w:szCs w:val="32"/>
          <w:lang w:val="en-US" w:eastAsia="zh-CN"/>
        </w:rPr>
        <w:t>3000人</w:t>
      </w:r>
      <w:r>
        <w:rPr>
          <w:rFonts w:hint="eastAsia" w:ascii="仿宋_GB2312" w:eastAsia="仿宋_GB2312"/>
          <w:color w:val="000000"/>
          <w:sz w:val="32"/>
          <w:szCs w:val="32"/>
        </w:rPr>
        <w:t>。</w:t>
      </w:r>
    </w:p>
    <w:p>
      <w:pPr>
        <w:adjustRightInd w:val="0"/>
        <w:snapToGrid w:val="0"/>
        <w:spacing w:line="5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2023年预算安排培训费0万元。</w:t>
      </w:r>
    </w:p>
    <w:p>
      <w:pPr>
        <w:adjustRightInd w:val="0"/>
        <w:snapToGrid w:val="0"/>
        <w:spacing w:line="560" w:lineRule="exact"/>
        <w:ind w:firstLine="640" w:firstLineChars="200"/>
        <w:jc w:val="left"/>
        <w:rPr>
          <w:rFonts w:hint="eastAsia" w:ascii="仿宋_GB2312" w:eastAsia="仿宋_GB2312"/>
          <w:b/>
          <w:bCs/>
          <w:color w:val="000000"/>
          <w:sz w:val="32"/>
          <w:szCs w:val="32"/>
        </w:rPr>
      </w:pPr>
      <w:r>
        <w:rPr>
          <w:rFonts w:hint="eastAsia" w:ascii="楷体_GB2312" w:eastAsia="楷体_GB2312"/>
          <w:bCs/>
          <w:color w:val="000000"/>
          <w:sz w:val="32"/>
          <w:szCs w:val="32"/>
        </w:rPr>
        <w:t>（七）其他事项。</w:t>
      </w:r>
      <w:r>
        <w:rPr>
          <w:rFonts w:ascii="仿宋_GB2312" w:eastAsia="仿宋_GB2312"/>
          <w:sz w:val="32"/>
          <w:szCs w:val="32"/>
        </w:rPr>
        <w:t>公开表格中的空白表格，均为本部门不涉及的内容，如政府性基金预算表、</w:t>
      </w:r>
      <w:r>
        <w:rPr>
          <w:rFonts w:hint="eastAsia" w:ascii="仿宋_GB2312" w:eastAsia="仿宋_GB2312"/>
          <w:sz w:val="32"/>
          <w:szCs w:val="32"/>
        </w:rPr>
        <w:t>财政专户管理资金预算支出表</w:t>
      </w:r>
      <w:r>
        <w:rPr>
          <w:rFonts w:ascii="仿宋_GB2312" w:eastAsia="仿宋_GB2312"/>
          <w:sz w:val="32"/>
          <w:szCs w:val="32"/>
        </w:rPr>
        <w:t>，以及其他金额为零的相关事项等。</w:t>
      </w:r>
    </w:p>
    <w:p>
      <w:pPr>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 </w:t>
      </w:r>
    </w:p>
    <w:p>
      <w:pPr>
        <w:adjustRightInd w:val="0"/>
        <w:snapToGrid w:val="0"/>
        <w:spacing w:line="56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 xml:space="preserve"> </w:t>
      </w:r>
    </w:p>
    <w:p>
      <w:pPr>
        <w:adjustRightInd w:val="0"/>
        <w:snapToGrid w:val="0"/>
        <w:spacing w:line="560" w:lineRule="exact"/>
        <w:ind w:firstLine="643" w:firstLineChars="200"/>
        <w:jc w:val="left"/>
        <w:rPr>
          <w:rFonts w:hint="eastAsia" w:ascii="仿宋_GB2312" w:eastAsia="仿宋_GB2312"/>
          <w:b/>
          <w:bCs/>
          <w:sz w:val="32"/>
          <w:szCs w:val="32"/>
        </w:rPr>
      </w:pPr>
    </w:p>
    <w:p>
      <w:pPr>
        <w:adjustRightInd w:val="0"/>
        <w:snapToGrid w:val="0"/>
        <w:spacing w:line="560" w:lineRule="exact"/>
        <w:jc w:val="left"/>
        <w:rPr>
          <w:rFonts w:hint="eastAsia" w:ascii="仿宋_GB2312" w:eastAsia="仿宋_GB2312"/>
          <w:b/>
          <w:bCs/>
          <w:sz w:val="32"/>
          <w:szCs w:val="32"/>
        </w:rPr>
      </w:pPr>
      <w:bookmarkStart w:id="0" w:name="_GoBack"/>
      <w:bookmarkEnd w:id="0"/>
    </w:p>
    <w:p>
      <w:pPr>
        <w:adjustRightInd w:val="0"/>
        <w:snapToGrid w:val="0"/>
        <w:spacing w:line="56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名词解释：</w:t>
      </w:r>
    </w:p>
    <w:p>
      <w:pPr>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1.一般公共预算:</w:t>
      </w:r>
      <w:r>
        <w:rPr>
          <w:rFonts w:hint="eastAsia" w:ascii="仿宋_GB2312"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2.政府性基金预算:</w:t>
      </w:r>
      <w:r>
        <w:rPr>
          <w:rFonts w:hint="eastAsia" w:ascii="仿宋_GB2312"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 xml:space="preserve">3.国有资本经营预算: </w:t>
      </w:r>
      <w:r>
        <w:rPr>
          <w:rFonts w:hint="eastAsia" w:ascii="仿宋_GB2312" w:eastAsia="仿宋_GB2312"/>
          <w:sz w:val="32"/>
          <w:szCs w:val="32"/>
        </w:rPr>
        <w:t>是对国有资本收益作出支出安排的收支预算。应当按照收支平衡的原则编制，不列赤字，并安排资金调入一般公共预算。</w:t>
      </w:r>
    </w:p>
    <w:p>
      <w:pPr>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4.社会保险基金预算:</w:t>
      </w:r>
      <w:r>
        <w:rPr>
          <w:rFonts w:hint="eastAsia" w:ascii="仿宋_GB2312"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5.基本支出：</w:t>
      </w:r>
      <w:r>
        <w:rPr>
          <w:rFonts w:hint="eastAsia" w:ascii="仿宋_GB2312" w:eastAsia="仿宋_GB2312"/>
          <w:sz w:val="32"/>
          <w:szCs w:val="32"/>
        </w:rPr>
        <w:t>指为保障机构正常运转、完成日常工作任务而发生的人员支出和公用支出。</w:t>
      </w:r>
    </w:p>
    <w:p>
      <w:pPr>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6.项目支出：</w:t>
      </w:r>
      <w:r>
        <w:rPr>
          <w:rFonts w:hint="eastAsia" w:ascii="仿宋_GB2312" w:eastAsia="仿宋_GB2312"/>
          <w:sz w:val="32"/>
          <w:szCs w:val="32"/>
        </w:rPr>
        <w:t>指在基本支出之外为完成特定行政任务和事业发展目标所发生的支出。</w:t>
      </w:r>
    </w:p>
    <w:p>
      <w:pPr>
        <w:adjustRightInd w:val="0"/>
        <w:snapToGrid w:val="0"/>
        <w:spacing w:line="560" w:lineRule="exact"/>
        <w:ind w:firstLine="643" w:firstLineChars="200"/>
        <w:jc w:val="left"/>
        <w:rPr>
          <w:rFonts w:hint="eastAsia" w:ascii="仿宋_GB2312" w:eastAsia="仿宋_GB2312"/>
          <w:sz w:val="32"/>
          <w:szCs w:val="32"/>
          <w:lang w:eastAsia="zh-CN"/>
        </w:rPr>
      </w:pPr>
      <w:r>
        <w:rPr>
          <w:rFonts w:hint="eastAsia" w:ascii="仿宋_GB2312" w:eastAsia="仿宋_GB2312"/>
          <w:b/>
          <w:sz w:val="32"/>
          <w:szCs w:val="32"/>
        </w:rPr>
        <w:t>7.“三公”经费：</w:t>
      </w:r>
      <w:r>
        <w:rPr>
          <w:rFonts w:hint="eastAsia" w:ascii="仿宋_GB2312" w:eastAsia="仿宋_GB2312"/>
          <w:sz w:val="32"/>
          <w:szCs w:val="32"/>
        </w:rPr>
        <w:t>是指商品和服务支出中的因公出国（境）费用、公务用车购置及运行维护费和公务接待费。</w:t>
      </w:r>
    </w:p>
    <w:p>
      <w:pPr>
        <w:adjustRightInd w:val="0"/>
        <w:snapToGrid w:val="0"/>
        <w:spacing w:line="560" w:lineRule="exact"/>
        <w:ind w:firstLine="643" w:firstLineChars="200"/>
        <w:jc w:val="left"/>
        <w:rPr>
          <w:rFonts w:hint="eastAsia" w:ascii="仿宋_GB2312" w:eastAsia="仿宋_GB2312"/>
          <w:sz w:val="32"/>
          <w:szCs w:val="32"/>
        </w:rPr>
      </w:pPr>
      <w:r>
        <w:rPr>
          <w:rFonts w:hint="eastAsia" w:ascii="仿宋_GB2312" w:eastAsia="仿宋_GB2312"/>
          <w:b/>
          <w:sz w:val="32"/>
          <w:szCs w:val="32"/>
        </w:rPr>
        <w:t>8.机关运行经费：</w:t>
      </w:r>
      <w:r>
        <w:rPr>
          <w:rFonts w:hint="eastAsia" w:ascii="仿宋_GB2312" w:eastAsia="仿宋_GB2312"/>
          <w:sz w:val="32"/>
          <w:szCs w:val="32"/>
        </w:rPr>
        <w:t>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 </w:t>
      </w:r>
    </w:p>
    <w:p>
      <w:pPr>
        <w:rPr>
          <w:rFonts w:hint="eastAsia"/>
        </w:rPr>
      </w:pPr>
      <w: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B556D2"/>
    <w:multiLevelType w:val="multilevel"/>
    <w:tmpl w:val="7AB556D2"/>
    <w:lvl w:ilvl="0" w:tentative="0">
      <w:start w:val="1"/>
      <w:numFmt w:val="chineseCounting"/>
      <w:suff w:val="nothing"/>
      <w:lvlText w:val="（%1）"/>
      <w:lvlJc w:val="left"/>
      <w:pPr>
        <w:ind w:left="0" w:firstLine="0"/>
      </w:pPr>
      <w:rPr>
        <w:rFonts w:hint="eastAsia" w:ascii="宋体" w:hAnsi="宋体" w:eastAsia="宋体"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M4NWM4NGNkNjZkMzhmOTMwOGQxZDdmN2IxODY3ZmEifQ=="/>
  </w:docVars>
  <w:rsids>
    <w:rsidRoot w:val="00D516A4"/>
    <w:rsid w:val="00434397"/>
    <w:rsid w:val="00950561"/>
    <w:rsid w:val="00B81710"/>
    <w:rsid w:val="00CD1009"/>
    <w:rsid w:val="00D516A4"/>
    <w:rsid w:val="00FA2C8E"/>
    <w:rsid w:val="033849BE"/>
    <w:rsid w:val="0A043ECB"/>
    <w:rsid w:val="0AA4296C"/>
    <w:rsid w:val="0C3548B9"/>
    <w:rsid w:val="3EF07105"/>
    <w:rsid w:val="3F2F164B"/>
    <w:rsid w:val="586620C8"/>
    <w:rsid w:val="59D65AAE"/>
    <w:rsid w:val="64861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5"/>
    <w:semiHidden/>
    <w:unhideWhenUsed/>
    <w:qFormat/>
    <w:uiPriority w:val="99"/>
    <w:pPr>
      <w:snapToGrid w:val="0"/>
      <w:jc w:val="left"/>
    </w:pPr>
    <w:rPr>
      <w:sz w:val="18"/>
      <w:szCs w:val="18"/>
    </w:rPr>
  </w:style>
  <w:style w:type="character" w:customStyle="1" w:styleId="5">
    <w:name w:val="脚注文本 字符"/>
    <w:basedOn w:val="4"/>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2975</Words>
  <Characters>3125</Characters>
  <Lines>22</Lines>
  <Paragraphs>6</Paragraphs>
  <TotalTime>0</TotalTime>
  <ScaleCrop>false</ScaleCrop>
  <LinksUpToDate>false</LinksUpToDate>
  <CharactersWithSpaces>3161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2023-01-30T02:56:00Z</dcterms:created>
  <dc:creator>Admin</dc:creator>
  <cp:lastModifiedBy>Administrator</cp:lastModifiedBy>
  <dcterms:modified xsi:type="dcterms:W3CDTF">2023-04-06T03:45:21Z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702829657BE34E89955DD7A14ECB0202</vt:lpwstr>
  </property>
</Properties>
</file>