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eastAsia" w:ascii="仿宋_GB2312" w:eastAsia="仿宋_GB2312"/>
          <w:bCs/>
          <w:sz w:val="32"/>
          <w:szCs w:val="32"/>
        </w:rPr>
      </w:pPr>
    </w:p>
    <w:p>
      <w:pPr>
        <w:tabs>
          <w:tab w:val="left" w:pos="7560"/>
        </w:tabs>
        <w:adjustRightInd w:val="0"/>
        <w:snapToGrid w:val="0"/>
        <w:spacing w:line="560" w:lineRule="exact"/>
        <w:jc w:val="center"/>
        <w:rPr>
          <w:rFonts w:hint="eastAsia" w:ascii="方正小标宋简体" w:eastAsia="方正小标宋简体"/>
          <w:bCs/>
          <w:color w:val="000000"/>
          <w:sz w:val="44"/>
          <w:szCs w:val="44"/>
        </w:rPr>
      </w:pPr>
      <w:r>
        <w:rPr>
          <w:rFonts w:eastAsia="方正小标宋简体"/>
          <w:bCs/>
          <w:sz w:val="44"/>
          <w:szCs w:val="44"/>
        </w:rPr>
        <w:t>株洲市石峰区</w:t>
      </w:r>
      <w:r>
        <w:rPr>
          <w:rFonts w:eastAsia="方正小标宋简体"/>
          <w:bCs/>
          <w:sz w:val="44"/>
          <w:szCs w:val="44"/>
          <w:lang w:val="en-US"/>
        </w:rPr>
        <w:t>政府办</w:t>
      </w:r>
      <w:r>
        <w:rPr>
          <w:rFonts w:hint="eastAsia" w:ascii="方正小标宋简体" w:eastAsia="方正小标宋简体"/>
          <w:bCs/>
          <w:color w:val="000000"/>
          <w:sz w:val="44"/>
          <w:szCs w:val="44"/>
          <w:lang w:val="en-US" w:eastAsia="zh-CN"/>
        </w:rPr>
        <w:t>2023</w:t>
      </w:r>
      <w:r>
        <w:rPr>
          <w:rFonts w:hint="eastAsia" w:ascii="方正小标宋简体" w:eastAsia="方正小标宋简体"/>
          <w:bCs/>
          <w:color w:val="000000"/>
          <w:sz w:val="44"/>
          <w:szCs w:val="44"/>
        </w:rPr>
        <w:t>年部门预算公开说明</w:t>
      </w:r>
    </w:p>
    <w:p>
      <w:pPr>
        <w:tabs>
          <w:tab w:val="left" w:pos="7560"/>
        </w:tabs>
        <w:adjustRightInd w:val="0"/>
        <w:snapToGrid w:val="0"/>
        <w:spacing w:line="560" w:lineRule="exact"/>
        <w:jc w:val="left"/>
        <w:rPr>
          <w:rFonts w:hint="eastAsia" w:ascii="仿宋_GB2312" w:eastAsia="仿宋_GB2312"/>
          <w:bCs/>
          <w:sz w:val="32"/>
          <w:szCs w:val="32"/>
        </w:rPr>
      </w:pPr>
    </w:p>
    <w:p>
      <w:pPr>
        <w:tabs>
          <w:tab w:val="left" w:pos="7560"/>
        </w:tabs>
        <w:adjustRightInd w:val="0"/>
        <w:snapToGrid w:val="0"/>
        <w:spacing w:line="560" w:lineRule="exact"/>
        <w:ind w:firstLine="640" w:firstLineChars="200"/>
        <w:jc w:val="center"/>
        <w:rPr>
          <w:rFonts w:hint="eastAsia" w:ascii="黑体" w:hAnsi="黑体" w:eastAsia="黑体" w:cs="黑体"/>
          <w:bCs/>
          <w:sz w:val="32"/>
          <w:szCs w:val="32"/>
        </w:rPr>
      </w:pPr>
      <w:r>
        <w:rPr>
          <w:rFonts w:hint="eastAsia" w:ascii="黑体" w:hAnsi="黑体" w:eastAsia="黑体" w:cs="黑体"/>
          <w:bCs/>
          <w:sz w:val="32"/>
          <w:szCs w:val="32"/>
        </w:rPr>
        <w:t>部门预算公开信息目录</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一、部门职能职责</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三、部门收支概况</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（一）收入预算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eastAsia="仿宋_GB2312"/>
          <w:sz w:val="32"/>
          <w:szCs w:val="32"/>
        </w:rPr>
        <w:t>（</w:t>
      </w:r>
      <w:r>
        <w:rPr>
          <w:rFonts w:hint="eastAsia" w:ascii="仿宋_GB2312" w:hAnsi="仿宋_GB2312" w:eastAsia="仿宋_GB2312" w:cs="仿宋_GB2312"/>
          <w:sz w:val="32"/>
          <w:szCs w:val="32"/>
        </w:rPr>
        <w:t>二）支出预算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（三）预算收支增减变化情况说明</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四、其他重要事项情况说明</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（一）机关运行经费</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（二）政府采购预算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（三）国有资产占有情况</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（四）预算绩效目标</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（五）“三公”经费预算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（六）会议费、培训费</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（七）其他事项</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五、名词解释</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六、部门预算公开表格</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七、绩效目标申报表格</w:t>
      </w:r>
    </w:p>
    <w:p>
      <w:pPr>
        <w:tabs>
          <w:tab w:val="left" w:pos="7560"/>
        </w:tabs>
        <w:adjustRightInd w:val="0"/>
        <w:snapToGrid w:val="0"/>
        <w:spacing w:line="560" w:lineRule="exact"/>
        <w:jc w:val="left"/>
        <w:rPr>
          <w:rFonts w:hint="eastAsia" w:ascii="仿宋_GB2312" w:hAnsi="仿宋_GB2312" w:eastAsia="仿宋_GB2312" w:cs="仿宋_GB2312"/>
          <w:sz w:val="32"/>
          <w:szCs w:val="32"/>
        </w:rPr>
      </w:pPr>
    </w:p>
    <w:p>
      <w:pPr>
        <w:tabs>
          <w:tab w:val="left" w:pos="7560"/>
        </w:tabs>
        <w:adjustRightInd w:val="0"/>
        <w:snapToGrid w:val="0"/>
        <w:spacing w:line="560" w:lineRule="exact"/>
        <w:jc w:val="left"/>
        <w:rPr>
          <w:rFonts w:hint="eastAsia" w:ascii="仿宋_GB2312" w:hAnsi="仿宋_GB2312" w:eastAsia="仿宋_GB2312" w:cs="仿宋_GB2312"/>
          <w:sz w:val="32"/>
          <w:szCs w:val="32"/>
        </w:rPr>
      </w:pPr>
    </w:p>
    <w:p>
      <w:pPr>
        <w:tabs>
          <w:tab w:val="left" w:pos="7560"/>
        </w:tabs>
        <w:adjustRightInd w:val="0"/>
        <w:snapToGrid w:val="0"/>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一、部门职能职责</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株洲市石峰区人民政府办公室（以下简称政府办）的主要职责是：</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（一）协助区政府领导组织起草和审核以区政府、区政府办公室名义发布的文件，起草区政府领导讲话材料。</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（二）受理承办政府工作部门和街道办事处对区政府的请示，提出初步意见，并按程序审批。</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（三）负责区政府会务工作，协助区政府领导组织实施会议决定的事项。</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（四）根据区政府领导的指示或办理公文的需要，协调区政府有关部门的关系，对相关问题提出处理意见，报区政府有关领导，并按程序进行决定。</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（五）负责对国务院、省、市、区政府重要决定、决策和区政府领导有关指示的执行落实情况进行督查并跟踪调研，及时向区政府领导报告。</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（六）根据区政府领导的指示和区政府的工作部署，对涉及全区经济建设、社会发展和改革开放等全局性工作的重大课题进行调查研究，及时反映情况，提出对策建议；指导、协调全区政府系统的调研工作。</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（七）负责收集、整理、传递、上报政务信息，为区政府领导决策和指导工作服务。</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（八）负责区政府值班工作，及时向区政府领导报告重要情况，协助处理政府工作部门和街道办事处向区政府反映的重要问题，传达和督促落实区政府领导指示。</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（九）负责全区优化经济发展环境工作有关职责。</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（十）负责推进、指导、协调、监督全区政府信息公开工作。</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承办区政府有关公务活动和公务接待工作。</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color w:val="000000"/>
          <w:sz w:val="32"/>
          <w:szCs w:val="32"/>
        </w:rPr>
        <w:t>完成区委、区政府交办的其他事项</w:t>
      </w:r>
      <w:r>
        <w:rPr>
          <w:rFonts w:hint="eastAsia" w:ascii="宋体" w:hAnsi="宋体"/>
          <w:bCs/>
          <w:kern w:val="0"/>
          <w:sz w:val="32"/>
          <w:szCs w:val="32"/>
        </w:rPr>
        <w:t>。</w:t>
      </w:r>
    </w:p>
    <w:p>
      <w:pPr>
        <w:tabs>
          <w:tab w:val="left" w:pos="7560"/>
        </w:tabs>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bCs/>
          <w:color w:val="000000"/>
          <w:sz w:val="32"/>
          <w:szCs w:val="32"/>
        </w:rPr>
        <w:t> </w:t>
      </w:r>
      <w:r>
        <w:rPr>
          <w:rFonts w:hint="eastAsia" w:ascii="仿宋_GB2312" w:eastAsia="仿宋_GB2312"/>
          <w:color w:val="000000"/>
          <w:sz w:val="32"/>
          <w:szCs w:val="32"/>
        </w:rPr>
        <w:t>本部门共有编制人数</w:t>
      </w:r>
      <w:r>
        <w:rPr>
          <w:rFonts w:hint="default" w:ascii="仿宋_GB2312" w:eastAsia="仿宋_GB2312"/>
          <w:color w:val="000000"/>
          <w:sz w:val="32"/>
          <w:szCs w:val="32"/>
          <w:lang w:val="en-US"/>
        </w:rPr>
        <w:t>2</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21个行政编、6个事业编</w:t>
      </w:r>
      <w:r>
        <w:rPr>
          <w:rFonts w:hint="eastAsia" w:ascii="仿宋_GB2312" w:eastAsia="仿宋_GB2312"/>
          <w:color w:val="000000"/>
          <w:sz w:val="32"/>
          <w:szCs w:val="32"/>
          <w:lang w:eastAsia="zh-CN"/>
        </w:rPr>
        <w:t>）</w:t>
      </w:r>
      <w:r>
        <w:rPr>
          <w:rFonts w:hint="eastAsia" w:ascii="仿宋_GB2312" w:eastAsia="仿宋_GB2312"/>
          <w:color w:val="000000"/>
          <w:sz w:val="32"/>
          <w:szCs w:val="32"/>
        </w:rPr>
        <w:t>，实有人数</w:t>
      </w:r>
      <w:r>
        <w:rPr>
          <w:rFonts w:hint="default" w:ascii="仿宋_GB2312" w:eastAsia="仿宋_GB2312"/>
          <w:color w:val="000000"/>
          <w:sz w:val="32"/>
          <w:szCs w:val="32"/>
          <w:lang w:val="en-US"/>
        </w:rPr>
        <w:t>27</w:t>
      </w:r>
      <w:r>
        <w:rPr>
          <w:rFonts w:hint="eastAsia" w:ascii="仿宋_GB2312" w:eastAsia="仿宋_GB2312"/>
          <w:color w:val="000000"/>
          <w:sz w:val="32"/>
          <w:szCs w:val="32"/>
        </w:rPr>
        <w:t>人。内设科室</w:t>
      </w:r>
      <w:r>
        <w:rPr>
          <w:rFonts w:hint="default" w:ascii="仿宋_GB2312" w:eastAsia="仿宋_GB2312"/>
          <w:color w:val="000000"/>
          <w:sz w:val="32"/>
          <w:szCs w:val="32"/>
          <w:lang w:val="en-US"/>
        </w:rPr>
        <w:t>4</w:t>
      </w:r>
      <w:r>
        <w:rPr>
          <w:rFonts w:hint="eastAsia" w:ascii="仿宋_GB2312" w:eastAsia="仿宋_GB2312"/>
          <w:color w:val="000000"/>
          <w:sz w:val="32"/>
          <w:szCs w:val="32"/>
        </w:rPr>
        <w:t>个</w:t>
      </w:r>
      <w:r>
        <w:rPr>
          <w:rFonts w:hint="default" w:ascii="仿宋_GB2312" w:eastAsia="仿宋_GB2312"/>
          <w:color w:val="000000"/>
          <w:sz w:val="32"/>
          <w:szCs w:val="32"/>
          <w:lang w:val="en-US"/>
        </w:rPr>
        <w:t>。</w:t>
      </w:r>
      <w:r>
        <w:rPr>
          <w:rFonts w:hint="eastAsia" w:ascii="仿宋_GB2312" w:eastAsia="仿宋_GB2312"/>
          <w:color w:val="000000"/>
          <w:sz w:val="32"/>
          <w:szCs w:val="32"/>
        </w:rPr>
        <w:t>分别为：综合室、调研室、督查室（对外称石峰区政府督查室）、文电室</w:t>
      </w:r>
      <w:r>
        <w:rPr>
          <w:rFonts w:hint="eastAsia" w:ascii="仿宋_GB2312"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本部门包含下属二级预算单位</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 xml:space="preserve"> 个</w:t>
      </w:r>
      <w:r>
        <w:rPr>
          <w:rFonts w:hint="eastAsia" w:ascii="仿宋_GB2312"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 部门收支概况</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年部门预算编报范围</w:t>
      </w:r>
      <w:r>
        <w:rPr>
          <w:rFonts w:hint="default" w:ascii="仿宋_GB2312" w:eastAsia="仿宋_GB2312"/>
          <w:color w:val="000000"/>
          <w:sz w:val="32"/>
          <w:szCs w:val="32"/>
          <w:lang w:val="en-US"/>
        </w:rPr>
        <w:t>为</w:t>
      </w:r>
      <w:r>
        <w:rPr>
          <w:rFonts w:hint="eastAsia" w:ascii="仿宋_GB2312" w:eastAsia="仿宋_GB2312"/>
          <w:color w:val="000000"/>
          <w:sz w:val="32"/>
          <w:szCs w:val="32"/>
        </w:rPr>
        <w:t>局机关</w:t>
      </w:r>
      <w:r>
        <w:rPr>
          <w:rFonts w:hint="default" w:ascii="仿宋_GB2312" w:eastAsia="仿宋_GB2312"/>
          <w:color w:val="000000"/>
          <w:sz w:val="32"/>
          <w:szCs w:val="32"/>
          <w:lang w:val="en-US"/>
        </w:rPr>
        <w:t>，无下</w:t>
      </w:r>
      <w:r>
        <w:rPr>
          <w:rFonts w:hint="eastAsia" w:ascii="仿宋_GB2312" w:eastAsia="仿宋_GB2312"/>
          <w:color w:val="000000"/>
          <w:sz w:val="32"/>
          <w:szCs w:val="32"/>
        </w:rPr>
        <w:t>属二级预算单位。收入包括一般公共预算收入、政府性基金收入、事业单位经营服务等收入；支出既包括保障局机关及直属单位基本运行的经费，也包括归口管理、面向全</w:t>
      </w:r>
      <w:r>
        <w:rPr>
          <w:rFonts w:hint="eastAsia" w:ascii="仿宋_GB2312" w:eastAsia="仿宋_GB2312"/>
          <w:color w:val="000000"/>
          <w:sz w:val="32"/>
          <w:szCs w:val="32"/>
          <w:lang w:eastAsia="zh-CN"/>
        </w:rPr>
        <w:t>区</w:t>
      </w:r>
      <w:r>
        <w:rPr>
          <w:rFonts w:hint="eastAsia" w:ascii="仿宋_GB2312" w:eastAsia="仿宋_GB2312"/>
          <w:color w:val="000000"/>
          <w:sz w:val="32"/>
          <w:szCs w:val="32"/>
        </w:rPr>
        <w:t>分配的专项经费。</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（一）收入预算：</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年年初预算数</w:t>
      </w:r>
      <w:r>
        <w:rPr>
          <w:rFonts w:hint="default" w:ascii="仿宋_GB2312" w:eastAsia="仿宋_GB2312"/>
          <w:color w:val="000000"/>
          <w:sz w:val="32"/>
          <w:szCs w:val="32"/>
          <w:lang w:val="en-US"/>
        </w:rPr>
        <w:t>718.46</w:t>
      </w:r>
      <w:r>
        <w:rPr>
          <w:rFonts w:hint="eastAsia" w:ascii="仿宋_GB2312" w:eastAsia="仿宋_GB2312"/>
          <w:color w:val="000000"/>
          <w:sz w:val="32"/>
          <w:szCs w:val="32"/>
        </w:rPr>
        <w:t>万元，其中，一般公共预算拨款</w:t>
      </w:r>
      <w:r>
        <w:rPr>
          <w:rFonts w:hint="default" w:ascii="仿宋_GB2312" w:eastAsia="仿宋_GB2312"/>
          <w:color w:val="000000"/>
          <w:sz w:val="32"/>
          <w:szCs w:val="32"/>
          <w:lang w:val="en-US"/>
        </w:rPr>
        <w:t>718.46</w:t>
      </w:r>
      <w:r>
        <w:rPr>
          <w:rFonts w:hint="eastAsia" w:ascii="仿宋_GB2312" w:eastAsia="仿宋_GB2312"/>
          <w:color w:val="000000"/>
          <w:sz w:val="32"/>
          <w:szCs w:val="32"/>
        </w:rPr>
        <w:t>万元；政府性基金拨款</w:t>
      </w:r>
      <w:r>
        <w:rPr>
          <w:rFonts w:hint="default" w:ascii="仿宋_GB2312" w:eastAsia="仿宋_GB2312"/>
          <w:color w:val="000000"/>
          <w:sz w:val="32"/>
          <w:szCs w:val="32"/>
          <w:lang w:val="en-US"/>
        </w:rPr>
        <w:t>0</w:t>
      </w:r>
      <w:r>
        <w:rPr>
          <w:rFonts w:hint="eastAsia" w:ascii="仿宋_GB2312" w:eastAsia="仿宋_GB2312"/>
          <w:color w:val="000000"/>
          <w:sz w:val="32"/>
          <w:szCs w:val="32"/>
        </w:rPr>
        <w:t>万元；财政专户管理的非税收入拨款</w:t>
      </w:r>
      <w:r>
        <w:rPr>
          <w:rFonts w:hint="default" w:ascii="仿宋_GB2312" w:eastAsia="仿宋_GB2312"/>
          <w:color w:val="000000"/>
          <w:sz w:val="32"/>
          <w:szCs w:val="32"/>
          <w:lang w:val="en-US"/>
        </w:rPr>
        <w:t>0</w:t>
      </w:r>
      <w:r>
        <w:rPr>
          <w:rFonts w:hint="eastAsia" w:ascii="仿宋_GB2312" w:eastAsia="仿宋_GB2312"/>
          <w:color w:val="000000"/>
          <w:sz w:val="32"/>
          <w:szCs w:val="32"/>
        </w:rPr>
        <w:t>万元；其他收入</w:t>
      </w:r>
      <w:r>
        <w:rPr>
          <w:rFonts w:hint="default" w:ascii="仿宋_GB2312" w:eastAsia="仿宋_GB2312"/>
          <w:color w:val="000000"/>
          <w:sz w:val="32"/>
          <w:szCs w:val="32"/>
          <w:lang w:val="en-US"/>
        </w:rPr>
        <w:t>0</w:t>
      </w:r>
      <w:r>
        <w:rPr>
          <w:rFonts w:hint="eastAsia" w:ascii="仿宋_GB2312" w:eastAsia="仿宋_GB2312"/>
          <w:color w:val="000000"/>
          <w:sz w:val="32"/>
          <w:szCs w:val="32"/>
        </w:rPr>
        <w:t>万元。(因上年结转数暂未最终确定，本年度收支预算中均不含上年结转数字)</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highlight w:val="none"/>
          <w:lang w:eastAsia="zh-CN"/>
        </w:rPr>
      </w:pPr>
      <w:r>
        <w:rPr>
          <w:rFonts w:hint="eastAsia" w:ascii="楷体_GB2312" w:eastAsia="楷体_GB2312"/>
          <w:bCs/>
          <w:color w:val="000000"/>
          <w:sz w:val="32"/>
          <w:szCs w:val="32"/>
        </w:rPr>
        <w:t>（二）支出预算：</w:t>
      </w:r>
      <w:r>
        <w:rPr>
          <w:rFonts w:hint="default" w:ascii="仿宋_GB2312" w:eastAsia="仿宋_GB2312"/>
          <w:color w:val="000000"/>
          <w:sz w:val="32"/>
          <w:szCs w:val="32"/>
          <w:lang w:val="en-US"/>
        </w:rPr>
        <w:t>2023</w:t>
      </w:r>
      <w:r>
        <w:rPr>
          <w:rFonts w:hint="eastAsia" w:ascii="仿宋_GB2312" w:eastAsia="仿宋_GB2312"/>
          <w:color w:val="000000"/>
          <w:sz w:val="32"/>
          <w:szCs w:val="32"/>
        </w:rPr>
        <w:t>年年初预算数</w:t>
      </w:r>
      <w:r>
        <w:rPr>
          <w:rFonts w:hint="default" w:ascii="仿宋_GB2312" w:eastAsia="仿宋_GB2312"/>
          <w:color w:val="000000"/>
          <w:sz w:val="32"/>
          <w:szCs w:val="32"/>
          <w:lang w:val="en-US"/>
        </w:rPr>
        <w:t>718.46</w:t>
      </w:r>
      <w:r>
        <w:rPr>
          <w:rFonts w:hint="eastAsia" w:ascii="仿宋_GB2312" w:eastAsia="仿宋_GB2312"/>
          <w:color w:val="000000"/>
          <w:sz w:val="32"/>
          <w:szCs w:val="32"/>
        </w:rPr>
        <w:t>万元，其中，</w:t>
      </w:r>
      <w:r>
        <w:rPr>
          <w:rFonts w:hint="eastAsia" w:ascii="仿宋_GB2312" w:eastAsia="仿宋_GB2312"/>
          <w:color w:val="000000"/>
          <w:sz w:val="32"/>
          <w:szCs w:val="32"/>
          <w:highlight w:val="none"/>
        </w:rPr>
        <w:t>工资福利支出</w:t>
      </w:r>
      <w:r>
        <w:rPr>
          <w:rFonts w:hint="default" w:ascii="仿宋_GB2312" w:eastAsia="仿宋_GB2312"/>
          <w:color w:val="000000"/>
          <w:sz w:val="32"/>
          <w:szCs w:val="32"/>
          <w:highlight w:val="none"/>
          <w:lang w:val="en-US" w:eastAsia="zh-CN"/>
        </w:rPr>
        <w:t>45</w:t>
      </w:r>
      <w:r>
        <w:rPr>
          <w:rFonts w:hint="eastAsia" w:ascii="仿宋_GB2312" w:eastAsia="仿宋_GB2312"/>
          <w:color w:val="000000"/>
          <w:sz w:val="32"/>
          <w:szCs w:val="32"/>
          <w:highlight w:val="none"/>
          <w:lang w:val="en-US" w:eastAsia="zh-CN"/>
        </w:rPr>
        <w:t>8.</w:t>
      </w:r>
      <w:r>
        <w:rPr>
          <w:rFonts w:hint="default" w:ascii="仿宋_GB2312" w:eastAsia="仿宋_GB2312"/>
          <w:color w:val="000000"/>
          <w:sz w:val="32"/>
          <w:szCs w:val="32"/>
          <w:highlight w:val="none"/>
          <w:lang w:val="en-US" w:eastAsia="zh-CN"/>
        </w:rPr>
        <w:t>62</w:t>
      </w:r>
      <w:r>
        <w:rPr>
          <w:rFonts w:hint="eastAsia" w:ascii="仿宋_GB2312" w:eastAsia="仿宋_GB2312"/>
          <w:color w:val="000000"/>
          <w:sz w:val="32"/>
          <w:szCs w:val="32"/>
          <w:highlight w:val="none"/>
        </w:rPr>
        <w:t>万元、一般商品和服务支出</w:t>
      </w:r>
      <w:r>
        <w:rPr>
          <w:rFonts w:hint="default" w:ascii="仿宋_GB2312" w:eastAsia="仿宋_GB2312"/>
          <w:color w:val="000000"/>
          <w:sz w:val="32"/>
          <w:szCs w:val="32"/>
          <w:highlight w:val="none"/>
          <w:lang w:val="en-US" w:eastAsia="zh-CN"/>
        </w:rPr>
        <w:t>70.91</w:t>
      </w:r>
      <w:r>
        <w:rPr>
          <w:rFonts w:hint="eastAsia" w:ascii="仿宋_GB2312" w:eastAsia="仿宋_GB2312"/>
          <w:color w:val="000000"/>
          <w:sz w:val="32"/>
          <w:szCs w:val="32"/>
          <w:highlight w:val="none"/>
        </w:rPr>
        <w:t>万元、对个人和家庭的补助</w:t>
      </w:r>
      <w:r>
        <w:rPr>
          <w:rFonts w:hint="eastAsia" w:ascii="仿宋_GB2312" w:eastAsia="仿宋_GB2312"/>
          <w:color w:val="000000"/>
          <w:sz w:val="32"/>
          <w:szCs w:val="32"/>
          <w:highlight w:val="none"/>
          <w:lang w:val="en-US" w:eastAsia="zh-CN"/>
        </w:rPr>
        <w:t>14.</w:t>
      </w:r>
      <w:r>
        <w:rPr>
          <w:rFonts w:hint="default" w:ascii="仿宋_GB2312" w:eastAsia="仿宋_GB2312"/>
          <w:color w:val="000000"/>
          <w:sz w:val="32"/>
          <w:szCs w:val="32"/>
          <w:highlight w:val="none"/>
          <w:lang w:val="en-US" w:eastAsia="zh-CN"/>
        </w:rPr>
        <w:t>93</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lang w:eastAsia="zh-CN"/>
        </w:rPr>
        <w:t>禁毒工作</w:t>
      </w:r>
      <w:r>
        <w:rPr>
          <w:rFonts w:hint="eastAsia" w:ascii="仿宋_GB2312" w:eastAsia="仿宋_GB2312"/>
          <w:color w:val="000000"/>
          <w:sz w:val="32"/>
          <w:szCs w:val="32"/>
        </w:rPr>
        <w:t>专项</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hAnsi="Times New Roman" w:eastAsia="仿宋_GB2312" w:cs="Times New Roman"/>
          <w:color w:val="000000"/>
          <w:sz w:val="32"/>
          <w:szCs w:val="32"/>
          <w:lang w:val="en-US" w:eastAsia="zh-CN"/>
        </w:rPr>
        <w:t>业务性专项</w:t>
      </w:r>
      <w:r>
        <w:rPr>
          <w:rFonts w:hint="default" w:ascii="仿宋_GB2312" w:eastAsia="仿宋_GB2312" w:cs="Times New Roman"/>
          <w:color w:val="000000"/>
          <w:sz w:val="32"/>
          <w:szCs w:val="32"/>
          <w:lang w:val="en-US" w:eastAsia="zh-CN"/>
        </w:rPr>
        <w:t>54</w:t>
      </w:r>
      <w:r>
        <w:rPr>
          <w:rFonts w:hint="eastAsia" w:ascii="仿宋_GB2312" w:hAnsi="Times New Roman" w:eastAsia="仿宋_GB2312" w:cs="Times New Roman"/>
          <w:color w:val="000000"/>
          <w:sz w:val="32"/>
          <w:szCs w:val="32"/>
          <w:lang w:val="en-US" w:eastAsia="zh-CN"/>
        </w:rPr>
        <w:t>万元、</w:t>
      </w:r>
      <w:r>
        <w:rPr>
          <w:rFonts w:hint="eastAsia" w:ascii="仿宋_GB2312" w:hAnsi="Times New Roman" w:eastAsia="仿宋_GB2312" w:cs="Times New Roman"/>
          <w:color w:val="000000"/>
          <w:sz w:val="32"/>
          <w:szCs w:val="32"/>
          <w:lang w:eastAsia="zh-CN"/>
        </w:rPr>
        <w:t>交通顽瘴痼疾整治</w:t>
      </w:r>
      <w:r>
        <w:rPr>
          <w:rFonts w:hint="eastAsia" w:ascii="仿宋_GB2312" w:eastAsia="仿宋_GB2312"/>
          <w:color w:val="000000"/>
          <w:sz w:val="32"/>
          <w:szCs w:val="32"/>
        </w:rPr>
        <w:t>专项</w:t>
      </w:r>
      <w:r>
        <w:rPr>
          <w:rFonts w:hint="default" w:ascii="仿宋_GB2312" w:eastAsia="仿宋_GB2312"/>
          <w:color w:val="000000"/>
          <w:sz w:val="32"/>
          <w:szCs w:val="32"/>
          <w:lang w:val="en-US" w:eastAsia="zh-CN"/>
        </w:rPr>
        <w:t>2</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hint="eastAsia" w:ascii="仿宋_GB2312" w:eastAsia="仿宋_GB2312"/>
          <w:color w:val="000000"/>
          <w:sz w:val="32"/>
          <w:szCs w:val="32"/>
        </w:rPr>
      </w:pPr>
      <w:r>
        <w:rPr>
          <w:rFonts w:hint="eastAsia" w:ascii="仿宋_GB2312" w:eastAsia="仿宋_GB2312"/>
          <w:b/>
          <w:color w:val="000000"/>
          <w:sz w:val="32"/>
          <w:szCs w:val="32"/>
        </w:rPr>
        <w:t>1.基本支出：</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年年初预算数为</w:t>
      </w:r>
      <w:r>
        <w:rPr>
          <w:rFonts w:hint="default" w:ascii="仿宋_GB2312" w:eastAsia="仿宋_GB2312"/>
          <w:color w:val="000000"/>
          <w:sz w:val="32"/>
          <w:szCs w:val="32"/>
          <w:lang w:val="en-US"/>
        </w:rPr>
        <w:t>544.46</w:t>
      </w:r>
      <w:r>
        <w:rPr>
          <w:rFonts w:hint="eastAsia" w:ascii="仿宋_GB2312" w:eastAsia="仿宋_GB2312"/>
          <w:color w:val="000000"/>
          <w:sz w:val="32"/>
          <w:szCs w:val="32"/>
        </w:rPr>
        <w:t>万元，是指为保障单位机构正常运转、完成日常工作任务而发生的各项支出，包括用</w:t>
      </w:r>
      <w:r>
        <w:rPr>
          <w:rFonts w:hint="eastAsia" w:ascii="仿宋_GB2312" w:eastAsia="仿宋_GB2312"/>
          <w:color w:val="000000"/>
          <w:sz w:val="32"/>
          <w:szCs w:val="32"/>
          <w:highlight w:val="none"/>
        </w:rPr>
        <w:t>于基本工资、津贴补贴等人员经费以及日常公用经费、业务性商品和服务支出。其中包括工资福利支出</w:t>
      </w:r>
      <w:r>
        <w:rPr>
          <w:rFonts w:hint="default" w:ascii="仿宋_GB2312" w:eastAsia="仿宋_GB2312"/>
          <w:color w:val="000000"/>
          <w:sz w:val="32"/>
          <w:szCs w:val="32"/>
          <w:highlight w:val="none"/>
          <w:lang w:val="en-US" w:eastAsia="zh-CN"/>
        </w:rPr>
        <w:t>45</w:t>
      </w:r>
      <w:r>
        <w:rPr>
          <w:rFonts w:hint="eastAsia" w:ascii="仿宋_GB2312" w:eastAsia="仿宋_GB2312"/>
          <w:color w:val="000000"/>
          <w:sz w:val="32"/>
          <w:szCs w:val="32"/>
          <w:highlight w:val="none"/>
          <w:lang w:val="en-US" w:eastAsia="zh-CN"/>
        </w:rPr>
        <w:t>8.</w:t>
      </w:r>
      <w:r>
        <w:rPr>
          <w:rFonts w:hint="default" w:ascii="仿宋_GB2312" w:eastAsia="仿宋_GB2312"/>
          <w:color w:val="000000"/>
          <w:sz w:val="32"/>
          <w:szCs w:val="32"/>
          <w:highlight w:val="none"/>
          <w:lang w:val="en-US" w:eastAsia="zh-CN"/>
        </w:rPr>
        <w:t>62</w:t>
      </w:r>
      <w:r>
        <w:rPr>
          <w:rFonts w:hint="eastAsia" w:ascii="仿宋_GB2312" w:eastAsia="仿宋_GB2312"/>
          <w:color w:val="000000"/>
          <w:sz w:val="32"/>
          <w:szCs w:val="32"/>
          <w:highlight w:val="none"/>
        </w:rPr>
        <w:t>万元、一般商品和服务支出</w:t>
      </w:r>
      <w:r>
        <w:rPr>
          <w:rFonts w:hint="default" w:ascii="仿宋_GB2312" w:eastAsia="仿宋_GB2312"/>
          <w:color w:val="000000"/>
          <w:sz w:val="32"/>
          <w:szCs w:val="32"/>
          <w:highlight w:val="none"/>
          <w:lang w:val="en-US" w:eastAsia="zh-CN"/>
        </w:rPr>
        <w:t>70.91</w:t>
      </w:r>
      <w:r>
        <w:rPr>
          <w:rFonts w:hint="eastAsia" w:ascii="仿宋_GB2312" w:eastAsia="仿宋_GB2312"/>
          <w:color w:val="000000"/>
          <w:sz w:val="32"/>
          <w:szCs w:val="32"/>
          <w:highlight w:val="none"/>
        </w:rPr>
        <w:t>万元、对个人和家庭的补助</w:t>
      </w:r>
      <w:r>
        <w:rPr>
          <w:rFonts w:hint="eastAsia" w:ascii="仿宋_GB2312" w:eastAsia="仿宋_GB2312"/>
          <w:color w:val="000000"/>
          <w:sz w:val="32"/>
          <w:szCs w:val="32"/>
          <w:highlight w:val="none"/>
          <w:lang w:val="en-US" w:eastAsia="zh-CN"/>
        </w:rPr>
        <w:t>14.</w:t>
      </w:r>
      <w:r>
        <w:rPr>
          <w:rFonts w:hint="default" w:ascii="仿宋_GB2312" w:eastAsia="仿宋_GB2312"/>
          <w:color w:val="000000"/>
          <w:sz w:val="32"/>
          <w:szCs w:val="32"/>
          <w:highlight w:val="none"/>
          <w:lang w:val="en-US" w:eastAsia="zh-CN"/>
        </w:rPr>
        <w:t>93</w:t>
      </w:r>
      <w:r>
        <w:rPr>
          <w:rFonts w:hint="eastAsia" w:ascii="仿宋_GB2312" w:eastAsia="仿宋_GB2312"/>
          <w:color w:val="000000"/>
          <w:sz w:val="32"/>
          <w:szCs w:val="32"/>
          <w:highlight w:val="none"/>
        </w:rPr>
        <w:t>万元等。</w:t>
      </w:r>
    </w:p>
    <w:p>
      <w:pPr>
        <w:tabs>
          <w:tab w:val="left" w:pos="7560"/>
        </w:tabs>
        <w:adjustRightInd w:val="0"/>
        <w:snapToGrid w:val="0"/>
        <w:spacing w:line="560" w:lineRule="exact"/>
        <w:ind w:firstLine="643" w:firstLineChars="200"/>
        <w:jc w:val="left"/>
        <w:rPr>
          <w:rFonts w:hint="eastAsia" w:ascii="仿宋_GB2312" w:eastAsia="仿宋_GB2312"/>
          <w:color w:val="000000"/>
          <w:sz w:val="32"/>
          <w:szCs w:val="32"/>
        </w:rPr>
      </w:pPr>
      <w:r>
        <w:rPr>
          <w:rFonts w:hint="eastAsia" w:ascii="仿宋_GB2312" w:eastAsia="仿宋_GB2312"/>
          <w:b/>
          <w:color w:val="000000"/>
          <w:sz w:val="32"/>
          <w:szCs w:val="32"/>
        </w:rPr>
        <w:t>2.项目支出：</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年年初预算数为</w:t>
      </w:r>
      <w:r>
        <w:rPr>
          <w:rFonts w:hint="default" w:ascii="仿宋_GB2312" w:eastAsia="仿宋_GB2312"/>
          <w:color w:val="000000"/>
          <w:sz w:val="32"/>
          <w:szCs w:val="32"/>
          <w:lang w:val="en-US"/>
        </w:rPr>
        <w:t>174</w:t>
      </w:r>
      <w:r>
        <w:rPr>
          <w:rFonts w:hint="eastAsia" w:ascii="仿宋_GB2312"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hint="eastAsia" w:ascii="仿宋_GB2312" w:hAnsi="Times New Roman" w:eastAsia="仿宋_GB2312" w:cs="Times New Roman"/>
          <w:color w:val="000000"/>
          <w:sz w:val="32"/>
          <w:szCs w:val="32"/>
          <w:lang w:val="en-US" w:eastAsia="zh-CN"/>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禁毒工作</w:t>
      </w:r>
      <w:r>
        <w:rPr>
          <w:rFonts w:hint="eastAsia" w:ascii="仿宋_GB2312" w:eastAsia="仿宋_GB2312"/>
          <w:color w:val="000000"/>
          <w:sz w:val="32"/>
          <w:szCs w:val="32"/>
        </w:rPr>
        <w:t>专项</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万元。</w:t>
      </w:r>
      <w:r>
        <w:rPr>
          <w:rFonts w:hint="eastAsia" w:ascii="仿宋_GB2312" w:hAnsi="Times New Roman" w:eastAsia="仿宋_GB2312" w:cs="Times New Roman"/>
          <w:color w:val="000000"/>
          <w:sz w:val="32"/>
          <w:szCs w:val="32"/>
          <w:lang w:val="en-US" w:eastAsia="zh-CN"/>
        </w:rPr>
        <w:t>主要用于开展“三清一收一净”专项行动，集中打击整治毒品突出问题，健全毒品问题整治体系，推动禁毒工作深入开展，努力提升人民群众的安全感和获得感。</w:t>
      </w:r>
    </w:p>
    <w:p>
      <w:pPr>
        <w:tabs>
          <w:tab w:val="left" w:pos="7560"/>
        </w:tabs>
        <w:adjustRightInd w:val="0"/>
        <w:snapToGrid w:val="0"/>
        <w:spacing w:line="560" w:lineRule="exact"/>
        <w:ind w:firstLine="640" w:firstLineChars="200"/>
        <w:jc w:val="left"/>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（2）业务性专项</w:t>
      </w:r>
      <w:r>
        <w:rPr>
          <w:rFonts w:hint="default" w:ascii="仿宋_GB2312" w:eastAsia="仿宋_GB2312" w:cs="Times New Roman"/>
          <w:color w:val="000000"/>
          <w:sz w:val="32"/>
          <w:szCs w:val="32"/>
          <w:lang w:val="en-US" w:eastAsia="zh-CN"/>
        </w:rPr>
        <w:t>54</w:t>
      </w:r>
      <w:r>
        <w:rPr>
          <w:rFonts w:hint="eastAsia" w:ascii="仿宋_GB2312" w:hAnsi="Times New Roman" w:eastAsia="仿宋_GB2312" w:cs="Times New Roman"/>
          <w:color w:val="000000"/>
          <w:sz w:val="32"/>
          <w:szCs w:val="32"/>
          <w:lang w:val="en-US" w:eastAsia="zh-CN"/>
        </w:rPr>
        <w:t>万元。主要用于“综合协调、参谋决策、督察督办、服务保障”工作职能，确保政务服务顺达高效、干部队伍素质不断提升，有力促进全区各项工作顺利推进。</w:t>
      </w:r>
    </w:p>
    <w:p>
      <w:pPr>
        <w:tabs>
          <w:tab w:val="left" w:pos="7560"/>
        </w:tabs>
        <w:spacing w:line="540" w:lineRule="exact"/>
        <w:ind w:firstLine="640" w:firstLineChars="200"/>
        <w:rPr>
          <w:rFonts w:hint="eastAsia" w:ascii="仿宋_GB2312" w:hAnsi="Times New Roman" w:eastAsia="仿宋_GB2312" w:cs="Times New Roman"/>
          <w:color w:val="000000"/>
          <w:sz w:val="32"/>
          <w:szCs w:val="32"/>
          <w:lang w:val="en-US" w:eastAsia="zh-CN"/>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w:t>
      </w:r>
      <w:r>
        <w:rPr>
          <w:rFonts w:hint="eastAsia" w:ascii="仿宋_GB2312" w:hAnsi="Times New Roman" w:eastAsia="仿宋_GB2312" w:cs="Times New Roman"/>
          <w:color w:val="000000"/>
          <w:sz w:val="32"/>
          <w:szCs w:val="32"/>
          <w:lang w:eastAsia="zh-CN"/>
        </w:rPr>
        <w:t>交通顽瘴痼疾整治</w:t>
      </w:r>
      <w:r>
        <w:rPr>
          <w:rFonts w:hint="eastAsia" w:ascii="仿宋_GB2312" w:eastAsia="仿宋_GB2312"/>
          <w:color w:val="000000"/>
          <w:sz w:val="32"/>
          <w:szCs w:val="32"/>
        </w:rPr>
        <w:t>专项</w:t>
      </w:r>
      <w:r>
        <w:rPr>
          <w:rFonts w:hint="default" w:ascii="仿宋_GB2312" w:eastAsia="仿宋_GB2312"/>
          <w:color w:val="000000"/>
          <w:sz w:val="32"/>
          <w:szCs w:val="32"/>
          <w:lang w:val="en-US"/>
        </w:rPr>
        <w:t>2</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hAnsi="Times New Roman" w:eastAsia="仿宋_GB2312" w:cs="Times New Roman"/>
          <w:color w:val="000000"/>
          <w:sz w:val="32"/>
          <w:szCs w:val="32"/>
          <w:lang w:val="en-US" w:eastAsia="zh-CN"/>
        </w:rPr>
        <w:t>主要用于为进一步巩固交通问题顽瘴痼疾集中整治工作成果，从根本上消除非法营运、车辆乱停乱摆、超限超载、“三无”车辆上路行驶、摩托车不戴头盔等领域的交通问题顽瘴痼疾，做到交通问题顽瘴痼疾整治工作不留死角、不留空挡、实现全覆盖。</w:t>
      </w:r>
    </w:p>
    <w:p>
      <w:pPr>
        <w:tabs>
          <w:tab w:val="left" w:pos="7560"/>
        </w:tabs>
        <w:adjustRightInd w:val="0"/>
        <w:snapToGrid w:val="0"/>
        <w:spacing w:line="560" w:lineRule="exact"/>
        <w:ind w:firstLine="640" w:firstLineChars="200"/>
        <w:jc w:val="left"/>
        <w:rPr>
          <w:rFonts w:hint="default" w:ascii="仿宋_GB2312" w:eastAsia="仿宋_GB2312"/>
          <w:color w:val="000000"/>
          <w:sz w:val="32"/>
          <w:szCs w:val="32"/>
          <w:lang w:val="en-US"/>
        </w:rPr>
      </w:pPr>
      <w:r>
        <w:rPr>
          <w:rFonts w:hint="eastAsia" w:ascii="楷体_GB2312" w:eastAsia="楷体_GB2312"/>
          <w:bCs/>
          <w:color w:val="000000"/>
          <w:sz w:val="32"/>
          <w:szCs w:val="32"/>
        </w:rPr>
        <w:t>（三）预算收支增减变化情况说明：</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年度本单位年初预算数为</w:t>
      </w:r>
      <w:r>
        <w:rPr>
          <w:rFonts w:hint="eastAsia" w:ascii="仿宋_GB2312" w:eastAsia="仿宋_GB2312"/>
          <w:color w:val="000000"/>
          <w:sz w:val="32"/>
          <w:szCs w:val="32"/>
          <w:lang w:val="en-US" w:eastAsia="zh-CN"/>
        </w:rPr>
        <w:t>718.46</w:t>
      </w:r>
      <w:r>
        <w:rPr>
          <w:rFonts w:hint="eastAsia" w:ascii="仿宋_GB2312" w:eastAsia="仿宋_GB2312"/>
          <w:color w:val="000000"/>
          <w:sz w:val="32"/>
          <w:szCs w:val="32"/>
        </w:rPr>
        <w:t>万元，比上年增加</w:t>
      </w:r>
      <w:r>
        <w:rPr>
          <w:rFonts w:hint="eastAsia" w:ascii="仿宋_GB2312" w:eastAsia="仿宋_GB2312"/>
          <w:color w:val="000000"/>
          <w:sz w:val="32"/>
          <w:szCs w:val="32"/>
          <w:lang w:val="en-US" w:eastAsia="zh-CN"/>
        </w:rPr>
        <w:t>69.38</w:t>
      </w:r>
      <w:r>
        <w:rPr>
          <w:rFonts w:hint="eastAsia" w:ascii="仿宋_GB2312" w:eastAsia="仿宋_GB2312"/>
          <w:color w:val="000000"/>
          <w:sz w:val="32"/>
          <w:szCs w:val="32"/>
        </w:rPr>
        <w:t>万元，主要原因是人员增加，造成人员经费和运转经费上涨等</w:t>
      </w:r>
      <w:r>
        <w:rPr>
          <w:rFonts w:hint="default" w:ascii="仿宋_GB2312" w:eastAsia="仿宋_GB2312"/>
          <w:color w:val="000000"/>
          <w:sz w:val="32"/>
          <w:szCs w:val="32"/>
          <w:lang w:val="en-US"/>
        </w:rPr>
        <w:t>。</w:t>
      </w:r>
    </w:p>
    <w:p>
      <w:pPr>
        <w:tabs>
          <w:tab w:val="left" w:pos="7560"/>
        </w:tabs>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eastAsia="zh-CN"/>
        </w:rPr>
      </w:pPr>
      <w:r>
        <w:rPr>
          <w:rFonts w:hint="eastAsia" w:ascii="楷体_GB2312" w:eastAsia="楷体_GB2312"/>
          <w:bCs/>
          <w:color w:val="000000"/>
          <w:sz w:val="32"/>
          <w:szCs w:val="32"/>
        </w:rPr>
        <w:t>（一）机关运行经费：</w:t>
      </w:r>
      <w:r>
        <w:rPr>
          <w:rFonts w:hint="eastAsia" w:ascii="仿宋_GB2312" w:eastAsia="仿宋_GB2312"/>
          <w:color w:val="000000"/>
          <w:sz w:val="32"/>
          <w:szCs w:val="32"/>
        </w:rPr>
        <w:t>本部门</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年年初预算机关运行经费(一般商品和服务支出)安排</w:t>
      </w:r>
      <w:r>
        <w:rPr>
          <w:rFonts w:hint="default" w:ascii="仿宋_GB2312" w:eastAsia="仿宋_GB2312"/>
          <w:color w:val="000000"/>
          <w:sz w:val="32"/>
          <w:szCs w:val="32"/>
          <w:highlight w:val="none"/>
          <w:lang w:val="en-US" w:eastAsia="zh-CN"/>
        </w:rPr>
        <w:t>70.91</w:t>
      </w:r>
      <w:r>
        <w:rPr>
          <w:rFonts w:hint="eastAsia" w:ascii="仿宋_GB2312" w:eastAsia="仿宋_GB2312"/>
          <w:color w:val="000000"/>
          <w:sz w:val="32"/>
          <w:szCs w:val="32"/>
        </w:rPr>
        <w:t>万元，比上年度预算增加</w:t>
      </w:r>
      <w:r>
        <w:rPr>
          <w:rFonts w:hint="default" w:ascii="仿宋_GB2312" w:eastAsia="仿宋_GB2312"/>
          <w:color w:val="000000"/>
          <w:sz w:val="32"/>
          <w:szCs w:val="32"/>
          <w:lang w:val="en-US"/>
        </w:rPr>
        <w:t>4.086</w:t>
      </w:r>
      <w:r>
        <w:rPr>
          <w:rFonts w:hint="eastAsia" w:ascii="仿宋_GB2312" w:eastAsia="仿宋_GB2312"/>
          <w:color w:val="000000"/>
          <w:sz w:val="32"/>
          <w:szCs w:val="32"/>
        </w:rPr>
        <w:t>万元，</w:t>
      </w:r>
      <w:r>
        <w:rPr>
          <w:rFonts w:hint="eastAsia" w:ascii="仿宋_GB2312" w:eastAsia="仿宋_GB2312"/>
          <w:bCs/>
          <w:color w:val="000000"/>
          <w:sz w:val="32"/>
          <w:szCs w:val="32"/>
        </w:rPr>
        <w:t>增加的主要原因是：</w:t>
      </w:r>
      <w:r>
        <w:rPr>
          <w:rFonts w:hint="eastAsia" w:ascii="仿宋_GB2312" w:eastAsia="仿宋_GB2312"/>
          <w:color w:val="000000"/>
          <w:sz w:val="32"/>
          <w:szCs w:val="32"/>
        </w:rPr>
        <w:t>人员增加</w:t>
      </w:r>
      <w:r>
        <w:rPr>
          <w:rFonts w:hint="eastAsia" w:ascii="仿宋_GB2312" w:eastAsia="仿宋_GB2312"/>
          <w:color w:val="000000"/>
          <w:sz w:val="32"/>
          <w:szCs w:val="32"/>
          <w:lang w:eastAsia="zh-CN"/>
        </w:rPr>
        <w:t>，伙食补助增加。</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（二)政府采购预算：</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年年初预算数为</w:t>
      </w:r>
      <w:r>
        <w:rPr>
          <w:rFonts w:hint="eastAsia" w:ascii="仿宋_GB2312" w:eastAsia="仿宋_GB2312"/>
          <w:color w:val="000000"/>
          <w:sz w:val="32"/>
          <w:szCs w:val="32"/>
          <w:lang w:val="en-US" w:eastAsia="zh-CN"/>
        </w:rPr>
        <w:t>185</w:t>
      </w:r>
      <w:r>
        <w:rPr>
          <w:rFonts w:hint="eastAsia" w:ascii="仿宋_GB2312" w:eastAsia="仿宋_GB2312"/>
          <w:color w:val="000000"/>
          <w:sz w:val="32"/>
          <w:szCs w:val="32"/>
        </w:rPr>
        <w:t>万元。包含：购买</w:t>
      </w:r>
      <w:r>
        <w:rPr>
          <w:rFonts w:hint="eastAsia" w:ascii="仿宋_GB2312" w:eastAsia="仿宋_GB2312"/>
          <w:color w:val="000000"/>
          <w:sz w:val="32"/>
          <w:szCs w:val="32"/>
          <w:lang w:eastAsia="zh-CN"/>
        </w:rPr>
        <w:t>办公、印刷、电脑耗材等</w:t>
      </w:r>
      <w:r>
        <w:rPr>
          <w:rFonts w:hint="eastAsia" w:ascii="仿宋_GB2312" w:eastAsia="仿宋_GB2312"/>
          <w:color w:val="000000"/>
          <w:sz w:val="32"/>
          <w:szCs w:val="32"/>
        </w:rPr>
        <w:t>用品</w:t>
      </w:r>
      <w:r>
        <w:rPr>
          <w:rFonts w:hint="eastAsia" w:ascii="仿宋_GB2312" w:eastAsia="仿宋_GB2312"/>
          <w:color w:val="000000"/>
          <w:sz w:val="32"/>
          <w:szCs w:val="32"/>
          <w:lang w:val="en-US" w:eastAsia="zh-CN"/>
        </w:rPr>
        <w:t>185</w:t>
      </w:r>
      <w:r>
        <w:rPr>
          <w:rFonts w:hint="eastAsia" w:ascii="仿宋_GB2312" w:eastAsia="仿宋_GB2312"/>
          <w:color w:val="000000"/>
          <w:sz w:val="32"/>
          <w:szCs w:val="32"/>
        </w:rPr>
        <w:t>万元，为货物类采购预算；购买服务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万元，为服务类采购预算；购买安装业务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万元，为工程类采购预算。</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（三）国有资产占有情况：</w:t>
      </w:r>
      <w:r>
        <w:rPr>
          <w:rFonts w:hint="eastAsia" w:ascii="仿宋_GB2312" w:eastAsia="仿宋_GB2312"/>
          <w:color w:val="000000"/>
          <w:sz w:val="32"/>
          <w:szCs w:val="32"/>
        </w:rPr>
        <w:t>截止20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年12月31日，本部门共有办公及业务用房</w:t>
      </w:r>
      <w:r>
        <w:rPr>
          <w:rFonts w:hint="default" w:ascii="仿宋_GB2312" w:eastAsia="仿宋_GB2312"/>
          <w:color w:val="000000"/>
          <w:sz w:val="32"/>
          <w:szCs w:val="32"/>
          <w:lang w:val="en-US"/>
        </w:rPr>
        <w:t>0</w:t>
      </w:r>
      <w:r>
        <w:rPr>
          <w:rFonts w:hint="eastAsia" w:ascii="仿宋_GB2312" w:eastAsia="仿宋_GB2312"/>
          <w:color w:val="000000"/>
          <w:sz w:val="32"/>
          <w:szCs w:val="32"/>
        </w:rPr>
        <w:t>平方米；车辆</w:t>
      </w:r>
      <w:r>
        <w:rPr>
          <w:rFonts w:hint="default" w:ascii="仿宋_GB2312" w:eastAsia="仿宋_GB2312"/>
          <w:color w:val="000000"/>
          <w:sz w:val="32"/>
          <w:szCs w:val="32"/>
          <w:lang w:val="en-US"/>
        </w:rPr>
        <w:t>0</w:t>
      </w:r>
      <w:r>
        <w:rPr>
          <w:rFonts w:hint="eastAsia" w:ascii="仿宋_GB2312" w:eastAsia="仿宋_GB2312"/>
          <w:color w:val="000000"/>
          <w:sz w:val="32"/>
          <w:szCs w:val="32"/>
        </w:rPr>
        <w:t>辆，其中一般公务用车</w:t>
      </w:r>
      <w:r>
        <w:rPr>
          <w:rFonts w:hint="default" w:ascii="仿宋_GB2312" w:eastAsia="仿宋_GB2312"/>
          <w:color w:val="000000"/>
          <w:sz w:val="32"/>
          <w:szCs w:val="32"/>
          <w:lang w:val="en-US"/>
        </w:rPr>
        <w:t>0</w:t>
      </w:r>
      <w:r>
        <w:rPr>
          <w:rFonts w:hint="eastAsia" w:ascii="仿宋_GB2312" w:eastAsia="仿宋_GB2312"/>
          <w:color w:val="000000"/>
          <w:sz w:val="32"/>
          <w:szCs w:val="32"/>
        </w:rPr>
        <w:t>辆、一般执法执勤用车</w:t>
      </w:r>
      <w:r>
        <w:rPr>
          <w:rFonts w:hint="default" w:ascii="仿宋_GB2312" w:eastAsia="仿宋_GB2312"/>
          <w:color w:val="000000"/>
          <w:sz w:val="32"/>
          <w:szCs w:val="32"/>
          <w:lang w:val="en-US"/>
        </w:rPr>
        <w:t>0</w:t>
      </w:r>
      <w:r>
        <w:rPr>
          <w:rFonts w:hint="eastAsia" w:ascii="仿宋_GB2312" w:eastAsia="仿宋_GB2312"/>
          <w:color w:val="000000"/>
          <w:sz w:val="32"/>
          <w:szCs w:val="32"/>
        </w:rPr>
        <w:t>辆、货币化用车</w:t>
      </w:r>
      <w:r>
        <w:rPr>
          <w:rFonts w:hint="default" w:ascii="仿宋_GB2312" w:eastAsia="仿宋_GB2312"/>
          <w:color w:val="000000"/>
          <w:sz w:val="32"/>
          <w:szCs w:val="32"/>
          <w:lang w:val="en-US"/>
        </w:rPr>
        <w:t>0</w:t>
      </w:r>
      <w:r>
        <w:rPr>
          <w:rFonts w:hint="eastAsia" w:ascii="仿宋_GB2312" w:eastAsia="仿宋_GB2312"/>
          <w:color w:val="000000"/>
          <w:sz w:val="32"/>
          <w:szCs w:val="32"/>
        </w:rPr>
        <w:t>辆；单位价值200万以上大型设备</w:t>
      </w:r>
      <w:r>
        <w:rPr>
          <w:rFonts w:hint="default" w:ascii="仿宋_GB2312" w:eastAsia="仿宋_GB2312"/>
          <w:color w:val="000000"/>
          <w:sz w:val="32"/>
          <w:szCs w:val="32"/>
          <w:lang w:val="en-US"/>
        </w:rPr>
        <w:t>0</w:t>
      </w:r>
      <w:r>
        <w:rPr>
          <w:rFonts w:hint="eastAsia" w:ascii="仿宋_GB2312" w:eastAsia="仿宋_GB2312"/>
          <w:color w:val="000000"/>
          <w:sz w:val="32"/>
          <w:szCs w:val="32"/>
        </w:rPr>
        <w:t>套。</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年部门预算安排购置车辆</w:t>
      </w:r>
      <w:r>
        <w:rPr>
          <w:rFonts w:hint="default" w:ascii="仿宋_GB2312" w:eastAsia="仿宋_GB2312"/>
          <w:color w:val="000000"/>
          <w:sz w:val="32"/>
          <w:szCs w:val="32"/>
          <w:lang w:val="en-US"/>
        </w:rPr>
        <w:t>0</w:t>
      </w:r>
      <w:r>
        <w:rPr>
          <w:rFonts w:hint="eastAsia" w:ascii="仿宋_GB2312" w:eastAsia="仿宋_GB2312"/>
          <w:color w:val="000000"/>
          <w:sz w:val="32"/>
          <w:szCs w:val="32"/>
        </w:rPr>
        <w:t>辆，预算安排购置价值200万以上大型设备</w:t>
      </w:r>
      <w:r>
        <w:rPr>
          <w:rFonts w:hint="default" w:ascii="仿宋_GB2312" w:eastAsia="仿宋_GB2312"/>
          <w:color w:val="000000"/>
          <w:sz w:val="32"/>
          <w:szCs w:val="32"/>
          <w:lang w:val="en-US"/>
        </w:rPr>
        <w:t>0</w:t>
      </w:r>
      <w:r>
        <w:rPr>
          <w:rFonts w:hint="eastAsia" w:ascii="仿宋_GB2312" w:eastAsia="仿宋_GB2312"/>
          <w:color w:val="000000"/>
          <w:sz w:val="32"/>
          <w:szCs w:val="32"/>
        </w:rPr>
        <w:t>套。</w:t>
      </w:r>
    </w:p>
    <w:p>
      <w:pPr>
        <w:tabs>
          <w:tab w:val="left" w:pos="7560"/>
        </w:tabs>
        <w:adjustRightInd w:val="0"/>
        <w:snapToGrid w:val="0"/>
        <w:spacing w:line="560" w:lineRule="exact"/>
        <w:ind w:firstLine="640" w:firstLineChars="200"/>
        <w:jc w:val="left"/>
        <w:rPr>
          <w:rFonts w:hint="eastAsia" w:ascii="仿宋_GB2312" w:eastAsia="仿宋_GB2312"/>
          <w:b/>
          <w:bCs/>
          <w:color w:val="000000"/>
          <w:sz w:val="32"/>
          <w:szCs w:val="32"/>
        </w:rPr>
      </w:pPr>
      <w:r>
        <w:rPr>
          <w:rFonts w:hint="eastAsia" w:ascii="楷体_GB2312" w:eastAsia="楷体_GB2312"/>
          <w:bCs/>
          <w:color w:val="000000"/>
          <w:sz w:val="32"/>
          <w:szCs w:val="32"/>
        </w:rPr>
        <w:t>（四）预算绩效目标：</w:t>
      </w:r>
      <w:r>
        <w:rPr>
          <w:rFonts w:hint="eastAsia" w:ascii="仿宋_GB2312" w:eastAsia="仿宋_GB2312"/>
          <w:color w:val="000000"/>
          <w:sz w:val="32"/>
          <w:szCs w:val="32"/>
        </w:rPr>
        <w:t>本部门整体支出和项目支出实行绩效目标管理，纳入</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年部门整体支出绩效目标的金额为</w:t>
      </w:r>
      <w:r>
        <w:rPr>
          <w:rFonts w:hint="default" w:ascii="仿宋_GB2312" w:eastAsia="仿宋_GB2312"/>
          <w:color w:val="000000"/>
          <w:sz w:val="32"/>
          <w:szCs w:val="32"/>
          <w:lang w:val="en-US"/>
        </w:rPr>
        <w:t>718.46</w:t>
      </w:r>
      <w:r>
        <w:rPr>
          <w:rFonts w:hint="eastAsia" w:ascii="仿宋_GB2312" w:eastAsia="仿宋_GB2312"/>
          <w:color w:val="000000"/>
          <w:sz w:val="32"/>
          <w:szCs w:val="32"/>
        </w:rPr>
        <w:t>万元，其中，基本支出</w:t>
      </w:r>
      <w:r>
        <w:rPr>
          <w:rFonts w:hint="default" w:ascii="仿宋_GB2312" w:eastAsia="仿宋_GB2312"/>
          <w:color w:val="000000"/>
          <w:sz w:val="32"/>
          <w:szCs w:val="32"/>
          <w:lang w:val="en-US"/>
        </w:rPr>
        <w:t>544.46</w:t>
      </w:r>
      <w:r>
        <w:rPr>
          <w:rFonts w:hint="eastAsia" w:ascii="仿宋_GB2312" w:eastAsia="仿宋_GB2312"/>
          <w:color w:val="000000"/>
          <w:sz w:val="32"/>
          <w:szCs w:val="32"/>
        </w:rPr>
        <w:t>万元，项目支出</w:t>
      </w:r>
      <w:r>
        <w:rPr>
          <w:rFonts w:hint="default" w:ascii="仿宋_GB2312" w:eastAsia="仿宋_GB2312"/>
          <w:color w:val="000000"/>
          <w:sz w:val="32"/>
          <w:szCs w:val="32"/>
          <w:lang w:val="en-US"/>
        </w:rPr>
        <w:t>174</w:t>
      </w:r>
      <w:r>
        <w:rPr>
          <w:rFonts w:hint="eastAsia" w:ascii="仿宋_GB2312" w:eastAsia="仿宋_GB2312"/>
          <w:color w:val="000000"/>
          <w:sz w:val="32"/>
          <w:szCs w:val="32"/>
        </w:rPr>
        <w:t>万元（具体详见绩效目标表）。 </w:t>
      </w:r>
    </w:p>
    <w:p>
      <w:pPr>
        <w:tabs>
          <w:tab w:val="left" w:pos="7560"/>
        </w:tabs>
        <w:adjustRightInd w:val="0"/>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年“三公”经费预算数</w:t>
      </w:r>
      <w:r>
        <w:rPr>
          <w:rFonts w:hint="default" w:ascii="仿宋_GB2312" w:eastAsia="仿宋_GB2312"/>
          <w:color w:val="000000"/>
          <w:sz w:val="32"/>
          <w:szCs w:val="32"/>
          <w:lang w:val="en-US"/>
        </w:rPr>
        <w:t>0</w:t>
      </w:r>
      <w:r>
        <w:rPr>
          <w:rFonts w:hint="eastAsia" w:ascii="仿宋_GB2312" w:eastAsia="仿宋_GB2312"/>
          <w:color w:val="000000"/>
          <w:sz w:val="32"/>
          <w:szCs w:val="32"/>
        </w:rPr>
        <w:t>万元，其中：公务接待费</w:t>
      </w:r>
      <w:r>
        <w:rPr>
          <w:rFonts w:hint="default" w:ascii="仿宋_GB2312" w:eastAsia="仿宋_GB2312"/>
          <w:color w:val="000000"/>
          <w:sz w:val="32"/>
          <w:szCs w:val="32"/>
          <w:lang w:val="en-US"/>
        </w:rPr>
        <w:t>0</w:t>
      </w:r>
      <w:r>
        <w:rPr>
          <w:rFonts w:hint="eastAsia" w:ascii="仿宋_GB2312" w:eastAsia="仿宋_GB2312"/>
          <w:color w:val="000000"/>
          <w:sz w:val="32"/>
          <w:szCs w:val="32"/>
        </w:rPr>
        <w:t>万元、公务用车购置费</w:t>
      </w:r>
      <w:r>
        <w:rPr>
          <w:rFonts w:hint="default" w:ascii="仿宋_GB2312" w:eastAsia="仿宋_GB2312"/>
          <w:color w:val="000000"/>
          <w:sz w:val="32"/>
          <w:szCs w:val="32"/>
          <w:lang w:val="en-US"/>
        </w:rPr>
        <w:t>0</w:t>
      </w:r>
      <w:r>
        <w:rPr>
          <w:rFonts w:hint="eastAsia" w:ascii="仿宋_GB2312" w:eastAsia="仿宋_GB2312"/>
          <w:color w:val="000000"/>
          <w:sz w:val="32"/>
          <w:szCs w:val="32"/>
        </w:rPr>
        <w:t>万元，公务用车运行费</w:t>
      </w:r>
      <w:r>
        <w:rPr>
          <w:rFonts w:hint="default" w:ascii="仿宋_GB2312" w:eastAsia="仿宋_GB2312"/>
          <w:color w:val="000000"/>
          <w:sz w:val="32"/>
          <w:szCs w:val="32"/>
          <w:lang w:val="en-US"/>
        </w:rPr>
        <w:t>0</w:t>
      </w:r>
      <w:r>
        <w:rPr>
          <w:rFonts w:hint="eastAsia" w:ascii="仿宋_GB2312" w:eastAsia="仿宋_GB2312"/>
          <w:color w:val="000000"/>
          <w:sz w:val="32"/>
          <w:szCs w:val="32"/>
        </w:rPr>
        <w:t>万元、因公出国（境）费</w:t>
      </w:r>
      <w:r>
        <w:rPr>
          <w:rFonts w:hint="default" w:ascii="仿宋_GB2312" w:eastAsia="仿宋_GB2312"/>
          <w:color w:val="000000"/>
          <w:sz w:val="32"/>
          <w:szCs w:val="32"/>
          <w:lang w:val="en-US"/>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年公务用车购置数</w:t>
      </w:r>
      <w:r>
        <w:rPr>
          <w:rFonts w:hint="default" w:ascii="仿宋_GB2312" w:eastAsia="仿宋_GB2312"/>
          <w:color w:val="000000"/>
          <w:sz w:val="32"/>
          <w:szCs w:val="32"/>
          <w:lang w:val="en-US"/>
        </w:rPr>
        <w:t>0</w:t>
      </w:r>
      <w:r>
        <w:rPr>
          <w:rFonts w:hint="eastAsia" w:ascii="仿宋_GB2312" w:eastAsia="仿宋_GB2312"/>
          <w:color w:val="000000"/>
          <w:sz w:val="32"/>
          <w:szCs w:val="32"/>
        </w:rPr>
        <w:t>台。</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val="en-US"/>
        </w:rPr>
      </w:pPr>
      <w:r>
        <w:rPr>
          <w:rFonts w:hint="eastAsia" w:ascii="仿宋_GB2312" w:eastAsia="仿宋_GB2312"/>
          <w:color w:val="000000"/>
          <w:sz w:val="32"/>
          <w:szCs w:val="32"/>
          <w:lang w:val="en-US" w:eastAsia="zh-CN"/>
        </w:rPr>
        <w:t>2023</w:t>
      </w:r>
      <w:r>
        <w:rPr>
          <w:rFonts w:hint="eastAsia" w:ascii="仿宋_GB2312" w:eastAsia="仿宋_GB2312"/>
          <w:color w:val="000000"/>
          <w:sz w:val="32"/>
          <w:szCs w:val="32"/>
          <w:lang w:val="en-US"/>
        </w:rPr>
        <w:t>年“三公”经费预算数比20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lang w:val="en-US"/>
        </w:rPr>
        <w:t>年增加</w:t>
      </w:r>
      <w:r>
        <w:rPr>
          <w:rFonts w:hint="eastAsia" w:ascii="仿宋_GB2312" w:eastAsia="仿宋_GB2312"/>
          <w:color w:val="000000"/>
          <w:sz w:val="32"/>
          <w:szCs w:val="32"/>
          <w:lang w:val="en-US" w:eastAsia="zh-CN"/>
        </w:rPr>
        <w:t>或者减少</w:t>
      </w:r>
      <w:r>
        <w:rPr>
          <w:rFonts w:hint="default" w:ascii="仿宋_GB2312" w:eastAsia="仿宋_GB2312"/>
          <w:color w:val="000000"/>
          <w:sz w:val="32"/>
          <w:szCs w:val="32"/>
          <w:lang w:val="en-US"/>
        </w:rPr>
        <w:t>0.3</w:t>
      </w:r>
      <w:r>
        <w:rPr>
          <w:rFonts w:hint="eastAsia" w:ascii="仿宋_GB2312" w:eastAsia="仿宋_GB2312"/>
          <w:color w:val="000000"/>
          <w:sz w:val="32"/>
          <w:szCs w:val="32"/>
          <w:lang w:val="en-US"/>
        </w:rPr>
        <w:t>万元，主要是因为</w:t>
      </w:r>
      <w:r>
        <w:rPr>
          <w:rFonts w:hint="eastAsia" w:ascii="仿宋_GB2312" w:eastAsia="仿宋_GB2312"/>
          <w:color w:val="000000"/>
          <w:sz w:val="32"/>
          <w:szCs w:val="32"/>
          <w:lang w:val="en-US" w:eastAsia="zh-CN"/>
        </w:rPr>
        <w:t>从严从紧控制“三公”经费开支</w:t>
      </w:r>
      <w:r>
        <w:rPr>
          <w:rFonts w:hint="eastAsia" w:ascii="仿宋_GB2312" w:eastAsia="仿宋_GB2312"/>
          <w:color w:val="000000"/>
          <w:sz w:val="32"/>
          <w:szCs w:val="32"/>
          <w:lang w:val="en-US"/>
        </w:rPr>
        <w:t>。</w:t>
      </w:r>
    </w:p>
    <w:p>
      <w:pPr>
        <w:tabs>
          <w:tab w:val="left" w:pos="7560"/>
        </w:tabs>
        <w:adjustRightInd w:val="0"/>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年预算安排会议费</w:t>
      </w:r>
      <w:r>
        <w:rPr>
          <w:rFonts w:hint="default" w:ascii="仿宋_GB2312" w:eastAsia="仿宋_GB2312"/>
          <w:color w:val="000000"/>
          <w:sz w:val="32"/>
          <w:szCs w:val="32"/>
          <w:lang w:val="en-US"/>
        </w:rPr>
        <w:t>0</w:t>
      </w:r>
      <w:r>
        <w:rPr>
          <w:rFonts w:hint="eastAsia" w:ascii="仿宋_GB2312" w:eastAsia="仿宋_GB2312"/>
          <w:color w:val="000000"/>
          <w:sz w:val="32"/>
          <w:szCs w:val="32"/>
        </w:rPr>
        <w:t>万元。</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年预算安排培训费</w:t>
      </w:r>
      <w:r>
        <w:rPr>
          <w:rFonts w:hint="default" w:ascii="仿宋_GB2312" w:eastAsia="仿宋_GB2312"/>
          <w:color w:val="000000"/>
          <w:sz w:val="32"/>
          <w:szCs w:val="32"/>
          <w:lang w:val="en-US"/>
        </w:rPr>
        <w:t>0</w:t>
      </w:r>
      <w:r>
        <w:rPr>
          <w:rFonts w:hint="eastAsia" w:ascii="仿宋_GB2312" w:eastAsia="仿宋_GB2312"/>
          <w:color w:val="000000"/>
          <w:sz w:val="32"/>
          <w:szCs w:val="32"/>
        </w:rPr>
        <w:t>万元。</w:t>
      </w:r>
    </w:p>
    <w:p>
      <w:pPr>
        <w:tabs>
          <w:tab w:val="left" w:pos="7560"/>
        </w:tabs>
        <w:adjustRightInd w:val="0"/>
        <w:snapToGrid w:val="0"/>
        <w:spacing w:line="560" w:lineRule="exact"/>
        <w:ind w:firstLine="640" w:firstLineChars="200"/>
        <w:jc w:val="left"/>
        <w:rPr>
          <w:rFonts w:hint="eastAsia" w:ascii="仿宋_GB2312" w:eastAsia="仿宋_GB2312"/>
          <w:b/>
          <w:bCs/>
          <w:color w:val="000000"/>
          <w:sz w:val="32"/>
          <w:szCs w:val="32"/>
        </w:rPr>
      </w:pPr>
      <w:r>
        <w:rPr>
          <w:rFonts w:hint="eastAsia" w:ascii="楷体_GB2312" w:eastAsia="楷体_GB2312"/>
          <w:bCs/>
          <w:color w:val="000000"/>
          <w:sz w:val="32"/>
          <w:szCs w:val="32"/>
        </w:rPr>
        <w:t>（七）其他事项。</w:t>
      </w:r>
      <w:r>
        <w:rPr>
          <w:rFonts w:eastAsia="仿宋_GB2312"/>
          <w:sz w:val="32"/>
          <w:szCs w:val="32"/>
        </w:rPr>
        <w:t>公开表格中的空白表格，均为本部门不涉及的内容，如政府性基金预算表、</w:t>
      </w:r>
      <w:r>
        <w:rPr>
          <w:rFonts w:hint="eastAsia" w:eastAsia="仿宋_GB2312"/>
          <w:sz w:val="32"/>
          <w:szCs w:val="32"/>
          <w:lang w:eastAsia="zh-CN"/>
        </w:rPr>
        <w:t>财政专户管理资金预算支出表</w:t>
      </w:r>
      <w:r>
        <w:rPr>
          <w:rFonts w:eastAsia="仿宋_GB2312"/>
          <w:sz w:val="32"/>
          <w:szCs w:val="32"/>
        </w:rPr>
        <w:t>，以及其他金额为零的相关事项等。</w:t>
      </w:r>
    </w:p>
    <w:p>
      <w:pPr>
        <w:tabs>
          <w:tab w:val="left" w:pos="7560"/>
        </w:tabs>
        <w:adjustRightInd w:val="0"/>
        <w:snapToGrid w:val="0"/>
        <w:spacing w:line="560" w:lineRule="exact"/>
        <w:jc w:val="left"/>
        <w:rPr>
          <w:rFonts w:hint="eastAsia" w:ascii="仿宋_GB2312" w:eastAsia="仿宋_GB2312"/>
          <w:b/>
          <w:bCs/>
          <w:sz w:val="32"/>
          <w:szCs w:val="32"/>
        </w:rPr>
      </w:pPr>
    </w:p>
    <w:p>
      <w:pPr>
        <w:tabs>
          <w:tab w:val="left" w:pos="7560"/>
        </w:tabs>
        <w:adjustRightInd w:val="0"/>
        <w:snapToGrid w:val="0"/>
        <w:spacing w:line="560" w:lineRule="exact"/>
        <w:ind w:firstLine="640" w:firstLineChars="200"/>
        <w:jc w:val="left"/>
        <w:rPr>
          <w:rFonts w:hint="eastAsia" w:ascii="仿宋_GB2312" w:eastAsia="仿宋_GB2312"/>
          <w:b/>
          <w:bCs/>
          <w:sz w:val="32"/>
          <w:szCs w:val="32"/>
        </w:rPr>
      </w:pPr>
      <w:r>
        <w:rPr>
          <w:rFonts w:hint="eastAsia" w:ascii="黑体" w:hAnsi="黑体" w:eastAsia="黑体"/>
          <w:color w:val="000000"/>
          <w:sz w:val="32"/>
          <w:szCs w:val="32"/>
          <w:lang w:eastAsia="zh-CN"/>
        </w:rPr>
        <w:t>五</w:t>
      </w:r>
      <w:r>
        <w:rPr>
          <w:rFonts w:hint="eastAsia" w:ascii="黑体" w:hAnsi="黑体" w:eastAsia="黑体"/>
          <w:color w:val="000000"/>
          <w:sz w:val="32"/>
          <w:szCs w:val="32"/>
        </w:rPr>
        <w:t>、</w:t>
      </w:r>
      <w:r>
        <w:rPr>
          <w:rFonts w:hint="eastAsia" w:ascii="黑体" w:hAnsi="黑体" w:eastAsia="黑体"/>
          <w:color w:val="000000"/>
          <w:sz w:val="32"/>
          <w:szCs w:val="32"/>
          <w:lang w:eastAsia="zh-CN"/>
        </w:rPr>
        <w:t>名词解释：</w:t>
      </w:r>
    </w:p>
    <w:p>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1.一般公共预算:</w:t>
      </w:r>
      <w:r>
        <w:rPr>
          <w:rFonts w:hint="eastAsia" w:ascii="仿宋_GB2312"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2.政府性基金预算:</w:t>
      </w:r>
      <w:r>
        <w:rPr>
          <w:rFonts w:hint="eastAsia" w:ascii="仿宋_GB2312"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 xml:space="preserve">3.国有资本经营预算: </w:t>
      </w:r>
      <w:r>
        <w:rPr>
          <w:rFonts w:hint="eastAsia" w:ascii="仿宋_GB2312"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4.社会保险基金预算:</w:t>
      </w:r>
      <w:r>
        <w:rPr>
          <w:rFonts w:hint="eastAsia" w:ascii="仿宋_GB2312"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5.基本支出：</w:t>
      </w:r>
      <w:r>
        <w:rPr>
          <w:rFonts w:hint="eastAsia" w:ascii="仿宋_GB2312"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6.项目支出：</w:t>
      </w:r>
      <w:r>
        <w:rPr>
          <w:rFonts w:hint="eastAsia" w:ascii="仿宋_GB2312"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7.“三公”经费：</w:t>
      </w:r>
      <w:r>
        <w:rPr>
          <w:rFonts w:hint="eastAsia" w:ascii="仿宋_GB2312" w:eastAsia="仿宋_GB2312"/>
          <w:sz w:val="32"/>
          <w:szCs w:val="32"/>
        </w:rPr>
        <w:t>是指商品和服务支出中的因公出国（境）费用、公务用车购置及运行维护费和公务接待费。</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b/>
          <w:sz w:val="32"/>
          <w:szCs w:val="32"/>
        </w:rPr>
        <w:t>8.机关运行经费：</w:t>
      </w:r>
      <w:r>
        <w:rPr>
          <w:rFonts w:hint="eastAsia" w:ascii="仿宋_GB2312"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hint="eastAsia" w:ascii="仿宋_GB2312" w:eastAsia="仿宋_GB2312"/>
          <w:sz w:val="32"/>
          <w:szCs w:val="32"/>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CE78B9D5"/>
    <w:rsid w:val="08612B44"/>
    <w:rsid w:val="3FF592AA"/>
    <w:rsid w:val="59D90BF1"/>
    <w:rsid w:val="5FC97E47"/>
    <w:rsid w:val="7BFF0BD0"/>
    <w:rsid w:val="7EEF9918"/>
    <w:rsid w:val="CE78B9D5"/>
    <w:rsid w:val="F33BDC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3334</Words>
  <Characters>3509</Characters>
  <Lines>0</Lines>
  <Paragraphs>0</Paragraphs>
  <TotalTime>98</TotalTime>
  <ScaleCrop>false</ScaleCrop>
  <LinksUpToDate>false</LinksUpToDate>
  <CharactersWithSpaces>3521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2023-04-04T18:05:00Z</dcterms:created>
  <dc:creator>greatwall</dc:creator>
  <cp:lastModifiedBy>Administrator</cp:lastModifiedBy>
  <cp:lastPrinted>2023-04-06T19:04:00Z</cp:lastPrinted>
  <dcterms:modified xsi:type="dcterms:W3CDTF">2023-04-27T03:24:12Z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B222EAC585E74E1A8BF848A7385F3948</vt:lpwstr>
  </property>
</Properties>
</file>