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0" w:type="auto"/>
        <w:tblInd w:w="0" w:type="dxa"/>
        <w:tblLayout w:type="autofit"/>
        <w:tblCellMar>
          <w:top w:w="0" w:type="dxa"/>
          <w:left w:w="108" w:type="dxa"/>
          <w:bottom w:w="0" w:type="dxa"/>
          <w:right w:w="108" w:type="dxa"/>
        </w:tblCellMar>
      </w:tblPr>
      <w:tblGrid>
        <w:gridCol w:w="2093"/>
      </w:tblGrid>
      <w:tr>
        <w:tblPrEx>
          <w:tblCellMar>
            <w:top w:w="0" w:type="dxa"/>
            <w:left w:w="108" w:type="dxa"/>
            <w:bottom w:w="0" w:type="dxa"/>
            <w:right w:w="108" w:type="dxa"/>
          </w:tblCellMar>
        </w:tblPrEx>
        <w:trPr>
          <w:trHeight w:val="400" w:hRule="atLeast"/>
        </w:trPr>
        <w:tc>
          <w:tcPr>
            <w:tcW w:w="2093"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580" w:lineRule="exact"/>
              <w:jc w:val="distribute"/>
              <w:textAlignment w:val="auto"/>
              <w:rPr>
                <w:rFonts w:hint="default" w:ascii="Times New Roman" w:hAnsi="Times New Roman" w:eastAsia="黑体" w:cs="Times New Roman"/>
                <w:color w:val="auto"/>
                <w:spacing w:val="-6"/>
                <w:sz w:val="28"/>
                <w:szCs w:val="28"/>
                <w:lang w:val="en-US" w:eastAsia="zh-CN"/>
              </w:rPr>
            </w:pPr>
            <w:r>
              <w:rPr>
                <w:rFonts w:hint="default" w:ascii="Times New Roman" w:hAnsi="Times New Roman" w:eastAsia="黑体" w:cs="Times New Roman"/>
                <w:color w:val="auto"/>
                <w:spacing w:val="-6"/>
                <w:sz w:val="28"/>
                <w:szCs w:val="28"/>
                <w:lang w:val="en-US" w:eastAsia="zh-CN"/>
              </w:rPr>
              <w:t>区六届人大</w:t>
            </w:r>
          </w:p>
        </w:tc>
      </w:tr>
      <w:tr>
        <w:tblPrEx>
          <w:tblCellMar>
            <w:top w:w="0" w:type="dxa"/>
            <w:left w:w="108" w:type="dxa"/>
            <w:bottom w:w="0" w:type="dxa"/>
            <w:right w:w="108" w:type="dxa"/>
          </w:tblCellMar>
        </w:tblPrEx>
        <w:trPr>
          <w:trHeight w:val="495" w:hRule="atLeast"/>
        </w:trPr>
        <w:tc>
          <w:tcPr>
            <w:tcW w:w="2093"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580" w:lineRule="exact"/>
              <w:jc w:val="distribute"/>
              <w:textAlignment w:val="auto"/>
              <w:rPr>
                <w:rFonts w:hint="default" w:ascii="Times New Roman" w:hAnsi="Times New Roman" w:eastAsia="黑体" w:cs="Times New Roman"/>
                <w:color w:val="auto"/>
                <w:spacing w:val="-6"/>
                <w:sz w:val="28"/>
                <w:szCs w:val="28"/>
                <w:lang w:val="en-US"/>
              </w:rPr>
            </w:pPr>
            <w:r>
              <w:rPr>
                <w:rFonts w:hint="default" w:ascii="Times New Roman" w:hAnsi="Times New Roman" w:eastAsia="黑体" w:cs="Times New Roman"/>
                <w:color w:val="auto"/>
                <w:spacing w:val="-6"/>
                <w:sz w:val="28"/>
                <w:szCs w:val="28"/>
                <w:lang w:val="en-US" w:eastAsia="zh-CN"/>
              </w:rPr>
              <w:t>三次会议材料</w:t>
            </w:r>
          </w:p>
        </w:tc>
      </w:tr>
    </w:tbl>
    <w:p>
      <w:pPr>
        <w:keepNext w:val="0"/>
        <w:keepLines w:val="0"/>
        <w:pageBreakBefore w:val="0"/>
        <w:widowControl w:val="0"/>
        <w:kinsoku/>
        <w:wordWrap/>
        <w:topLinePunct w:val="0"/>
        <w:bidi w:val="0"/>
        <w:spacing w:line="58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关于株洲市天元区202</w:t>
      </w:r>
      <w:r>
        <w:rPr>
          <w:rFonts w:hint="default" w:ascii="Times New Roman" w:hAnsi="Times New Roman" w:eastAsia="方正小标宋简体" w:cs="Times New Roman"/>
          <w:color w:val="auto"/>
          <w:sz w:val="44"/>
          <w:szCs w:val="44"/>
          <w:lang w:val="en-US" w:eastAsia="zh-CN"/>
        </w:rPr>
        <w:t>2</w:t>
      </w:r>
      <w:r>
        <w:rPr>
          <w:rFonts w:hint="default" w:ascii="Times New Roman" w:hAnsi="Times New Roman" w:eastAsia="方正小标宋简体" w:cs="Times New Roman"/>
          <w:color w:val="auto"/>
          <w:sz w:val="44"/>
          <w:szCs w:val="44"/>
        </w:rPr>
        <w:t>年</w:t>
      </w:r>
      <w:r>
        <w:rPr>
          <w:rFonts w:hint="eastAsia" w:ascii="Times New Roman" w:hAnsi="Times New Roman" w:eastAsia="方正小标宋简体" w:cs="Times New Roman"/>
          <w:color w:val="auto"/>
          <w:sz w:val="44"/>
          <w:szCs w:val="44"/>
          <w:lang w:val="en-US" w:eastAsia="zh-CN"/>
        </w:rPr>
        <w:t>财政</w:t>
      </w:r>
      <w:r>
        <w:rPr>
          <w:rFonts w:hint="default" w:ascii="Times New Roman" w:hAnsi="Times New Roman" w:eastAsia="方正小标宋简体" w:cs="Times New Roman"/>
          <w:color w:val="auto"/>
          <w:sz w:val="44"/>
          <w:szCs w:val="44"/>
        </w:rPr>
        <w:t>预算执行情况</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val="en-US" w:eastAsia="zh-CN"/>
        </w:rPr>
        <w:t>及</w:t>
      </w:r>
      <w:r>
        <w:rPr>
          <w:rFonts w:hint="default" w:ascii="Times New Roman" w:hAnsi="Times New Roman" w:eastAsia="方正小标宋简体" w:cs="Times New Roman"/>
          <w:color w:val="auto"/>
          <w:sz w:val="44"/>
          <w:szCs w:val="44"/>
        </w:rPr>
        <w:t>202</w:t>
      </w:r>
      <w:r>
        <w:rPr>
          <w:rFonts w:hint="default" w:ascii="Times New Roman" w:hAnsi="Times New Roman" w:eastAsia="方正小标宋简体" w:cs="Times New Roman"/>
          <w:color w:val="auto"/>
          <w:sz w:val="44"/>
          <w:szCs w:val="44"/>
          <w:lang w:val="en-US" w:eastAsia="zh-CN"/>
        </w:rPr>
        <w:t>3</w:t>
      </w:r>
      <w:r>
        <w:rPr>
          <w:rFonts w:hint="default" w:ascii="Times New Roman" w:hAnsi="Times New Roman" w:eastAsia="方正小标宋简体" w:cs="Times New Roman"/>
          <w:color w:val="auto"/>
          <w:sz w:val="44"/>
          <w:szCs w:val="44"/>
        </w:rPr>
        <w:t>年</w:t>
      </w:r>
      <w:r>
        <w:rPr>
          <w:rFonts w:hint="eastAsia" w:ascii="Times New Roman" w:hAnsi="Times New Roman" w:eastAsia="方正小标宋简体" w:cs="Times New Roman"/>
          <w:color w:val="auto"/>
          <w:sz w:val="44"/>
          <w:szCs w:val="44"/>
          <w:lang w:val="en-US" w:eastAsia="zh-CN"/>
        </w:rPr>
        <w:t>区级财政</w:t>
      </w:r>
      <w:r>
        <w:rPr>
          <w:rFonts w:hint="default" w:ascii="Times New Roman" w:hAnsi="Times New Roman" w:eastAsia="方正小标宋简体" w:cs="Times New Roman"/>
          <w:color w:val="auto"/>
          <w:sz w:val="44"/>
          <w:szCs w:val="44"/>
        </w:rPr>
        <w:t>预算草案的报告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 w:cs="Times New Roman"/>
          <w:color w:val="auto"/>
          <w:sz w:val="32"/>
          <w:szCs w:val="32"/>
        </w:rPr>
        <w:t>——</w:t>
      </w:r>
      <w:r>
        <w:rPr>
          <w:rFonts w:hint="default" w:ascii="Times New Roman" w:hAnsi="Times New Roman" w:eastAsia="楷体_GB2312" w:cs="Times New Roman"/>
          <w:color w:val="auto"/>
          <w:sz w:val="32"/>
          <w:szCs w:val="32"/>
        </w:rPr>
        <w:t>202</w:t>
      </w:r>
      <w:r>
        <w:rPr>
          <w:rFonts w:hint="default" w:ascii="Times New Roman" w:hAnsi="Times New Roman" w:eastAsia="楷体_GB2312" w:cs="Times New Roman"/>
          <w:color w:val="auto"/>
          <w:sz w:val="32"/>
          <w:szCs w:val="32"/>
          <w:lang w:val="en-US" w:eastAsia="zh-CN"/>
        </w:rPr>
        <w:t>3</w:t>
      </w:r>
      <w:r>
        <w:rPr>
          <w:rFonts w:hint="default" w:ascii="Times New Roman" w:hAnsi="Times New Roman" w:eastAsia="楷体_GB2312" w:cs="Times New Roman"/>
          <w:color w:val="auto"/>
          <w:sz w:val="32"/>
          <w:szCs w:val="32"/>
        </w:rPr>
        <w:t>年</w:t>
      </w: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rPr>
        <w:t>月</w:t>
      </w:r>
      <w:r>
        <w:rPr>
          <w:rFonts w:hint="default" w:ascii="Times New Roman" w:hAnsi="Times New Roman" w:eastAsia="楷体_GB2312" w:cs="Times New Roman"/>
          <w:color w:val="auto"/>
          <w:sz w:val="32"/>
          <w:szCs w:val="32"/>
          <w:lang w:val="en-US" w:eastAsia="zh-CN"/>
        </w:rPr>
        <w:t>9</w:t>
      </w:r>
      <w:r>
        <w:rPr>
          <w:rFonts w:hint="default" w:ascii="Times New Roman" w:hAnsi="Times New Roman" w:eastAsia="楷体_GB2312" w:cs="Times New Roman"/>
          <w:color w:val="auto"/>
          <w:sz w:val="32"/>
          <w:szCs w:val="32"/>
        </w:rPr>
        <w:t>日在</w:t>
      </w:r>
      <w:r>
        <w:rPr>
          <w:rFonts w:hint="default" w:ascii="Times New Roman" w:hAnsi="Times New Roman" w:eastAsia="楷体_GB2312" w:cs="Times New Roman"/>
          <w:color w:val="auto"/>
          <w:sz w:val="32"/>
          <w:szCs w:val="32"/>
          <w:lang w:val="en-US" w:eastAsia="zh-CN"/>
        </w:rPr>
        <w:t>株洲市天元区第六届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val="en-US" w:eastAsia="zh-CN"/>
        </w:rPr>
        <w:t>人民代表大会</w:t>
      </w:r>
      <w:r>
        <w:rPr>
          <w:rFonts w:hint="default" w:ascii="Times New Roman" w:hAnsi="Times New Roman" w:eastAsia="楷体_GB2312" w:cs="Times New Roman"/>
          <w:color w:val="auto"/>
          <w:sz w:val="32"/>
          <w:szCs w:val="32"/>
        </w:rPr>
        <w:t>第</w:t>
      </w:r>
      <w:r>
        <w:rPr>
          <w:rFonts w:hint="default" w:ascii="Times New Roman" w:hAnsi="Times New Roman" w:eastAsia="楷体_GB2312" w:cs="Times New Roman"/>
          <w:color w:val="auto"/>
          <w:sz w:val="32"/>
          <w:szCs w:val="32"/>
          <w:lang w:val="en-US" w:eastAsia="zh-CN"/>
        </w:rPr>
        <w:t>三次</w:t>
      </w:r>
      <w:r>
        <w:rPr>
          <w:rFonts w:hint="default" w:ascii="Times New Roman" w:hAnsi="Times New Roman" w:eastAsia="楷体_GB2312" w:cs="Times New Roman"/>
          <w:color w:val="auto"/>
          <w:sz w:val="32"/>
          <w:szCs w:val="32"/>
        </w:rPr>
        <w:t>会议上</w:t>
      </w:r>
    </w:p>
    <w:p>
      <w:pPr>
        <w:pStyle w:val="2"/>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天元区财政局局长 张珈铭</w:t>
      </w:r>
    </w:p>
    <w:p>
      <w:pPr>
        <w:keepNext w:val="0"/>
        <w:keepLines w:val="0"/>
        <w:pageBreakBefore w:val="0"/>
        <w:widowControl w:val="0"/>
        <w:kinsoku/>
        <w:wordWrap/>
        <w:topLinePunct w:val="0"/>
        <w:bidi w:val="0"/>
        <w:spacing w:line="580" w:lineRule="exact"/>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lang w:val="en-US" w:eastAsia="zh-CN"/>
        </w:rPr>
        <w:t>各位代表</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lang w:val="en-US"/>
        </w:rPr>
      </w:pPr>
      <w:r>
        <w:rPr>
          <w:rFonts w:hint="default" w:ascii="Times New Roman" w:hAnsi="Times New Roman" w:eastAsia="仿宋_GB2312" w:cs="Times New Roman"/>
          <w:b w:val="0"/>
          <w:bCs w:val="0"/>
          <w:color w:val="auto"/>
          <w:sz w:val="32"/>
          <w:szCs w:val="32"/>
          <w:highlight w:val="none"/>
        </w:rPr>
        <w:t>受区人民政府委托，</w:t>
      </w:r>
      <w:r>
        <w:rPr>
          <w:rFonts w:hint="default" w:ascii="Times New Roman" w:hAnsi="Times New Roman" w:eastAsia="仿宋_GB2312" w:cs="Times New Roman"/>
          <w:b w:val="0"/>
          <w:bCs w:val="0"/>
          <w:color w:val="auto"/>
          <w:sz w:val="32"/>
          <w:szCs w:val="32"/>
          <w:highlight w:val="none"/>
          <w:lang w:val="en-US" w:eastAsia="zh-CN"/>
        </w:rPr>
        <w:t>我向大会报告株洲市</w:t>
      </w:r>
      <w:r>
        <w:rPr>
          <w:rFonts w:hint="default" w:ascii="Times New Roman" w:hAnsi="Times New Roman" w:eastAsia="仿宋_GB2312" w:cs="Times New Roman"/>
          <w:b w:val="0"/>
          <w:bCs w:val="0"/>
          <w:color w:val="auto"/>
          <w:sz w:val="32"/>
          <w:szCs w:val="32"/>
          <w:highlight w:val="none"/>
        </w:rPr>
        <w:t>天元区202</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年预算执行情况</w:t>
      </w:r>
      <w:r>
        <w:rPr>
          <w:rFonts w:hint="default" w:ascii="Times New Roman" w:hAnsi="Times New Roman" w:eastAsia="仿宋_GB2312" w:cs="Times New Roman"/>
          <w:b w:val="0"/>
          <w:bCs w:val="0"/>
          <w:color w:val="auto"/>
          <w:sz w:val="32"/>
          <w:szCs w:val="32"/>
          <w:highlight w:val="none"/>
          <w:lang w:val="en-US" w:eastAsia="zh-CN"/>
        </w:rPr>
        <w:t>与</w:t>
      </w:r>
      <w:r>
        <w:rPr>
          <w:rFonts w:hint="default" w:ascii="Times New Roman" w:hAnsi="Times New Roman" w:eastAsia="仿宋_GB2312" w:cs="Times New Roman"/>
          <w:b w:val="0"/>
          <w:bCs w:val="0"/>
          <w:color w:val="auto"/>
          <w:sz w:val="32"/>
          <w:szCs w:val="32"/>
          <w:highlight w:val="none"/>
        </w:rPr>
        <w:t>202</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年预算草案，请予</w:t>
      </w:r>
      <w:r>
        <w:rPr>
          <w:rFonts w:hint="default" w:ascii="Times New Roman" w:hAnsi="Times New Roman" w:eastAsia="仿宋_GB2312" w:cs="Times New Roman"/>
          <w:b w:val="0"/>
          <w:bCs w:val="0"/>
          <w:color w:val="auto"/>
          <w:sz w:val="32"/>
          <w:szCs w:val="32"/>
          <w:highlight w:val="none"/>
          <w:lang w:val="en-US" w:eastAsia="zh-CN"/>
        </w:rPr>
        <w:t>审查，并请各位政协委员和其他列席会议的同志提出意见。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一、202</w:t>
      </w:r>
      <w:r>
        <w:rPr>
          <w:rFonts w:hint="default" w:ascii="Times New Roman" w:hAnsi="Times New Roman" w:eastAsia="黑体" w:cs="Times New Roman"/>
          <w:b w:val="0"/>
          <w:bCs w:val="0"/>
          <w:color w:val="auto"/>
          <w:sz w:val="32"/>
          <w:szCs w:val="32"/>
          <w:highlight w:val="none"/>
          <w:lang w:val="en-US" w:eastAsia="zh-CN"/>
        </w:rPr>
        <w:t>2</w:t>
      </w:r>
      <w:r>
        <w:rPr>
          <w:rFonts w:hint="default" w:ascii="Times New Roman" w:hAnsi="Times New Roman" w:eastAsia="黑体" w:cs="Times New Roman"/>
          <w:b w:val="0"/>
          <w:bCs w:val="0"/>
          <w:color w:val="auto"/>
          <w:sz w:val="32"/>
          <w:szCs w:val="32"/>
          <w:highlight w:val="none"/>
        </w:rPr>
        <w:t>年</w:t>
      </w:r>
      <w:r>
        <w:rPr>
          <w:rFonts w:hint="eastAsia" w:ascii="Times New Roman" w:hAnsi="Times New Roman" w:eastAsia="黑体" w:cs="Times New Roman"/>
          <w:b w:val="0"/>
          <w:bCs w:val="0"/>
          <w:color w:val="auto"/>
          <w:sz w:val="32"/>
          <w:szCs w:val="32"/>
          <w:highlight w:val="none"/>
          <w:lang w:val="en-US" w:eastAsia="zh-CN"/>
        </w:rPr>
        <w:t>财政</w:t>
      </w:r>
      <w:r>
        <w:rPr>
          <w:rFonts w:hint="default" w:ascii="Times New Roman" w:hAnsi="Times New Roman" w:eastAsia="黑体" w:cs="Times New Roman"/>
          <w:b w:val="0"/>
          <w:bCs w:val="0"/>
          <w:color w:val="auto"/>
          <w:sz w:val="32"/>
          <w:szCs w:val="32"/>
          <w:highlight w:val="none"/>
        </w:rPr>
        <w:t>预算执行情况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64"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仿宋_GB2312" w:cs="Times New Roman"/>
          <w:color w:val="auto"/>
          <w:spacing w:val="6"/>
          <w:sz w:val="32"/>
          <w:szCs w:val="32"/>
        </w:rPr>
        <w:t>202</w:t>
      </w:r>
      <w:r>
        <w:rPr>
          <w:rFonts w:hint="default" w:ascii="Times New Roman" w:hAnsi="Times New Roman" w:eastAsia="仿宋_GB2312" w:cs="Times New Roman"/>
          <w:color w:val="auto"/>
          <w:spacing w:val="6"/>
          <w:sz w:val="32"/>
          <w:szCs w:val="32"/>
          <w:lang w:val="en-US" w:eastAsia="zh-CN"/>
        </w:rPr>
        <w:t>2</w:t>
      </w:r>
      <w:r>
        <w:rPr>
          <w:rFonts w:hint="default" w:ascii="Times New Roman" w:hAnsi="Times New Roman" w:eastAsia="仿宋_GB2312" w:cs="Times New Roman"/>
          <w:color w:val="auto"/>
          <w:spacing w:val="6"/>
          <w:sz w:val="32"/>
          <w:szCs w:val="32"/>
        </w:rPr>
        <w:t>年，</w:t>
      </w:r>
      <w:r>
        <w:rPr>
          <w:rFonts w:hint="default" w:ascii="Times New Roman" w:hAnsi="Times New Roman" w:eastAsia="仿宋_GB2312" w:cs="Times New Roman"/>
          <w:color w:val="auto"/>
          <w:spacing w:val="6"/>
          <w:sz w:val="32"/>
          <w:szCs w:val="32"/>
          <w:lang w:val="en-US" w:eastAsia="zh-CN"/>
        </w:rPr>
        <w:t>全区财政工作</w:t>
      </w:r>
      <w:r>
        <w:rPr>
          <w:rFonts w:hint="default" w:ascii="Times New Roman" w:hAnsi="Times New Roman" w:eastAsia="仿宋_GB2312" w:cs="Times New Roman"/>
          <w:color w:val="auto"/>
          <w:spacing w:val="6"/>
          <w:sz w:val="32"/>
          <w:szCs w:val="32"/>
        </w:rPr>
        <w:t>在工委、管委会、区委的坚强领导</w:t>
      </w:r>
      <w:r>
        <w:rPr>
          <w:rFonts w:hint="default" w:ascii="Times New Roman" w:hAnsi="Times New Roman" w:eastAsia="仿宋_GB2312" w:cs="Times New Roman"/>
          <w:color w:val="auto"/>
          <w:spacing w:val="6"/>
          <w:sz w:val="32"/>
          <w:szCs w:val="32"/>
          <w:lang w:val="en-US" w:eastAsia="zh-CN"/>
        </w:rPr>
        <w:t>和</w:t>
      </w:r>
      <w:r>
        <w:rPr>
          <w:rFonts w:hint="default" w:ascii="Times New Roman" w:hAnsi="Times New Roman" w:eastAsia="仿宋_GB2312" w:cs="Times New Roman"/>
          <w:color w:val="auto"/>
          <w:spacing w:val="6"/>
          <w:sz w:val="32"/>
          <w:szCs w:val="32"/>
        </w:rPr>
        <w:t>区人大、政协的监督</w:t>
      </w:r>
      <w:r>
        <w:rPr>
          <w:rFonts w:hint="default" w:ascii="Times New Roman" w:hAnsi="Times New Roman" w:eastAsia="仿宋_GB2312" w:cs="Times New Roman"/>
          <w:color w:val="auto"/>
          <w:spacing w:val="6"/>
          <w:sz w:val="32"/>
          <w:szCs w:val="32"/>
          <w:lang w:val="en-US" w:eastAsia="zh-CN"/>
        </w:rPr>
        <w:t>支持下</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紧扣区六届人大二次会议有关决议，主动应对各种挑战</w:t>
      </w:r>
      <w:r>
        <w:rPr>
          <w:rFonts w:hint="default" w:ascii="Times New Roman" w:hAnsi="Times New Roman" w:eastAsia="仿宋_GB2312" w:cs="Times New Roman"/>
          <w:color w:val="auto"/>
          <w:sz w:val="32"/>
          <w:szCs w:val="32"/>
          <w:lang w:val="en-US" w:eastAsia="zh-CN"/>
        </w:rPr>
        <w:t>，倍加努力，拼搏奋进，预算执行总体平稳有序</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60" w:leftChars="0" w:right="0" w:firstLine="640" w:firstLineChars="0"/>
        <w:textAlignment w:val="auto"/>
        <w:outlineLvl w:val="0"/>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一般公共预算执行情况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64" w:firstLineChars="200"/>
        <w:textAlignment w:val="auto"/>
        <w:outlineLvl w:val="0"/>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据快报反映（下同），2022年，全区地方一般公共预算收入（以下简称地方收入）完成42.54亿元，下降10.98%，其中：地方税收完成37.1</w:t>
      </w:r>
      <w:r>
        <w:rPr>
          <w:rFonts w:hint="default" w:ascii="Times New Roman" w:hAnsi="Times New Roman" w:eastAsia="仿宋_GB2312" w:cs="Times New Roman"/>
          <w:color w:val="auto"/>
          <w:spacing w:val="6"/>
          <w:sz w:val="32"/>
          <w:szCs w:val="32"/>
          <w:lang w:val="en-US" w:eastAsia="zh-CN"/>
        </w:rPr>
        <w:t>0</w:t>
      </w:r>
      <w:r>
        <w:rPr>
          <w:rFonts w:hint="default" w:ascii="Times New Roman" w:hAnsi="Times New Roman" w:eastAsia="仿宋_GB2312" w:cs="Times New Roman"/>
          <w:color w:val="auto"/>
          <w:spacing w:val="6"/>
          <w:sz w:val="32"/>
          <w:szCs w:val="32"/>
        </w:rPr>
        <w:t>亿元，下降8.21%，占地方收入比重为87.22%，较上年增长2.64</w:t>
      </w:r>
      <w:r>
        <w:rPr>
          <w:rFonts w:hint="default" w:ascii="Times New Roman" w:hAnsi="Times New Roman" w:eastAsia="仿宋_GB2312" w:cs="Times New Roman"/>
          <w:color w:val="auto"/>
          <w:spacing w:val="6"/>
          <w:sz w:val="32"/>
          <w:szCs w:val="32"/>
          <w:lang w:val="en-US" w:eastAsia="zh-CN"/>
        </w:rPr>
        <w:t>个</w:t>
      </w:r>
      <w:r>
        <w:rPr>
          <w:rFonts w:hint="default" w:ascii="Times New Roman" w:hAnsi="Times New Roman" w:eastAsia="仿宋_GB2312" w:cs="Times New Roman"/>
          <w:color w:val="auto"/>
          <w:spacing w:val="6"/>
          <w:sz w:val="32"/>
          <w:szCs w:val="32"/>
        </w:rPr>
        <w:t>百分点；非税收入完成5.44亿元，下降26.</w:t>
      </w:r>
      <w:r>
        <w:rPr>
          <w:rFonts w:hint="default" w:ascii="Times New Roman" w:hAnsi="Times New Roman" w:eastAsia="仿宋_GB2312" w:cs="Times New Roman"/>
          <w:color w:val="auto"/>
          <w:spacing w:val="6"/>
          <w:sz w:val="32"/>
          <w:szCs w:val="32"/>
          <w:lang w:val="en-US" w:eastAsia="zh-CN"/>
        </w:rPr>
        <w:t>20</w:t>
      </w:r>
      <w:r>
        <w:rPr>
          <w:rFonts w:hint="default" w:ascii="Times New Roman" w:hAnsi="Times New Roman" w:eastAsia="仿宋_GB2312" w:cs="Times New Roman"/>
          <w:color w:val="auto"/>
          <w:spacing w:val="6"/>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638" w:leftChars="304" w:right="0" w:firstLine="0" w:firstLineChars="0"/>
        <w:textAlignment w:val="auto"/>
        <w:outlineLvl w:val="0"/>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仿宋_GB2312" w:cs="Times New Roman"/>
          <w:color w:val="auto"/>
          <w:spacing w:val="6"/>
          <w:sz w:val="32"/>
          <w:szCs w:val="32"/>
        </w:rPr>
        <w:t>全区累计完成一般公共预算支出52.07亿元，下降4.86%。</w:t>
      </w:r>
      <w:r>
        <w:rPr>
          <w:rFonts w:hint="default" w:ascii="Times New Roman" w:hAnsi="Times New Roman" w:eastAsia="楷体_GB2312" w:cs="Times New Roman"/>
          <w:b w:val="0"/>
          <w:bCs w:val="0"/>
          <w:color w:val="auto"/>
          <w:sz w:val="32"/>
          <w:szCs w:val="32"/>
          <w:highlight w:val="none"/>
        </w:rPr>
        <w:t>（二）政府性基金预算执行情况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全区政府性基金预算收入完成34.79亿元，增长13.31%；政府性基金预算支出完成26.6</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亿元（不含调入一般公共预算安排的支出），增长95.3</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outlineLvl w:val="0"/>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（三）国有资本经营预算执行情况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全区国有资本经营预算收入完成2.97亿元，全部调入一般公共预算统筹安排支出。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outlineLvl w:val="0"/>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lang w:eastAsia="zh-CN"/>
        </w:rPr>
        <w:t>（</w:t>
      </w:r>
      <w:r>
        <w:rPr>
          <w:rFonts w:hint="default" w:ascii="Times New Roman" w:hAnsi="Times New Roman" w:eastAsia="楷体_GB2312" w:cs="Times New Roman"/>
          <w:b w:val="0"/>
          <w:bCs w:val="0"/>
          <w:color w:val="auto"/>
          <w:sz w:val="32"/>
          <w:szCs w:val="32"/>
          <w:highlight w:val="none"/>
          <w:lang w:val="en-US" w:eastAsia="zh-CN"/>
        </w:rPr>
        <w:t>四</w:t>
      </w:r>
      <w:r>
        <w:rPr>
          <w:rFonts w:hint="default" w:ascii="Times New Roman" w:hAnsi="Times New Roman" w:eastAsia="楷体_GB2312" w:cs="Times New Roman"/>
          <w:b w:val="0"/>
          <w:bCs w:val="0"/>
          <w:color w:val="auto"/>
          <w:sz w:val="32"/>
          <w:szCs w:val="32"/>
          <w:highlight w:val="none"/>
          <w:lang w:eastAsia="zh-CN"/>
        </w:rPr>
        <w:t>）</w:t>
      </w:r>
      <w:r>
        <w:rPr>
          <w:rFonts w:hint="default" w:ascii="Times New Roman" w:hAnsi="Times New Roman" w:eastAsia="楷体_GB2312" w:cs="Times New Roman"/>
          <w:b w:val="0"/>
          <w:bCs w:val="0"/>
          <w:color w:val="auto"/>
          <w:sz w:val="32"/>
          <w:szCs w:val="32"/>
          <w:highlight w:val="none"/>
        </w:rPr>
        <w:t>社会保险基金预算收支情况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全区社会保险基金收入完成</w:t>
      </w:r>
      <w:r>
        <w:rPr>
          <w:rFonts w:hint="default" w:ascii="Times New Roman" w:hAnsi="Times New Roman" w:eastAsia="仿宋_GB2312" w:cs="Times New Roman"/>
          <w:b w:val="0"/>
          <w:bCs w:val="0"/>
          <w:color w:val="auto"/>
          <w:sz w:val="32"/>
          <w:szCs w:val="32"/>
          <w:highlight w:val="none"/>
          <w:lang w:val="en-US" w:eastAsia="zh-CN"/>
        </w:rPr>
        <w:t>1.99</w:t>
      </w:r>
      <w:r>
        <w:rPr>
          <w:rFonts w:hint="default" w:ascii="Times New Roman" w:hAnsi="Times New Roman" w:eastAsia="仿宋_GB2312" w:cs="Times New Roman"/>
          <w:b w:val="0"/>
          <w:bCs w:val="0"/>
          <w:color w:val="auto"/>
          <w:sz w:val="32"/>
          <w:szCs w:val="32"/>
          <w:highlight w:val="none"/>
        </w:rPr>
        <w:t>亿元（区级统筹部分，下同），增长39.7</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%；社会保险基金支出完成1.57亿元，增长33.2</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%。年末社会保险基金累计结余2.55亿元。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outlineLvl w:val="0"/>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（五）地方政府债务情况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截止2022年末，株洲市天元区政府债务总限额87.15亿元，其中：一般债务限额50.81亿元，专项债券限额36.34亿元。2022年度新增限额6.82亿元，其中：新增一般债务限额0.22亿元，新增专项债务限额6.6亿元。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截止2022年末，株洲市天元区政府债务余额为87.15亿元，其中：一般债务余额50.81亿元，专项债券余额36.34亿元，较上年末增加6.82亿元，控制在省核定的债务限额以内。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这里需要说明的是，与区六届人大二次会议审查批准的预算目标相比较，预算收入执行结果有一定差距，主要是落实国家大规模的减税缓税退税政策，</w:t>
      </w:r>
      <w:r>
        <w:rPr>
          <w:rFonts w:hint="default" w:ascii="Times New Roman" w:hAnsi="Times New Roman" w:eastAsia="仿宋_GB2312" w:cs="Times New Roman"/>
          <w:color w:val="auto"/>
          <w:sz w:val="32"/>
          <w:szCs w:val="32"/>
        </w:rPr>
        <w:t>全年</w:t>
      </w:r>
      <w:r>
        <w:rPr>
          <w:rFonts w:hint="default" w:ascii="Times New Roman" w:hAnsi="Times New Roman" w:eastAsia="仿宋_GB2312" w:cs="Times New Roman"/>
          <w:b w:val="0"/>
          <w:bCs/>
          <w:color w:val="auto"/>
          <w:kern w:val="0"/>
          <w:sz w:val="32"/>
          <w:szCs w:val="32"/>
          <w:lang w:val="en" w:eastAsia="zh-CN" w:bidi="ar-SA"/>
        </w:rPr>
        <w:t>完成增值税留抵退税44</w:t>
      </w:r>
      <w:r>
        <w:rPr>
          <w:rFonts w:hint="default" w:ascii="Times New Roman" w:hAnsi="Times New Roman" w:eastAsia="仿宋_GB2312" w:cs="Times New Roman"/>
          <w:b w:val="0"/>
          <w:bCs/>
          <w:color w:val="auto"/>
          <w:kern w:val="0"/>
          <w:sz w:val="32"/>
          <w:szCs w:val="32"/>
          <w:lang w:val="en-US" w:eastAsia="zh-CN" w:bidi="ar-SA"/>
        </w:rPr>
        <w:t>.66</w:t>
      </w:r>
      <w:r>
        <w:rPr>
          <w:rFonts w:hint="default" w:ascii="Times New Roman" w:hAnsi="Times New Roman" w:eastAsia="仿宋_GB2312" w:cs="Times New Roman"/>
          <w:b w:val="0"/>
          <w:bCs/>
          <w:color w:val="auto"/>
          <w:kern w:val="0"/>
          <w:sz w:val="32"/>
          <w:szCs w:val="32"/>
          <w:lang w:val="en" w:eastAsia="zh-CN" w:bidi="ar-SA"/>
        </w:rPr>
        <w:t>亿元，影响区级财力</w:t>
      </w:r>
      <w:r>
        <w:rPr>
          <w:rFonts w:hint="default" w:ascii="Times New Roman" w:hAnsi="Times New Roman" w:eastAsia="仿宋_GB2312" w:cs="Times New Roman"/>
          <w:b w:val="0"/>
          <w:bCs/>
          <w:color w:val="auto"/>
          <w:kern w:val="0"/>
          <w:sz w:val="32"/>
          <w:szCs w:val="32"/>
          <w:lang w:val="en-US" w:eastAsia="zh-CN" w:bidi="ar-SA"/>
        </w:rPr>
        <w:t>2亿元以上；</w:t>
      </w:r>
      <w:r>
        <w:rPr>
          <w:rFonts w:hint="default" w:ascii="Times New Roman" w:hAnsi="Times New Roman" w:eastAsia="仿宋_GB2312" w:cs="Times New Roman"/>
          <w:color w:val="auto"/>
          <w:sz w:val="32"/>
          <w:szCs w:val="32"/>
        </w:rPr>
        <w:t>减</w:t>
      </w:r>
      <w:r>
        <w:rPr>
          <w:rFonts w:hint="default" w:ascii="Times New Roman" w:hAnsi="Times New Roman" w:eastAsia="仿宋_GB2312" w:cs="Times New Roman"/>
          <w:color w:val="auto"/>
          <w:sz w:val="32"/>
          <w:szCs w:val="32"/>
          <w:lang w:eastAsia="zh-CN"/>
        </w:rPr>
        <w:t>税</w:t>
      </w:r>
      <w:r>
        <w:rPr>
          <w:rFonts w:hint="default" w:ascii="Times New Roman" w:hAnsi="Times New Roman" w:eastAsia="仿宋_GB2312" w:cs="Times New Roman"/>
          <w:color w:val="auto"/>
          <w:sz w:val="32"/>
          <w:szCs w:val="32"/>
        </w:rPr>
        <w:t>缓</w:t>
      </w:r>
      <w:r>
        <w:rPr>
          <w:rFonts w:hint="default" w:ascii="Times New Roman" w:hAnsi="Times New Roman" w:eastAsia="仿宋_GB2312" w:cs="Times New Roman"/>
          <w:color w:val="auto"/>
          <w:sz w:val="32"/>
          <w:szCs w:val="32"/>
          <w:lang w:eastAsia="zh-CN"/>
        </w:rPr>
        <w:t>税</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亿元</w:t>
      </w:r>
      <w:r>
        <w:rPr>
          <w:rFonts w:hint="default" w:ascii="Times New Roman" w:hAnsi="Times New Roman" w:eastAsia="仿宋_GB2312" w:cs="Times New Roman"/>
          <w:color w:val="auto"/>
          <w:sz w:val="32"/>
          <w:szCs w:val="32"/>
          <w:lang w:val="en-US" w:eastAsia="zh-CN"/>
        </w:rPr>
        <w:t>以上</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val="0"/>
          <w:bCs w:val="0"/>
          <w:color w:val="auto"/>
          <w:sz w:val="32"/>
          <w:szCs w:val="32"/>
          <w:lang w:val="en-US" w:eastAsia="zh-CN"/>
        </w:rPr>
        <w:t>影响地方税收3亿元以上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color w:val="auto"/>
          <w:kern w:val="0"/>
          <w:sz w:val="32"/>
          <w:szCs w:val="32"/>
          <w:lang w:val="en" w:eastAsia="zh-CN" w:bidi="ar-SA"/>
        </w:rPr>
        <w:t>受政策和市场、“问题楼盘”</w:t>
      </w:r>
      <w:r>
        <w:rPr>
          <w:rFonts w:hint="default" w:ascii="Times New Roman" w:hAnsi="Times New Roman" w:eastAsia="仿宋_GB2312" w:cs="Times New Roman"/>
          <w:b w:val="0"/>
          <w:bCs/>
          <w:color w:val="auto"/>
          <w:kern w:val="0"/>
          <w:sz w:val="32"/>
          <w:szCs w:val="32"/>
          <w:lang w:val="en-US" w:eastAsia="zh-CN" w:bidi="ar-SA"/>
        </w:rPr>
        <w:t>等</w:t>
      </w:r>
      <w:r>
        <w:rPr>
          <w:rFonts w:hint="default" w:ascii="Times New Roman" w:hAnsi="Times New Roman" w:eastAsia="仿宋_GB2312" w:cs="Times New Roman"/>
          <w:b w:val="0"/>
          <w:bCs/>
          <w:color w:val="auto"/>
          <w:kern w:val="0"/>
          <w:sz w:val="32"/>
          <w:szCs w:val="32"/>
          <w:lang w:val="en" w:eastAsia="zh-CN" w:bidi="ar-SA"/>
        </w:rPr>
        <w:t>影响，房地产及关联产业</w:t>
      </w:r>
      <w:r>
        <w:rPr>
          <w:rFonts w:hint="default" w:ascii="Times New Roman" w:hAnsi="Times New Roman" w:eastAsia="仿宋_GB2312" w:cs="Times New Roman"/>
          <w:b w:val="0"/>
          <w:bCs/>
          <w:color w:val="auto"/>
          <w:kern w:val="0"/>
          <w:sz w:val="32"/>
          <w:szCs w:val="32"/>
          <w:lang w:val="en-US" w:eastAsia="zh-CN" w:bidi="ar-SA"/>
        </w:rPr>
        <w:t>比去年</w:t>
      </w:r>
      <w:r>
        <w:rPr>
          <w:rFonts w:hint="default" w:ascii="Times New Roman" w:hAnsi="Times New Roman" w:eastAsia="仿宋_GB2312" w:cs="Times New Roman"/>
          <w:b w:val="0"/>
          <w:bCs/>
          <w:color w:val="auto"/>
          <w:kern w:val="0"/>
          <w:sz w:val="32"/>
          <w:szCs w:val="32"/>
          <w:lang w:val="en" w:eastAsia="zh-CN" w:bidi="ar-SA"/>
        </w:rPr>
        <w:t>减</w:t>
      </w:r>
      <w:r>
        <w:rPr>
          <w:rFonts w:hint="default" w:ascii="Times New Roman" w:hAnsi="Times New Roman" w:eastAsia="仿宋_GB2312" w:cs="Times New Roman"/>
          <w:b w:val="0"/>
          <w:bCs/>
          <w:color w:val="auto"/>
          <w:kern w:val="0"/>
          <w:sz w:val="32"/>
          <w:szCs w:val="32"/>
          <w:lang w:val="en-US" w:eastAsia="zh-CN" w:bidi="ar-SA"/>
        </w:rPr>
        <w:t>少地方税收</w:t>
      </w:r>
      <w:r>
        <w:rPr>
          <w:rFonts w:hint="default" w:ascii="Times New Roman" w:hAnsi="Times New Roman" w:eastAsia="仿宋_GB2312" w:cs="Times New Roman"/>
          <w:b w:val="0"/>
          <w:bCs/>
          <w:color w:val="auto"/>
          <w:kern w:val="0"/>
          <w:sz w:val="32"/>
          <w:szCs w:val="32"/>
          <w:lang w:val="en" w:eastAsia="zh-CN" w:bidi="ar-SA"/>
        </w:rPr>
        <w:t>5.66亿元，</w:t>
      </w:r>
      <w:r>
        <w:rPr>
          <w:rFonts w:hint="default" w:ascii="Times New Roman" w:hAnsi="Times New Roman" w:eastAsia="仿宋_GB2312" w:cs="Times New Roman"/>
          <w:b w:val="0"/>
          <w:bCs w:val="0"/>
          <w:color w:val="auto"/>
          <w:kern w:val="0"/>
          <w:sz w:val="32"/>
          <w:szCs w:val="32"/>
          <w:lang w:val="en-US" w:eastAsia="zh-CN" w:bidi="ar"/>
        </w:rPr>
        <w:t>下降</w:t>
      </w:r>
      <w:r>
        <w:rPr>
          <w:rFonts w:hint="default" w:ascii="Times New Roman" w:hAnsi="Times New Roman" w:eastAsia="仿宋_GB2312" w:cs="Times New Roman"/>
          <w:b w:val="0"/>
          <w:bCs w:val="0"/>
          <w:color w:val="auto"/>
          <w:kern w:val="0"/>
          <w:sz w:val="32"/>
          <w:szCs w:val="32"/>
          <w:lang w:val="en" w:eastAsia="zh-CN" w:bidi="ar"/>
        </w:rPr>
        <w:t>31</w:t>
      </w:r>
      <w:r>
        <w:rPr>
          <w:rFonts w:hint="default" w:ascii="Times New Roman" w:hAnsi="Times New Roman" w:eastAsia="仿宋_GB2312" w:cs="Times New Roman"/>
          <w:b w:val="0"/>
          <w:bCs w:val="0"/>
          <w:color w:val="auto"/>
          <w:kern w:val="0"/>
          <w:sz w:val="32"/>
          <w:szCs w:val="32"/>
          <w:lang w:val="en-US" w:eastAsia="zh-CN" w:bidi="ar"/>
        </w:rPr>
        <w:t>%。以上共减少地方税收8.66亿元，拉低增幅21.42个百分点；</w:t>
      </w:r>
      <w:r>
        <w:rPr>
          <w:rFonts w:hint="default" w:ascii="Times New Roman" w:hAnsi="Times New Roman" w:eastAsia="仿宋_GB2312" w:cs="Times New Roman"/>
          <w:color w:val="auto"/>
          <w:sz w:val="32"/>
          <w:szCs w:val="32"/>
          <w:lang w:val="en-US" w:eastAsia="zh-CN"/>
        </w:rPr>
        <w:t>继续落实市委、市政府调整收入结构，提高收入质量的安排部署，年底压减非税收入2.02亿元。上述数据为快报数据情况，在决算汇总后，我们再按规定向区人大常委会报告。</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2022年，围绕预算执行，主要做了如下几方面工作: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仿宋_GB2312" w:cs="Times New Roman"/>
          <w:b w:val="0"/>
          <w:bCs/>
          <w:color w:val="auto"/>
          <w:kern w:val="0"/>
          <w:sz w:val="32"/>
          <w:szCs w:val="32"/>
          <w:lang w:val="en-US" w:eastAsia="zh-CN" w:bidi="ar-SA"/>
        </w:rPr>
      </w:pPr>
      <w:r>
        <w:rPr>
          <w:rFonts w:hint="default" w:ascii="Times New Roman" w:hAnsi="Times New Roman" w:eastAsia="楷体_GB2312" w:cs="Times New Roman"/>
          <w:color w:val="auto"/>
          <w:sz w:val="32"/>
          <w:szCs w:val="32"/>
          <w:lang w:val="en-US" w:eastAsia="zh-CN"/>
        </w:rPr>
        <w:t>（一）面对大幅减收，我们竭尽全力抓财源建设，实现了收入稳预期。</w:t>
      </w:r>
      <w:r>
        <w:rPr>
          <w:rFonts w:hint="default" w:ascii="Times New Roman" w:hAnsi="Times New Roman" w:eastAsia="仿宋_GB2312" w:cs="Times New Roman"/>
          <w:b w:val="0"/>
          <w:bCs/>
          <w:color w:val="auto"/>
          <w:kern w:val="0"/>
          <w:sz w:val="32"/>
          <w:szCs w:val="32"/>
          <w:lang w:val="en" w:eastAsia="zh-CN" w:bidi="ar-SA"/>
        </w:rPr>
        <w:t>提早</w:t>
      </w:r>
      <w:r>
        <w:rPr>
          <w:rFonts w:hint="default" w:ascii="Times New Roman" w:hAnsi="Times New Roman" w:eastAsia="仿宋_GB2312" w:cs="Times New Roman"/>
          <w:b w:val="0"/>
          <w:bCs/>
          <w:color w:val="auto"/>
          <w:kern w:val="0"/>
          <w:sz w:val="32"/>
          <w:szCs w:val="32"/>
          <w:lang w:val="en-US" w:eastAsia="zh-CN" w:bidi="ar-SA"/>
        </w:rPr>
        <w:t>研</w:t>
      </w:r>
      <w:r>
        <w:rPr>
          <w:rFonts w:hint="default" w:ascii="Times New Roman" w:hAnsi="Times New Roman" w:eastAsia="仿宋_GB2312" w:cs="Times New Roman"/>
          <w:b w:val="0"/>
          <w:bCs/>
          <w:color w:val="auto"/>
          <w:kern w:val="0"/>
          <w:sz w:val="32"/>
          <w:szCs w:val="32"/>
          <w:lang w:val="en" w:eastAsia="zh-CN" w:bidi="ar-SA"/>
        </w:rPr>
        <w:t>判税源状况、政策影响，因情施策，完善收入分享、通报、考核等财源建设制度，</w:t>
      </w:r>
      <w:r>
        <w:rPr>
          <w:rFonts w:hint="default" w:ascii="Times New Roman" w:hAnsi="Times New Roman" w:eastAsia="仿宋_GB2312" w:cs="Times New Roman"/>
          <w:b w:val="0"/>
          <w:bCs/>
          <w:color w:val="auto"/>
          <w:kern w:val="0"/>
          <w:sz w:val="32"/>
          <w:szCs w:val="32"/>
          <w:lang w:val="en-US" w:eastAsia="zh-CN" w:bidi="ar-SA"/>
        </w:rPr>
        <w:t>先后</w:t>
      </w:r>
      <w:r>
        <w:rPr>
          <w:rFonts w:hint="default" w:ascii="Times New Roman" w:hAnsi="Times New Roman" w:eastAsia="仿宋_GB2312" w:cs="Times New Roman"/>
          <w:b w:val="0"/>
          <w:bCs/>
          <w:color w:val="auto"/>
          <w:kern w:val="0"/>
          <w:sz w:val="32"/>
          <w:szCs w:val="32"/>
          <w:lang w:val="en" w:eastAsia="zh-CN" w:bidi="ar-SA"/>
        </w:rPr>
        <w:t>开展</w:t>
      </w:r>
      <w:r>
        <w:rPr>
          <w:rFonts w:hint="default" w:ascii="Times New Roman" w:hAnsi="Times New Roman" w:eastAsia="仿宋_GB2312" w:cs="Times New Roman"/>
          <w:b w:val="0"/>
          <w:bCs/>
          <w:color w:val="auto"/>
          <w:kern w:val="0"/>
          <w:sz w:val="32"/>
          <w:szCs w:val="32"/>
          <w:lang w:val="en-US" w:eastAsia="zh-CN" w:bidi="ar-SA"/>
        </w:rPr>
        <w:t>了</w:t>
      </w:r>
      <w:r>
        <w:rPr>
          <w:rFonts w:hint="default" w:ascii="Times New Roman" w:hAnsi="Times New Roman" w:eastAsia="仿宋_GB2312" w:cs="Times New Roman"/>
          <w:b w:val="0"/>
          <w:bCs/>
          <w:color w:val="auto"/>
          <w:kern w:val="0"/>
          <w:sz w:val="32"/>
          <w:szCs w:val="32"/>
          <w:lang w:val="en" w:eastAsia="zh-CN" w:bidi="ar-SA"/>
        </w:rPr>
        <w:t>“</w:t>
      </w:r>
      <w:r>
        <w:rPr>
          <w:rFonts w:hint="default" w:ascii="Times New Roman" w:hAnsi="Times New Roman" w:eastAsia="仿宋_GB2312" w:cs="Times New Roman"/>
          <w:b w:val="0"/>
          <w:bCs/>
          <w:color w:val="auto"/>
          <w:kern w:val="0"/>
          <w:sz w:val="32"/>
          <w:szCs w:val="32"/>
          <w:lang w:val="en-US" w:eastAsia="zh-CN" w:bidi="ar-SA"/>
        </w:rPr>
        <w:t>过半”</w:t>
      </w:r>
      <w:r>
        <w:rPr>
          <w:rFonts w:hint="default" w:ascii="Times New Roman" w:hAnsi="Times New Roman" w:eastAsia="仿宋_GB2312" w:cs="Times New Roman"/>
          <w:b w:val="0"/>
          <w:bCs/>
          <w:color w:val="auto"/>
          <w:kern w:val="0"/>
          <w:sz w:val="32"/>
          <w:szCs w:val="32"/>
          <w:lang w:val="en" w:eastAsia="zh-CN" w:bidi="ar-SA"/>
        </w:rPr>
        <w:t>、</w:t>
      </w:r>
      <w:r>
        <w:rPr>
          <w:rFonts w:hint="default" w:ascii="Times New Roman" w:hAnsi="Times New Roman" w:eastAsia="仿宋_GB2312" w:cs="Times New Roman"/>
          <w:b w:val="0"/>
          <w:bCs/>
          <w:color w:val="auto"/>
          <w:kern w:val="0"/>
          <w:sz w:val="32"/>
          <w:szCs w:val="32"/>
          <w:lang w:val="en-US" w:eastAsia="zh-CN" w:bidi="ar-SA"/>
        </w:rPr>
        <w:t>收官冲刺等</w:t>
      </w:r>
      <w:r>
        <w:rPr>
          <w:rFonts w:hint="default" w:ascii="Times New Roman" w:hAnsi="Times New Roman" w:eastAsia="仿宋_GB2312" w:cs="Times New Roman"/>
          <w:b w:val="0"/>
          <w:bCs/>
          <w:color w:val="auto"/>
          <w:kern w:val="0"/>
          <w:sz w:val="32"/>
          <w:szCs w:val="32"/>
          <w:lang w:val="en" w:eastAsia="zh-CN" w:bidi="ar-SA"/>
        </w:rPr>
        <w:t>攻坚行动，</w:t>
      </w:r>
      <w:r>
        <w:rPr>
          <w:rFonts w:hint="default" w:ascii="Times New Roman" w:hAnsi="Times New Roman" w:eastAsia="仿宋_GB2312" w:cs="Times New Roman"/>
          <w:b w:val="0"/>
          <w:bCs/>
          <w:color w:val="auto"/>
          <w:kern w:val="0"/>
          <w:sz w:val="32"/>
          <w:szCs w:val="32"/>
          <w:lang w:val="en-US" w:eastAsia="zh-CN" w:bidi="ar-SA"/>
        </w:rPr>
        <w:t>全面落实培源增收、堵漏挖潜系列措施。</w:t>
      </w:r>
      <w:r>
        <w:rPr>
          <w:rFonts w:hint="default" w:ascii="Times New Roman" w:hAnsi="Times New Roman" w:eastAsia="仿宋_GB2312" w:cs="Times New Roman"/>
          <w:b w:val="0"/>
          <w:bCs/>
          <w:color w:val="auto"/>
          <w:kern w:val="0"/>
          <w:sz w:val="32"/>
          <w:szCs w:val="32"/>
          <w:lang w:val="en" w:eastAsia="zh-CN" w:bidi="ar-SA"/>
        </w:rPr>
        <w:t>狠抓留抵退税</w:t>
      </w:r>
      <w:r>
        <w:rPr>
          <w:rFonts w:hint="default" w:ascii="Times New Roman" w:hAnsi="Times New Roman" w:eastAsia="仿宋_GB2312" w:cs="Times New Roman"/>
          <w:b w:val="0"/>
          <w:bCs/>
          <w:color w:val="auto"/>
          <w:kern w:val="0"/>
          <w:sz w:val="32"/>
          <w:szCs w:val="32"/>
          <w:lang w:val="en-US" w:eastAsia="zh-CN" w:bidi="ar-SA"/>
        </w:rPr>
        <w:t>企业</w:t>
      </w:r>
      <w:r>
        <w:rPr>
          <w:rFonts w:hint="default" w:ascii="Times New Roman" w:hAnsi="Times New Roman" w:eastAsia="仿宋_GB2312" w:cs="Times New Roman"/>
          <w:b w:val="0"/>
          <w:bCs/>
          <w:color w:val="auto"/>
          <w:kern w:val="0"/>
          <w:sz w:val="32"/>
          <w:szCs w:val="32"/>
          <w:lang w:val="en" w:eastAsia="zh-CN" w:bidi="ar-SA"/>
        </w:rPr>
        <w:t>税收回补，对冲政策性减收。全年制造业入库地方税收</w:t>
      </w:r>
      <w:r>
        <w:rPr>
          <w:rFonts w:hint="default" w:ascii="Times New Roman" w:hAnsi="Times New Roman" w:eastAsia="仿宋_GB2312" w:cs="Times New Roman"/>
          <w:b w:val="0"/>
          <w:bCs/>
          <w:color w:val="auto"/>
          <w:kern w:val="0"/>
          <w:sz w:val="32"/>
          <w:szCs w:val="32"/>
          <w:lang w:val="en-US" w:eastAsia="zh-CN" w:bidi="ar-SA"/>
        </w:rPr>
        <w:t>9.09</w:t>
      </w:r>
      <w:r>
        <w:rPr>
          <w:rFonts w:hint="default" w:ascii="Times New Roman" w:hAnsi="Times New Roman" w:eastAsia="仿宋_GB2312" w:cs="Times New Roman"/>
          <w:b w:val="0"/>
          <w:bCs/>
          <w:color w:val="auto"/>
          <w:kern w:val="0"/>
          <w:sz w:val="32"/>
          <w:szCs w:val="32"/>
          <w:lang w:val="en" w:eastAsia="zh-CN" w:bidi="ar-SA"/>
        </w:rPr>
        <w:t>亿元，增收</w:t>
      </w:r>
      <w:r>
        <w:rPr>
          <w:rFonts w:hint="default" w:ascii="Times New Roman" w:hAnsi="Times New Roman" w:eastAsia="仿宋_GB2312" w:cs="Times New Roman"/>
          <w:b w:val="0"/>
          <w:bCs/>
          <w:color w:val="auto"/>
          <w:kern w:val="0"/>
          <w:sz w:val="32"/>
          <w:szCs w:val="32"/>
          <w:lang w:val="en-US" w:eastAsia="zh-CN" w:bidi="ar-SA"/>
        </w:rPr>
        <w:t>1.33</w:t>
      </w:r>
      <w:r>
        <w:rPr>
          <w:rFonts w:hint="default" w:ascii="Times New Roman" w:hAnsi="Times New Roman" w:eastAsia="仿宋_GB2312" w:cs="Times New Roman"/>
          <w:b w:val="0"/>
          <w:bCs/>
          <w:color w:val="auto"/>
          <w:kern w:val="0"/>
          <w:sz w:val="32"/>
          <w:szCs w:val="32"/>
          <w:lang w:val="en" w:eastAsia="zh-CN" w:bidi="ar-SA"/>
        </w:rPr>
        <w:t>亿元，增长</w:t>
      </w:r>
      <w:r>
        <w:rPr>
          <w:rFonts w:hint="default" w:ascii="Times New Roman" w:hAnsi="Times New Roman" w:eastAsia="仿宋_GB2312" w:cs="Times New Roman"/>
          <w:b w:val="0"/>
          <w:bCs/>
          <w:color w:val="auto"/>
          <w:kern w:val="0"/>
          <w:sz w:val="32"/>
          <w:szCs w:val="32"/>
          <w:lang w:val="en-US" w:eastAsia="zh-CN" w:bidi="ar-SA"/>
        </w:rPr>
        <w:t>17.14</w:t>
      </w:r>
      <w:r>
        <w:rPr>
          <w:rFonts w:hint="default" w:ascii="Times New Roman" w:hAnsi="Times New Roman" w:eastAsia="仿宋_GB2312" w:cs="Times New Roman"/>
          <w:b w:val="0"/>
          <w:bCs/>
          <w:color w:val="auto"/>
          <w:kern w:val="0"/>
          <w:sz w:val="32"/>
          <w:szCs w:val="32"/>
          <w:lang w:val="en" w:eastAsia="zh-CN" w:bidi="ar-SA"/>
        </w:rPr>
        <w:t>%。其中：退税100万元及以上的企业59户，已回补地方税收4.65亿元，北汽、风电事业部、中车电动等企业</w:t>
      </w:r>
      <w:r>
        <w:rPr>
          <w:rFonts w:hint="default" w:ascii="Times New Roman" w:hAnsi="Times New Roman" w:eastAsia="仿宋_GB2312" w:cs="Times New Roman"/>
          <w:b w:val="0"/>
          <w:bCs/>
          <w:color w:val="auto"/>
          <w:kern w:val="0"/>
          <w:sz w:val="32"/>
          <w:szCs w:val="32"/>
          <w:lang w:val="en-US" w:eastAsia="zh-CN" w:bidi="ar-SA"/>
        </w:rPr>
        <w:t>税收实现大幅增长</w:t>
      </w:r>
      <w:r>
        <w:rPr>
          <w:rFonts w:hint="default" w:ascii="Times New Roman" w:hAnsi="Times New Roman" w:eastAsia="仿宋_GB2312" w:cs="Times New Roman"/>
          <w:b w:val="0"/>
          <w:bCs/>
          <w:color w:val="auto"/>
          <w:kern w:val="0"/>
          <w:sz w:val="32"/>
          <w:szCs w:val="32"/>
          <w:lang w:val="en" w:eastAsia="zh-CN" w:bidi="ar-SA"/>
        </w:rPr>
        <w:t>。狠抓土地增值税和小税种清收，遏制房地产业税收持续跌落。全年土地增值税清算补缴税款3.68亿元，特别是保交楼税收征管实现新突破；个税增收4</w:t>
      </w:r>
      <w:r>
        <w:rPr>
          <w:rFonts w:hint="default" w:ascii="Times New Roman" w:hAnsi="Times New Roman" w:eastAsia="仿宋_GB2312" w:cs="Times New Roman"/>
          <w:b w:val="0"/>
          <w:bCs/>
          <w:color w:val="auto"/>
          <w:kern w:val="0"/>
          <w:sz w:val="32"/>
          <w:szCs w:val="32"/>
          <w:lang w:val="en-US" w:eastAsia="zh-CN" w:bidi="ar-SA"/>
        </w:rPr>
        <w:t>033</w:t>
      </w:r>
      <w:r>
        <w:rPr>
          <w:rFonts w:hint="default" w:ascii="Times New Roman" w:hAnsi="Times New Roman" w:eastAsia="仿宋_GB2312" w:cs="Times New Roman"/>
          <w:b w:val="0"/>
          <w:bCs/>
          <w:color w:val="auto"/>
          <w:kern w:val="0"/>
          <w:sz w:val="32"/>
          <w:szCs w:val="32"/>
          <w:lang w:val="en" w:eastAsia="zh-CN" w:bidi="ar-SA"/>
        </w:rPr>
        <w:t>万元，</w:t>
      </w:r>
      <w:r>
        <w:rPr>
          <w:rFonts w:hint="default" w:ascii="Times New Roman" w:hAnsi="Times New Roman" w:eastAsia="仿宋_GB2312" w:cs="Times New Roman"/>
          <w:b w:val="0"/>
          <w:bCs/>
          <w:color w:val="auto"/>
          <w:kern w:val="0"/>
          <w:sz w:val="32"/>
          <w:szCs w:val="32"/>
          <w:lang w:val="en-US" w:eastAsia="zh-CN" w:bidi="ar-SA"/>
        </w:rPr>
        <w:t>增长33.49%；</w:t>
      </w:r>
      <w:r>
        <w:rPr>
          <w:rFonts w:hint="default" w:ascii="Times New Roman" w:hAnsi="Times New Roman" w:eastAsia="仿宋_GB2312" w:cs="Times New Roman"/>
          <w:b w:val="0"/>
          <w:bCs/>
          <w:color w:val="auto"/>
          <w:kern w:val="0"/>
          <w:sz w:val="32"/>
          <w:szCs w:val="32"/>
          <w:lang w:val="en" w:eastAsia="zh-CN" w:bidi="ar-SA"/>
        </w:rPr>
        <w:t>运用综合治税平台查补税收1485万元。</w:t>
      </w:r>
      <w:r>
        <w:rPr>
          <w:rFonts w:hint="default" w:ascii="Times New Roman" w:hAnsi="Times New Roman" w:eastAsia="仿宋_GB2312" w:cs="Times New Roman"/>
          <w:b w:val="0"/>
          <w:bCs/>
          <w:color w:val="auto"/>
          <w:kern w:val="0"/>
          <w:sz w:val="32"/>
          <w:szCs w:val="32"/>
          <w:lang w:val="en-US" w:eastAsia="zh-CN" w:bidi="ar-SA"/>
        </w:rPr>
        <w:t>狠抓</w:t>
      </w:r>
      <w:r>
        <w:rPr>
          <w:rFonts w:hint="default" w:ascii="Times New Roman" w:hAnsi="Times New Roman" w:eastAsia="仿宋_GB2312" w:cs="Times New Roman"/>
          <w:b w:val="0"/>
          <w:bCs/>
          <w:color w:val="auto"/>
          <w:kern w:val="0"/>
          <w:sz w:val="32"/>
          <w:szCs w:val="32"/>
          <w:lang w:val="en" w:eastAsia="zh-CN" w:bidi="ar-SA"/>
        </w:rPr>
        <w:t>市场主体培育和“三资”盘活，弥补高基数影响。大力支持市场主体培育，</w:t>
      </w:r>
      <w:r>
        <w:rPr>
          <w:rFonts w:hint="default" w:ascii="Times New Roman" w:hAnsi="Times New Roman" w:eastAsia="仿宋_GB2312" w:cs="Times New Roman"/>
          <w:b w:val="0"/>
          <w:bCs/>
          <w:color w:val="auto"/>
          <w:kern w:val="0"/>
          <w:sz w:val="32"/>
          <w:szCs w:val="32"/>
          <w:lang w:val="en-US" w:eastAsia="zh-CN" w:bidi="ar-SA"/>
        </w:rPr>
        <w:t>全区新增</w:t>
      </w:r>
      <w:r>
        <w:rPr>
          <w:rFonts w:hint="default" w:ascii="Times New Roman" w:hAnsi="Times New Roman" w:eastAsia="仿宋_GB2312" w:cs="Times New Roman"/>
          <w:b w:val="0"/>
          <w:bCs/>
          <w:color w:val="auto"/>
          <w:kern w:val="0"/>
          <w:sz w:val="32"/>
          <w:szCs w:val="32"/>
          <w:lang w:val="en" w:eastAsia="zh-CN" w:bidi="ar-SA"/>
        </w:rPr>
        <w:t>纳税企业（含个体工商户）</w:t>
      </w:r>
      <w:r>
        <w:rPr>
          <w:rFonts w:hint="default" w:ascii="Times New Roman" w:hAnsi="Times New Roman" w:eastAsia="仿宋_GB2312" w:cs="Times New Roman"/>
          <w:b w:val="0"/>
          <w:bCs/>
          <w:color w:val="auto"/>
          <w:kern w:val="0"/>
          <w:sz w:val="32"/>
          <w:szCs w:val="32"/>
          <w:lang w:val="en-US" w:eastAsia="zh-CN" w:bidi="ar-SA"/>
        </w:rPr>
        <w:t>1.04万</w:t>
      </w:r>
      <w:r>
        <w:rPr>
          <w:rFonts w:hint="default" w:ascii="Times New Roman" w:hAnsi="Times New Roman" w:eastAsia="仿宋_GB2312" w:cs="Times New Roman"/>
          <w:b w:val="0"/>
          <w:bCs/>
          <w:color w:val="auto"/>
          <w:kern w:val="0"/>
          <w:sz w:val="32"/>
          <w:szCs w:val="32"/>
          <w:lang w:val="en" w:eastAsia="zh-CN" w:bidi="ar-SA"/>
        </w:rPr>
        <w:t>户，新增地方税收1.</w:t>
      </w:r>
      <w:r>
        <w:rPr>
          <w:rFonts w:hint="default" w:ascii="Times New Roman" w:hAnsi="Times New Roman" w:eastAsia="仿宋_GB2312" w:cs="Times New Roman"/>
          <w:b w:val="0"/>
          <w:bCs/>
          <w:color w:val="auto"/>
          <w:kern w:val="0"/>
          <w:sz w:val="32"/>
          <w:szCs w:val="32"/>
          <w:lang w:val="en-US" w:eastAsia="zh-CN" w:bidi="ar-SA"/>
        </w:rPr>
        <w:t>64</w:t>
      </w:r>
      <w:r>
        <w:rPr>
          <w:rFonts w:hint="default" w:ascii="Times New Roman" w:hAnsi="Times New Roman" w:eastAsia="仿宋_GB2312" w:cs="Times New Roman"/>
          <w:b w:val="0"/>
          <w:bCs/>
          <w:color w:val="auto"/>
          <w:kern w:val="0"/>
          <w:sz w:val="32"/>
          <w:szCs w:val="32"/>
          <w:lang w:val="en" w:eastAsia="zh-CN" w:bidi="ar-SA"/>
        </w:rPr>
        <w:t>亿元；</w:t>
      </w:r>
      <w:r>
        <w:rPr>
          <w:rFonts w:hint="default" w:ascii="Times New Roman" w:hAnsi="Times New Roman" w:eastAsia="仿宋_GB2312" w:cs="Times New Roman"/>
          <w:b w:val="0"/>
          <w:bCs/>
          <w:color w:val="auto"/>
          <w:kern w:val="0"/>
          <w:sz w:val="32"/>
          <w:szCs w:val="32"/>
          <w:lang w:val="en-US" w:eastAsia="zh-CN" w:bidi="ar-SA"/>
        </w:rPr>
        <w:t>全区“三资”盘活价值总量</w:t>
      </w:r>
      <w:r>
        <w:rPr>
          <w:rFonts w:hint="default" w:ascii="Times New Roman" w:hAnsi="Times New Roman" w:eastAsia="仿宋_GB2312" w:cs="Times New Roman"/>
          <w:b w:val="0"/>
          <w:bCs/>
          <w:color w:val="auto"/>
          <w:kern w:val="0"/>
          <w:sz w:val="32"/>
          <w:szCs w:val="32"/>
          <w:lang w:val="en" w:eastAsia="zh-CN" w:bidi="ar-SA"/>
        </w:rPr>
        <w:t>17</w:t>
      </w:r>
      <w:r>
        <w:rPr>
          <w:rFonts w:hint="default" w:ascii="Times New Roman" w:hAnsi="Times New Roman" w:eastAsia="仿宋_GB2312" w:cs="Times New Roman"/>
          <w:b w:val="0"/>
          <w:bCs/>
          <w:color w:val="auto"/>
          <w:kern w:val="0"/>
          <w:sz w:val="32"/>
          <w:szCs w:val="32"/>
          <w:lang w:val="en-US" w:eastAsia="zh-CN" w:bidi="ar-SA"/>
        </w:rPr>
        <w:t>.8</w:t>
      </w:r>
      <w:r>
        <w:rPr>
          <w:rFonts w:hint="default" w:ascii="Times New Roman" w:hAnsi="Times New Roman" w:eastAsia="仿宋_GB2312" w:cs="Times New Roman"/>
          <w:b w:val="0"/>
          <w:bCs/>
          <w:color w:val="auto"/>
          <w:kern w:val="0"/>
          <w:sz w:val="32"/>
          <w:szCs w:val="32"/>
          <w:lang w:val="en" w:eastAsia="zh-CN" w:bidi="ar-SA"/>
        </w:rPr>
        <w:t>亿元，</w:t>
      </w:r>
      <w:r>
        <w:rPr>
          <w:rFonts w:hint="default" w:ascii="Times New Roman" w:hAnsi="Times New Roman" w:eastAsia="仿宋_GB2312" w:cs="Times New Roman"/>
          <w:b w:val="0"/>
          <w:bCs/>
          <w:color w:val="auto"/>
          <w:kern w:val="0"/>
          <w:sz w:val="32"/>
          <w:szCs w:val="32"/>
          <w:lang w:val="en-US" w:eastAsia="zh-CN" w:bidi="ar-SA"/>
        </w:rPr>
        <w:t>其中：入库财政收入</w:t>
      </w:r>
      <w:r>
        <w:rPr>
          <w:rFonts w:hint="default" w:ascii="Times New Roman" w:hAnsi="Times New Roman" w:eastAsia="仿宋_GB2312" w:cs="Times New Roman"/>
          <w:b w:val="0"/>
          <w:bCs/>
          <w:color w:val="auto"/>
          <w:kern w:val="0"/>
          <w:sz w:val="32"/>
          <w:szCs w:val="32"/>
          <w:lang w:val="en" w:eastAsia="zh-CN" w:bidi="ar-SA"/>
        </w:rPr>
        <w:t>6</w:t>
      </w:r>
      <w:r>
        <w:rPr>
          <w:rFonts w:hint="default" w:ascii="Times New Roman" w:hAnsi="Times New Roman" w:eastAsia="仿宋_GB2312" w:cs="Times New Roman"/>
          <w:b w:val="0"/>
          <w:bCs/>
          <w:color w:val="auto"/>
          <w:kern w:val="0"/>
          <w:sz w:val="32"/>
          <w:szCs w:val="32"/>
          <w:lang w:val="en-US" w:eastAsia="zh-CN" w:bidi="ar-SA"/>
        </w:rPr>
        <w:t>.94</w:t>
      </w:r>
      <w:r>
        <w:rPr>
          <w:rFonts w:hint="default" w:ascii="Times New Roman" w:hAnsi="Times New Roman" w:eastAsia="仿宋_GB2312" w:cs="Times New Roman"/>
          <w:b w:val="0"/>
          <w:bCs/>
          <w:color w:val="auto"/>
          <w:kern w:val="0"/>
          <w:sz w:val="32"/>
          <w:szCs w:val="32"/>
          <w:lang w:val="en" w:eastAsia="zh-CN" w:bidi="ar-SA"/>
        </w:rPr>
        <w:t>亿元。狠抓政策兑现和争资引项，</w:t>
      </w:r>
      <w:r>
        <w:rPr>
          <w:rFonts w:hint="default" w:ascii="Times New Roman" w:hAnsi="Times New Roman" w:eastAsia="仿宋_GB2312" w:cs="Times New Roman"/>
          <w:b w:val="0"/>
          <w:bCs/>
          <w:color w:val="auto"/>
          <w:kern w:val="0"/>
          <w:sz w:val="32"/>
          <w:szCs w:val="32"/>
          <w:lang w:val="en-US" w:eastAsia="zh-CN" w:bidi="ar-SA"/>
        </w:rPr>
        <w:t>激发发展活力。全年兑现区级“一事一议”奖补资金1.25亿元，大力支持招商夏季、秋季攻势；统筹多方资金，积极支持土地出让；争取到位政府债券资金6.82亿元，有力支持了老旧小区改造、城乡安全饮水、垃圾分类改革、新马工业园智能制造产业配套等一大批重点项目建设。</w:t>
      </w:r>
    </w:p>
    <w:p>
      <w:pPr>
        <w:pStyle w:val="3"/>
        <w:keepNext w:val="0"/>
        <w:keepLines w:val="0"/>
        <w:pageBreakBefore w:val="0"/>
        <w:widowControl w:val="0"/>
        <w:numPr>
          <w:ilvl w:val="0"/>
          <w:numId w:val="0"/>
        </w:numPr>
        <w:kinsoku/>
        <w:wordWrap/>
        <w:topLinePunct w:val="0"/>
        <w:bidi w:val="0"/>
        <w:spacing w:line="58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color w:val="auto"/>
          <w:sz w:val="32"/>
          <w:szCs w:val="32"/>
          <w:lang w:val="en-US" w:eastAsia="zh-CN"/>
        </w:rPr>
        <w:t>（二）面对资金趋紧，我们千方百计抓统筹，确保了“三保”提质效。</w:t>
      </w:r>
      <w:r>
        <w:rPr>
          <w:rFonts w:hint="default" w:ascii="Times New Roman" w:hAnsi="Times New Roman" w:eastAsia="仿宋_GB2312" w:cs="Times New Roman"/>
          <w:b w:val="0"/>
          <w:bCs w:val="0"/>
          <w:color w:val="auto"/>
          <w:kern w:val="2"/>
          <w:sz w:val="32"/>
          <w:szCs w:val="32"/>
          <w:lang w:val="en-US" w:eastAsia="zh-CN" w:bidi="ar-SA"/>
        </w:rPr>
        <w:t>在收入滞缓、资金紧张的形势下，全面贯彻中央省市关于落实过“紧日子”要求、稳定财政运行的政策要求，始终把保“三保”放在第一位，着力优化支出安排，清理盘活存量资金3.89亿元，有力缓释资金压力。始终</w:t>
      </w:r>
      <w:r>
        <w:rPr>
          <w:rFonts w:hint="default" w:ascii="Times New Roman" w:hAnsi="Times New Roman" w:eastAsia="仿宋_GB2312" w:cs="Times New Roman"/>
          <w:color w:val="auto"/>
          <w:sz w:val="32"/>
          <w:szCs w:val="32"/>
        </w:rPr>
        <w:t>坚持以人民为中心的发展思想，落实落细</w:t>
      </w:r>
      <w:r>
        <w:rPr>
          <w:rFonts w:hint="default" w:ascii="Times New Roman" w:hAnsi="Times New Roman" w:eastAsia="仿宋_GB2312" w:cs="Times New Roman"/>
          <w:color w:val="auto"/>
          <w:sz w:val="32"/>
          <w:szCs w:val="32"/>
          <w:lang w:eastAsia="zh-CN"/>
        </w:rPr>
        <w:t>基本</w:t>
      </w:r>
      <w:r>
        <w:rPr>
          <w:rFonts w:hint="default" w:ascii="Times New Roman" w:hAnsi="Times New Roman" w:eastAsia="仿宋_GB2312" w:cs="Times New Roman"/>
          <w:color w:val="auto"/>
          <w:sz w:val="32"/>
          <w:szCs w:val="32"/>
        </w:rPr>
        <w:t>民生保障要求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全年安排民生支出38.50亿元，占一般公共预算支出比例为74%，</w:t>
      </w:r>
      <w:r>
        <w:rPr>
          <w:rFonts w:hint="default" w:ascii="Times New Roman" w:hAnsi="Times New Roman" w:eastAsia="仿宋_GB2312" w:cs="Times New Roman"/>
          <w:color w:val="auto"/>
          <w:sz w:val="32"/>
          <w:szCs w:val="32"/>
          <w:lang w:eastAsia="zh-CN"/>
        </w:rPr>
        <w:t>重点支持老旧小区加装电梯改造、金龙社区供水一体化、新马、白鹤小学和区文化馆提质改造等</w:t>
      </w:r>
      <w:r>
        <w:rPr>
          <w:rFonts w:hint="default" w:ascii="Times New Roman" w:hAnsi="Times New Roman" w:eastAsia="仿宋_GB2312" w:cs="Times New Roman"/>
          <w:color w:val="auto"/>
          <w:sz w:val="32"/>
          <w:szCs w:val="32"/>
        </w:rPr>
        <w:t>重点民生实事，破解群众关心的“急难愁盼”问题</w:t>
      </w:r>
      <w:r>
        <w:rPr>
          <w:rFonts w:hint="default" w:ascii="Times New Roman" w:hAnsi="Times New Roman" w:eastAsia="仿宋_GB2312" w:cs="Times New Roman"/>
          <w:color w:val="auto"/>
          <w:sz w:val="32"/>
          <w:szCs w:val="32"/>
          <w:lang w:eastAsia="zh-CN"/>
        </w:rPr>
        <w:t>；全年</w:t>
      </w:r>
      <w:r>
        <w:rPr>
          <w:rFonts w:hint="default" w:ascii="Times New Roman" w:hAnsi="Times New Roman" w:eastAsia="仿宋_GB2312" w:cs="Times New Roman"/>
          <w:b w:val="0"/>
          <w:bCs w:val="0"/>
          <w:color w:val="auto"/>
          <w:kern w:val="2"/>
          <w:sz w:val="32"/>
          <w:szCs w:val="32"/>
          <w:lang w:val="en-US" w:eastAsia="zh-CN" w:bidi="ar-SA"/>
        </w:rPr>
        <w:t>教育支出完成6.55亿元，增长11.74%，重点保障了莲花中学建成开学、北师大株洲附校和太阳宫小学完成“民转公”改革；</w:t>
      </w:r>
      <w:r>
        <w:rPr>
          <w:rFonts w:hint="default" w:ascii="Times New Roman" w:hAnsi="Times New Roman" w:eastAsia="仿宋_GB2312" w:cs="Times New Roman"/>
          <w:color w:val="auto"/>
          <w:sz w:val="32"/>
          <w:szCs w:val="32"/>
        </w:rPr>
        <w:t>累计投入资金</w:t>
      </w:r>
      <w:r>
        <w:rPr>
          <w:rFonts w:hint="default" w:ascii="Times New Roman" w:hAnsi="Times New Roman" w:eastAsia="仿宋_GB2312" w:cs="Times New Roman"/>
          <w:color w:val="auto"/>
          <w:sz w:val="32"/>
          <w:szCs w:val="32"/>
          <w:lang w:val="en-US" w:eastAsia="zh-CN"/>
        </w:rPr>
        <w:t>1.42</w:t>
      </w:r>
      <w:r>
        <w:rPr>
          <w:rFonts w:hint="default" w:ascii="Times New Roman" w:hAnsi="Times New Roman" w:eastAsia="仿宋_GB2312" w:cs="Times New Roman"/>
          <w:color w:val="auto"/>
          <w:sz w:val="32"/>
          <w:szCs w:val="32"/>
        </w:rPr>
        <w:t>亿元，</w:t>
      </w:r>
      <w:r>
        <w:rPr>
          <w:rFonts w:hint="default" w:ascii="Times New Roman" w:hAnsi="Times New Roman" w:eastAsia="仿宋_GB2312" w:cs="Times New Roman"/>
          <w:color w:val="auto"/>
          <w:sz w:val="32"/>
          <w:szCs w:val="32"/>
          <w:lang w:eastAsia="zh-CN"/>
        </w:rPr>
        <w:t>助力</w:t>
      </w:r>
      <w:r>
        <w:rPr>
          <w:rFonts w:hint="default" w:ascii="Times New Roman" w:hAnsi="Times New Roman" w:eastAsia="仿宋_GB2312" w:cs="Times New Roman"/>
          <w:color w:val="auto"/>
          <w:sz w:val="32"/>
          <w:szCs w:val="32"/>
        </w:rPr>
        <w:t>疫情防控</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lang w:val="en-US" w:eastAsia="zh-CN"/>
        </w:rPr>
        <w:t>农林水支出完成1.10亿元，积极助力乡村振兴，重点支持了粮食稳产保供、农田水利等基础设施建设；</w:t>
      </w:r>
      <w:r>
        <w:rPr>
          <w:rFonts w:hint="default" w:ascii="Times New Roman" w:hAnsi="Times New Roman" w:eastAsia="仿宋_GB2312" w:cs="Times New Roman"/>
          <w:color w:val="auto"/>
          <w:sz w:val="32"/>
          <w:szCs w:val="32"/>
        </w:rPr>
        <w:t>累计安排</w:t>
      </w:r>
      <w:r>
        <w:rPr>
          <w:rFonts w:hint="default" w:ascii="Times New Roman" w:hAnsi="Times New Roman" w:eastAsia="仿宋_GB2312" w:cs="Times New Roman"/>
          <w:color w:val="auto"/>
          <w:sz w:val="32"/>
          <w:szCs w:val="32"/>
          <w:lang w:eastAsia="zh-CN"/>
        </w:rPr>
        <w:t>稳岗、</w:t>
      </w:r>
      <w:r>
        <w:rPr>
          <w:rFonts w:hint="default" w:ascii="Times New Roman" w:hAnsi="Times New Roman" w:eastAsia="仿宋_GB2312" w:cs="Times New Roman"/>
          <w:color w:val="auto"/>
          <w:sz w:val="32"/>
          <w:szCs w:val="32"/>
        </w:rPr>
        <w:t>就业</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补助资金</w:t>
      </w:r>
      <w:r>
        <w:rPr>
          <w:rFonts w:hint="default" w:ascii="Times New Roman" w:hAnsi="Times New Roman" w:eastAsia="仿宋_GB2312" w:cs="Times New Roman"/>
          <w:color w:val="auto"/>
          <w:sz w:val="32"/>
          <w:szCs w:val="32"/>
          <w:lang w:val="en-US" w:eastAsia="zh-CN"/>
        </w:rPr>
        <w:t>2700余万元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惠及</w:t>
      </w:r>
      <w:r>
        <w:rPr>
          <w:rFonts w:hint="default" w:ascii="Times New Roman" w:hAnsi="Times New Roman" w:eastAsia="仿宋_GB2312" w:cs="Times New Roman"/>
          <w:color w:val="auto"/>
          <w:sz w:val="32"/>
          <w:szCs w:val="32"/>
          <w:lang w:val="en-US" w:eastAsia="zh-CN"/>
        </w:rPr>
        <w:t>企业</w:t>
      </w:r>
      <w:r>
        <w:rPr>
          <w:rFonts w:hint="default" w:ascii="Times New Roman" w:hAnsi="Times New Roman" w:eastAsia="仿宋_GB2312" w:cs="Times New Roman"/>
          <w:color w:val="auto"/>
          <w:sz w:val="32"/>
          <w:szCs w:val="32"/>
          <w:lang w:eastAsia="zh-CN"/>
        </w:rPr>
        <w:t>近</w:t>
      </w:r>
      <w:r>
        <w:rPr>
          <w:rFonts w:hint="default" w:ascii="Times New Roman" w:hAnsi="Times New Roman" w:eastAsia="仿宋_GB2312" w:cs="Times New Roman"/>
          <w:color w:val="auto"/>
          <w:sz w:val="32"/>
          <w:szCs w:val="32"/>
          <w:lang w:val="en-US" w:eastAsia="zh-CN"/>
        </w:rPr>
        <w:t>2000家，员工4.5万人次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通过“一卡通”累计发放惠民惠农补贴</w:t>
      </w:r>
      <w:r>
        <w:rPr>
          <w:rFonts w:hint="default" w:ascii="Times New Roman" w:hAnsi="Times New Roman" w:eastAsia="仿宋_GB2312" w:cs="Times New Roman"/>
          <w:color w:val="auto"/>
          <w:sz w:val="32"/>
          <w:szCs w:val="32"/>
          <w:lang w:val="en-US" w:eastAsia="zh-CN"/>
        </w:rPr>
        <w:t>7122万</w:t>
      </w:r>
      <w:r>
        <w:rPr>
          <w:rFonts w:hint="default" w:ascii="Times New Roman" w:hAnsi="Times New Roman" w:eastAsia="仿宋_GB2312" w:cs="Times New Roman"/>
          <w:color w:val="auto"/>
          <w:sz w:val="32"/>
          <w:szCs w:val="32"/>
        </w:rPr>
        <w:t>元，惠及</w:t>
      </w:r>
      <w:r>
        <w:rPr>
          <w:rFonts w:hint="default" w:ascii="Times New Roman" w:hAnsi="Times New Roman" w:eastAsia="仿宋_GB2312" w:cs="Times New Roman"/>
          <w:color w:val="auto"/>
          <w:sz w:val="32"/>
          <w:szCs w:val="32"/>
          <w:lang w:val="en-US" w:eastAsia="zh-CN"/>
        </w:rPr>
        <w:t>15.09</w:t>
      </w:r>
      <w:r>
        <w:rPr>
          <w:rFonts w:hint="default" w:ascii="Times New Roman" w:hAnsi="Times New Roman" w:eastAsia="仿宋_GB2312" w:cs="Times New Roman"/>
          <w:color w:val="auto"/>
          <w:sz w:val="32"/>
          <w:szCs w:val="32"/>
        </w:rPr>
        <w:t>万</w:t>
      </w:r>
      <w:r>
        <w:rPr>
          <w:rFonts w:hint="default" w:ascii="Times New Roman" w:hAnsi="Times New Roman" w:eastAsia="仿宋_GB2312" w:cs="Times New Roman"/>
          <w:color w:val="auto"/>
          <w:sz w:val="32"/>
          <w:szCs w:val="32"/>
          <w:lang w:eastAsia="zh-CN"/>
        </w:rPr>
        <w:t>人次，</w:t>
      </w:r>
      <w:r>
        <w:rPr>
          <w:rFonts w:hint="default" w:ascii="Times New Roman" w:hAnsi="Times New Roman" w:eastAsia="仿宋_GB2312" w:cs="Times New Roman"/>
          <w:color w:val="auto"/>
          <w:sz w:val="32"/>
          <w:szCs w:val="32"/>
        </w:rPr>
        <w:t>“幸福株洲”监督与服务微信群公开惠民惠农“一卡通”补贴资金的工作试点</w:t>
      </w:r>
      <w:r>
        <w:rPr>
          <w:rFonts w:hint="default" w:ascii="Times New Roman" w:hAnsi="Times New Roman" w:eastAsia="仿宋_GB2312" w:cs="Times New Roman"/>
          <w:color w:val="auto"/>
          <w:sz w:val="32"/>
          <w:szCs w:val="32"/>
          <w:lang w:eastAsia="zh-CN"/>
        </w:rPr>
        <w:t>得到市纪委、市财政的高度肯定。</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（三）面对管理短板，我们坚定不移抓创新，按下了改革“快进键”。</w:t>
      </w:r>
      <w:r>
        <w:rPr>
          <w:rFonts w:hint="default" w:ascii="Times New Roman" w:hAnsi="Times New Roman" w:eastAsia="仿宋_GB2312" w:cs="Times New Roman"/>
          <w:color w:val="auto"/>
          <w:kern w:val="2"/>
          <w:sz w:val="32"/>
          <w:szCs w:val="32"/>
          <w:lang w:val="en-US" w:eastAsia="zh-CN" w:bidi="ar-SA"/>
        </w:rPr>
        <w:t>贯彻落实工委、管委会、区委决策部署，扎实开展模拟预算、镇（街道）财政管理等调研，坚持以问题为导向、规范为要求、管好为目的，本着精细、高效、节约、安全的原则，出台</w:t>
      </w:r>
      <w:r>
        <w:rPr>
          <w:rFonts w:hint="default" w:ascii="Times New Roman" w:hAnsi="Times New Roman" w:eastAsia="仿宋_GB2312" w:cs="Times New Roman"/>
          <w:color w:val="auto"/>
          <w:sz w:val="32"/>
          <w:szCs w:val="32"/>
          <w:lang w:val="en-US" w:eastAsia="zh-CN"/>
        </w:rPr>
        <w:t>了《关于全面深化财政审计改革的意见》文件，全面拉开新一轮财政改革序幕。积极推进财政机构、</w:t>
      </w:r>
      <w:r>
        <w:rPr>
          <w:rFonts w:hint="default" w:ascii="Times New Roman" w:hAnsi="Times New Roman" w:eastAsia="仿宋_GB2312" w:cs="Times New Roman"/>
          <w:color w:val="auto"/>
          <w:kern w:val="2"/>
          <w:sz w:val="32"/>
          <w:szCs w:val="32"/>
          <w:lang w:val="en-US" w:eastAsia="zh-CN" w:bidi="ar-SA"/>
        </w:rPr>
        <w:t>预算收支管理、</w:t>
      </w:r>
      <w:r>
        <w:rPr>
          <w:rFonts w:hint="default" w:ascii="Times New Roman" w:hAnsi="Times New Roman" w:eastAsia="仿宋_GB2312" w:cs="Times New Roman"/>
          <w:color w:val="auto"/>
          <w:sz w:val="32"/>
          <w:szCs w:val="32"/>
          <w:lang w:val="en-US" w:eastAsia="zh-CN"/>
        </w:rPr>
        <w:t>国库集中支付、政府投资项目财政评审与审计监督闭环、政府采购管理、完善财源建设工作机制等9项具体改革，做好了镇（街道）在编在职人员工资纳入区级统发、城管二级单位纳入国库集中支付等改革工作。全年累计完成政府采购金额4.05亿元，其中：电子卖场完成交易金额2.94万元；全年审定财政性投资项目115个，审减金额0.53亿元，平均审减率为8.77%。积极推进预算绩效管理改革，</w:t>
      </w:r>
      <w:r>
        <w:rPr>
          <w:rFonts w:hint="default" w:ascii="Times New Roman" w:hAnsi="Times New Roman" w:eastAsia="仿宋_GB2312" w:cs="Times New Roman"/>
          <w:i w:val="0"/>
          <w:iCs w:val="0"/>
          <w:caps w:val="0"/>
          <w:color w:val="auto"/>
          <w:spacing w:val="0"/>
          <w:sz w:val="32"/>
          <w:szCs w:val="32"/>
          <w:shd w:val="clear" w:fill="FFFFFF"/>
        </w:rPr>
        <w:t>完善绩效目标管理，实现绩效目标覆盖率100%</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预算单位自评覆盖率100%</w:t>
      </w:r>
      <w:r>
        <w:rPr>
          <w:rFonts w:hint="default" w:ascii="Times New Roman" w:hAnsi="Times New Roman" w:eastAsia="仿宋_GB2312" w:cs="Times New Roman"/>
          <w:i w:val="0"/>
          <w:iCs w:val="0"/>
          <w:caps w:val="0"/>
          <w:color w:val="auto"/>
          <w:spacing w:val="0"/>
          <w:sz w:val="32"/>
          <w:szCs w:val="32"/>
          <w:shd w:val="clear" w:fill="FFFFFF"/>
          <w:lang w:eastAsia="zh-CN"/>
        </w:rPr>
        <w:t>，完成</w:t>
      </w:r>
      <w:r>
        <w:rPr>
          <w:rFonts w:hint="default" w:ascii="Times New Roman" w:hAnsi="Times New Roman" w:eastAsia="仿宋_GB2312" w:cs="Times New Roman"/>
          <w:i w:val="0"/>
          <w:iCs w:val="0"/>
          <w:caps w:val="0"/>
          <w:color w:val="auto"/>
          <w:spacing w:val="0"/>
          <w:sz w:val="32"/>
          <w:szCs w:val="32"/>
          <w:shd w:val="clear" w:fill="FFFFFF"/>
        </w:rPr>
        <w:t>重点评价项目</w:t>
      </w:r>
      <w:r>
        <w:rPr>
          <w:rFonts w:hint="default" w:ascii="Times New Roman" w:hAnsi="Times New Roman" w:eastAsia="仿宋_GB2312" w:cs="Times New Roman"/>
          <w:i w:val="0"/>
          <w:iCs w:val="0"/>
          <w:caps w:val="0"/>
          <w:color w:val="auto"/>
          <w:spacing w:val="0"/>
          <w:sz w:val="32"/>
          <w:szCs w:val="32"/>
          <w:shd w:val="clear" w:fill="FFFFFF"/>
          <w:lang w:val="en-US" w:eastAsia="zh-CN"/>
        </w:rPr>
        <w:t>10</w:t>
      </w:r>
      <w:r>
        <w:rPr>
          <w:rFonts w:hint="default" w:ascii="Times New Roman" w:hAnsi="Times New Roman" w:eastAsia="仿宋_GB2312" w:cs="Times New Roman"/>
          <w:i w:val="0"/>
          <w:iCs w:val="0"/>
          <w:caps w:val="0"/>
          <w:color w:val="auto"/>
          <w:spacing w:val="0"/>
          <w:sz w:val="32"/>
          <w:szCs w:val="32"/>
          <w:shd w:val="clear" w:fill="FFFFFF"/>
        </w:rPr>
        <w:t>个，评价金额</w:t>
      </w:r>
      <w:r>
        <w:rPr>
          <w:rFonts w:hint="default" w:ascii="Times New Roman" w:hAnsi="Times New Roman" w:eastAsia="仿宋_GB2312" w:cs="Times New Roman"/>
          <w:i w:val="0"/>
          <w:iCs w:val="0"/>
          <w:caps w:val="0"/>
          <w:color w:val="auto"/>
          <w:spacing w:val="0"/>
          <w:sz w:val="32"/>
          <w:szCs w:val="32"/>
          <w:shd w:val="clear" w:fill="FFFFFF"/>
          <w:lang w:val="en-US" w:eastAsia="zh-CN"/>
        </w:rPr>
        <w:t>3</w:t>
      </w:r>
      <w:r>
        <w:rPr>
          <w:rFonts w:hint="default" w:ascii="Times New Roman" w:hAnsi="Times New Roman" w:eastAsia="仿宋_GB2312" w:cs="Times New Roman"/>
          <w:i w:val="0"/>
          <w:iCs w:val="0"/>
          <w:caps w:val="0"/>
          <w:color w:val="auto"/>
          <w:spacing w:val="0"/>
          <w:sz w:val="32"/>
          <w:szCs w:val="32"/>
          <w:shd w:val="clear" w:fill="FFFFFF"/>
        </w:rPr>
        <w:t>亿元。</w:t>
      </w:r>
      <w:r>
        <w:rPr>
          <w:rFonts w:hint="default" w:ascii="Times New Roman" w:hAnsi="Times New Roman" w:eastAsia="仿宋_GB2312" w:cs="Times New Roman"/>
          <w:i w:val="0"/>
          <w:iCs w:val="0"/>
          <w:caps w:val="0"/>
          <w:color w:val="auto"/>
          <w:spacing w:val="0"/>
          <w:sz w:val="32"/>
          <w:szCs w:val="32"/>
          <w:shd w:val="clear" w:fill="FFFFFF"/>
          <w:lang w:eastAsia="zh-CN"/>
        </w:rPr>
        <w:t>全面落实上级部署安排，</w:t>
      </w:r>
      <w:r>
        <w:rPr>
          <w:rFonts w:hint="default" w:ascii="Times New Roman" w:hAnsi="Times New Roman" w:eastAsia="仿宋_GB2312" w:cs="Times New Roman"/>
          <w:color w:val="auto"/>
          <w:sz w:val="32"/>
          <w:szCs w:val="32"/>
          <w:lang w:val="en-US" w:eastAsia="zh-CN"/>
        </w:rPr>
        <w:t>扎实做好了“一卡通”和惠农项目资金专项治理、代理记账专项整顿等，大力支持村社分账改革，加强财政会计监督，进一步严肃财经纪律。</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楷体_GB2312" w:cs="Times New Roman"/>
          <w:color w:val="auto"/>
          <w:sz w:val="32"/>
          <w:szCs w:val="32"/>
          <w:lang w:val="en-US" w:eastAsia="zh-CN"/>
        </w:rPr>
        <w:t>（四）面对偿债压力，我们全力以赴抓化债，守住了债务风险点。</w:t>
      </w:r>
      <w:r>
        <w:rPr>
          <w:rFonts w:hint="default" w:ascii="Times New Roman" w:hAnsi="Times New Roman" w:eastAsia="仿宋_GB2312" w:cs="Times New Roman"/>
          <w:color w:val="auto"/>
          <w:kern w:val="2"/>
          <w:sz w:val="32"/>
          <w:szCs w:val="32"/>
          <w:lang w:val="en-US" w:eastAsia="zh-CN" w:bidi="ar-SA"/>
        </w:rPr>
        <w:t>成立</w:t>
      </w:r>
      <w:r>
        <w:rPr>
          <w:rFonts w:hint="default" w:ascii="Times New Roman" w:hAnsi="Times New Roman" w:eastAsia="仿宋_GB2312" w:cs="Times New Roman"/>
          <w:color w:val="auto"/>
          <w:sz w:val="32"/>
          <w:szCs w:val="32"/>
          <w:highlight w:val="none"/>
          <w:lang w:val="en-US" w:eastAsia="zh-CN" w:bidi="ar"/>
        </w:rPr>
        <w:t>区债务管理专项工作组和</w:t>
      </w:r>
      <w:r>
        <w:rPr>
          <w:rFonts w:hint="default" w:ascii="Times New Roman" w:hAnsi="Times New Roman" w:eastAsia="仿宋_GB2312" w:cs="Times New Roman"/>
          <w:color w:val="auto"/>
          <w:sz w:val="32"/>
          <w:szCs w:val="32"/>
          <w:highlight w:val="none"/>
          <w:lang w:bidi="ar"/>
        </w:rPr>
        <w:t>融资化债指导组，</w:t>
      </w:r>
      <w:r>
        <w:rPr>
          <w:rFonts w:hint="default" w:ascii="Times New Roman" w:hAnsi="Times New Roman" w:eastAsia="仿宋_GB2312" w:cs="Times New Roman"/>
          <w:color w:val="auto"/>
          <w:sz w:val="32"/>
          <w:szCs w:val="32"/>
          <w:highlight w:val="none"/>
          <w:lang w:eastAsia="zh-CN" w:bidi="ar"/>
        </w:rPr>
        <w:t>进一步加强组织领导，健全监测、预警、融资调度等</w:t>
      </w:r>
      <w:r>
        <w:rPr>
          <w:rFonts w:hint="default" w:ascii="Times New Roman" w:hAnsi="Times New Roman" w:eastAsia="仿宋_GB2312" w:cs="Times New Roman"/>
          <w:color w:val="auto"/>
          <w:sz w:val="32"/>
          <w:szCs w:val="32"/>
        </w:rPr>
        <w:t>制度体系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抓牢抓实债务</w:t>
      </w:r>
      <w:r>
        <w:rPr>
          <w:rFonts w:hint="default" w:ascii="Times New Roman" w:hAnsi="Times New Roman" w:eastAsia="仿宋_GB2312" w:cs="Times New Roman"/>
          <w:color w:val="auto"/>
          <w:sz w:val="32"/>
          <w:szCs w:val="32"/>
          <w:lang w:eastAsia="zh-CN"/>
        </w:rPr>
        <w:t>化解工作</w:t>
      </w:r>
      <w:r>
        <w:rPr>
          <w:rFonts w:hint="default" w:ascii="Times New Roman" w:hAnsi="Times New Roman" w:eastAsia="仿宋_GB2312" w:cs="Times New Roman"/>
          <w:color w:val="auto"/>
          <w:sz w:val="32"/>
          <w:szCs w:val="32"/>
        </w:rPr>
        <w:t>，层层压实管控责任</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b w:val="0"/>
          <w:bCs/>
          <w:color w:val="auto"/>
          <w:kern w:val="0"/>
          <w:sz w:val="32"/>
          <w:szCs w:val="32"/>
          <w:lang w:val="en" w:eastAsia="zh-CN" w:bidi="ar-SA"/>
        </w:rPr>
        <w:t>开展了多轮融资化债攻坚行动，</w:t>
      </w:r>
      <w:r>
        <w:rPr>
          <w:rFonts w:hint="default" w:ascii="Times New Roman" w:hAnsi="Times New Roman" w:eastAsia="仿宋_GB2312" w:cs="Times New Roman"/>
          <w:color w:val="auto"/>
          <w:sz w:val="32"/>
          <w:szCs w:val="32"/>
          <w:lang w:val="en-US" w:eastAsia="zh-CN"/>
        </w:rPr>
        <w:t>千方百计加大土地出让，</w:t>
      </w:r>
      <w:r>
        <w:rPr>
          <w:rFonts w:hint="default" w:ascii="Times New Roman" w:hAnsi="Times New Roman" w:eastAsia="仿宋_GB2312" w:cs="Times New Roman"/>
          <w:color w:val="auto"/>
          <w:sz w:val="32"/>
          <w:szCs w:val="32"/>
          <w:highlight w:val="none"/>
          <w:lang w:eastAsia="zh-CN" w:bidi="ar"/>
        </w:rPr>
        <w:t>常态化统筹调度，</w:t>
      </w:r>
      <w:r>
        <w:rPr>
          <w:rFonts w:hint="default" w:ascii="Times New Roman" w:hAnsi="Times New Roman" w:eastAsia="仿宋_GB2312" w:cs="Times New Roman"/>
          <w:color w:val="auto"/>
          <w:sz w:val="32"/>
          <w:szCs w:val="32"/>
          <w:lang w:val="en-US" w:eastAsia="zh-CN"/>
        </w:rPr>
        <w:t>积极筹措偿债资金，</w:t>
      </w:r>
      <w:r>
        <w:rPr>
          <w:rFonts w:hint="default" w:ascii="Times New Roman" w:hAnsi="Times New Roman" w:eastAsia="仿宋_GB2312" w:cs="Times New Roman"/>
          <w:color w:val="auto"/>
          <w:sz w:val="32"/>
          <w:szCs w:val="32"/>
          <w:highlight w:val="none"/>
          <w:lang w:val="en-US" w:eastAsia="zh-CN"/>
        </w:rPr>
        <w:t>牢牢守住了不爆雷、不断链的底线</w:t>
      </w:r>
      <w:r>
        <w:rPr>
          <w:rFonts w:hint="default" w:ascii="Times New Roman" w:hAnsi="Times New Roman" w:eastAsia="仿宋_GB2312" w:cs="Times New Roman"/>
          <w:b w:val="0"/>
          <w:bCs/>
          <w:color w:val="auto"/>
          <w:kern w:val="0"/>
          <w:sz w:val="32"/>
          <w:szCs w:val="32"/>
          <w:lang w:val="en" w:eastAsia="zh-CN" w:bidi="ar-SA"/>
        </w:rPr>
        <w:t>。</w:t>
      </w:r>
      <w:r>
        <w:rPr>
          <w:rFonts w:hint="default" w:ascii="Times New Roman" w:hAnsi="Times New Roman" w:eastAsia="仿宋_GB2312" w:cs="Times New Roman"/>
          <w:color w:val="auto"/>
          <w:kern w:val="0"/>
          <w:sz w:val="32"/>
          <w:szCs w:val="32"/>
          <w:lang w:val="en-US" w:eastAsia="zh-CN" w:bidi="ar-SA"/>
        </w:rPr>
        <w:t>根据上级文件精神，结合我区实际，制定专项债资金管理办法，严格规范项目储备、项目申报、项目实施、资金管理和监督检查等内容，确保有效用好用活资金，</w:t>
      </w:r>
      <w:r>
        <w:rPr>
          <w:rFonts w:hint="default" w:ascii="Times New Roman" w:hAnsi="Times New Roman" w:eastAsia="仿宋_GB2312" w:cs="Times New Roman"/>
          <w:color w:val="auto"/>
          <w:sz w:val="32"/>
          <w:szCs w:val="32"/>
          <w:lang w:val="en-US" w:eastAsia="zh-CN"/>
        </w:rPr>
        <w:t>坚决遏制新增隐性债务</w:t>
      </w:r>
      <w:r>
        <w:rPr>
          <w:rFonts w:hint="default" w:ascii="Times New Roman" w:hAnsi="Times New Roman" w:eastAsia="仿宋_GB2312" w:cs="Times New Roman"/>
          <w:color w:val="auto"/>
          <w:kern w:val="0"/>
          <w:sz w:val="32"/>
          <w:szCs w:val="32"/>
          <w:lang w:val="en-US" w:eastAsia="zh-CN" w:bidi="ar-SA"/>
        </w:rPr>
        <w:t>。积极支持高科集团改革，强化企业降本增效，增强自身发展“造血”功能。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在总结成绩的同时，我们也清醒看到当前财政工作面临的困难和挑战，主要表现在：</w:t>
      </w:r>
      <w:r>
        <w:rPr>
          <w:rFonts w:hint="default" w:ascii="Times New Roman" w:hAnsi="Times New Roman" w:eastAsia="仿宋_GB2312" w:cs="Times New Roman"/>
          <w:b/>
          <w:bCs/>
          <w:color w:val="auto"/>
          <w:kern w:val="2"/>
          <w:sz w:val="32"/>
          <w:szCs w:val="32"/>
          <w:lang w:val="en-US" w:eastAsia="zh-CN" w:bidi="ar-SA"/>
        </w:rPr>
        <w:t>一是</w:t>
      </w:r>
      <w:r>
        <w:rPr>
          <w:rFonts w:hint="default" w:ascii="Times New Roman" w:hAnsi="Times New Roman" w:eastAsia="仿宋_GB2312" w:cs="Times New Roman"/>
          <w:b w:val="0"/>
          <w:bCs w:val="0"/>
          <w:color w:val="auto"/>
          <w:kern w:val="2"/>
          <w:sz w:val="32"/>
          <w:szCs w:val="32"/>
          <w:lang w:val="en-US" w:eastAsia="zh-CN" w:bidi="ar-SA"/>
        </w:rPr>
        <w:t>收入组织异常艰难。受疫情、政策减收增多、产业结构调整等因素叠加影响，经济发展面临诸多不确定性，收入增长仍然困难。</w:t>
      </w: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b w:val="0"/>
          <w:bCs w:val="0"/>
          <w:color w:val="auto"/>
          <w:kern w:val="2"/>
          <w:sz w:val="32"/>
          <w:szCs w:val="32"/>
          <w:lang w:val="en-US" w:eastAsia="zh-CN" w:bidi="ar-SA"/>
        </w:rPr>
        <w:t>“三保”压力不断加大。可用财力在减少，刚性支出增长较快，预算“紧平衡”、财政“紧运行”的特征将更加凸显。</w:t>
      </w:r>
      <w:r>
        <w:rPr>
          <w:rFonts w:hint="default" w:ascii="Times New Roman" w:hAnsi="Times New Roman" w:eastAsia="仿宋_GB2312" w:cs="Times New Roman"/>
          <w:b/>
          <w:bCs/>
          <w:color w:val="auto"/>
          <w:kern w:val="2"/>
          <w:sz w:val="32"/>
          <w:szCs w:val="32"/>
          <w:lang w:val="en-US" w:eastAsia="zh-CN" w:bidi="ar-SA"/>
        </w:rPr>
        <w:t>三是</w:t>
      </w:r>
      <w:r>
        <w:rPr>
          <w:rFonts w:hint="default" w:ascii="Times New Roman" w:hAnsi="Times New Roman" w:eastAsia="仿宋_GB2312" w:cs="Times New Roman"/>
          <w:b w:val="0"/>
          <w:bCs w:val="0"/>
          <w:color w:val="auto"/>
          <w:kern w:val="2"/>
          <w:sz w:val="32"/>
          <w:szCs w:val="32"/>
          <w:lang w:val="en-US" w:eastAsia="zh-CN" w:bidi="ar-SA"/>
        </w:rPr>
        <w:t>债务风险居高不下。化解隐性债务效果不够理想，债务总量、风险等级居高难下。</w:t>
      </w:r>
      <w:r>
        <w:rPr>
          <w:rFonts w:hint="default" w:ascii="Times New Roman" w:hAnsi="Times New Roman" w:eastAsia="仿宋_GB2312" w:cs="Times New Roman"/>
          <w:b/>
          <w:bCs/>
          <w:color w:val="auto"/>
          <w:sz w:val="32"/>
          <w:szCs w:val="32"/>
          <w:lang w:val="en-US" w:eastAsia="zh-CN"/>
        </w:rPr>
        <w:t>四是</w:t>
      </w:r>
      <w:r>
        <w:rPr>
          <w:rFonts w:hint="default" w:ascii="Times New Roman" w:hAnsi="Times New Roman" w:eastAsia="仿宋_GB2312" w:cs="Times New Roman"/>
          <w:color w:val="auto"/>
          <w:sz w:val="32"/>
          <w:szCs w:val="32"/>
          <w:lang w:val="en-US" w:eastAsia="zh-CN"/>
        </w:rPr>
        <w:t>改革有待持续推进。财源建设、落实“过紧日子”措施、征拆资金管理等有待进一步加强和完善，现代财政治理体系和治理能力建设还任重道远。这些问题有待在今后工作中切实加以研究、解决。</w:t>
      </w:r>
    </w:p>
    <w:p>
      <w:pPr>
        <w:keepNext w:val="0"/>
        <w:keepLines w:val="0"/>
        <w:pageBreakBefore w:val="0"/>
        <w:widowControl w:val="0"/>
        <w:kinsoku/>
        <w:wordWrap/>
        <w:overflowPunct/>
        <w:topLinePunct w:val="0"/>
        <w:autoSpaceDE/>
        <w:autoSpaceDN/>
        <w:bidi w:val="0"/>
        <w:spacing w:line="579" w:lineRule="exact"/>
        <w:ind w:firstLine="627" w:firstLineChars="196"/>
        <w:textAlignment w:val="auto"/>
        <w:rPr>
          <w:rFonts w:hint="default" w:ascii="Times New Roman" w:hAnsi="Times New Roman" w:eastAsia="黑体" w:cs="Times New Roman"/>
          <w:bCs/>
          <w:color w:val="auto"/>
          <w:kern w:val="0"/>
          <w:sz w:val="32"/>
          <w:szCs w:val="32"/>
          <w:lang w:eastAsia="zh-CN"/>
        </w:rPr>
      </w:pPr>
      <w:r>
        <w:rPr>
          <w:rFonts w:hint="default" w:ascii="Times New Roman" w:hAnsi="Times New Roman" w:eastAsia="黑体" w:cs="Times New Roman"/>
          <w:bCs/>
          <w:color w:val="auto"/>
          <w:kern w:val="0"/>
          <w:sz w:val="32"/>
          <w:szCs w:val="32"/>
          <w:lang w:eastAsia="zh-CN"/>
        </w:rPr>
        <w:t>二</w:t>
      </w:r>
      <w:r>
        <w:rPr>
          <w:rFonts w:hint="default" w:ascii="Times New Roman" w:hAnsi="Times New Roman" w:eastAsia="黑体" w:cs="Times New Roman"/>
          <w:bCs/>
          <w:color w:val="auto"/>
          <w:kern w:val="0"/>
          <w:sz w:val="32"/>
          <w:szCs w:val="32"/>
        </w:rPr>
        <w:t>、20</w:t>
      </w:r>
      <w:r>
        <w:rPr>
          <w:rFonts w:hint="default" w:ascii="Times New Roman" w:hAnsi="Times New Roman" w:eastAsia="黑体" w:cs="Times New Roman"/>
          <w:bCs/>
          <w:color w:val="auto"/>
          <w:kern w:val="0"/>
          <w:sz w:val="32"/>
          <w:szCs w:val="32"/>
          <w:lang w:val="en-US" w:eastAsia="zh-CN"/>
        </w:rPr>
        <w:t>23</w:t>
      </w:r>
      <w:r>
        <w:rPr>
          <w:rFonts w:hint="default" w:ascii="Times New Roman" w:hAnsi="Times New Roman" w:eastAsia="黑体" w:cs="Times New Roman"/>
          <w:bCs/>
          <w:color w:val="auto"/>
          <w:kern w:val="0"/>
          <w:sz w:val="32"/>
          <w:szCs w:val="32"/>
        </w:rPr>
        <w:t>年</w:t>
      </w:r>
      <w:r>
        <w:rPr>
          <w:rFonts w:hint="default" w:ascii="Times New Roman" w:hAnsi="Times New Roman" w:eastAsia="黑体" w:cs="Times New Roman"/>
          <w:color w:val="auto"/>
          <w:kern w:val="0"/>
          <w:sz w:val="32"/>
          <w:szCs w:val="32"/>
        </w:rPr>
        <w:t>区级</w:t>
      </w:r>
      <w:r>
        <w:rPr>
          <w:rFonts w:hint="default" w:ascii="Times New Roman" w:hAnsi="Times New Roman" w:eastAsia="黑体" w:cs="Times New Roman"/>
          <w:bCs/>
          <w:color w:val="auto"/>
          <w:kern w:val="0"/>
          <w:sz w:val="32"/>
          <w:szCs w:val="32"/>
          <w:lang w:eastAsia="zh-CN"/>
        </w:rPr>
        <w:t>财政</w:t>
      </w:r>
      <w:r>
        <w:rPr>
          <w:rFonts w:hint="default" w:ascii="Times New Roman" w:hAnsi="Times New Roman" w:eastAsia="黑体" w:cs="Times New Roman"/>
          <w:bCs/>
          <w:color w:val="auto"/>
          <w:kern w:val="0"/>
          <w:sz w:val="32"/>
          <w:szCs w:val="32"/>
        </w:rPr>
        <w:t>预算</w:t>
      </w:r>
      <w:r>
        <w:rPr>
          <w:rFonts w:hint="default" w:ascii="Times New Roman" w:hAnsi="Times New Roman" w:eastAsia="黑体" w:cs="Times New Roman"/>
          <w:bCs/>
          <w:color w:val="auto"/>
          <w:kern w:val="0"/>
          <w:sz w:val="32"/>
          <w:szCs w:val="32"/>
          <w:lang w:eastAsia="zh-CN"/>
        </w:rPr>
        <w:t>草案</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right="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sz w:val="32"/>
          <w:szCs w:val="32"/>
        </w:rPr>
        <w:t>202</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年预算编制的指导思想是：</w:t>
      </w:r>
      <w:r>
        <w:rPr>
          <w:rFonts w:hint="default" w:ascii="Times New Roman" w:hAnsi="Times New Roman" w:eastAsia="仿宋_GB2312" w:cs="Times New Roman"/>
          <w:b w:val="0"/>
          <w:bCs w:val="0"/>
          <w:color w:val="auto"/>
          <w:kern w:val="2"/>
          <w:sz w:val="32"/>
          <w:szCs w:val="32"/>
          <w:lang w:val="en-US" w:eastAsia="zh-CN" w:bidi="ar-SA"/>
        </w:rPr>
        <w:t>以习近平新时代中国特色社会主义思想为指导，全面贯彻落实中央、省、市、区各项决策部署，坚持稳字当头，稳中求进总基调，继续实施积极的财政政策加力提效，开源节流；坚持政府带头过“紧日子”，切实加强财政资源统筹，优化支出结构，着力保“三保”；坚持深化财税改革，创新财政管理方式，严格预算约束和绩效管理；坚持底线思维，完善政府债务管理机制，着力防范化解政府债务风险，为加快“营造活力高新、建设现代天元”提供有力财政保障。</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zh-CN" w:eastAsia="zh-CN" w:bidi="ar-SA"/>
        </w:rPr>
        <w:t>按照上述指导思想，</w:t>
      </w:r>
      <w:r>
        <w:rPr>
          <w:rFonts w:hint="default" w:ascii="Times New Roman" w:hAnsi="Times New Roman" w:eastAsia="仿宋_GB2312" w:cs="Times New Roman"/>
          <w:color w:val="auto"/>
          <w:kern w:val="2"/>
          <w:sz w:val="32"/>
          <w:szCs w:val="32"/>
          <w:lang w:val="en-US" w:eastAsia="zh-CN" w:bidi="ar-SA"/>
        </w:rPr>
        <w:t>2023年区级预算编制的</w:t>
      </w:r>
      <w:r>
        <w:rPr>
          <w:rFonts w:hint="default" w:ascii="Times New Roman" w:hAnsi="Times New Roman" w:eastAsia="仿宋_GB2312" w:cs="Times New Roman"/>
          <w:b/>
          <w:bCs/>
          <w:color w:val="auto"/>
          <w:kern w:val="2"/>
          <w:sz w:val="32"/>
          <w:szCs w:val="32"/>
          <w:lang w:val="en-US" w:eastAsia="zh-CN" w:bidi="ar-SA"/>
        </w:rPr>
        <w:t>基本原则</w:t>
      </w:r>
      <w:r>
        <w:rPr>
          <w:rFonts w:hint="default" w:ascii="Times New Roman" w:hAnsi="Times New Roman" w:eastAsia="仿宋_GB2312" w:cs="Times New Roman"/>
          <w:color w:val="auto"/>
          <w:kern w:val="2"/>
          <w:sz w:val="32"/>
          <w:szCs w:val="32"/>
          <w:lang w:val="en-US" w:eastAsia="zh-CN" w:bidi="ar-SA"/>
        </w:rPr>
        <w:t>是：量入为出，量力而行；科学精准，从严从紧；规范透明，注重绩效。财政预算管理的</w:t>
      </w:r>
      <w:r>
        <w:rPr>
          <w:rFonts w:hint="default" w:ascii="Times New Roman" w:hAnsi="Times New Roman" w:eastAsia="仿宋_GB2312" w:cs="Times New Roman"/>
          <w:b/>
          <w:bCs/>
          <w:color w:val="auto"/>
          <w:kern w:val="2"/>
          <w:sz w:val="32"/>
          <w:szCs w:val="32"/>
          <w:lang w:val="en-US" w:eastAsia="zh-CN" w:bidi="ar-SA"/>
        </w:rPr>
        <w:t>总体思路</w:t>
      </w:r>
      <w:r>
        <w:rPr>
          <w:rFonts w:hint="default" w:ascii="Times New Roman" w:hAnsi="Times New Roman" w:eastAsia="仿宋_GB2312" w:cs="Times New Roman"/>
          <w:color w:val="auto"/>
          <w:kern w:val="2"/>
          <w:sz w:val="32"/>
          <w:szCs w:val="32"/>
          <w:lang w:val="en-US" w:eastAsia="zh-CN" w:bidi="ar-SA"/>
        </w:rPr>
        <w:t>是：“四化”“四提升”，即：强化资源统筹，提升财政保障能力；优化支出管理，提升风险防范能力；深化预算改革，提升预算管理能力；硬化预算执行，提升刚性约束能力。</w:t>
      </w:r>
    </w:p>
    <w:p>
      <w:pPr>
        <w:spacing w:line="560" w:lineRule="exact"/>
        <w:ind w:firstLine="627" w:firstLineChars="196"/>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202</w:t>
      </w:r>
      <w:r>
        <w:rPr>
          <w:rFonts w:hint="default" w:ascii="Times New Roman" w:hAnsi="Times New Roman" w:eastAsia="黑体" w:cs="Times New Roman"/>
          <w:color w:val="auto"/>
          <w:kern w:val="0"/>
          <w:sz w:val="32"/>
          <w:szCs w:val="32"/>
          <w:lang w:val="en-US" w:eastAsia="zh-CN"/>
        </w:rPr>
        <w:t>3</w:t>
      </w:r>
      <w:r>
        <w:rPr>
          <w:rFonts w:hint="default" w:ascii="Times New Roman" w:hAnsi="Times New Roman" w:eastAsia="黑体" w:cs="Times New Roman"/>
          <w:color w:val="auto"/>
          <w:kern w:val="0"/>
          <w:sz w:val="32"/>
          <w:szCs w:val="32"/>
        </w:rPr>
        <w:t>年区级“四本预算”编制情况</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楷体_GB2312" w:cs="Times New Roman"/>
          <w:bCs/>
          <w:color w:val="auto"/>
          <w:kern w:val="0"/>
          <w:sz w:val="32"/>
          <w:szCs w:val="32"/>
        </w:rPr>
      </w:pPr>
      <w:r>
        <w:rPr>
          <w:rFonts w:hint="default" w:ascii="Times New Roman" w:hAnsi="Times New Roman" w:eastAsia="楷体_GB2312" w:cs="Times New Roman"/>
          <w:bCs/>
          <w:color w:val="auto"/>
          <w:kern w:val="0"/>
          <w:sz w:val="32"/>
          <w:szCs w:val="32"/>
        </w:rPr>
        <w:t>（一）一般公共预算</w:t>
      </w:r>
    </w:p>
    <w:p>
      <w:pPr>
        <w:spacing w:line="560" w:lineRule="exact"/>
        <w:ind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综合考虑</w:t>
      </w:r>
      <w:r>
        <w:rPr>
          <w:rFonts w:hint="default" w:ascii="Times New Roman" w:hAnsi="Times New Roman" w:eastAsia="仿宋_GB2312" w:cs="Times New Roman"/>
          <w:color w:val="auto"/>
          <w:kern w:val="0"/>
          <w:sz w:val="32"/>
          <w:szCs w:val="32"/>
          <w:lang w:eastAsia="zh-CN"/>
        </w:rPr>
        <w:t>省市预期增长目标和</w:t>
      </w:r>
      <w:r>
        <w:rPr>
          <w:rFonts w:hint="default" w:ascii="Times New Roman" w:hAnsi="Times New Roman" w:eastAsia="仿宋_GB2312" w:cs="Times New Roman"/>
          <w:color w:val="auto"/>
          <w:kern w:val="0"/>
          <w:sz w:val="32"/>
          <w:szCs w:val="32"/>
        </w:rPr>
        <w:t>我区经济社会发展各方面因素，</w:t>
      </w:r>
      <w:r>
        <w:rPr>
          <w:rFonts w:hint="default" w:ascii="Times New Roman" w:hAnsi="Times New Roman" w:eastAsia="仿宋_GB2312" w:cs="Times New Roman"/>
          <w:color w:val="auto"/>
          <w:kern w:val="0"/>
          <w:sz w:val="32"/>
          <w:szCs w:val="32"/>
          <w:lang w:eastAsia="zh-CN"/>
        </w:rPr>
        <w:t>建议</w:t>
      </w:r>
      <w:r>
        <w:rPr>
          <w:rFonts w:hint="default" w:ascii="Times New Roman" w:hAnsi="Times New Roman" w:eastAsia="仿宋_GB2312" w:cs="Times New Roman"/>
          <w:color w:val="auto"/>
          <w:kern w:val="0"/>
          <w:sz w:val="32"/>
          <w:szCs w:val="32"/>
          <w:lang w:val="en-US" w:eastAsia="zh-CN"/>
        </w:rPr>
        <w:t>2023年地方一般公共预算收入预期增长目标为8</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预计</w:t>
      </w:r>
      <w:r>
        <w:rPr>
          <w:rFonts w:hint="default" w:ascii="Times New Roman" w:hAnsi="Times New Roman" w:eastAsia="仿宋_GB2312" w:cs="Times New Roman"/>
          <w:color w:val="auto"/>
          <w:kern w:val="0"/>
          <w:sz w:val="32"/>
          <w:szCs w:val="32"/>
          <w:lang w:eastAsia="zh-CN"/>
        </w:rPr>
        <w:t>地方一般公共预算</w:t>
      </w:r>
      <w:r>
        <w:rPr>
          <w:rFonts w:hint="default" w:ascii="Times New Roman" w:hAnsi="Times New Roman" w:eastAsia="仿宋_GB2312" w:cs="Times New Roman"/>
          <w:color w:val="auto"/>
          <w:kern w:val="0"/>
          <w:sz w:val="32"/>
          <w:szCs w:val="32"/>
        </w:rPr>
        <w:t>收入为</w:t>
      </w:r>
      <w:r>
        <w:rPr>
          <w:rFonts w:hint="default" w:ascii="Times New Roman" w:hAnsi="Times New Roman" w:eastAsia="仿宋_GB2312" w:cs="Times New Roman"/>
          <w:color w:val="auto"/>
          <w:kern w:val="0"/>
          <w:sz w:val="32"/>
          <w:szCs w:val="32"/>
          <w:lang w:val="en-US" w:eastAsia="zh-CN"/>
        </w:rPr>
        <w:t>45.91</w:t>
      </w:r>
      <w:r>
        <w:rPr>
          <w:rFonts w:hint="default" w:ascii="Times New Roman" w:hAnsi="Times New Roman" w:eastAsia="仿宋_GB2312" w:cs="Times New Roman"/>
          <w:color w:val="auto"/>
          <w:kern w:val="0"/>
          <w:sz w:val="32"/>
          <w:szCs w:val="32"/>
        </w:rPr>
        <w:t>亿元</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其中：</w:t>
      </w:r>
      <w:r>
        <w:rPr>
          <w:rFonts w:hint="default" w:ascii="Times New Roman" w:hAnsi="Times New Roman" w:eastAsia="仿宋_GB2312" w:cs="Times New Roman"/>
          <w:color w:val="auto"/>
          <w:kern w:val="0"/>
          <w:sz w:val="32"/>
          <w:szCs w:val="32"/>
          <w:lang w:eastAsia="zh-CN"/>
        </w:rPr>
        <w:t>地方</w:t>
      </w:r>
      <w:r>
        <w:rPr>
          <w:rFonts w:hint="default" w:ascii="Times New Roman" w:hAnsi="Times New Roman" w:eastAsia="仿宋_GB2312" w:cs="Times New Roman"/>
          <w:color w:val="auto"/>
          <w:kern w:val="0"/>
          <w:sz w:val="32"/>
          <w:szCs w:val="32"/>
        </w:rPr>
        <w:t>税收收入为</w:t>
      </w:r>
      <w:r>
        <w:rPr>
          <w:rFonts w:hint="default" w:ascii="Times New Roman" w:hAnsi="Times New Roman" w:eastAsia="仿宋_GB2312" w:cs="Times New Roman"/>
          <w:color w:val="auto"/>
          <w:kern w:val="0"/>
          <w:sz w:val="32"/>
          <w:szCs w:val="32"/>
          <w:lang w:val="en-US" w:eastAsia="zh-CN"/>
        </w:rPr>
        <w:t>40.81</w:t>
      </w:r>
      <w:r>
        <w:rPr>
          <w:rFonts w:hint="default" w:ascii="Times New Roman" w:hAnsi="Times New Roman" w:eastAsia="仿宋_GB2312" w:cs="Times New Roman"/>
          <w:color w:val="auto"/>
          <w:kern w:val="0"/>
          <w:sz w:val="32"/>
          <w:szCs w:val="32"/>
        </w:rPr>
        <w:t>亿元，增长</w:t>
      </w:r>
      <w:r>
        <w:rPr>
          <w:rFonts w:hint="default" w:ascii="Times New Roman" w:hAnsi="Times New Roman"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根据财力预测和收支平衡的原则，20</w:t>
      </w:r>
      <w:r>
        <w:rPr>
          <w:rFonts w:hint="default" w:ascii="Times New Roman" w:hAnsi="Times New Roman" w:eastAsia="仿宋_GB2312" w:cs="Times New Roman"/>
          <w:color w:val="auto"/>
          <w:kern w:val="0"/>
          <w:sz w:val="32"/>
          <w:szCs w:val="32"/>
          <w:lang w:val="en-US" w:eastAsia="zh-CN"/>
        </w:rPr>
        <w:t>23</w:t>
      </w:r>
      <w:r>
        <w:rPr>
          <w:rFonts w:hint="default" w:ascii="Times New Roman" w:hAnsi="Times New Roman" w:eastAsia="仿宋_GB2312" w:cs="Times New Roman"/>
          <w:color w:val="auto"/>
          <w:kern w:val="0"/>
          <w:sz w:val="32"/>
          <w:szCs w:val="32"/>
        </w:rPr>
        <w:t>年一般公共预算支出安排</w:t>
      </w:r>
      <w:r>
        <w:rPr>
          <w:rFonts w:hint="default" w:ascii="Times New Roman" w:hAnsi="Times New Roman" w:eastAsia="仿宋_GB2312" w:cs="Times New Roman"/>
          <w:color w:val="auto"/>
          <w:kern w:val="0"/>
          <w:sz w:val="32"/>
          <w:szCs w:val="32"/>
          <w:lang w:val="en-US" w:eastAsia="zh-CN"/>
        </w:rPr>
        <w:t>38.27</w:t>
      </w:r>
      <w:r>
        <w:rPr>
          <w:rFonts w:hint="default" w:ascii="Times New Roman" w:hAnsi="Times New Roman" w:eastAsia="仿宋_GB2312" w:cs="Times New Roman"/>
          <w:color w:val="auto"/>
          <w:kern w:val="0"/>
          <w:sz w:val="32"/>
          <w:szCs w:val="32"/>
        </w:rPr>
        <w:t>亿元，</w:t>
      </w:r>
      <w:r>
        <w:rPr>
          <w:rFonts w:hint="default" w:ascii="Times New Roman" w:hAnsi="Times New Roman" w:eastAsia="仿宋_GB2312" w:cs="Times New Roman"/>
          <w:color w:val="auto"/>
          <w:kern w:val="0"/>
          <w:sz w:val="32"/>
          <w:szCs w:val="32"/>
          <w:lang w:eastAsia="zh-CN"/>
        </w:rPr>
        <w:t>其中：①使用当年财力和调入稳定调节基金安排</w:t>
      </w:r>
      <w:r>
        <w:rPr>
          <w:rFonts w:hint="default" w:ascii="Times New Roman" w:hAnsi="Times New Roman" w:eastAsia="仿宋_GB2312" w:cs="Times New Roman"/>
          <w:color w:val="auto"/>
          <w:kern w:val="0"/>
          <w:sz w:val="32"/>
          <w:szCs w:val="32"/>
        </w:rPr>
        <w:t>一般公共预算支出</w:t>
      </w:r>
      <w:r>
        <w:rPr>
          <w:rFonts w:hint="default" w:ascii="Times New Roman" w:hAnsi="Times New Roman" w:eastAsia="仿宋_GB2312" w:cs="Times New Roman"/>
          <w:color w:val="auto"/>
          <w:kern w:val="0"/>
          <w:sz w:val="32"/>
          <w:szCs w:val="32"/>
          <w:lang w:val="en-US" w:eastAsia="zh-CN"/>
        </w:rPr>
        <w:t>21.06</w:t>
      </w:r>
      <w:r>
        <w:rPr>
          <w:rFonts w:hint="default" w:ascii="Times New Roman" w:hAnsi="Times New Roman" w:eastAsia="仿宋_GB2312" w:cs="Times New Roman"/>
          <w:color w:val="auto"/>
          <w:kern w:val="0"/>
          <w:sz w:val="32"/>
          <w:szCs w:val="32"/>
        </w:rPr>
        <w:t>亿元</w:t>
      </w:r>
      <w:r>
        <w:rPr>
          <w:rFonts w:hint="default" w:ascii="Times New Roman" w:hAnsi="Times New Roman" w:eastAsia="仿宋_GB2312" w:cs="Times New Roman"/>
          <w:color w:val="auto"/>
          <w:kern w:val="0"/>
          <w:sz w:val="32"/>
          <w:szCs w:val="32"/>
          <w:lang w:eastAsia="zh-CN"/>
        </w:rPr>
        <w:t>（包括</w:t>
      </w:r>
      <w:r>
        <w:rPr>
          <w:rFonts w:hint="default" w:ascii="Times New Roman" w:hAnsi="Times New Roman" w:eastAsia="仿宋_GB2312" w:cs="Times New Roman"/>
          <w:color w:val="auto"/>
          <w:kern w:val="0"/>
          <w:sz w:val="32"/>
          <w:szCs w:val="32"/>
        </w:rPr>
        <w:t>地方收入</w:t>
      </w:r>
      <w:r>
        <w:rPr>
          <w:rFonts w:hint="default" w:ascii="Times New Roman" w:hAnsi="Times New Roman" w:eastAsia="仿宋_GB2312" w:cs="Times New Roman"/>
          <w:color w:val="auto"/>
          <w:kern w:val="0"/>
          <w:sz w:val="32"/>
          <w:szCs w:val="32"/>
          <w:lang w:eastAsia="zh-CN"/>
        </w:rPr>
        <w:t>财力加上一般转移支付</w:t>
      </w:r>
      <w:r>
        <w:rPr>
          <w:rFonts w:hint="default" w:ascii="Times New Roman" w:hAnsi="Times New Roman" w:eastAsia="仿宋_GB2312" w:cs="Times New Roman"/>
          <w:color w:val="auto"/>
          <w:kern w:val="0"/>
          <w:sz w:val="32"/>
          <w:szCs w:val="32"/>
        </w:rPr>
        <w:t>形成的财力安排</w:t>
      </w:r>
      <w:r>
        <w:rPr>
          <w:rFonts w:hint="default" w:ascii="Times New Roman" w:hAnsi="Times New Roman" w:eastAsia="仿宋_GB2312" w:cs="Times New Roman"/>
          <w:color w:val="auto"/>
          <w:kern w:val="0"/>
          <w:sz w:val="32"/>
          <w:szCs w:val="32"/>
          <w:lang w:val="en-US" w:eastAsia="zh-CN"/>
        </w:rPr>
        <w:t>19.06</w:t>
      </w:r>
      <w:r>
        <w:rPr>
          <w:rFonts w:hint="default" w:ascii="Times New Roman" w:hAnsi="Times New Roman" w:eastAsia="仿宋_GB2312" w:cs="Times New Roman"/>
          <w:color w:val="auto"/>
          <w:kern w:val="0"/>
          <w:sz w:val="32"/>
          <w:szCs w:val="32"/>
        </w:rPr>
        <w:t>亿元</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调入预算稳定调节基金安排2亿元</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bidi="ar-SA"/>
        </w:rPr>
        <w:t>同比减少1.95亿元，预算安排总体偏紧，彰显了当前财政“紧运行和紧平衡”的特点。</w:t>
      </w:r>
      <w:r>
        <w:rPr>
          <w:rFonts w:hint="default" w:ascii="Times New Roman" w:hAnsi="Times New Roman" w:eastAsia="仿宋_GB2312" w:cs="Times New Roman"/>
          <w:color w:val="auto"/>
          <w:kern w:val="0"/>
          <w:sz w:val="32"/>
          <w:szCs w:val="32"/>
          <w:lang w:eastAsia="zh-CN"/>
        </w:rPr>
        <w:t>②</w:t>
      </w:r>
      <w:r>
        <w:rPr>
          <w:rFonts w:hint="default" w:ascii="Times New Roman" w:hAnsi="Times New Roman" w:eastAsia="仿宋_GB2312" w:cs="Times New Roman"/>
          <w:color w:val="auto"/>
          <w:kern w:val="0"/>
          <w:sz w:val="32"/>
          <w:szCs w:val="32"/>
        </w:rPr>
        <w:t>土地出让收入</w:t>
      </w:r>
      <w:r>
        <w:rPr>
          <w:rFonts w:hint="default" w:ascii="Times New Roman" w:hAnsi="Times New Roman" w:eastAsia="仿宋_GB2312" w:cs="Times New Roman"/>
          <w:color w:val="auto"/>
          <w:kern w:val="0"/>
          <w:sz w:val="32"/>
          <w:szCs w:val="32"/>
          <w:lang w:eastAsia="zh-CN"/>
        </w:rPr>
        <w:t>调入</w:t>
      </w:r>
      <w:r>
        <w:rPr>
          <w:rFonts w:hint="default" w:ascii="Times New Roman" w:hAnsi="Times New Roman" w:eastAsia="仿宋_GB2312" w:cs="Times New Roman"/>
          <w:color w:val="auto"/>
          <w:kern w:val="0"/>
          <w:sz w:val="32"/>
          <w:szCs w:val="32"/>
        </w:rPr>
        <w:t>安排专项支出</w:t>
      </w:r>
      <w:r>
        <w:rPr>
          <w:rFonts w:hint="default" w:ascii="Times New Roman" w:hAnsi="Times New Roman" w:eastAsia="仿宋_GB2312" w:cs="Times New Roman"/>
          <w:color w:val="auto"/>
          <w:kern w:val="0"/>
          <w:sz w:val="32"/>
          <w:szCs w:val="32"/>
          <w:lang w:val="en-US" w:eastAsia="zh-CN"/>
        </w:rPr>
        <w:t>3.46</w:t>
      </w:r>
      <w:r>
        <w:rPr>
          <w:rFonts w:hint="default" w:ascii="Times New Roman" w:hAnsi="Times New Roman" w:eastAsia="仿宋_GB2312" w:cs="Times New Roman"/>
          <w:color w:val="auto"/>
          <w:kern w:val="0"/>
          <w:sz w:val="32"/>
          <w:szCs w:val="32"/>
        </w:rPr>
        <w:t>亿元</w:t>
      </w:r>
      <w:r>
        <w:rPr>
          <w:rFonts w:hint="default" w:ascii="Times New Roman" w:hAnsi="Times New Roman" w:eastAsia="仿宋_GB2312" w:cs="Times New Roman"/>
          <w:color w:val="auto"/>
          <w:kern w:val="0"/>
          <w:sz w:val="32"/>
          <w:szCs w:val="32"/>
          <w:lang w:eastAsia="zh-CN"/>
        </w:rPr>
        <w:t>（一般债券付息支出和政府公益性项目建设）。③</w:t>
      </w:r>
      <w:r>
        <w:rPr>
          <w:rFonts w:hint="default" w:ascii="Times New Roman" w:hAnsi="Times New Roman" w:eastAsia="仿宋_GB2312" w:cs="Times New Roman"/>
          <w:color w:val="auto"/>
          <w:kern w:val="0"/>
          <w:sz w:val="32"/>
          <w:szCs w:val="32"/>
        </w:rPr>
        <w:t>政策性安排专项支出</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亿元</w:t>
      </w:r>
      <w:r>
        <w:rPr>
          <w:rFonts w:hint="default" w:ascii="Times New Roman" w:hAnsi="Times New Roman" w:eastAsia="仿宋_GB2312" w:cs="Times New Roman"/>
          <w:color w:val="auto"/>
          <w:kern w:val="0"/>
          <w:sz w:val="32"/>
          <w:szCs w:val="32"/>
          <w:lang w:eastAsia="zh-CN"/>
        </w:rPr>
        <w:t>。④</w:t>
      </w:r>
      <w:r>
        <w:rPr>
          <w:rFonts w:hint="default" w:ascii="Times New Roman" w:hAnsi="Times New Roman" w:eastAsia="仿宋_GB2312" w:cs="Times New Roman"/>
          <w:color w:val="auto"/>
          <w:kern w:val="0"/>
          <w:sz w:val="32"/>
          <w:szCs w:val="32"/>
        </w:rPr>
        <w:t>提前下达转移支付</w:t>
      </w:r>
      <w:r>
        <w:rPr>
          <w:rFonts w:hint="default" w:ascii="Times New Roman" w:hAnsi="Times New Roman" w:eastAsia="仿宋_GB2312" w:cs="Times New Roman"/>
          <w:color w:val="auto"/>
          <w:kern w:val="0"/>
          <w:sz w:val="32"/>
          <w:szCs w:val="32"/>
          <w:lang w:eastAsia="zh-CN"/>
        </w:rPr>
        <w:t>及预估</w:t>
      </w:r>
      <w:r>
        <w:rPr>
          <w:rFonts w:hint="default" w:ascii="Times New Roman" w:hAnsi="Times New Roman" w:eastAsia="仿宋_GB2312" w:cs="Times New Roman"/>
          <w:color w:val="auto"/>
          <w:kern w:val="0"/>
          <w:sz w:val="32"/>
          <w:szCs w:val="32"/>
        </w:rPr>
        <w:t>安排支出</w:t>
      </w:r>
      <w:r>
        <w:rPr>
          <w:rFonts w:hint="default" w:ascii="Times New Roman" w:hAnsi="Times New Roman" w:eastAsia="仿宋_GB2312" w:cs="Times New Roman"/>
          <w:color w:val="auto"/>
          <w:kern w:val="0"/>
          <w:sz w:val="32"/>
          <w:szCs w:val="32"/>
          <w:lang w:val="en-US" w:eastAsia="zh-CN"/>
        </w:rPr>
        <w:t>2.45</w:t>
      </w:r>
      <w:r>
        <w:rPr>
          <w:rFonts w:hint="default" w:ascii="Times New Roman" w:hAnsi="Times New Roman" w:eastAsia="仿宋_GB2312" w:cs="Times New Roman"/>
          <w:color w:val="auto"/>
          <w:kern w:val="0"/>
          <w:sz w:val="32"/>
          <w:szCs w:val="32"/>
        </w:rPr>
        <w:t>亿元。⑤</w:t>
      </w:r>
      <w:r>
        <w:rPr>
          <w:rFonts w:hint="default" w:ascii="Times New Roman" w:hAnsi="Times New Roman" w:eastAsia="仿宋_GB2312" w:cs="Times New Roman"/>
          <w:color w:val="auto"/>
          <w:kern w:val="0"/>
          <w:sz w:val="32"/>
          <w:szCs w:val="32"/>
          <w:lang w:eastAsia="zh-CN"/>
        </w:rPr>
        <w:t>上年结转指标预计安排支出</w:t>
      </w:r>
      <w:r>
        <w:rPr>
          <w:rFonts w:hint="default" w:ascii="Times New Roman" w:hAnsi="Times New Roman" w:eastAsia="仿宋_GB2312" w:cs="Times New Roman"/>
          <w:color w:val="auto"/>
          <w:kern w:val="0"/>
          <w:sz w:val="32"/>
          <w:szCs w:val="32"/>
          <w:lang w:val="en-US" w:eastAsia="zh-CN"/>
        </w:rPr>
        <w:t>5.3</w:t>
      </w:r>
      <w:r>
        <w:rPr>
          <w:rFonts w:hint="default" w:ascii="Times New Roman" w:hAnsi="Times New Roman" w:eastAsia="仿宋_GB2312" w:cs="Times New Roman"/>
          <w:color w:val="auto"/>
          <w:kern w:val="0"/>
          <w:sz w:val="32"/>
          <w:szCs w:val="32"/>
          <w:lang w:eastAsia="zh-CN"/>
        </w:rPr>
        <w:t>亿元。</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当年财力和调入稳定调节基金</w:t>
      </w:r>
      <w:r>
        <w:rPr>
          <w:rFonts w:hint="default" w:ascii="Times New Roman" w:hAnsi="Times New Roman" w:eastAsia="仿宋_GB2312" w:cs="Times New Roman"/>
          <w:color w:val="auto"/>
          <w:kern w:val="0"/>
          <w:sz w:val="32"/>
          <w:szCs w:val="32"/>
          <w:lang w:val="en-US" w:eastAsia="zh-CN"/>
        </w:rPr>
        <w:t>21.06亿元，</w:t>
      </w:r>
      <w:r>
        <w:rPr>
          <w:rFonts w:hint="default" w:ascii="Times New Roman" w:hAnsi="Times New Roman" w:eastAsia="仿宋" w:cs="Times New Roman"/>
          <w:b w:val="0"/>
          <w:bCs/>
          <w:color w:val="auto"/>
          <w:kern w:val="0"/>
          <w:sz w:val="32"/>
          <w:szCs w:val="32"/>
        </w:rPr>
        <w:t>具体支出安排情况</w:t>
      </w:r>
      <w:r>
        <w:rPr>
          <w:rFonts w:hint="default" w:ascii="Times New Roman" w:hAnsi="Times New Roman" w:eastAsia="仿宋" w:cs="Times New Roman"/>
          <w:b w:val="0"/>
          <w:bCs/>
          <w:color w:val="auto"/>
          <w:kern w:val="0"/>
          <w:sz w:val="32"/>
          <w:szCs w:val="32"/>
          <w:lang w:eastAsia="zh-CN"/>
        </w:rPr>
        <w:t>如下：</w:t>
      </w:r>
    </w:p>
    <w:p>
      <w:pPr>
        <w:pStyle w:val="7"/>
        <w:numPr>
          <w:ilvl w:val="0"/>
          <w:numId w:val="0"/>
        </w:numPr>
        <w:spacing w:before="149" w:line="328" w:lineRule="auto"/>
        <w:ind w:right="157" w:rightChars="0" w:firstLine="643" w:firstLineChars="200"/>
        <w:jc w:val="both"/>
        <w:rPr>
          <w:rFonts w:hint="default" w:ascii="Times New Roman" w:hAnsi="Times New Roman" w:eastAsia="仿宋_GB2312" w:cs="Times New Roman"/>
          <w:color w:val="auto"/>
          <w:spacing w:val="-12"/>
          <w:sz w:val="32"/>
          <w:szCs w:val="32"/>
          <w:lang w:val="en-US" w:eastAsia="zh-CN"/>
        </w:rPr>
      </w:pPr>
      <w:r>
        <w:rPr>
          <w:rFonts w:hint="default" w:ascii="Times New Roman" w:hAnsi="Times New Roman" w:eastAsia="仿宋_GB2312" w:cs="Times New Roman"/>
          <w:b/>
          <w:bCs/>
          <w:color w:val="auto"/>
          <w:kern w:val="0"/>
          <w:sz w:val="32"/>
          <w:szCs w:val="32"/>
          <w:lang w:val="en-US" w:eastAsia="zh-CN"/>
        </w:rPr>
        <w:t xml:space="preserve">1. </w:t>
      </w:r>
      <w:r>
        <w:rPr>
          <w:rStyle w:val="18"/>
          <w:rFonts w:hint="default" w:ascii="Times New Roman" w:hAnsi="Times New Roman" w:eastAsia="仿宋_GB2312" w:cs="Times New Roman"/>
          <w:b w:val="0"/>
          <w:bCs w:val="0"/>
          <w:color w:val="auto"/>
          <w:sz w:val="32"/>
          <w:szCs w:val="32"/>
          <w:lang w:val="en-US" w:eastAsia="zh-CN"/>
        </w:rPr>
        <w:t>保人员工资支出</w:t>
      </w:r>
      <w:r>
        <w:rPr>
          <w:rFonts w:hint="default" w:ascii="Times New Roman" w:hAnsi="Times New Roman" w:eastAsia="仿宋_GB2312" w:cs="Times New Roman"/>
          <w:b w:val="0"/>
          <w:bCs w:val="0"/>
          <w:color w:val="auto"/>
          <w:spacing w:val="-5"/>
          <w:sz w:val="32"/>
          <w:szCs w:val="32"/>
          <w:lang w:eastAsia="zh-CN"/>
        </w:rPr>
        <w:t>安</w:t>
      </w:r>
      <w:r>
        <w:rPr>
          <w:rFonts w:hint="default" w:ascii="Times New Roman" w:hAnsi="Times New Roman" w:eastAsia="仿宋_GB2312" w:cs="Times New Roman"/>
          <w:color w:val="auto"/>
          <w:spacing w:val="-5"/>
          <w:sz w:val="32"/>
          <w:szCs w:val="32"/>
          <w:lang w:eastAsia="zh-CN"/>
        </w:rPr>
        <w:t>排</w:t>
      </w:r>
      <w:r>
        <w:rPr>
          <w:rFonts w:hint="default" w:ascii="Times New Roman" w:hAnsi="Times New Roman" w:eastAsia="仿宋_GB2312" w:cs="Times New Roman"/>
          <w:color w:val="auto"/>
          <w:spacing w:val="-5"/>
          <w:sz w:val="32"/>
          <w:szCs w:val="32"/>
          <w:lang w:val="en-US" w:eastAsia="zh-CN"/>
        </w:rPr>
        <w:t>7.88亿元，比上年增加0.59亿元。增加的主要原因是</w:t>
      </w:r>
      <w:r>
        <w:rPr>
          <w:rFonts w:hint="default" w:ascii="Times New Roman" w:hAnsi="Times New Roman" w:eastAsia="仿宋_GB2312" w:cs="Times New Roman"/>
          <w:color w:val="auto"/>
          <w:spacing w:val="-5"/>
          <w:sz w:val="32"/>
          <w:szCs w:val="32"/>
          <w:lang w:eastAsia="zh-CN"/>
        </w:rPr>
        <w:t>按照上级政策要求恢复</w:t>
      </w:r>
      <w:r>
        <w:rPr>
          <w:rFonts w:hint="default" w:ascii="Times New Roman" w:hAnsi="Times New Roman" w:eastAsia="仿宋_GB2312" w:cs="Times New Roman"/>
          <w:color w:val="auto"/>
          <w:spacing w:val="-12"/>
          <w:sz w:val="32"/>
          <w:szCs w:val="32"/>
          <w:lang w:eastAsia="zh-CN"/>
        </w:rPr>
        <w:t>了在职和退休人员一个月医疗铺底金；教育系统增</w:t>
      </w:r>
      <w:r>
        <w:rPr>
          <w:rFonts w:hint="default" w:ascii="Times New Roman" w:hAnsi="Times New Roman" w:eastAsia="仿宋_GB2312" w:cs="Times New Roman"/>
          <w:color w:val="auto"/>
          <w:spacing w:val="-12"/>
          <w:sz w:val="32"/>
          <w:szCs w:val="32"/>
          <w:lang w:val="en-US" w:eastAsia="zh-CN"/>
        </w:rPr>
        <w:t>人</w:t>
      </w:r>
      <w:r>
        <w:rPr>
          <w:rFonts w:hint="default" w:ascii="Times New Roman" w:hAnsi="Times New Roman" w:eastAsia="仿宋_GB2312" w:cs="Times New Roman"/>
          <w:color w:val="auto"/>
          <w:spacing w:val="-12"/>
          <w:sz w:val="32"/>
          <w:szCs w:val="32"/>
          <w:lang w:eastAsia="zh-CN"/>
        </w:rPr>
        <w:t>增加人员经费；机关事业单位养老保险计提基数增加。</w:t>
      </w:r>
    </w:p>
    <w:p>
      <w:pPr>
        <w:pStyle w:val="7"/>
        <w:numPr>
          <w:ilvl w:val="0"/>
          <w:numId w:val="0"/>
        </w:numPr>
        <w:spacing w:before="149" w:line="328" w:lineRule="auto"/>
        <w:ind w:right="157" w:rightChars="0" w:firstLine="643" w:firstLineChars="200"/>
        <w:jc w:val="both"/>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kern w:val="0"/>
          <w:sz w:val="32"/>
          <w:szCs w:val="32"/>
          <w:lang w:val="en-US" w:eastAsia="zh-CN"/>
        </w:rPr>
        <w:t xml:space="preserve">2. </w:t>
      </w:r>
      <w:r>
        <w:rPr>
          <w:rFonts w:hint="default" w:ascii="Times New Roman" w:hAnsi="Times New Roman" w:eastAsia="仿宋_GB2312" w:cs="Times New Roman"/>
          <w:color w:val="auto"/>
          <w:spacing w:val="-5"/>
          <w:sz w:val="32"/>
          <w:szCs w:val="32"/>
          <w:lang w:val="en-US" w:eastAsia="zh-CN"/>
        </w:rPr>
        <w:t>保机关运转经费</w:t>
      </w:r>
      <w:r>
        <w:rPr>
          <w:rFonts w:hint="default" w:ascii="Times New Roman" w:hAnsi="Times New Roman" w:eastAsia="仿宋_GB2312" w:cs="Times New Roman"/>
          <w:color w:val="auto"/>
          <w:spacing w:val="-5"/>
          <w:sz w:val="32"/>
          <w:szCs w:val="32"/>
          <w:lang w:eastAsia="zh-CN"/>
        </w:rPr>
        <w:t>安排</w:t>
      </w:r>
      <w:r>
        <w:rPr>
          <w:rFonts w:hint="default" w:ascii="Times New Roman" w:hAnsi="Times New Roman" w:eastAsia="仿宋_GB2312" w:cs="Times New Roman"/>
          <w:color w:val="auto"/>
          <w:spacing w:val="-5"/>
          <w:sz w:val="32"/>
          <w:szCs w:val="32"/>
          <w:lang w:val="en-US" w:eastAsia="zh-CN"/>
        </w:rPr>
        <w:t>0.92亿元，</w:t>
      </w:r>
      <w:r>
        <w:rPr>
          <w:rFonts w:hint="default" w:ascii="Times New Roman" w:hAnsi="Times New Roman" w:cs="Times New Roman"/>
          <w:color w:val="auto"/>
          <w:spacing w:val="-5"/>
          <w:sz w:val="32"/>
          <w:szCs w:val="32"/>
          <w:lang w:val="en-US" w:eastAsia="zh-CN"/>
        </w:rPr>
        <w:t>比</w:t>
      </w:r>
      <w:r>
        <w:rPr>
          <w:rFonts w:hint="default" w:ascii="Times New Roman" w:hAnsi="Times New Roman" w:eastAsia="仿宋_GB2312" w:cs="Times New Roman"/>
          <w:color w:val="auto"/>
          <w:spacing w:val="-5"/>
          <w:sz w:val="32"/>
          <w:szCs w:val="32"/>
          <w:lang w:val="en-US" w:eastAsia="zh-CN"/>
        </w:rPr>
        <w:t>上年减少0.18亿元</w:t>
      </w:r>
      <w:r>
        <w:rPr>
          <w:rFonts w:hint="default" w:ascii="Times New Roman" w:hAnsi="Times New Roman" w:eastAsia="仿宋_GB2312" w:cs="Times New Roman"/>
          <w:color w:val="auto"/>
          <w:spacing w:val="-5"/>
          <w:sz w:val="32"/>
          <w:szCs w:val="32"/>
          <w:lang w:eastAsia="zh-CN"/>
        </w:rPr>
        <w:t>。</w:t>
      </w:r>
      <w:r>
        <w:rPr>
          <w:rFonts w:hint="default" w:ascii="Times New Roman" w:hAnsi="Times New Roman" w:eastAsia="仿宋_GB2312" w:cs="Times New Roman"/>
          <w:color w:val="auto"/>
          <w:spacing w:val="-12"/>
          <w:sz w:val="32"/>
          <w:szCs w:val="32"/>
          <w:lang w:eastAsia="zh-CN"/>
        </w:rPr>
        <w:t>继续</w:t>
      </w:r>
      <w:r>
        <w:rPr>
          <w:rFonts w:hint="default" w:ascii="Times New Roman" w:hAnsi="Times New Roman" w:eastAsia="仿宋_GB2312" w:cs="Times New Roman"/>
          <w:color w:val="auto"/>
          <w:kern w:val="0"/>
          <w:sz w:val="32"/>
          <w:szCs w:val="32"/>
          <w:lang w:eastAsia="zh-CN"/>
        </w:rPr>
        <w:t>实行</w:t>
      </w:r>
      <w:r>
        <w:rPr>
          <w:rFonts w:hint="default" w:ascii="Times New Roman" w:hAnsi="Times New Roman" w:eastAsia="仿宋_GB2312" w:cs="Times New Roman"/>
          <w:b w:val="0"/>
          <w:bCs w:val="0"/>
          <w:color w:val="auto"/>
          <w:sz w:val="32"/>
          <w:szCs w:val="32"/>
        </w:rPr>
        <w:t>机关运行经费</w:t>
      </w:r>
      <w:r>
        <w:rPr>
          <w:rFonts w:hint="default" w:ascii="Times New Roman" w:hAnsi="Times New Roman" w:eastAsia="仿宋_GB2312" w:cs="Times New Roman"/>
          <w:b w:val="0"/>
          <w:bCs w:val="0"/>
          <w:color w:val="auto"/>
          <w:sz w:val="32"/>
          <w:szCs w:val="32"/>
          <w:lang w:eastAsia="zh-CN"/>
        </w:rPr>
        <w:t>定额标准预算安排办法，提高了工会经费、福利费计提基数，但是削减了</w:t>
      </w:r>
      <w:r>
        <w:rPr>
          <w:rFonts w:hint="default" w:ascii="Times New Roman" w:hAnsi="Times New Roman" w:eastAsia="仿宋_GB2312" w:cs="Times New Roman"/>
          <w:b w:val="0"/>
          <w:bCs w:val="0"/>
          <w:color w:val="auto"/>
          <w:sz w:val="32"/>
          <w:szCs w:val="32"/>
          <w:lang w:val="en-US" w:eastAsia="zh-CN"/>
        </w:rPr>
        <w:t>29家预算单位业务性专项40项，进一步落实落细过“紧日子”要求。</w:t>
      </w:r>
    </w:p>
    <w:p>
      <w:pPr>
        <w:keepNext w:val="0"/>
        <w:keepLines w:val="0"/>
        <w:pageBreakBefore w:val="0"/>
        <w:widowControl w:val="0"/>
        <w:kinsoku/>
        <w:wordWrap/>
        <w:overflowPunct/>
        <w:topLinePunct w:val="0"/>
        <w:autoSpaceDE/>
        <w:autoSpaceDN/>
        <w:bidi w:val="0"/>
        <w:spacing w:line="579"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kern w:val="0"/>
          <w:sz w:val="32"/>
          <w:szCs w:val="32"/>
          <w:lang w:val="en-US" w:eastAsia="zh-CN"/>
        </w:rPr>
        <w:t>3.</w:t>
      </w:r>
      <w:r>
        <w:rPr>
          <w:rFonts w:hint="default" w:ascii="Times New Roman" w:hAnsi="Times New Roman" w:eastAsia="仿宋_GB2312" w:cs="Times New Roman"/>
          <w:b w:val="0"/>
          <w:bCs w:val="0"/>
          <w:color w:val="auto"/>
          <w:kern w:val="0"/>
          <w:sz w:val="32"/>
          <w:szCs w:val="32"/>
          <w:lang w:val="en-US" w:eastAsia="zh-CN"/>
        </w:rPr>
        <w:t xml:space="preserve"> 有保有压统筹安排</w:t>
      </w:r>
      <w:r>
        <w:rPr>
          <w:rFonts w:hint="default" w:ascii="Times New Roman" w:hAnsi="Times New Roman" w:eastAsia="仿宋_GB2312" w:cs="Times New Roman"/>
          <w:b w:val="0"/>
          <w:bCs w:val="0"/>
          <w:color w:val="auto"/>
          <w:sz w:val="32"/>
          <w:szCs w:val="32"/>
          <w:lang w:val="en-US" w:eastAsia="zh-CN"/>
        </w:rPr>
        <w:t>项目经费。依照零基预算原则，</w:t>
      </w:r>
      <w:r>
        <w:rPr>
          <w:rFonts w:hint="default" w:ascii="Times New Roman" w:hAnsi="Times New Roman" w:eastAsia="仿宋_GB2312" w:cs="Times New Roman"/>
          <w:color w:val="auto"/>
          <w:kern w:val="0"/>
          <w:sz w:val="32"/>
          <w:szCs w:val="32"/>
          <w:lang w:val="en-US" w:eastAsia="zh-CN"/>
        </w:rPr>
        <w:t>用可支配财力安排</w:t>
      </w:r>
      <w:r>
        <w:rPr>
          <w:rFonts w:hint="default" w:ascii="Times New Roman" w:hAnsi="Times New Roman" w:eastAsia="仿宋_GB2312" w:cs="Times New Roman"/>
          <w:color w:val="auto"/>
          <w:kern w:val="0"/>
          <w:sz w:val="32"/>
          <w:szCs w:val="32"/>
        </w:rPr>
        <w:t>项目支出</w:t>
      </w:r>
      <w:r>
        <w:rPr>
          <w:rFonts w:hint="default" w:ascii="Times New Roman" w:hAnsi="Times New Roman" w:eastAsia="仿宋_GB2312" w:cs="Times New Roman"/>
          <w:color w:val="auto"/>
          <w:kern w:val="0"/>
          <w:sz w:val="32"/>
          <w:szCs w:val="32"/>
          <w:lang w:val="en-US" w:eastAsia="zh-CN"/>
        </w:rPr>
        <w:t>12.26</w:t>
      </w:r>
      <w:r>
        <w:rPr>
          <w:rFonts w:hint="default" w:ascii="Times New Roman" w:hAnsi="Times New Roman" w:eastAsia="仿宋_GB2312" w:cs="Times New Roman"/>
          <w:color w:val="auto"/>
          <w:kern w:val="0"/>
          <w:sz w:val="32"/>
          <w:szCs w:val="32"/>
        </w:rPr>
        <w:t>亿元，</w:t>
      </w:r>
      <w:r>
        <w:rPr>
          <w:rFonts w:hint="default" w:ascii="Times New Roman" w:hAnsi="Times New Roman" w:eastAsia="仿宋_GB2312" w:cs="Times New Roman"/>
          <w:b w:val="0"/>
          <w:bCs w:val="0"/>
          <w:color w:val="auto"/>
          <w:sz w:val="32"/>
          <w:szCs w:val="32"/>
          <w:lang w:val="en-US" w:eastAsia="zh-CN"/>
        </w:rPr>
        <w:t>比上年减少2.36亿元。分类安排情况如下：</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（1）保基本民生支出安排2.08亿元。主要包括：</w:t>
      </w:r>
      <w:r>
        <w:rPr>
          <w:rFonts w:hint="default" w:ascii="Times New Roman" w:hAnsi="Times New Roman" w:eastAsia="仿宋_GB2312" w:cs="Times New Roman"/>
          <w:color w:val="auto"/>
          <w:sz w:val="32"/>
          <w:szCs w:val="32"/>
          <w:highlight w:val="none"/>
          <w:lang w:eastAsia="zh-CN"/>
        </w:rPr>
        <w:t>农垦企业养老保险补贴专项经费</w:t>
      </w:r>
      <w:r>
        <w:rPr>
          <w:rFonts w:hint="default" w:ascii="Times New Roman" w:hAnsi="Times New Roman" w:eastAsia="仿宋_GB2312" w:cs="Times New Roman"/>
          <w:color w:val="auto"/>
          <w:sz w:val="32"/>
          <w:szCs w:val="32"/>
          <w:highlight w:val="none"/>
          <w:lang w:val="en-US" w:eastAsia="zh-CN"/>
        </w:rPr>
        <w:t>6120万元；</w:t>
      </w:r>
      <w:r>
        <w:rPr>
          <w:rFonts w:hint="default" w:ascii="Times New Roman" w:hAnsi="Times New Roman" w:eastAsia="仿宋_GB2312" w:cs="Times New Roman"/>
          <w:color w:val="auto"/>
          <w:sz w:val="32"/>
          <w:szCs w:val="32"/>
          <w:highlight w:val="none"/>
        </w:rPr>
        <w:t>城乡居民医疗保险区级财政补助</w:t>
      </w:r>
      <w:r>
        <w:rPr>
          <w:rFonts w:hint="default" w:ascii="Times New Roman" w:hAnsi="Times New Roman" w:eastAsia="仿宋_GB2312" w:cs="Times New Roman"/>
          <w:color w:val="auto"/>
          <w:sz w:val="32"/>
          <w:szCs w:val="32"/>
          <w:highlight w:val="none"/>
          <w:lang w:val="en-US" w:eastAsia="zh-CN"/>
        </w:rPr>
        <w:t>2643</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疫情防控专项经费</w:t>
      </w:r>
      <w:r>
        <w:rPr>
          <w:rFonts w:hint="default" w:ascii="Times New Roman" w:hAnsi="Times New Roman" w:eastAsia="仿宋_GB2312" w:cs="Times New Roman"/>
          <w:color w:val="auto"/>
          <w:sz w:val="32"/>
          <w:szCs w:val="32"/>
          <w:highlight w:val="none"/>
          <w:lang w:val="en-US" w:eastAsia="zh-CN"/>
        </w:rPr>
        <w:t>1000万元；</w:t>
      </w:r>
      <w:r>
        <w:rPr>
          <w:rFonts w:hint="default" w:ascii="Times New Roman" w:hAnsi="Times New Roman" w:eastAsia="仿宋_GB2312" w:cs="Times New Roman"/>
          <w:color w:val="auto"/>
          <w:sz w:val="32"/>
          <w:szCs w:val="32"/>
          <w:highlight w:val="none"/>
        </w:rPr>
        <w:t>农村学校</w:t>
      </w:r>
      <w:r>
        <w:rPr>
          <w:rFonts w:hint="default" w:ascii="Times New Roman" w:hAnsi="Times New Roman" w:eastAsia="仿宋_GB2312" w:cs="Times New Roman"/>
          <w:color w:val="auto"/>
          <w:kern w:val="0"/>
          <w:sz w:val="32"/>
          <w:szCs w:val="32"/>
          <w:highlight w:val="none"/>
        </w:rPr>
        <w:t>学生免费午餐</w:t>
      </w:r>
      <w:r>
        <w:rPr>
          <w:rFonts w:hint="default" w:ascii="Times New Roman" w:hAnsi="Times New Roman" w:eastAsia="仿宋_GB2312" w:cs="Times New Roman"/>
          <w:color w:val="auto"/>
          <w:kern w:val="0"/>
          <w:sz w:val="32"/>
          <w:szCs w:val="32"/>
          <w:highlight w:val="none"/>
          <w:lang w:eastAsia="zh-CN"/>
        </w:rPr>
        <w:t>经费</w:t>
      </w:r>
      <w:r>
        <w:rPr>
          <w:rFonts w:hint="default" w:ascii="Times New Roman" w:hAnsi="Times New Roman" w:eastAsia="仿宋_GB2312" w:cs="Times New Roman"/>
          <w:color w:val="auto"/>
          <w:kern w:val="0"/>
          <w:sz w:val="32"/>
          <w:szCs w:val="32"/>
          <w:highlight w:val="none"/>
          <w:lang w:val="en-US" w:eastAsia="zh-CN"/>
        </w:rPr>
        <w:t>852</w:t>
      </w:r>
      <w:r>
        <w:rPr>
          <w:rFonts w:hint="default" w:ascii="Times New Roman" w:hAnsi="Times New Roman" w:eastAsia="仿宋_GB2312" w:cs="Times New Roman"/>
          <w:color w:val="auto"/>
          <w:kern w:val="0"/>
          <w:sz w:val="32"/>
          <w:szCs w:val="32"/>
          <w:highlight w:val="none"/>
        </w:rPr>
        <w:t>万元；</w:t>
      </w:r>
      <w:r>
        <w:rPr>
          <w:rFonts w:hint="default" w:ascii="Times New Roman" w:hAnsi="Times New Roman" w:eastAsia="仿宋_GB2312" w:cs="Times New Roman"/>
          <w:color w:val="auto"/>
          <w:sz w:val="32"/>
          <w:szCs w:val="32"/>
          <w:highlight w:val="none"/>
        </w:rPr>
        <w:t>国家基本公共卫生服务项目经费</w:t>
      </w:r>
      <w:r>
        <w:rPr>
          <w:rFonts w:hint="default" w:ascii="Times New Roman" w:hAnsi="Times New Roman" w:eastAsia="仿宋_GB2312" w:cs="Times New Roman"/>
          <w:color w:val="auto"/>
          <w:sz w:val="32"/>
          <w:szCs w:val="32"/>
          <w:highlight w:val="none"/>
          <w:lang w:val="en-US" w:eastAsia="zh-CN"/>
        </w:rPr>
        <w:t>766</w:t>
      </w:r>
      <w:r>
        <w:rPr>
          <w:rFonts w:hint="default" w:ascii="Times New Roman" w:hAnsi="Times New Roman" w:eastAsia="仿宋_GB2312" w:cs="Times New Roman"/>
          <w:color w:val="auto"/>
          <w:sz w:val="32"/>
          <w:szCs w:val="32"/>
          <w:highlight w:val="none"/>
        </w:rPr>
        <w:t>万元；城乡居民养老保险区级财政补助</w:t>
      </w:r>
      <w:r>
        <w:rPr>
          <w:rFonts w:hint="default" w:ascii="Times New Roman" w:hAnsi="Times New Roman" w:eastAsia="仿宋_GB2312" w:cs="Times New Roman"/>
          <w:color w:val="auto"/>
          <w:sz w:val="32"/>
          <w:szCs w:val="32"/>
          <w:highlight w:val="none"/>
          <w:lang w:val="en-US" w:eastAsia="zh-CN"/>
        </w:rPr>
        <w:t>760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义务教育保障机制专项资金</w:t>
      </w:r>
      <w:r>
        <w:rPr>
          <w:rFonts w:hint="default" w:ascii="Times New Roman" w:hAnsi="Times New Roman" w:eastAsia="仿宋_GB2312" w:cs="Times New Roman"/>
          <w:color w:val="auto"/>
          <w:sz w:val="32"/>
          <w:szCs w:val="32"/>
          <w:highlight w:val="none"/>
          <w:lang w:val="en-US" w:eastAsia="zh-CN"/>
        </w:rPr>
        <w:t>757</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特定人群专项</w:t>
      </w:r>
      <w:r>
        <w:rPr>
          <w:rFonts w:hint="default" w:ascii="Times New Roman" w:hAnsi="Times New Roman" w:eastAsia="仿宋_GB2312" w:cs="Times New Roman"/>
          <w:color w:val="auto"/>
          <w:sz w:val="32"/>
          <w:szCs w:val="32"/>
          <w:highlight w:val="none"/>
        </w:rPr>
        <w:t>经费</w:t>
      </w:r>
      <w:r>
        <w:rPr>
          <w:rFonts w:hint="default" w:ascii="Times New Roman" w:hAnsi="Times New Roman" w:eastAsia="仿宋_GB2312" w:cs="Times New Roman"/>
          <w:color w:val="auto"/>
          <w:sz w:val="32"/>
          <w:szCs w:val="32"/>
          <w:highlight w:val="none"/>
          <w:lang w:val="en-US" w:eastAsia="zh-CN"/>
        </w:rPr>
        <w:t>753</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村级运转经费</w:t>
      </w:r>
      <w:r>
        <w:rPr>
          <w:rFonts w:hint="default" w:ascii="Times New Roman" w:hAnsi="Times New Roman" w:eastAsia="仿宋_GB2312" w:cs="Times New Roman"/>
          <w:color w:val="auto"/>
          <w:sz w:val="32"/>
          <w:szCs w:val="32"/>
          <w:highlight w:val="none"/>
          <w:lang w:val="en-US" w:eastAsia="zh-CN"/>
        </w:rPr>
        <w:t>1432万元；</w:t>
      </w:r>
      <w:r>
        <w:rPr>
          <w:rFonts w:hint="default" w:ascii="Times New Roman" w:hAnsi="Times New Roman" w:eastAsia="仿宋_GB2312" w:cs="Times New Roman"/>
          <w:color w:val="auto"/>
          <w:sz w:val="32"/>
          <w:szCs w:val="32"/>
          <w:highlight w:val="none"/>
        </w:rPr>
        <w:t>高龄生活补贴</w:t>
      </w:r>
      <w:r>
        <w:rPr>
          <w:rFonts w:hint="default" w:ascii="Times New Roman" w:hAnsi="Times New Roman" w:eastAsia="仿宋_GB2312" w:cs="Times New Roman"/>
          <w:color w:val="auto"/>
          <w:sz w:val="32"/>
          <w:szCs w:val="32"/>
          <w:highlight w:val="none"/>
          <w:lang w:val="en-US" w:eastAsia="zh-CN"/>
        </w:rPr>
        <w:t>592</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lang w:eastAsia="zh-CN"/>
        </w:rPr>
        <w:t>普惠性园位</w:t>
      </w:r>
      <w:r>
        <w:rPr>
          <w:rFonts w:hint="default" w:ascii="Times New Roman" w:hAnsi="Times New Roman" w:eastAsia="仿宋_GB2312" w:cs="Times New Roman"/>
          <w:color w:val="auto"/>
          <w:sz w:val="32"/>
          <w:szCs w:val="32"/>
          <w:highlight w:val="none"/>
        </w:rPr>
        <w:t>补助</w:t>
      </w:r>
      <w:r>
        <w:rPr>
          <w:rFonts w:hint="default" w:ascii="Times New Roman" w:hAnsi="Times New Roman" w:eastAsia="仿宋_GB2312" w:cs="Times New Roman"/>
          <w:color w:val="auto"/>
          <w:sz w:val="32"/>
          <w:szCs w:val="32"/>
          <w:highlight w:val="none"/>
          <w:lang w:val="en-US" w:eastAsia="zh-CN"/>
        </w:rPr>
        <w:t>560万元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计生利益导向补助资金518</w:t>
      </w:r>
      <w:r>
        <w:rPr>
          <w:rFonts w:hint="default" w:ascii="Times New Roman" w:hAnsi="Times New Roman" w:eastAsia="仿宋_GB2312" w:cs="Times New Roman"/>
          <w:color w:val="auto"/>
          <w:sz w:val="32"/>
          <w:szCs w:val="32"/>
          <w:highlight w:val="none"/>
        </w:rPr>
        <w:t>万元；被征地农民养老保险资金缺口补助</w:t>
      </w:r>
      <w:r>
        <w:rPr>
          <w:rFonts w:hint="default" w:ascii="Times New Roman" w:hAnsi="Times New Roman" w:eastAsia="仿宋_GB2312" w:cs="Times New Roman"/>
          <w:color w:val="auto"/>
          <w:sz w:val="32"/>
          <w:szCs w:val="32"/>
          <w:highlight w:val="none"/>
          <w:lang w:val="en-US" w:eastAsia="zh-CN"/>
        </w:rPr>
        <w:t>500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学前教育生均公用经费</w:t>
      </w:r>
      <w:r>
        <w:rPr>
          <w:rFonts w:hint="default" w:ascii="Times New Roman" w:hAnsi="Times New Roman" w:eastAsia="仿宋_GB2312" w:cs="Times New Roman"/>
          <w:color w:val="auto"/>
          <w:sz w:val="32"/>
          <w:szCs w:val="32"/>
          <w:highlight w:val="none"/>
          <w:lang w:val="en-US" w:eastAsia="zh-CN"/>
        </w:rPr>
        <w:t>427万元；</w:t>
      </w:r>
      <w:r>
        <w:rPr>
          <w:rFonts w:hint="default" w:ascii="Times New Roman" w:hAnsi="Times New Roman" w:eastAsia="仿宋_GB2312" w:cs="Times New Roman"/>
          <w:color w:val="auto"/>
          <w:sz w:val="32"/>
          <w:szCs w:val="32"/>
          <w:highlight w:val="none"/>
        </w:rPr>
        <w:t>义务兵</w:t>
      </w:r>
      <w:r>
        <w:rPr>
          <w:rFonts w:hint="default" w:ascii="Times New Roman" w:hAnsi="Times New Roman" w:eastAsia="仿宋_GB2312" w:cs="Times New Roman"/>
          <w:color w:val="auto"/>
          <w:sz w:val="32"/>
          <w:szCs w:val="32"/>
          <w:highlight w:val="none"/>
          <w:lang w:eastAsia="zh-CN"/>
        </w:rPr>
        <w:t>家庭</w:t>
      </w:r>
      <w:r>
        <w:rPr>
          <w:rFonts w:hint="default" w:ascii="Times New Roman" w:hAnsi="Times New Roman" w:eastAsia="仿宋_GB2312" w:cs="Times New Roman"/>
          <w:color w:val="auto"/>
          <w:sz w:val="32"/>
          <w:szCs w:val="32"/>
          <w:highlight w:val="none"/>
        </w:rPr>
        <w:t>优待</w:t>
      </w:r>
      <w:r>
        <w:rPr>
          <w:rFonts w:hint="default" w:ascii="Times New Roman" w:hAnsi="Times New Roman" w:eastAsia="仿宋_GB2312" w:cs="Times New Roman"/>
          <w:color w:val="auto"/>
          <w:sz w:val="32"/>
          <w:szCs w:val="32"/>
          <w:highlight w:val="none"/>
          <w:lang w:eastAsia="zh-CN"/>
        </w:rPr>
        <w:t>金</w:t>
      </w:r>
      <w:r>
        <w:rPr>
          <w:rFonts w:hint="default" w:ascii="Times New Roman" w:hAnsi="Times New Roman" w:eastAsia="仿宋_GB2312" w:cs="Times New Roman"/>
          <w:color w:val="auto"/>
          <w:sz w:val="32"/>
          <w:szCs w:val="32"/>
          <w:highlight w:val="none"/>
          <w:lang w:val="en-US" w:eastAsia="zh-CN"/>
        </w:rPr>
        <w:t>411</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；困难群众救助资金</w:t>
      </w:r>
      <w:r>
        <w:rPr>
          <w:rFonts w:hint="default" w:ascii="Times New Roman" w:hAnsi="Times New Roman" w:eastAsia="仿宋_GB2312" w:cs="Times New Roman"/>
          <w:color w:val="auto"/>
          <w:sz w:val="32"/>
          <w:szCs w:val="32"/>
          <w:highlight w:val="none"/>
          <w:lang w:val="en-US" w:eastAsia="zh-CN"/>
        </w:rPr>
        <w:t>349</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乡镇工作补贴</w:t>
      </w:r>
      <w:r>
        <w:rPr>
          <w:rFonts w:hint="default" w:ascii="Times New Roman" w:hAnsi="Times New Roman" w:eastAsia="仿宋_GB2312" w:cs="Times New Roman"/>
          <w:color w:val="auto"/>
          <w:sz w:val="32"/>
          <w:szCs w:val="32"/>
          <w:highlight w:val="none"/>
          <w:lang w:val="en-US" w:eastAsia="zh-CN"/>
        </w:rPr>
        <w:t>524万元；</w:t>
      </w:r>
      <w:r>
        <w:rPr>
          <w:rFonts w:hint="default" w:ascii="Times New Roman" w:hAnsi="Times New Roman" w:eastAsia="仿宋_GB2312" w:cs="Times New Roman"/>
          <w:color w:val="auto"/>
          <w:sz w:val="32"/>
          <w:szCs w:val="32"/>
          <w:highlight w:val="none"/>
          <w:lang w:eastAsia="zh-CN"/>
        </w:rPr>
        <w:t>机关养老保险财政补助</w:t>
      </w:r>
      <w:r>
        <w:rPr>
          <w:rFonts w:hint="default" w:ascii="Times New Roman" w:hAnsi="Times New Roman" w:eastAsia="仿宋_GB2312" w:cs="Times New Roman"/>
          <w:color w:val="auto"/>
          <w:sz w:val="32"/>
          <w:szCs w:val="32"/>
          <w:highlight w:val="none"/>
          <w:lang w:val="en-US" w:eastAsia="zh-CN"/>
        </w:rPr>
        <w:t>289万元；</w:t>
      </w:r>
      <w:r>
        <w:rPr>
          <w:rFonts w:hint="default" w:ascii="Times New Roman" w:hAnsi="Times New Roman" w:eastAsia="仿宋_GB2312" w:cs="Times New Roman"/>
          <w:color w:val="auto"/>
          <w:sz w:val="32"/>
          <w:szCs w:val="32"/>
          <w:highlight w:val="none"/>
        </w:rPr>
        <w:t>学校</w:t>
      </w:r>
      <w:r>
        <w:rPr>
          <w:rFonts w:hint="default" w:ascii="Times New Roman" w:hAnsi="Times New Roman" w:eastAsia="仿宋_GB2312" w:cs="Times New Roman"/>
          <w:color w:val="auto"/>
          <w:sz w:val="32"/>
          <w:szCs w:val="32"/>
          <w:highlight w:val="none"/>
          <w:lang w:eastAsia="zh-CN"/>
        </w:rPr>
        <w:t>提质</w:t>
      </w:r>
      <w:r>
        <w:rPr>
          <w:rFonts w:hint="default" w:ascii="Times New Roman" w:hAnsi="Times New Roman" w:eastAsia="仿宋_GB2312" w:cs="Times New Roman"/>
          <w:color w:val="auto"/>
          <w:sz w:val="32"/>
          <w:szCs w:val="32"/>
          <w:highlight w:val="none"/>
        </w:rPr>
        <w:t>改造</w:t>
      </w:r>
      <w:r>
        <w:rPr>
          <w:rFonts w:hint="default" w:ascii="Times New Roman" w:hAnsi="Times New Roman" w:eastAsia="仿宋_GB2312" w:cs="Times New Roman"/>
          <w:color w:val="auto"/>
          <w:sz w:val="32"/>
          <w:szCs w:val="32"/>
          <w:highlight w:val="none"/>
          <w:lang w:eastAsia="zh-CN"/>
        </w:rPr>
        <w:t>经费</w:t>
      </w:r>
      <w:r>
        <w:rPr>
          <w:rFonts w:hint="default" w:ascii="Times New Roman" w:hAnsi="Times New Roman" w:eastAsia="仿宋_GB2312" w:cs="Times New Roman"/>
          <w:color w:val="auto"/>
          <w:sz w:val="32"/>
          <w:szCs w:val="32"/>
          <w:highlight w:val="none"/>
          <w:lang w:val="en-US" w:eastAsia="zh-CN"/>
        </w:rPr>
        <w:t>150万元；残疾人两项</w:t>
      </w:r>
      <w:r>
        <w:rPr>
          <w:rFonts w:hint="default" w:ascii="Times New Roman" w:hAnsi="Times New Roman" w:eastAsia="仿宋_GB2312" w:cs="Times New Roman"/>
          <w:color w:val="auto"/>
          <w:sz w:val="32"/>
          <w:szCs w:val="32"/>
          <w:highlight w:val="none"/>
          <w:lang w:eastAsia="zh-CN"/>
        </w:rPr>
        <w:t>补贴</w:t>
      </w:r>
      <w:r>
        <w:rPr>
          <w:rFonts w:hint="default" w:ascii="Times New Roman" w:hAnsi="Times New Roman" w:eastAsia="仿宋_GB2312" w:cs="Times New Roman"/>
          <w:color w:val="auto"/>
          <w:sz w:val="32"/>
          <w:szCs w:val="32"/>
          <w:highlight w:val="none"/>
          <w:lang w:val="en-US" w:eastAsia="zh-CN"/>
        </w:rPr>
        <w:t>172万元；农业保险专项130万元。</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sz w:val="32"/>
          <w:szCs w:val="32"/>
          <w:lang w:val="en-US" w:eastAsia="zh-CN"/>
        </w:rPr>
        <w:t>（2）保必须安排的刚性支出8.78亿元。</w:t>
      </w:r>
    </w:p>
    <w:p>
      <w:pPr>
        <w:keepNext w:val="0"/>
        <w:keepLines w:val="0"/>
        <w:pageBreakBefore w:val="0"/>
        <w:widowControl w:val="0"/>
        <w:kinsoku/>
        <w:wordWrap/>
        <w:overflowPunct/>
        <w:topLinePunct w:val="0"/>
        <w:autoSpaceDE/>
        <w:autoSpaceDN/>
        <w:bidi w:val="0"/>
        <w:spacing w:line="570" w:lineRule="exact"/>
        <w:ind w:left="0" w:right="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0"/>
          <w:sz w:val="32"/>
          <w:szCs w:val="32"/>
          <w:lang w:eastAsia="zh-CN"/>
        </w:rPr>
        <w:t>①</w:t>
      </w:r>
      <w:r>
        <w:rPr>
          <w:rFonts w:hint="default" w:ascii="Times New Roman" w:hAnsi="Times New Roman" w:eastAsia="仿宋_GB2312" w:cs="Times New Roman"/>
          <w:b w:val="0"/>
          <w:bCs w:val="0"/>
          <w:color w:val="auto"/>
          <w:kern w:val="0"/>
          <w:sz w:val="32"/>
          <w:szCs w:val="32"/>
          <w:lang w:val="en-US" w:eastAsia="zh-CN"/>
        </w:rPr>
        <w:t>保政府债务付息支出</w:t>
      </w:r>
      <w:r>
        <w:rPr>
          <w:rFonts w:hint="default" w:ascii="Times New Roman" w:hAnsi="Times New Roman" w:eastAsia="仿宋_GB2312" w:cs="Times New Roman"/>
          <w:color w:val="auto"/>
          <w:sz w:val="32"/>
          <w:szCs w:val="32"/>
          <w:lang w:eastAsia="zh-CN"/>
        </w:rPr>
        <w:t>安排</w:t>
      </w:r>
      <w:r>
        <w:rPr>
          <w:rFonts w:hint="default" w:ascii="Times New Roman" w:hAnsi="Times New Roman" w:eastAsia="仿宋_GB2312" w:cs="Times New Roman"/>
          <w:color w:val="auto"/>
          <w:sz w:val="32"/>
          <w:szCs w:val="32"/>
          <w:highlight w:val="none"/>
          <w:lang w:val="en-US" w:eastAsia="zh-CN"/>
        </w:rPr>
        <w:t>1.70亿元，</w:t>
      </w:r>
      <w:r>
        <w:rPr>
          <w:rFonts w:hint="default" w:ascii="Times New Roman" w:hAnsi="Times New Roman" w:eastAsia="仿宋_GB2312" w:cs="Times New Roman"/>
          <w:color w:val="auto"/>
          <w:sz w:val="32"/>
          <w:szCs w:val="32"/>
          <w:highlight w:val="none"/>
          <w:lang w:eastAsia="zh-CN"/>
        </w:rPr>
        <w:t>政府一般债券利息支出</w:t>
      </w:r>
      <w:r>
        <w:rPr>
          <w:rFonts w:hint="default" w:ascii="Times New Roman" w:hAnsi="Times New Roman" w:eastAsia="仿宋_GB2312" w:cs="Times New Roman"/>
          <w:color w:val="auto"/>
          <w:sz w:val="32"/>
          <w:szCs w:val="32"/>
          <w:highlight w:val="none"/>
          <w:lang w:val="en-US" w:eastAsia="zh-CN"/>
        </w:rPr>
        <w:t>16951</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（其中土地收入统筹财力安排</w:t>
      </w:r>
      <w:r>
        <w:rPr>
          <w:rFonts w:hint="default" w:ascii="Times New Roman" w:hAnsi="Times New Roman" w:eastAsia="仿宋_GB2312" w:cs="Times New Roman"/>
          <w:color w:val="auto"/>
          <w:sz w:val="32"/>
          <w:szCs w:val="32"/>
          <w:highlight w:val="none"/>
          <w:lang w:val="en-US" w:eastAsia="zh-CN"/>
        </w:rPr>
        <w:t>6514万元</w:t>
      </w:r>
      <w:r>
        <w:rPr>
          <w:rFonts w:hint="default" w:ascii="Times New Roman" w:hAnsi="Times New Roman" w:eastAsia="仿宋_GB2312" w:cs="Times New Roman"/>
          <w:color w:val="auto"/>
          <w:sz w:val="32"/>
          <w:szCs w:val="32"/>
          <w:highlight w:val="none"/>
          <w:lang w:eastAsia="zh-CN"/>
        </w:rPr>
        <w:t>）。</w:t>
      </w:r>
    </w:p>
    <w:p>
      <w:pPr>
        <w:pStyle w:val="2"/>
        <w:keepNext w:val="0"/>
        <w:keepLines w:val="0"/>
        <w:pageBreakBefore w:val="0"/>
        <w:widowControl w:val="0"/>
        <w:kinsoku/>
        <w:wordWrap/>
        <w:overflowPunct/>
        <w:topLinePunct w:val="0"/>
        <w:autoSpaceDE/>
        <w:autoSpaceDN/>
        <w:bidi w:val="0"/>
        <w:spacing w:after="0" w:line="570" w:lineRule="exact"/>
        <w:ind w:left="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0"/>
          <w:sz w:val="32"/>
          <w:szCs w:val="32"/>
          <w:lang w:eastAsia="zh-CN"/>
        </w:rPr>
        <w:t>②</w:t>
      </w:r>
      <w:r>
        <w:rPr>
          <w:rFonts w:hint="default" w:ascii="Times New Roman" w:hAnsi="Times New Roman" w:eastAsia="仿宋_GB2312" w:cs="Times New Roman"/>
          <w:color w:val="auto"/>
          <w:sz w:val="32"/>
          <w:szCs w:val="32"/>
          <w:highlight w:val="none"/>
          <w:lang w:val="en-US" w:eastAsia="zh-CN"/>
        </w:rPr>
        <w:t>保城乡正常运转必需的支出2.40亿元。主要包括：</w:t>
      </w:r>
      <w:r>
        <w:rPr>
          <w:rFonts w:hint="default" w:ascii="Times New Roman" w:hAnsi="Times New Roman" w:eastAsia="仿宋_GB2312" w:cs="Times New Roman"/>
          <w:color w:val="auto"/>
          <w:sz w:val="32"/>
          <w:szCs w:val="32"/>
          <w:highlight w:val="none"/>
          <w:lang w:eastAsia="zh-CN"/>
        </w:rPr>
        <w:t>城市服务一体化专项经费</w:t>
      </w:r>
      <w:r>
        <w:rPr>
          <w:rFonts w:hint="default" w:ascii="Times New Roman" w:hAnsi="Times New Roman" w:eastAsia="仿宋_GB2312" w:cs="Times New Roman"/>
          <w:color w:val="auto"/>
          <w:sz w:val="32"/>
          <w:szCs w:val="32"/>
          <w:highlight w:val="none"/>
          <w:lang w:val="en-US" w:eastAsia="zh-CN"/>
        </w:rPr>
        <w:t>10000万元；</w:t>
      </w:r>
      <w:r>
        <w:rPr>
          <w:rFonts w:hint="default" w:ascii="Times New Roman" w:hAnsi="Times New Roman" w:eastAsia="仿宋_GB2312" w:cs="Times New Roman"/>
          <w:color w:val="auto"/>
          <w:sz w:val="32"/>
          <w:szCs w:val="32"/>
          <w:highlight w:val="none"/>
        </w:rPr>
        <w:t>城市维护</w:t>
      </w:r>
      <w:r>
        <w:rPr>
          <w:rFonts w:hint="default" w:ascii="Times New Roman" w:hAnsi="Times New Roman" w:eastAsia="仿宋_GB2312" w:cs="Times New Roman"/>
          <w:color w:val="auto"/>
          <w:sz w:val="32"/>
          <w:szCs w:val="32"/>
          <w:highlight w:val="none"/>
          <w:lang w:eastAsia="zh-CN"/>
        </w:rPr>
        <w:t>经费</w:t>
      </w:r>
      <w:r>
        <w:rPr>
          <w:rFonts w:hint="default" w:ascii="Times New Roman" w:hAnsi="Times New Roman" w:eastAsia="仿宋_GB2312" w:cs="Times New Roman"/>
          <w:color w:val="auto"/>
          <w:sz w:val="32"/>
          <w:szCs w:val="32"/>
          <w:highlight w:val="none"/>
          <w:lang w:val="en-US" w:eastAsia="zh-CN"/>
        </w:rPr>
        <w:t>4436</w:t>
      </w:r>
      <w:r>
        <w:rPr>
          <w:rFonts w:hint="default" w:ascii="Times New Roman" w:hAnsi="Times New Roman" w:eastAsia="仿宋_GB2312" w:cs="Times New Roman"/>
          <w:color w:val="auto"/>
          <w:sz w:val="32"/>
          <w:szCs w:val="32"/>
          <w:highlight w:val="none"/>
        </w:rPr>
        <w:t>万元；社区</w:t>
      </w:r>
      <w:r>
        <w:rPr>
          <w:rFonts w:hint="default" w:ascii="Times New Roman" w:hAnsi="Times New Roman" w:eastAsia="仿宋_GB2312" w:cs="Times New Roman"/>
          <w:color w:val="auto"/>
          <w:sz w:val="32"/>
          <w:szCs w:val="32"/>
          <w:highlight w:val="none"/>
          <w:lang w:eastAsia="zh-CN"/>
        </w:rPr>
        <w:t>运转</w:t>
      </w:r>
      <w:r>
        <w:rPr>
          <w:rFonts w:hint="default" w:ascii="Times New Roman" w:hAnsi="Times New Roman" w:eastAsia="仿宋_GB2312" w:cs="Times New Roman"/>
          <w:color w:val="auto"/>
          <w:sz w:val="32"/>
          <w:szCs w:val="32"/>
          <w:highlight w:val="none"/>
        </w:rPr>
        <w:t>及</w:t>
      </w:r>
      <w:r>
        <w:rPr>
          <w:rFonts w:hint="default" w:ascii="Times New Roman" w:hAnsi="Times New Roman" w:eastAsia="仿宋_GB2312" w:cs="Times New Roman"/>
          <w:color w:val="auto"/>
          <w:sz w:val="32"/>
          <w:szCs w:val="32"/>
          <w:highlight w:val="none"/>
          <w:lang w:eastAsia="zh-CN"/>
        </w:rPr>
        <w:t>村社区目标管理</w:t>
      </w:r>
      <w:r>
        <w:rPr>
          <w:rFonts w:hint="default" w:ascii="Times New Roman" w:hAnsi="Times New Roman" w:eastAsia="仿宋_GB2312" w:cs="Times New Roman"/>
          <w:color w:val="auto"/>
          <w:sz w:val="32"/>
          <w:szCs w:val="32"/>
          <w:highlight w:val="none"/>
        </w:rPr>
        <w:t>考核资金</w:t>
      </w:r>
      <w:r>
        <w:rPr>
          <w:rFonts w:hint="default" w:ascii="Times New Roman" w:hAnsi="Times New Roman" w:eastAsia="仿宋_GB2312" w:cs="Times New Roman"/>
          <w:color w:val="auto"/>
          <w:sz w:val="32"/>
          <w:szCs w:val="32"/>
          <w:highlight w:val="none"/>
          <w:lang w:val="en-US" w:eastAsia="zh-CN"/>
        </w:rPr>
        <w:t>4207</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农村道路建设及补助资金1420万元；</w:t>
      </w:r>
      <w:r>
        <w:rPr>
          <w:rFonts w:hint="default" w:ascii="Times New Roman" w:hAnsi="Times New Roman" w:eastAsia="仿宋_GB2312" w:cs="Times New Roman"/>
          <w:color w:val="auto"/>
          <w:sz w:val="32"/>
          <w:szCs w:val="32"/>
          <w:highlight w:val="none"/>
        </w:rPr>
        <w:t>城市基础设施建设</w:t>
      </w:r>
      <w:r>
        <w:rPr>
          <w:rFonts w:hint="default" w:ascii="Times New Roman" w:hAnsi="Times New Roman" w:eastAsia="仿宋_GB2312" w:cs="Times New Roman"/>
          <w:color w:val="auto"/>
          <w:sz w:val="32"/>
          <w:szCs w:val="32"/>
          <w:highlight w:val="none"/>
          <w:lang w:eastAsia="zh-CN"/>
        </w:rPr>
        <w:t>项目经费</w:t>
      </w:r>
      <w:r>
        <w:rPr>
          <w:rFonts w:hint="default" w:ascii="Times New Roman" w:hAnsi="Times New Roman" w:eastAsia="仿宋_GB2312" w:cs="Times New Roman"/>
          <w:color w:val="auto"/>
          <w:sz w:val="32"/>
          <w:szCs w:val="32"/>
          <w:highlight w:val="none"/>
          <w:lang w:val="en-US" w:eastAsia="zh-CN"/>
        </w:rPr>
        <w:t>1199万元；城乡社会管理和服务专项经费500万元；</w:t>
      </w:r>
      <w:r>
        <w:rPr>
          <w:rFonts w:hint="default" w:ascii="Times New Roman" w:hAnsi="Times New Roman" w:eastAsia="仿宋_GB2312" w:cs="Times New Roman"/>
          <w:color w:val="auto"/>
          <w:sz w:val="32"/>
          <w:szCs w:val="32"/>
          <w:highlight w:val="none"/>
        </w:rPr>
        <w:t>老旧小区改造</w:t>
      </w:r>
      <w:r>
        <w:rPr>
          <w:rFonts w:hint="default" w:ascii="Times New Roman" w:hAnsi="Times New Roman" w:eastAsia="仿宋_GB2312" w:cs="Times New Roman"/>
          <w:color w:val="auto"/>
          <w:sz w:val="32"/>
          <w:szCs w:val="32"/>
          <w:highlight w:val="none"/>
          <w:lang w:eastAsia="zh-CN"/>
        </w:rPr>
        <w:t>、加装电梯及油烟净化设备改造</w:t>
      </w:r>
      <w:r>
        <w:rPr>
          <w:rFonts w:hint="default" w:ascii="Times New Roman" w:hAnsi="Times New Roman" w:eastAsia="仿宋_GB2312" w:cs="Times New Roman"/>
          <w:color w:val="auto"/>
          <w:sz w:val="32"/>
          <w:szCs w:val="32"/>
          <w:highlight w:val="none"/>
          <w:lang w:val="en-US" w:eastAsia="zh-CN"/>
        </w:rPr>
        <w:t>715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城乡客运一体化运营补贴500万元；排渍站污水处理泵站维护项目210万元；石三门大道路基建设200万元。</w:t>
      </w:r>
    </w:p>
    <w:p>
      <w:pPr>
        <w:keepNext w:val="0"/>
        <w:keepLines w:val="0"/>
        <w:pageBreakBefore w:val="0"/>
        <w:widowControl w:val="0"/>
        <w:kinsoku/>
        <w:wordWrap/>
        <w:overflowPunct/>
        <w:topLinePunct w:val="0"/>
        <w:autoSpaceDE/>
        <w:autoSpaceDN/>
        <w:bidi w:val="0"/>
        <w:spacing w:line="570" w:lineRule="exact"/>
        <w:ind w:left="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0"/>
          <w:sz w:val="32"/>
          <w:szCs w:val="32"/>
          <w:highlight w:val="none"/>
          <w:lang w:eastAsia="zh-CN"/>
        </w:rPr>
        <w:t>③</w:t>
      </w:r>
      <w:r>
        <w:rPr>
          <w:rFonts w:hint="default" w:ascii="Times New Roman" w:hAnsi="Times New Roman" w:eastAsia="仿宋_GB2312" w:cs="Times New Roman"/>
          <w:color w:val="auto"/>
          <w:sz w:val="32"/>
          <w:szCs w:val="32"/>
          <w:highlight w:val="none"/>
          <w:lang w:val="en-US" w:eastAsia="zh-CN"/>
        </w:rPr>
        <w:t>保重点领域支出1.79亿元。主要包括：</w:t>
      </w:r>
      <w:r>
        <w:rPr>
          <w:rFonts w:hint="default" w:ascii="Times New Roman" w:hAnsi="Times New Roman" w:eastAsia="仿宋_GB2312" w:cs="Times New Roman"/>
          <w:color w:val="auto"/>
          <w:sz w:val="32"/>
          <w:szCs w:val="32"/>
          <w:highlight w:val="none"/>
          <w:lang w:eastAsia="zh-CN"/>
        </w:rPr>
        <w:t>动力谷</w:t>
      </w:r>
      <w:r>
        <w:rPr>
          <w:rFonts w:hint="default" w:ascii="Times New Roman" w:hAnsi="Times New Roman" w:eastAsia="仿宋_GB2312" w:cs="Times New Roman"/>
          <w:color w:val="auto"/>
          <w:sz w:val="32"/>
          <w:szCs w:val="32"/>
          <w:highlight w:val="none"/>
        </w:rPr>
        <w:t>创新发展</w:t>
      </w:r>
      <w:r>
        <w:rPr>
          <w:rFonts w:hint="default" w:ascii="Times New Roman" w:hAnsi="Times New Roman" w:eastAsia="仿宋_GB2312" w:cs="Times New Roman"/>
          <w:color w:val="auto"/>
          <w:sz w:val="32"/>
          <w:szCs w:val="32"/>
          <w:highlight w:val="none"/>
          <w:lang w:eastAsia="zh-CN"/>
        </w:rPr>
        <w:t>产业扶持</w:t>
      </w:r>
      <w:r>
        <w:rPr>
          <w:rFonts w:hint="default" w:ascii="Times New Roman" w:hAnsi="Times New Roman" w:eastAsia="仿宋_GB2312" w:cs="Times New Roman"/>
          <w:color w:val="auto"/>
          <w:sz w:val="32"/>
          <w:szCs w:val="32"/>
          <w:highlight w:val="none"/>
        </w:rPr>
        <w:t>资金</w:t>
      </w:r>
      <w:r>
        <w:rPr>
          <w:rFonts w:hint="default" w:ascii="Times New Roman" w:hAnsi="Times New Roman" w:eastAsia="仿宋_GB2312" w:cs="Times New Roman"/>
          <w:color w:val="auto"/>
          <w:sz w:val="32"/>
          <w:szCs w:val="32"/>
          <w:highlight w:val="none"/>
          <w:lang w:val="en-US" w:eastAsia="zh-CN"/>
        </w:rPr>
        <w:t>15000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市场主体培育、财源建设专项500万元；</w:t>
      </w:r>
      <w:r>
        <w:rPr>
          <w:rFonts w:hint="default" w:ascii="Times New Roman" w:hAnsi="Times New Roman" w:eastAsia="仿宋_GB2312" w:cs="Times New Roman"/>
          <w:color w:val="auto"/>
          <w:sz w:val="32"/>
          <w:szCs w:val="32"/>
          <w:highlight w:val="none"/>
          <w:lang w:eastAsia="zh-CN"/>
        </w:rPr>
        <w:t>动力谷</w:t>
      </w:r>
      <w:r>
        <w:rPr>
          <w:rFonts w:hint="default" w:ascii="Times New Roman" w:hAnsi="Times New Roman" w:eastAsia="仿宋_GB2312" w:cs="Times New Roman"/>
          <w:color w:val="auto"/>
          <w:sz w:val="32"/>
          <w:szCs w:val="32"/>
          <w:highlight w:val="none"/>
          <w:lang w:val="en-US" w:eastAsia="zh-CN"/>
        </w:rPr>
        <w:t>展示、研发、双创中心运营补贴430万元；北汽</w:t>
      </w:r>
      <w:r>
        <w:rPr>
          <w:rFonts w:hint="default" w:ascii="Times New Roman" w:hAnsi="Times New Roman" w:eastAsia="仿宋_GB2312" w:cs="Times New Roman"/>
          <w:color w:val="auto"/>
          <w:sz w:val="32"/>
          <w:szCs w:val="32"/>
          <w:highlight w:val="none"/>
          <w:lang w:eastAsia="zh-CN"/>
        </w:rPr>
        <w:t>地产车补助</w:t>
      </w:r>
      <w:r>
        <w:rPr>
          <w:rFonts w:hint="default" w:ascii="Times New Roman" w:hAnsi="Times New Roman" w:eastAsia="仿宋_GB2312" w:cs="Times New Roman"/>
          <w:color w:val="auto"/>
          <w:sz w:val="32"/>
          <w:szCs w:val="32"/>
          <w:highlight w:val="none"/>
          <w:lang w:val="en-US" w:eastAsia="zh-CN"/>
        </w:rPr>
        <w:t>400万元；</w:t>
      </w:r>
      <w:r>
        <w:rPr>
          <w:rFonts w:hint="default" w:ascii="Times New Roman" w:hAnsi="Times New Roman" w:eastAsia="仿宋_GB2312" w:cs="Times New Roman"/>
          <w:color w:val="auto"/>
          <w:sz w:val="32"/>
          <w:szCs w:val="32"/>
          <w:highlight w:val="none"/>
          <w:lang w:eastAsia="zh-CN"/>
        </w:rPr>
        <w:t>招商</w:t>
      </w:r>
      <w:r>
        <w:rPr>
          <w:rFonts w:hint="default" w:ascii="Times New Roman" w:hAnsi="Times New Roman" w:eastAsia="仿宋_GB2312" w:cs="Times New Roman"/>
          <w:color w:val="auto"/>
          <w:sz w:val="32"/>
          <w:szCs w:val="32"/>
          <w:highlight w:val="none"/>
          <w:lang w:val="en-US" w:eastAsia="zh-CN"/>
        </w:rPr>
        <w:t>引资</w:t>
      </w:r>
      <w:r>
        <w:rPr>
          <w:rFonts w:hint="default" w:ascii="Times New Roman" w:hAnsi="Times New Roman" w:eastAsia="仿宋_GB2312" w:cs="Times New Roman"/>
          <w:color w:val="auto"/>
          <w:sz w:val="32"/>
          <w:szCs w:val="32"/>
          <w:highlight w:val="none"/>
          <w:lang w:eastAsia="zh-CN"/>
        </w:rPr>
        <w:t>专项</w:t>
      </w:r>
      <w:r>
        <w:rPr>
          <w:rFonts w:hint="default" w:ascii="Times New Roman" w:hAnsi="Times New Roman" w:eastAsia="仿宋_GB2312" w:cs="Times New Roman"/>
          <w:color w:val="auto"/>
          <w:sz w:val="32"/>
          <w:szCs w:val="32"/>
          <w:highlight w:val="none"/>
          <w:lang w:val="en-US" w:eastAsia="zh-CN"/>
        </w:rPr>
        <w:t>300万元；</w:t>
      </w:r>
      <w:r>
        <w:rPr>
          <w:rFonts w:hint="default" w:ascii="Times New Roman" w:hAnsi="Times New Roman" w:eastAsia="仿宋_GB2312" w:cs="Times New Roman"/>
          <w:b w:val="0"/>
          <w:bCs w:val="0"/>
          <w:color w:val="auto"/>
          <w:sz w:val="32"/>
          <w:szCs w:val="32"/>
          <w:highlight w:val="none"/>
          <w:lang w:val="en-US" w:eastAsia="zh-CN"/>
        </w:rPr>
        <w:t>石三门现代农业公园建设专项300万元；</w:t>
      </w:r>
      <w:r>
        <w:rPr>
          <w:rFonts w:hint="default" w:ascii="Times New Roman" w:hAnsi="Times New Roman" w:eastAsia="仿宋_GB2312" w:cs="Times New Roman"/>
          <w:color w:val="auto"/>
          <w:sz w:val="32"/>
          <w:szCs w:val="32"/>
          <w:highlight w:val="none"/>
          <w:lang w:val="en-US" w:eastAsia="zh-CN"/>
        </w:rPr>
        <w:t>“三个高地”专项经费300万元；高新区产业发展事务专项200万元；</w:t>
      </w:r>
      <w:r>
        <w:rPr>
          <w:rFonts w:hint="default" w:ascii="Times New Roman" w:hAnsi="Times New Roman" w:eastAsia="仿宋_GB2312" w:cs="Times New Roman"/>
          <w:color w:val="auto"/>
          <w:sz w:val="32"/>
          <w:szCs w:val="32"/>
          <w:highlight w:val="none"/>
        </w:rPr>
        <w:t>美丽乡村建设</w:t>
      </w:r>
      <w:r>
        <w:rPr>
          <w:rFonts w:hint="default" w:ascii="Times New Roman" w:hAnsi="Times New Roman" w:eastAsia="仿宋_GB2312" w:cs="Times New Roman"/>
          <w:color w:val="auto"/>
          <w:sz w:val="32"/>
          <w:szCs w:val="32"/>
          <w:highlight w:val="none"/>
          <w:lang w:val="en-US" w:eastAsia="zh-CN"/>
        </w:rPr>
        <w:t>150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70" w:lineRule="exact"/>
        <w:ind w:left="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0"/>
          <w:sz w:val="32"/>
          <w:szCs w:val="32"/>
          <w:highlight w:val="none"/>
          <w:lang w:eastAsia="zh-CN"/>
        </w:rPr>
        <w:t>④</w:t>
      </w:r>
      <w:r>
        <w:rPr>
          <w:rFonts w:hint="default" w:ascii="Times New Roman" w:hAnsi="Times New Roman" w:eastAsia="仿宋_GB2312" w:cs="Times New Roman"/>
          <w:color w:val="auto"/>
          <w:sz w:val="32"/>
          <w:szCs w:val="32"/>
          <w:highlight w:val="none"/>
          <w:lang w:val="en-US" w:eastAsia="zh-CN"/>
        </w:rPr>
        <w:t>其他重点专项支出3.54亿元。主要包括：</w:t>
      </w:r>
      <w:r>
        <w:rPr>
          <w:rFonts w:hint="default" w:ascii="Times New Roman" w:hAnsi="Times New Roman" w:eastAsia="仿宋_GB2312" w:cs="Times New Roman"/>
          <w:color w:val="auto"/>
          <w:sz w:val="32"/>
          <w:szCs w:val="32"/>
          <w:highlight w:val="none"/>
        </w:rPr>
        <w:t>预备费</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000万元；税务征收经费</w:t>
      </w:r>
      <w:r>
        <w:rPr>
          <w:rFonts w:hint="default" w:ascii="Times New Roman" w:hAnsi="Times New Roman" w:eastAsia="仿宋_GB2312" w:cs="Times New Roman"/>
          <w:color w:val="auto"/>
          <w:sz w:val="32"/>
          <w:szCs w:val="32"/>
          <w:highlight w:val="none"/>
          <w:lang w:val="en-US" w:eastAsia="zh-CN"/>
        </w:rPr>
        <w:t>45</w:t>
      </w:r>
      <w:r>
        <w:rPr>
          <w:rFonts w:hint="default" w:ascii="Times New Roman" w:hAnsi="Times New Roman" w:eastAsia="仿宋_GB2312" w:cs="Times New Roman"/>
          <w:color w:val="auto"/>
          <w:sz w:val="32"/>
          <w:szCs w:val="32"/>
          <w:highlight w:val="none"/>
        </w:rPr>
        <w:t>00万元；</w:t>
      </w:r>
      <w:r>
        <w:rPr>
          <w:rFonts w:hint="default" w:ascii="Times New Roman" w:hAnsi="Times New Roman" w:eastAsia="仿宋_GB2312" w:cs="Times New Roman"/>
          <w:color w:val="auto"/>
          <w:sz w:val="32"/>
          <w:szCs w:val="32"/>
          <w:highlight w:val="none"/>
          <w:lang w:val="en-US" w:eastAsia="zh-CN"/>
        </w:rPr>
        <w:t>北师大资产整体回购款2000万元；</w:t>
      </w:r>
      <w:r>
        <w:rPr>
          <w:rFonts w:hint="default" w:ascii="Times New Roman" w:hAnsi="Times New Roman" w:eastAsia="仿宋_GB2312" w:cs="Times New Roman"/>
          <w:color w:val="auto"/>
          <w:sz w:val="32"/>
          <w:szCs w:val="32"/>
          <w:highlight w:val="none"/>
          <w:lang w:eastAsia="zh-CN"/>
        </w:rPr>
        <w:t>莲花中学建设经费</w:t>
      </w:r>
      <w:r>
        <w:rPr>
          <w:rFonts w:hint="default" w:ascii="Times New Roman" w:hAnsi="Times New Roman" w:eastAsia="仿宋_GB2312" w:cs="Times New Roman"/>
          <w:color w:val="auto"/>
          <w:sz w:val="32"/>
          <w:szCs w:val="32"/>
          <w:highlight w:val="none"/>
          <w:lang w:val="en-US" w:eastAsia="zh-CN"/>
        </w:rPr>
        <w:t>1000万元；</w:t>
      </w:r>
      <w:r>
        <w:rPr>
          <w:rFonts w:hint="default" w:ascii="Times New Roman" w:hAnsi="Times New Roman" w:eastAsia="仿宋_GB2312" w:cs="Times New Roman"/>
          <w:color w:val="auto"/>
          <w:kern w:val="0"/>
          <w:sz w:val="32"/>
          <w:szCs w:val="32"/>
          <w:highlight w:val="none"/>
          <w:lang w:eastAsia="zh-CN"/>
        </w:rPr>
        <w:t>教育</w:t>
      </w:r>
      <w:r>
        <w:rPr>
          <w:rFonts w:hint="default" w:ascii="Times New Roman" w:hAnsi="Times New Roman" w:eastAsia="仿宋_GB2312" w:cs="Times New Roman"/>
          <w:color w:val="auto"/>
          <w:sz w:val="32"/>
          <w:szCs w:val="32"/>
          <w:highlight w:val="none"/>
        </w:rPr>
        <w:t>绩效考核经费</w:t>
      </w:r>
      <w:r>
        <w:rPr>
          <w:rFonts w:hint="default" w:ascii="Times New Roman" w:hAnsi="Times New Roman" w:eastAsia="仿宋_GB2312" w:cs="Times New Roman"/>
          <w:color w:val="auto"/>
          <w:sz w:val="32"/>
          <w:szCs w:val="32"/>
          <w:highlight w:val="none"/>
          <w:lang w:val="en-US" w:eastAsia="zh-CN"/>
        </w:rPr>
        <w:t>2661</w:t>
      </w:r>
      <w:r>
        <w:rPr>
          <w:rFonts w:hint="default" w:ascii="Times New Roman" w:hAnsi="Times New Roman" w:eastAsia="仿宋_GB2312" w:cs="Times New Roman"/>
          <w:color w:val="auto"/>
          <w:sz w:val="32"/>
          <w:szCs w:val="32"/>
          <w:highlight w:val="none"/>
        </w:rPr>
        <w:t>万元；人才专项经费</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00万元</w:t>
      </w:r>
      <w:r>
        <w:rPr>
          <w:rFonts w:hint="default" w:ascii="Times New Roman" w:hAnsi="Times New Roman" w:eastAsia="仿宋_GB2312" w:cs="Times New Roman"/>
          <w:color w:val="auto"/>
          <w:sz w:val="32"/>
          <w:szCs w:val="32"/>
          <w:highlight w:val="none"/>
          <w:lang w:eastAsia="zh-CN"/>
        </w:rPr>
        <w:t>；原“北师大附校”、“太阳宫学校”民转公教师人员经费</w:t>
      </w:r>
      <w:r>
        <w:rPr>
          <w:rFonts w:hint="default" w:ascii="Times New Roman" w:hAnsi="Times New Roman" w:eastAsia="仿宋_GB2312" w:cs="Times New Roman"/>
          <w:color w:val="auto"/>
          <w:sz w:val="32"/>
          <w:szCs w:val="32"/>
          <w:highlight w:val="none"/>
          <w:lang w:val="en-US" w:eastAsia="zh-CN"/>
        </w:rPr>
        <w:t>1426万元；政务服务大厅运转费用1356万元；</w:t>
      </w:r>
      <w:r>
        <w:rPr>
          <w:rFonts w:hint="default" w:ascii="Times New Roman" w:hAnsi="Times New Roman" w:eastAsia="仿宋_GB2312" w:cs="Times New Roman"/>
          <w:color w:val="auto"/>
          <w:sz w:val="32"/>
          <w:szCs w:val="32"/>
          <w:highlight w:val="none"/>
          <w:lang w:eastAsia="zh-CN"/>
        </w:rPr>
        <w:t>网格化服务管理中心工作经费</w:t>
      </w:r>
      <w:r>
        <w:rPr>
          <w:rFonts w:hint="default" w:ascii="Times New Roman" w:hAnsi="Times New Roman" w:eastAsia="仿宋_GB2312" w:cs="Times New Roman"/>
          <w:color w:val="auto"/>
          <w:sz w:val="32"/>
          <w:szCs w:val="32"/>
          <w:highlight w:val="none"/>
          <w:lang w:val="en-US" w:eastAsia="zh-CN"/>
        </w:rPr>
        <w:t>1298万元；大楼运转经费1063万元；水环境治理专项经费1000万元；</w:t>
      </w:r>
      <w:r>
        <w:rPr>
          <w:rFonts w:hint="default" w:ascii="Times New Roman" w:hAnsi="Times New Roman" w:eastAsia="仿宋_GB2312" w:cs="Times New Roman"/>
          <w:color w:val="auto"/>
          <w:sz w:val="32"/>
          <w:szCs w:val="32"/>
          <w:highlight w:val="none"/>
          <w:lang w:eastAsia="zh-CN"/>
        </w:rPr>
        <w:t>区敬老院提质改造经费</w:t>
      </w:r>
      <w:r>
        <w:rPr>
          <w:rFonts w:hint="default" w:ascii="Times New Roman" w:hAnsi="Times New Roman" w:eastAsia="仿宋_GB2312" w:cs="Times New Roman"/>
          <w:color w:val="auto"/>
          <w:sz w:val="32"/>
          <w:szCs w:val="32"/>
          <w:highlight w:val="none"/>
          <w:lang w:val="en-US" w:eastAsia="zh-CN"/>
        </w:rPr>
        <w:t>910万元</w:t>
      </w:r>
      <w:r>
        <w:rPr>
          <w:rFonts w:hint="default" w:ascii="Times New Roman" w:hAnsi="Times New Roman" w:eastAsia="仿宋_GB2312" w:cs="Times New Roman"/>
          <w:color w:val="auto"/>
          <w:sz w:val="32"/>
          <w:szCs w:val="32"/>
          <w:highlight w:val="none"/>
          <w:lang w:eastAsia="zh-CN"/>
        </w:rPr>
        <w:t>；残疾人就业保障金</w:t>
      </w:r>
      <w:r>
        <w:rPr>
          <w:rFonts w:hint="default" w:ascii="Times New Roman" w:hAnsi="Times New Roman" w:eastAsia="仿宋_GB2312" w:cs="Times New Roman"/>
          <w:color w:val="auto"/>
          <w:sz w:val="32"/>
          <w:szCs w:val="32"/>
          <w:highlight w:val="none"/>
          <w:lang w:val="en-US" w:eastAsia="zh-CN"/>
        </w:rPr>
        <w:t>900万元；基层医疗机构经常性收支补差900万元；</w:t>
      </w:r>
      <w:r>
        <w:rPr>
          <w:rFonts w:hint="default" w:ascii="Times New Roman" w:hAnsi="Times New Roman" w:eastAsia="仿宋_GB2312" w:cs="Times New Roman"/>
          <w:color w:val="auto"/>
          <w:sz w:val="32"/>
          <w:szCs w:val="32"/>
          <w:highlight w:val="none"/>
        </w:rPr>
        <w:t>装备购置</w:t>
      </w:r>
      <w:r>
        <w:rPr>
          <w:rFonts w:hint="default" w:ascii="Times New Roman" w:hAnsi="Times New Roman" w:eastAsia="仿宋_GB2312" w:cs="Times New Roman"/>
          <w:color w:val="auto"/>
          <w:sz w:val="32"/>
          <w:szCs w:val="32"/>
          <w:highlight w:val="none"/>
          <w:lang w:eastAsia="zh-CN"/>
        </w:rPr>
        <w:t>经费</w:t>
      </w:r>
      <w:r>
        <w:rPr>
          <w:rFonts w:hint="default" w:ascii="Times New Roman" w:hAnsi="Times New Roman" w:eastAsia="仿宋_GB2312" w:cs="Times New Roman"/>
          <w:color w:val="auto"/>
          <w:sz w:val="32"/>
          <w:szCs w:val="32"/>
          <w:highlight w:val="none"/>
          <w:lang w:val="en-US" w:eastAsia="zh-CN"/>
        </w:rPr>
        <w:t>1151</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校园保安经费806万元；行政运转补助经费721万元；</w:t>
      </w:r>
      <w:r>
        <w:rPr>
          <w:rFonts w:hint="default" w:ascii="Times New Roman" w:hAnsi="Times New Roman" w:eastAsia="仿宋_GB2312" w:cs="Times New Roman"/>
          <w:color w:val="auto"/>
          <w:kern w:val="0"/>
          <w:sz w:val="32"/>
          <w:szCs w:val="32"/>
          <w:highlight w:val="none"/>
        </w:rPr>
        <w:t>教师工作午餐补助</w:t>
      </w:r>
      <w:r>
        <w:rPr>
          <w:rFonts w:hint="default" w:ascii="Times New Roman" w:hAnsi="Times New Roman" w:eastAsia="仿宋_GB2312" w:cs="Times New Roman"/>
          <w:color w:val="auto"/>
          <w:kern w:val="0"/>
          <w:sz w:val="32"/>
          <w:szCs w:val="32"/>
          <w:highlight w:val="none"/>
          <w:lang w:val="en-US" w:eastAsia="zh-CN"/>
        </w:rPr>
        <w:t>580</w:t>
      </w:r>
      <w:r>
        <w:rPr>
          <w:rFonts w:hint="default" w:ascii="Times New Roman" w:hAnsi="Times New Roman" w:eastAsia="仿宋_GB2312" w:cs="Times New Roman"/>
          <w:color w:val="auto"/>
          <w:kern w:val="0"/>
          <w:sz w:val="32"/>
          <w:szCs w:val="32"/>
          <w:highlight w:val="none"/>
        </w:rPr>
        <w:t>万元</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班主任津贴</w:t>
      </w:r>
      <w:r>
        <w:rPr>
          <w:rFonts w:hint="default" w:ascii="Times New Roman" w:hAnsi="Times New Roman" w:eastAsia="仿宋_GB2312" w:cs="Times New Roman"/>
          <w:color w:val="auto"/>
          <w:sz w:val="32"/>
          <w:szCs w:val="32"/>
          <w:highlight w:val="none"/>
          <w:lang w:val="en-US" w:eastAsia="zh-CN"/>
        </w:rPr>
        <w:t>413万元；</w:t>
      </w:r>
      <w:r>
        <w:rPr>
          <w:rFonts w:hint="default" w:ascii="Times New Roman" w:hAnsi="Times New Roman" w:eastAsia="仿宋_GB2312" w:cs="Times New Roman"/>
          <w:color w:val="auto"/>
          <w:sz w:val="32"/>
          <w:szCs w:val="32"/>
          <w:highlight w:val="none"/>
        </w:rPr>
        <w:t>禁毒专项</w:t>
      </w:r>
      <w:r>
        <w:rPr>
          <w:rFonts w:hint="default" w:ascii="Times New Roman" w:hAnsi="Times New Roman" w:eastAsia="仿宋_GB2312" w:cs="Times New Roman"/>
          <w:color w:val="auto"/>
          <w:sz w:val="32"/>
          <w:szCs w:val="32"/>
          <w:highlight w:val="none"/>
          <w:lang w:val="en-US" w:eastAsia="zh-CN"/>
        </w:rPr>
        <w:t>350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环保专项310万元；</w:t>
      </w:r>
      <w:r>
        <w:rPr>
          <w:rFonts w:hint="default" w:ascii="Times New Roman" w:hAnsi="Times New Roman" w:eastAsia="仿宋_GB2312" w:cs="Times New Roman"/>
          <w:color w:val="auto"/>
          <w:sz w:val="32"/>
          <w:szCs w:val="32"/>
          <w:highlight w:val="none"/>
          <w:lang w:eastAsia="zh-CN"/>
        </w:rPr>
        <w:t>校医人员经费</w:t>
      </w:r>
      <w:r>
        <w:rPr>
          <w:rFonts w:hint="default" w:ascii="Times New Roman" w:hAnsi="Times New Roman" w:eastAsia="仿宋_GB2312" w:cs="Times New Roman"/>
          <w:color w:val="auto"/>
          <w:sz w:val="32"/>
          <w:szCs w:val="32"/>
          <w:highlight w:val="none"/>
          <w:lang w:val="en-US" w:eastAsia="zh-CN"/>
        </w:rPr>
        <w:t>272万元；“五类人员”援助岗位补贴279万元；新马镉污染处置经费200万元；</w:t>
      </w:r>
      <w:r>
        <w:rPr>
          <w:rFonts w:hint="default" w:ascii="Times New Roman" w:hAnsi="Times New Roman" w:eastAsia="仿宋_GB2312" w:cs="Times New Roman"/>
          <w:color w:val="auto"/>
          <w:sz w:val="32"/>
          <w:szCs w:val="32"/>
          <w:highlight w:val="none"/>
        </w:rPr>
        <w:t>明月湖老年公寓专项</w:t>
      </w:r>
      <w:r>
        <w:rPr>
          <w:rFonts w:hint="default" w:ascii="Times New Roman" w:hAnsi="Times New Roman" w:eastAsia="仿宋_GB2312" w:cs="Times New Roman"/>
          <w:color w:val="auto"/>
          <w:sz w:val="32"/>
          <w:szCs w:val="32"/>
          <w:highlight w:val="none"/>
          <w:lang w:val="en-US" w:eastAsia="zh-CN"/>
        </w:rPr>
        <w:t>200万元。</w:t>
      </w:r>
    </w:p>
    <w:p>
      <w:pPr>
        <w:keepNext w:val="0"/>
        <w:keepLines w:val="0"/>
        <w:pageBreakBefore w:val="0"/>
        <w:widowControl w:val="0"/>
        <w:kinsoku/>
        <w:wordWrap/>
        <w:overflowPunct/>
        <w:topLinePunct w:val="0"/>
        <w:autoSpaceDE/>
        <w:autoSpaceDN/>
        <w:bidi w:val="0"/>
        <w:spacing w:line="570" w:lineRule="exact"/>
        <w:ind w:left="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（3）其他事业发展专项支出1.40亿元</w:t>
      </w:r>
      <w:r>
        <w:rPr>
          <w:rFonts w:hint="default" w:ascii="Times New Roman" w:hAnsi="Times New Roman" w:eastAsia="仿宋_GB2312" w:cs="Times New Roman"/>
          <w:b w:val="0"/>
          <w:bCs w:val="0"/>
          <w:color w:val="auto"/>
          <w:kern w:val="0"/>
          <w:sz w:val="32"/>
          <w:szCs w:val="32"/>
          <w:highlight w:val="none"/>
          <w:lang w:val="en-US" w:eastAsia="zh-CN"/>
        </w:rPr>
        <w:t>。</w:t>
      </w:r>
      <w:r>
        <w:rPr>
          <w:rFonts w:hint="default" w:ascii="Times New Roman" w:hAnsi="Times New Roman" w:eastAsia="仿宋_GB2312" w:cs="Times New Roman"/>
          <w:color w:val="auto"/>
          <w:sz w:val="32"/>
          <w:szCs w:val="32"/>
          <w:highlight w:val="none"/>
        </w:rPr>
        <w:t>公安交警专项</w:t>
      </w:r>
      <w:r>
        <w:rPr>
          <w:rFonts w:hint="default" w:ascii="Times New Roman" w:hAnsi="Times New Roman" w:eastAsia="仿宋_GB2312" w:cs="Times New Roman"/>
          <w:color w:val="auto"/>
          <w:sz w:val="32"/>
          <w:szCs w:val="32"/>
          <w:highlight w:val="none"/>
          <w:lang w:val="en-US" w:eastAsia="zh-CN"/>
        </w:rPr>
        <w:t>2391</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消防专项经费2153万元；教育公交专线450万元；人武专项经费360万元；长沙市一中品牌使用和管理经费300万元；视频监控升级改造项目295万元；公车平台运行费295万元；学校饮水工程经费280万元；教师培训费243万元；中小学安防设施建设服务项目200万元；</w:t>
      </w:r>
      <w:r>
        <w:rPr>
          <w:rFonts w:hint="default" w:ascii="Times New Roman" w:hAnsi="Times New Roman" w:eastAsia="仿宋_GB2312" w:cs="Times New Roman"/>
          <w:color w:val="auto"/>
          <w:sz w:val="32"/>
          <w:szCs w:val="32"/>
          <w:highlight w:val="none"/>
        </w:rPr>
        <w:t>水利</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建设</w:t>
      </w:r>
      <w:r>
        <w:rPr>
          <w:rFonts w:hint="default" w:ascii="Times New Roman" w:hAnsi="Times New Roman" w:eastAsia="仿宋_GB2312" w:cs="Times New Roman"/>
          <w:color w:val="auto"/>
          <w:sz w:val="32"/>
          <w:szCs w:val="32"/>
          <w:highlight w:val="none"/>
          <w:lang w:eastAsia="zh-CN"/>
        </w:rPr>
        <w:t>与维护专项</w:t>
      </w:r>
      <w:r>
        <w:rPr>
          <w:rFonts w:hint="default" w:ascii="Times New Roman" w:hAnsi="Times New Roman" w:eastAsia="仿宋_GB2312" w:cs="Times New Roman"/>
          <w:color w:val="auto"/>
          <w:sz w:val="32"/>
          <w:szCs w:val="32"/>
          <w:highlight w:val="none"/>
          <w:lang w:val="en-US" w:eastAsia="zh-CN"/>
        </w:rPr>
        <w:t>200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“N合1”社会治理专项经费200万元；</w:t>
      </w:r>
      <w:r>
        <w:rPr>
          <w:rFonts w:hint="default" w:ascii="Times New Roman" w:hAnsi="Times New Roman" w:eastAsia="仿宋_GB2312" w:cs="Times New Roman"/>
          <w:color w:val="auto"/>
          <w:sz w:val="32"/>
          <w:szCs w:val="32"/>
          <w:highlight w:val="none"/>
        </w:rPr>
        <w:t>养老</w:t>
      </w:r>
      <w:r>
        <w:rPr>
          <w:rFonts w:hint="default" w:ascii="Times New Roman" w:hAnsi="Times New Roman" w:eastAsia="仿宋_GB2312" w:cs="Times New Roman"/>
          <w:color w:val="auto"/>
          <w:sz w:val="32"/>
          <w:szCs w:val="32"/>
          <w:highlight w:val="none"/>
          <w:lang w:eastAsia="zh-CN"/>
        </w:rPr>
        <w:t>事业专项经费</w:t>
      </w:r>
      <w:r>
        <w:rPr>
          <w:rFonts w:hint="default" w:ascii="Times New Roman" w:hAnsi="Times New Roman" w:eastAsia="仿宋_GB2312" w:cs="Times New Roman"/>
          <w:color w:val="auto"/>
          <w:sz w:val="32"/>
          <w:szCs w:val="32"/>
          <w:highlight w:val="none"/>
          <w:lang w:val="en-US" w:eastAsia="zh-CN"/>
        </w:rPr>
        <w:t>146</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p>
    <w:p>
      <w:pPr>
        <w:spacing w:line="600" w:lineRule="exact"/>
        <w:ind w:firstLine="640" w:firstLineChars="200"/>
        <w:rPr>
          <w:rFonts w:hint="default" w:ascii="Times New Roman" w:hAnsi="Times New Roman" w:eastAsia="楷体_GB2312" w:cs="Times New Roman"/>
          <w:bCs/>
          <w:color w:val="auto"/>
          <w:kern w:val="0"/>
          <w:sz w:val="32"/>
          <w:szCs w:val="32"/>
          <w:highlight w:val="none"/>
          <w:lang w:eastAsia="zh-CN"/>
        </w:rPr>
      </w:pPr>
      <w:r>
        <w:rPr>
          <w:rFonts w:hint="default" w:ascii="Times New Roman" w:hAnsi="Times New Roman" w:eastAsia="楷体_GB2312" w:cs="Times New Roman"/>
          <w:bCs/>
          <w:color w:val="auto"/>
          <w:kern w:val="0"/>
          <w:sz w:val="32"/>
          <w:szCs w:val="32"/>
          <w:highlight w:val="none"/>
          <w:lang w:eastAsia="zh-CN"/>
        </w:rPr>
        <w:t>（二）</w:t>
      </w:r>
      <w:r>
        <w:rPr>
          <w:rFonts w:hint="default" w:ascii="Times New Roman" w:hAnsi="Times New Roman" w:eastAsia="楷体_GB2312" w:cs="Times New Roman"/>
          <w:bCs/>
          <w:color w:val="auto"/>
          <w:kern w:val="0"/>
          <w:sz w:val="32"/>
          <w:szCs w:val="32"/>
          <w:highlight w:val="none"/>
        </w:rPr>
        <w:t>政府性基金预算</w:t>
      </w:r>
    </w:p>
    <w:p>
      <w:pPr>
        <w:keepNext w:val="0"/>
        <w:keepLines w:val="0"/>
        <w:pageBreakBefore w:val="0"/>
        <w:widowControl w:val="0"/>
        <w:kinsoku/>
        <w:wordWrap/>
        <w:overflowPunct/>
        <w:topLinePunct w:val="0"/>
        <w:autoSpaceDE/>
        <w:autoSpaceDN/>
        <w:bidi w:val="0"/>
        <w:spacing w:line="570" w:lineRule="exact"/>
        <w:ind w:left="0" w:right="0" w:firstLine="640" w:firstLineChars="200"/>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20</w:t>
      </w:r>
      <w:r>
        <w:rPr>
          <w:rFonts w:hint="default" w:ascii="Times New Roman" w:hAnsi="Times New Roman" w:eastAsia="仿宋_GB2312" w:cs="Times New Roman"/>
          <w:color w:val="auto"/>
          <w:kern w:val="0"/>
          <w:sz w:val="32"/>
          <w:szCs w:val="32"/>
          <w:highlight w:val="none"/>
          <w:lang w:val="en-US" w:eastAsia="zh-CN"/>
        </w:rPr>
        <w:t>23</w:t>
      </w:r>
      <w:r>
        <w:rPr>
          <w:rFonts w:hint="default" w:ascii="Times New Roman" w:hAnsi="Times New Roman" w:eastAsia="仿宋_GB2312" w:cs="Times New Roman"/>
          <w:color w:val="auto"/>
          <w:kern w:val="0"/>
          <w:sz w:val="32"/>
          <w:szCs w:val="32"/>
          <w:highlight w:val="none"/>
        </w:rPr>
        <w:t>年政府性基金收入</w:t>
      </w:r>
      <w:r>
        <w:rPr>
          <w:rFonts w:hint="default" w:ascii="Times New Roman" w:hAnsi="Times New Roman" w:eastAsia="仿宋_GB2312" w:cs="Times New Roman"/>
          <w:color w:val="auto"/>
          <w:kern w:val="0"/>
          <w:sz w:val="32"/>
          <w:szCs w:val="32"/>
          <w:highlight w:val="none"/>
          <w:lang w:eastAsia="zh-CN"/>
        </w:rPr>
        <w:t>预算</w:t>
      </w:r>
      <w:r>
        <w:rPr>
          <w:rFonts w:hint="default" w:ascii="Times New Roman" w:hAnsi="Times New Roman" w:eastAsia="仿宋_GB2312" w:cs="Times New Roman"/>
          <w:color w:val="auto"/>
          <w:kern w:val="0"/>
          <w:sz w:val="32"/>
          <w:szCs w:val="32"/>
          <w:highlight w:val="none"/>
        </w:rPr>
        <w:t>安排</w:t>
      </w:r>
      <w:r>
        <w:rPr>
          <w:rFonts w:hint="default" w:ascii="Times New Roman" w:hAnsi="Times New Roman" w:eastAsia="仿宋_GB2312" w:cs="Times New Roman"/>
          <w:color w:val="auto"/>
          <w:kern w:val="0"/>
          <w:sz w:val="32"/>
          <w:szCs w:val="32"/>
          <w:highlight w:val="none"/>
          <w:lang w:val="en-US" w:eastAsia="zh-CN"/>
        </w:rPr>
        <w:t>36.47</w:t>
      </w:r>
      <w:r>
        <w:rPr>
          <w:rFonts w:hint="default" w:ascii="Times New Roman" w:hAnsi="Times New Roman" w:eastAsia="仿宋_GB2312" w:cs="Times New Roman"/>
          <w:color w:val="auto"/>
          <w:kern w:val="0"/>
          <w:sz w:val="32"/>
          <w:szCs w:val="32"/>
          <w:highlight w:val="none"/>
        </w:rPr>
        <w:t>亿元，其中：国有土地使用权出让收入安排</w:t>
      </w:r>
      <w:r>
        <w:rPr>
          <w:rFonts w:hint="default" w:ascii="Times New Roman" w:hAnsi="Times New Roman" w:eastAsia="仿宋_GB2312" w:cs="Times New Roman"/>
          <w:color w:val="auto"/>
          <w:kern w:val="0"/>
          <w:sz w:val="32"/>
          <w:szCs w:val="32"/>
          <w:highlight w:val="none"/>
          <w:lang w:val="en-US" w:eastAsia="zh-CN"/>
        </w:rPr>
        <w:t>36.47</w:t>
      </w:r>
      <w:r>
        <w:rPr>
          <w:rFonts w:hint="default" w:ascii="Times New Roman" w:hAnsi="Times New Roman" w:eastAsia="仿宋_GB2312" w:cs="Times New Roman"/>
          <w:color w:val="auto"/>
          <w:kern w:val="0"/>
          <w:sz w:val="32"/>
          <w:szCs w:val="32"/>
          <w:highlight w:val="none"/>
        </w:rPr>
        <w:t>亿元</w:t>
      </w:r>
      <w:r>
        <w:rPr>
          <w:rFonts w:hint="default" w:ascii="Times New Roman" w:hAnsi="Times New Roman" w:eastAsia="仿宋_GB2312" w:cs="Times New Roman"/>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spacing w:line="570" w:lineRule="exact"/>
        <w:ind w:left="0" w:right="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0"/>
          <w:sz w:val="32"/>
          <w:szCs w:val="32"/>
          <w:highlight w:val="none"/>
        </w:rPr>
        <w:t>20</w:t>
      </w:r>
      <w:r>
        <w:rPr>
          <w:rFonts w:hint="default" w:ascii="Times New Roman" w:hAnsi="Times New Roman" w:eastAsia="仿宋_GB2312" w:cs="Times New Roman"/>
          <w:color w:val="auto"/>
          <w:kern w:val="0"/>
          <w:sz w:val="32"/>
          <w:szCs w:val="32"/>
          <w:highlight w:val="none"/>
          <w:lang w:val="en-US" w:eastAsia="zh-CN"/>
        </w:rPr>
        <w:t>23</w:t>
      </w:r>
      <w:r>
        <w:rPr>
          <w:rFonts w:hint="default" w:ascii="Times New Roman" w:hAnsi="Times New Roman" w:eastAsia="仿宋_GB2312" w:cs="Times New Roman"/>
          <w:color w:val="auto"/>
          <w:kern w:val="0"/>
          <w:sz w:val="32"/>
          <w:szCs w:val="32"/>
          <w:highlight w:val="none"/>
        </w:rPr>
        <w:t>年政府性基金支出</w:t>
      </w:r>
      <w:r>
        <w:rPr>
          <w:rFonts w:hint="default" w:ascii="Times New Roman" w:hAnsi="Times New Roman" w:eastAsia="仿宋_GB2312" w:cs="Times New Roman"/>
          <w:color w:val="auto"/>
          <w:kern w:val="0"/>
          <w:sz w:val="32"/>
          <w:szCs w:val="32"/>
          <w:highlight w:val="none"/>
          <w:lang w:eastAsia="zh-CN"/>
        </w:rPr>
        <w:t>预算</w:t>
      </w:r>
      <w:r>
        <w:rPr>
          <w:rFonts w:hint="default" w:ascii="Times New Roman" w:hAnsi="Times New Roman" w:eastAsia="仿宋_GB2312" w:cs="Times New Roman"/>
          <w:color w:val="auto"/>
          <w:kern w:val="0"/>
          <w:sz w:val="32"/>
          <w:szCs w:val="32"/>
          <w:highlight w:val="none"/>
        </w:rPr>
        <w:t>安排</w:t>
      </w:r>
      <w:r>
        <w:rPr>
          <w:rFonts w:hint="default" w:ascii="Times New Roman" w:hAnsi="Times New Roman" w:eastAsia="仿宋_GB2312" w:cs="Times New Roman"/>
          <w:color w:val="auto"/>
          <w:kern w:val="0"/>
          <w:sz w:val="32"/>
          <w:szCs w:val="32"/>
          <w:highlight w:val="none"/>
          <w:lang w:val="en-US" w:eastAsia="zh-CN"/>
        </w:rPr>
        <w:t>33.01亿元，</w:t>
      </w:r>
      <w:r>
        <w:rPr>
          <w:rFonts w:hint="default" w:ascii="Times New Roman" w:hAnsi="Times New Roman" w:eastAsia="仿宋_GB2312" w:cs="Times New Roman"/>
          <w:color w:val="auto"/>
          <w:kern w:val="0"/>
          <w:sz w:val="32"/>
          <w:szCs w:val="32"/>
          <w:highlight w:val="none"/>
        </w:rPr>
        <w:t>其中：国有土地使用权出让收入安排支出</w:t>
      </w:r>
      <w:r>
        <w:rPr>
          <w:rFonts w:hint="default" w:ascii="Times New Roman" w:hAnsi="Times New Roman" w:eastAsia="仿宋_GB2312" w:cs="Times New Roman"/>
          <w:color w:val="auto"/>
          <w:kern w:val="0"/>
          <w:sz w:val="32"/>
          <w:szCs w:val="32"/>
          <w:highlight w:val="none"/>
          <w:lang w:val="en-US" w:eastAsia="zh-CN"/>
        </w:rPr>
        <w:t>33.01</w:t>
      </w:r>
      <w:r>
        <w:rPr>
          <w:rFonts w:hint="default" w:ascii="Times New Roman" w:hAnsi="Times New Roman" w:eastAsia="仿宋_GB2312" w:cs="Times New Roman"/>
          <w:color w:val="auto"/>
          <w:kern w:val="0"/>
          <w:sz w:val="32"/>
          <w:szCs w:val="32"/>
          <w:highlight w:val="none"/>
        </w:rPr>
        <w:t>亿元</w:t>
      </w:r>
      <w:r>
        <w:rPr>
          <w:rFonts w:hint="default" w:ascii="Times New Roman" w:hAnsi="Times New Roman" w:eastAsia="仿宋_GB2312" w:cs="Times New Roman"/>
          <w:color w:val="auto"/>
          <w:kern w:val="0"/>
          <w:sz w:val="32"/>
          <w:szCs w:val="32"/>
          <w:highlight w:val="none"/>
          <w:lang w:eastAsia="zh-CN"/>
        </w:rPr>
        <w:t>，主要用于支持乡村振兴和保障高科集团化债支出及专项债券付息支出；调入一般公共预算安排</w:t>
      </w:r>
      <w:r>
        <w:rPr>
          <w:rFonts w:hint="default" w:ascii="Times New Roman" w:hAnsi="Times New Roman" w:eastAsia="仿宋_GB2312" w:cs="Times New Roman"/>
          <w:color w:val="auto"/>
          <w:kern w:val="0"/>
          <w:sz w:val="32"/>
          <w:szCs w:val="32"/>
          <w:highlight w:val="none"/>
          <w:lang w:val="en-US" w:eastAsia="zh-CN"/>
        </w:rPr>
        <w:t>3.46亿</w:t>
      </w:r>
      <w:r>
        <w:rPr>
          <w:rFonts w:hint="default" w:ascii="Times New Roman" w:hAnsi="Times New Roman" w:eastAsia="仿宋_GB2312" w:cs="Times New Roman"/>
          <w:color w:val="auto"/>
          <w:kern w:val="0"/>
          <w:sz w:val="32"/>
          <w:szCs w:val="32"/>
          <w:highlight w:val="none"/>
          <w:lang w:eastAsia="zh-CN"/>
        </w:rPr>
        <w:t>元。</w:t>
      </w:r>
    </w:p>
    <w:p>
      <w:pPr>
        <w:spacing w:line="600" w:lineRule="exact"/>
        <w:ind w:firstLine="640" w:firstLineChars="200"/>
        <w:rPr>
          <w:rFonts w:hint="default" w:ascii="Times New Roman" w:hAnsi="Times New Roman" w:eastAsia="楷体_GB2312" w:cs="Times New Roman"/>
          <w:bCs/>
          <w:color w:val="auto"/>
          <w:kern w:val="0"/>
          <w:sz w:val="32"/>
          <w:szCs w:val="32"/>
          <w:highlight w:val="none"/>
          <w:lang w:eastAsia="zh-CN"/>
        </w:rPr>
      </w:pPr>
      <w:r>
        <w:rPr>
          <w:rFonts w:hint="default" w:ascii="Times New Roman" w:hAnsi="Times New Roman" w:eastAsia="楷体_GB2312" w:cs="Times New Roman"/>
          <w:bCs/>
          <w:color w:val="auto"/>
          <w:kern w:val="0"/>
          <w:sz w:val="32"/>
          <w:szCs w:val="32"/>
          <w:highlight w:val="none"/>
          <w:lang w:eastAsia="zh-CN"/>
        </w:rPr>
        <w:t>（三）</w:t>
      </w:r>
      <w:r>
        <w:rPr>
          <w:rFonts w:hint="default" w:ascii="Times New Roman" w:hAnsi="Times New Roman" w:eastAsia="楷体_GB2312" w:cs="Times New Roman"/>
          <w:bCs/>
          <w:color w:val="auto"/>
          <w:kern w:val="0"/>
          <w:sz w:val="32"/>
          <w:szCs w:val="32"/>
          <w:highlight w:val="none"/>
        </w:rPr>
        <w:t>国有资本经营预算</w:t>
      </w:r>
    </w:p>
    <w:p>
      <w:pPr>
        <w:spacing w:line="60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20</w:t>
      </w:r>
      <w:r>
        <w:rPr>
          <w:rFonts w:hint="default" w:ascii="Times New Roman" w:hAnsi="Times New Roman" w:eastAsia="仿宋_GB2312" w:cs="Times New Roman"/>
          <w:color w:val="auto"/>
          <w:kern w:val="0"/>
          <w:sz w:val="32"/>
          <w:szCs w:val="32"/>
          <w:highlight w:val="none"/>
          <w:lang w:val="en-US" w:eastAsia="zh-CN"/>
        </w:rPr>
        <w:t>23</w:t>
      </w:r>
      <w:r>
        <w:rPr>
          <w:rFonts w:hint="default" w:ascii="Times New Roman" w:hAnsi="Times New Roman" w:eastAsia="仿宋_GB2312" w:cs="Times New Roman"/>
          <w:color w:val="auto"/>
          <w:kern w:val="0"/>
          <w:sz w:val="32"/>
          <w:szCs w:val="32"/>
          <w:highlight w:val="none"/>
        </w:rPr>
        <w:t>年国有资本经营收入预算安排</w:t>
      </w: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亿元，其中：国有独资企业应上缴的利润</w:t>
      </w: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亿元。</w:t>
      </w:r>
    </w:p>
    <w:p>
      <w:pPr>
        <w:spacing w:line="600" w:lineRule="exact"/>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20</w:t>
      </w:r>
      <w:r>
        <w:rPr>
          <w:rFonts w:hint="default" w:ascii="Times New Roman" w:hAnsi="Times New Roman" w:eastAsia="仿宋_GB2312" w:cs="Times New Roman"/>
          <w:color w:val="auto"/>
          <w:kern w:val="0"/>
          <w:sz w:val="32"/>
          <w:szCs w:val="32"/>
          <w:highlight w:val="none"/>
          <w:lang w:val="en-US" w:eastAsia="zh-CN"/>
        </w:rPr>
        <w:t>23</w:t>
      </w:r>
      <w:r>
        <w:rPr>
          <w:rFonts w:hint="default" w:ascii="Times New Roman" w:hAnsi="Times New Roman" w:eastAsia="仿宋_GB2312" w:cs="Times New Roman"/>
          <w:color w:val="auto"/>
          <w:kern w:val="0"/>
          <w:sz w:val="32"/>
          <w:szCs w:val="32"/>
          <w:highlight w:val="none"/>
        </w:rPr>
        <w:t>年国有资本经营支出预算</w:t>
      </w:r>
      <w:r>
        <w:rPr>
          <w:rFonts w:hint="default" w:ascii="Times New Roman" w:hAnsi="Times New Roman" w:eastAsia="仿宋_GB2312" w:cs="Times New Roman"/>
          <w:color w:val="auto"/>
          <w:kern w:val="0"/>
          <w:sz w:val="32"/>
          <w:szCs w:val="32"/>
          <w:highlight w:val="none"/>
          <w:lang w:eastAsia="zh-CN"/>
        </w:rPr>
        <w:t>安排支出</w:t>
      </w:r>
      <w:r>
        <w:rPr>
          <w:rFonts w:hint="default" w:ascii="Times New Roman" w:hAnsi="Times New Roman" w:eastAsia="仿宋_GB2312" w:cs="Times New Roman"/>
          <w:color w:val="auto"/>
          <w:kern w:val="0"/>
          <w:sz w:val="32"/>
          <w:szCs w:val="32"/>
          <w:highlight w:val="none"/>
          <w:lang w:val="en-US" w:eastAsia="zh-CN"/>
        </w:rPr>
        <w:t>1亿元，其中：用于化解政府隐性债务0.75亿元，项目支出安排0.25亿元。</w:t>
      </w:r>
    </w:p>
    <w:p>
      <w:pPr>
        <w:spacing w:line="600" w:lineRule="exact"/>
        <w:ind w:firstLine="640" w:firstLineChars="200"/>
        <w:rPr>
          <w:rFonts w:hint="default" w:ascii="Times New Roman" w:hAnsi="Times New Roman" w:eastAsia="楷体_GB2312" w:cs="Times New Roman"/>
          <w:bCs/>
          <w:color w:val="auto"/>
          <w:kern w:val="0"/>
          <w:sz w:val="32"/>
          <w:szCs w:val="32"/>
          <w:highlight w:val="none"/>
          <w:lang w:eastAsia="zh-CN"/>
        </w:rPr>
      </w:pPr>
      <w:r>
        <w:rPr>
          <w:rFonts w:hint="default" w:ascii="Times New Roman" w:hAnsi="Times New Roman" w:eastAsia="楷体_GB2312" w:cs="Times New Roman"/>
          <w:bCs/>
          <w:color w:val="auto"/>
          <w:kern w:val="0"/>
          <w:sz w:val="32"/>
          <w:szCs w:val="32"/>
          <w:highlight w:val="none"/>
          <w:lang w:eastAsia="zh-CN"/>
        </w:rPr>
        <w:t>（四）</w:t>
      </w:r>
      <w:r>
        <w:rPr>
          <w:rFonts w:hint="default" w:ascii="Times New Roman" w:hAnsi="Times New Roman" w:eastAsia="楷体_GB2312" w:cs="Times New Roman"/>
          <w:bCs/>
          <w:color w:val="auto"/>
          <w:kern w:val="0"/>
          <w:sz w:val="32"/>
          <w:szCs w:val="32"/>
          <w:highlight w:val="none"/>
        </w:rPr>
        <w:t>社会保险基金预算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20</w:t>
      </w:r>
      <w:r>
        <w:rPr>
          <w:rFonts w:hint="default" w:ascii="Times New Roman" w:hAnsi="Times New Roman" w:eastAsia="仿宋_GB2312" w:cs="Times New Roman"/>
          <w:color w:val="auto"/>
          <w:kern w:val="0"/>
          <w:sz w:val="32"/>
          <w:szCs w:val="32"/>
          <w:highlight w:val="none"/>
          <w:lang w:val="en-US" w:eastAsia="zh-CN"/>
        </w:rPr>
        <w:t>23</w:t>
      </w:r>
      <w:r>
        <w:rPr>
          <w:rFonts w:hint="default" w:ascii="Times New Roman" w:hAnsi="Times New Roman" w:eastAsia="仿宋_GB2312" w:cs="Times New Roman"/>
          <w:color w:val="auto"/>
          <w:kern w:val="0"/>
          <w:sz w:val="32"/>
          <w:szCs w:val="32"/>
          <w:highlight w:val="none"/>
        </w:rPr>
        <w:t>年社会保险基金收入</w:t>
      </w:r>
      <w:r>
        <w:rPr>
          <w:rFonts w:hint="default" w:ascii="Times New Roman" w:hAnsi="Times New Roman" w:eastAsia="仿宋_GB2312" w:cs="Times New Roman"/>
          <w:color w:val="auto"/>
          <w:kern w:val="0"/>
          <w:sz w:val="32"/>
          <w:szCs w:val="32"/>
          <w:highlight w:val="none"/>
          <w:lang w:eastAsia="zh-CN"/>
        </w:rPr>
        <w:t>预算</w:t>
      </w:r>
      <w:r>
        <w:rPr>
          <w:rFonts w:hint="default" w:ascii="Times New Roman" w:hAnsi="Times New Roman" w:eastAsia="仿宋_GB2312" w:cs="Times New Roman"/>
          <w:color w:val="auto"/>
          <w:kern w:val="0"/>
          <w:sz w:val="32"/>
          <w:szCs w:val="32"/>
          <w:highlight w:val="none"/>
        </w:rPr>
        <w:t>安排1.</w:t>
      </w:r>
      <w:r>
        <w:rPr>
          <w:rFonts w:hint="default" w:ascii="Times New Roman" w:hAnsi="Times New Roman" w:eastAsia="仿宋_GB2312" w:cs="Times New Roman"/>
          <w:color w:val="auto"/>
          <w:kern w:val="0"/>
          <w:sz w:val="32"/>
          <w:szCs w:val="32"/>
          <w:highlight w:val="none"/>
          <w:lang w:val="en-US" w:eastAsia="zh-CN"/>
        </w:rPr>
        <w:t>74</w:t>
      </w:r>
      <w:r>
        <w:rPr>
          <w:rFonts w:hint="default" w:ascii="Times New Roman" w:hAnsi="Times New Roman" w:eastAsia="仿宋_GB2312" w:cs="Times New Roman"/>
          <w:color w:val="auto"/>
          <w:kern w:val="0"/>
          <w:sz w:val="32"/>
          <w:szCs w:val="32"/>
          <w:highlight w:val="none"/>
        </w:rPr>
        <w:t>亿元，其中：城乡居民基本养老保险基金收入预算0.</w:t>
      </w:r>
      <w:r>
        <w:rPr>
          <w:rFonts w:hint="default"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rPr>
        <w:t>亿元；机关事业单位基本养老保险基金收入预算</w:t>
      </w:r>
      <w:r>
        <w:rPr>
          <w:rFonts w:hint="default" w:ascii="Times New Roman" w:hAnsi="Times New Roman" w:eastAsia="仿宋_GB2312" w:cs="Times New Roman"/>
          <w:color w:val="auto"/>
          <w:kern w:val="0"/>
          <w:sz w:val="32"/>
          <w:szCs w:val="32"/>
          <w:highlight w:val="none"/>
          <w:lang w:val="en-US" w:eastAsia="zh-CN"/>
        </w:rPr>
        <w:t>1.14</w:t>
      </w:r>
      <w:r>
        <w:rPr>
          <w:rFonts w:hint="default" w:ascii="Times New Roman" w:hAnsi="Times New Roman" w:eastAsia="仿宋_GB2312" w:cs="Times New Roman"/>
          <w:color w:val="auto"/>
          <w:kern w:val="0"/>
          <w:sz w:val="32"/>
          <w:szCs w:val="32"/>
          <w:highlight w:val="none"/>
        </w:rPr>
        <w:t>亿元；</w:t>
      </w:r>
      <w:r>
        <w:rPr>
          <w:rFonts w:hint="default" w:ascii="Times New Roman" w:hAnsi="Times New Roman" w:eastAsia="仿宋_GB2312" w:cs="Times New Roman"/>
          <w:color w:val="auto"/>
          <w:sz w:val="32"/>
          <w:szCs w:val="32"/>
          <w:highlight w:val="none"/>
          <w:lang w:eastAsia="zh-CN"/>
        </w:rPr>
        <w:t>失业</w:t>
      </w:r>
      <w:r>
        <w:rPr>
          <w:rFonts w:hint="default" w:ascii="Times New Roman" w:hAnsi="Times New Roman" w:eastAsia="仿宋_GB2312" w:cs="Times New Roman"/>
          <w:color w:val="auto"/>
          <w:sz w:val="32"/>
          <w:szCs w:val="32"/>
          <w:highlight w:val="none"/>
        </w:rPr>
        <w:t>保险基金</w:t>
      </w:r>
      <w:r>
        <w:rPr>
          <w:rFonts w:hint="default" w:ascii="Times New Roman" w:hAnsi="Times New Roman" w:eastAsia="仿宋_GB2312" w:cs="Times New Roman"/>
          <w:color w:val="auto"/>
          <w:sz w:val="32"/>
          <w:szCs w:val="32"/>
          <w:highlight w:val="none"/>
          <w:lang w:eastAsia="zh-CN"/>
        </w:rPr>
        <w:t>从</w:t>
      </w:r>
      <w:r>
        <w:rPr>
          <w:rFonts w:hint="default" w:ascii="Times New Roman" w:hAnsi="Times New Roman" w:eastAsia="仿宋_GB2312" w:cs="Times New Roman"/>
          <w:color w:val="auto"/>
          <w:sz w:val="32"/>
          <w:szCs w:val="32"/>
          <w:highlight w:val="none"/>
          <w:lang w:val="en-US" w:eastAsia="zh-CN"/>
        </w:rPr>
        <w:t>2023年起实行省级统收统支改革，</w:t>
      </w:r>
      <w:r>
        <w:rPr>
          <w:rFonts w:hint="default" w:ascii="Times New Roman" w:hAnsi="Times New Roman" w:eastAsia="仿宋_GB2312" w:cs="Times New Roman"/>
          <w:color w:val="auto"/>
          <w:sz w:val="32"/>
          <w:szCs w:val="32"/>
          <w:highlight w:val="none"/>
        </w:rPr>
        <w:t>预算由省级统一编制。</w:t>
      </w:r>
    </w:p>
    <w:p>
      <w:pPr>
        <w:spacing w:line="600" w:lineRule="exact"/>
        <w:ind w:firstLine="640" w:firstLineChars="200"/>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rPr>
        <w:t>20</w:t>
      </w:r>
      <w:r>
        <w:rPr>
          <w:rFonts w:hint="default" w:ascii="Times New Roman" w:hAnsi="Times New Roman" w:eastAsia="仿宋_GB2312" w:cs="Times New Roman"/>
          <w:color w:val="auto"/>
          <w:kern w:val="0"/>
          <w:sz w:val="32"/>
          <w:szCs w:val="32"/>
          <w:highlight w:val="none"/>
          <w:lang w:val="en-US" w:eastAsia="zh-CN"/>
        </w:rPr>
        <w:t>23</w:t>
      </w:r>
      <w:r>
        <w:rPr>
          <w:rFonts w:hint="default" w:ascii="Times New Roman" w:hAnsi="Times New Roman" w:eastAsia="仿宋_GB2312" w:cs="Times New Roman"/>
          <w:color w:val="auto"/>
          <w:kern w:val="0"/>
          <w:sz w:val="32"/>
          <w:szCs w:val="32"/>
          <w:highlight w:val="none"/>
        </w:rPr>
        <w:t>年社会保险基金支出</w:t>
      </w:r>
      <w:r>
        <w:rPr>
          <w:rFonts w:hint="default" w:ascii="Times New Roman" w:hAnsi="Times New Roman" w:eastAsia="仿宋_GB2312" w:cs="Times New Roman"/>
          <w:color w:val="auto"/>
          <w:kern w:val="0"/>
          <w:sz w:val="32"/>
          <w:szCs w:val="32"/>
          <w:highlight w:val="none"/>
          <w:lang w:eastAsia="zh-CN"/>
        </w:rPr>
        <w:t>预算</w:t>
      </w:r>
      <w:r>
        <w:rPr>
          <w:rFonts w:hint="default" w:ascii="Times New Roman" w:hAnsi="Times New Roman" w:eastAsia="仿宋_GB2312" w:cs="Times New Roman"/>
          <w:color w:val="auto"/>
          <w:kern w:val="0"/>
          <w:sz w:val="32"/>
          <w:szCs w:val="32"/>
          <w:highlight w:val="none"/>
        </w:rPr>
        <w:t>安排1.</w:t>
      </w:r>
      <w:r>
        <w:rPr>
          <w:rFonts w:hint="default" w:ascii="Times New Roman" w:hAnsi="Times New Roman" w:eastAsia="仿宋_GB2312" w:cs="Times New Roman"/>
          <w:color w:val="auto"/>
          <w:kern w:val="0"/>
          <w:sz w:val="32"/>
          <w:szCs w:val="32"/>
          <w:highlight w:val="none"/>
          <w:lang w:val="en-US" w:eastAsia="zh-CN"/>
        </w:rPr>
        <w:t>31</w:t>
      </w:r>
      <w:r>
        <w:rPr>
          <w:rFonts w:hint="default" w:ascii="Times New Roman" w:hAnsi="Times New Roman" w:eastAsia="仿宋_GB2312" w:cs="Times New Roman"/>
          <w:color w:val="auto"/>
          <w:kern w:val="0"/>
          <w:sz w:val="32"/>
          <w:szCs w:val="32"/>
          <w:highlight w:val="none"/>
        </w:rPr>
        <w:t>亿元，其中：城乡居民基本养老保险基金支出预算0.</w:t>
      </w:r>
      <w:r>
        <w:rPr>
          <w:rFonts w:hint="default" w:ascii="Times New Roman" w:hAnsi="Times New Roman" w:eastAsia="仿宋_GB2312" w:cs="Times New Roman"/>
          <w:color w:val="auto"/>
          <w:kern w:val="0"/>
          <w:sz w:val="32"/>
          <w:szCs w:val="32"/>
          <w:highlight w:val="none"/>
          <w:lang w:val="en-US" w:eastAsia="zh-CN"/>
        </w:rPr>
        <w:t>27</w:t>
      </w:r>
      <w:r>
        <w:rPr>
          <w:rFonts w:hint="default" w:ascii="Times New Roman" w:hAnsi="Times New Roman" w:eastAsia="仿宋_GB2312" w:cs="Times New Roman"/>
          <w:color w:val="auto"/>
          <w:kern w:val="0"/>
          <w:sz w:val="32"/>
          <w:szCs w:val="32"/>
          <w:highlight w:val="none"/>
        </w:rPr>
        <w:t>亿元；机关事业单位基本养老保险基金支出预算</w:t>
      </w:r>
      <w:r>
        <w:rPr>
          <w:rFonts w:hint="default" w:ascii="Times New Roman" w:hAnsi="Times New Roman" w:eastAsia="仿宋_GB2312" w:cs="Times New Roman"/>
          <w:color w:val="auto"/>
          <w:kern w:val="0"/>
          <w:sz w:val="32"/>
          <w:szCs w:val="32"/>
          <w:highlight w:val="none"/>
          <w:lang w:val="en-US" w:eastAsia="zh-CN"/>
        </w:rPr>
        <w:t>1.04</w:t>
      </w:r>
      <w:r>
        <w:rPr>
          <w:rFonts w:hint="default" w:ascii="Times New Roman" w:hAnsi="Times New Roman" w:eastAsia="仿宋_GB2312" w:cs="Times New Roman"/>
          <w:color w:val="auto"/>
          <w:kern w:val="0"/>
          <w:sz w:val="32"/>
          <w:szCs w:val="32"/>
          <w:highlight w:val="none"/>
        </w:rPr>
        <w:t>亿元；</w:t>
      </w:r>
      <w:r>
        <w:rPr>
          <w:rFonts w:hint="default" w:ascii="Times New Roman" w:hAnsi="Times New Roman" w:eastAsia="仿宋_GB2312" w:cs="Times New Roman"/>
          <w:color w:val="auto"/>
          <w:kern w:val="0"/>
          <w:sz w:val="32"/>
          <w:szCs w:val="32"/>
          <w:highlight w:val="none"/>
          <w:lang w:eastAsia="zh-CN"/>
        </w:rPr>
        <w:t>本年收支结余</w:t>
      </w:r>
      <w:r>
        <w:rPr>
          <w:rFonts w:hint="default" w:ascii="Times New Roman" w:hAnsi="Times New Roman" w:eastAsia="仿宋_GB2312" w:cs="Times New Roman"/>
          <w:color w:val="auto"/>
          <w:kern w:val="0"/>
          <w:sz w:val="32"/>
          <w:szCs w:val="32"/>
          <w:highlight w:val="none"/>
          <w:lang w:val="en-US" w:eastAsia="zh-CN"/>
        </w:rPr>
        <w:t>0.43亿元，年末滚存结余预计为2.76亿元。</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10" w:leftChars="0" w:right="0" w:firstLine="640" w:firstLineChars="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完成2023年预算目标的工作措施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2023年是贯彻落实党的二十大</w:t>
      </w:r>
      <w:bookmarkStart w:id="0" w:name="_GoBack"/>
      <w:bookmarkEnd w:id="0"/>
      <w:r>
        <w:rPr>
          <w:rFonts w:hint="default" w:ascii="Times New Roman" w:hAnsi="Times New Roman" w:eastAsia="仿宋_GB2312" w:cs="Times New Roman"/>
          <w:color w:val="auto"/>
          <w:kern w:val="2"/>
          <w:sz w:val="32"/>
          <w:szCs w:val="32"/>
          <w:highlight w:val="none"/>
          <w:lang w:val="en-US" w:eastAsia="zh-CN" w:bidi="ar-SA"/>
        </w:rPr>
        <w:t>精神的开局之年。全区财政工作将认真落实工委、管委会、区委的决策部署和区人大六届三次会议决议，坚持稳中求进总基调，</w:t>
      </w:r>
      <w:r>
        <w:rPr>
          <w:rFonts w:hint="default" w:ascii="Times New Roman" w:hAnsi="Times New Roman" w:eastAsia="仿宋_GB2312" w:cs="Times New Roman"/>
          <w:b w:val="0"/>
          <w:bCs/>
          <w:color w:val="auto"/>
          <w:kern w:val="0"/>
          <w:sz w:val="32"/>
          <w:szCs w:val="32"/>
          <w:highlight w:val="none"/>
          <w:lang w:val="en-US" w:eastAsia="zh-CN" w:bidi="ar-SA"/>
        </w:rPr>
        <w:t>牢固树立</w:t>
      </w:r>
      <w:r>
        <w:rPr>
          <w:rFonts w:hint="default" w:ascii="Times New Roman" w:hAnsi="Times New Roman" w:eastAsia="仿宋_GB2312" w:cs="Times New Roman"/>
          <w:b w:val="0"/>
          <w:bCs/>
          <w:color w:val="auto"/>
          <w:kern w:val="0"/>
          <w:sz w:val="32"/>
          <w:szCs w:val="32"/>
          <w:highlight w:val="none"/>
          <w:lang w:val="en" w:eastAsia="zh-CN" w:bidi="ar-SA"/>
        </w:rPr>
        <w:t>“大财政”理念和“过紧日子”思想，</w:t>
      </w:r>
      <w:r>
        <w:rPr>
          <w:rFonts w:hint="default" w:ascii="Times New Roman" w:hAnsi="Times New Roman" w:eastAsia="仿宋_GB2312" w:cs="Times New Roman"/>
          <w:b w:val="0"/>
          <w:bCs/>
          <w:color w:val="auto"/>
          <w:kern w:val="0"/>
          <w:sz w:val="32"/>
          <w:szCs w:val="32"/>
          <w:highlight w:val="none"/>
          <w:lang w:val="en-US" w:eastAsia="zh-CN" w:bidi="ar-SA"/>
        </w:rPr>
        <w:t>全力做好</w:t>
      </w:r>
      <w:r>
        <w:rPr>
          <w:rFonts w:hint="default" w:ascii="Times New Roman" w:hAnsi="Times New Roman" w:eastAsia="仿宋_GB2312" w:cs="Times New Roman"/>
          <w:b w:val="0"/>
          <w:bCs/>
          <w:color w:val="auto"/>
          <w:kern w:val="0"/>
          <w:sz w:val="32"/>
          <w:szCs w:val="32"/>
          <w:highlight w:val="none"/>
          <w:lang w:val="en" w:eastAsia="zh-CN" w:bidi="ar-SA"/>
        </w:rPr>
        <w:t>开源节流、增收节支工作</w:t>
      </w:r>
      <w:r>
        <w:rPr>
          <w:rFonts w:hint="default" w:ascii="Times New Roman" w:hAnsi="Times New Roman" w:eastAsia="仿宋_GB2312" w:cs="Times New Roman"/>
          <w:color w:val="auto"/>
          <w:kern w:val="2"/>
          <w:sz w:val="32"/>
          <w:szCs w:val="32"/>
          <w:highlight w:val="none"/>
          <w:lang w:val="en-US" w:eastAsia="zh-CN" w:bidi="ar-SA"/>
        </w:rPr>
        <w:t>，确保预算目标全面完成。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firstLine="640" w:firstLineChars="200"/>
        <w:textAlignment w:val="auto"/>
        <w:rPr>
          <w:rFonts w:hint="default" w:ascii="Times New Roman" w:hAnsi="Times New Roman" w:eastAsia="仿宋_GB2312" w:cs="Times New Roman"/>
          <w:b w:val="0"/>
          <w:bCs/>
          <w:color w:val="auto"/>
          <w:kern w:val="0"/>
          <w:sz w:val="32"/>
          <w:szCs w:val="32"/>
          <w:highlight w:val="none"/>
          <w:lang w:val="en-US" w:eastAsia="zh-CN" w:bidi="ar-SA"/>
        </w:rPr>
      </w:pPr>
      <w:r>
        <w:rPr>
          <w:rFonts w:hint="default" w:ascii="Times New Roman" w:hAnsi="Times New Roman" w:eastAsia="楷体_GB2312" w:cs="Times New Roman"/>
          <w:b w:val="0"/>
          <w:bCs/>
          <w:color w:val="auto"/>
          <w:kern w:val="0"/>
          <w:sz w:val="32"/>
          <w:szCs w:val="32"/>
          <w:highlight w:val="none"/>
          <w:lang w:val="en" w:eastAsia="zh-CN" w:bidi="ar-SA"/>
        </w:rPr>
        <w:t>（一）坚持培源与堵漏并举，勤做财税增收的“加法”。</w:t>
      </w:r>
      <w:r>
        <w:rPr>
          <w:rFonts w:hint="default" w:ascii="Times New Roman" w:hAnsi="Times New Roman" w:eastAsia="仿宋_GB2312" w:cs="Times New Roman"/>
          <w:b w:val="0"/>
          <w:bCs/>
          <w:color w:val="auto"/>
          <w:kern w:val="0"/>
          <w:sz w:val="32"/>
          <w:szCs w:val="32"/>
          <w:highlight w:val="none"/>
          <w:lang w:val="en" w:eastAsia="zh-CN" w:bidi="ar-SA"/>
        </w:rPr>
        <w:t>深刻研判当前形势，</w:t>
      </w:r>
      <w:r>
        <w:rPr>
          <w:rFonts w:hint="default" w:ascii="Times New Roman" w:hAnsi="Times New Roman" w:eastAsia="仿宋_GB2312" w:cs="Times New Roman"/>
          <w:b w:val="0"/>
          <w:bCs/>
          <w:color w:val="auto"/>
          <w:kern w:val="0"/>
          <w:sz w:val="32"/>
          <w:szCs w:val="32"/>
          <w:highlight w:val="none"/>
          <w:lang w:val="en-US" w:eastAsia="zh-CN" w:bidi="ar-SA"/>
        </w:rPr>
        <w:t>既要清醒看到面临的困难，更要看到发展的优势，提振发展信心。</w:t>
      </w:r>
      <w:r>
        <w:rPr>
          <w:rFonts w:hint="default" w:ascii="Times New Roman" w:hAnsi="Times New Roman" w:eastAsia="仿宋_GB2312" w:cs="Times New Roman"/>
          <w:b/>
          <w:bCs w:val="0"/>
          <w:color w:val="auto"/>
          <w:kern w:val="0"/>
          <w:sz w:val="32"/>
          <w:szCs w:val="32"/>
          <w:highlight w:val="none"/>
          <w:lang w:val="en-US" w:eastAsia="zh-CN" w:bidi="ar-SA"/>
        </w:rPr>
        <w:t>着力抓培源。</w:t>
      </w:r>
      <w:r>
        <w:rPr>
          <w:rFonts w:hint="default" w:ascii="Times New Roman" w:hAnsi="Times New Roman" w:eastAsia="仿宋_GB2312" w:cs="Times New Roman"/>
          <w:b w:val="0"/>
          <w:bCs/>
          <w:color w:val="auto"/>
          <w:kern w:val="0"/>
          <w:sz w:val="32"/>
          <w:szCs w:val="32"/>
          <w:highlight w:val="none"/>
          <w:lang w:val="en-US" w:eastAsia="zh-CN" w:bidi="ar-SA"/>
        </w:rPr>
        <w:t>全面落实国家减税降费政策，助力优势企业做大做强，壮大主体税源；强化</w:t>
      </w:r>
      <w:r>
        <w:rPr>
          <w:rFonts w:hint="default" w:ascii="Times New Roman" w:hAnsi="Times New Roman" w:eastAsia="仿宋_GB2312" w:cs="Times New Roman"/>
          <w:b w:val="0"/>
          <w:bCs/>
          <w:color w:val="auto"/>
          <w:kern w:val="0"/>
          <w:sz w:val="32"/>
          <w:szCs w:val="32"/>
          <w:highlight w:val="none"/>
          <w:lang w:val="en" w:eastAsia="zh-CN" w:bidi="ar-SA"/>
        </w:rPr>
        <w:t>“</w:t>
      </w:r>
      <w:r>
        <w:rPr>
          <w:rFonts w:hint="default" w:ascii="Times New Roman" w:hAnsi="Times New Roman" w:eastAsia="仿宋_GB2312" w:cs="Times New Roman"/>
          <w:b w:val="0"/>
          <w:bCs/>
          <w:color w:val="auto"/>
          <w:kern w:val="0"/>
          <w:sz w:val="32"/>
          <w:szCs w:val="32"/>
          <w:highlight w:val="none"/>
          <w:lang w:val="en-US" w:eastAsia="zh-CN" w:bidi="ar-SA"/>
        </w:rPr>
        <w:t>五好园区”建设，扶持</w:t>
      </w:r>
      <w:r>
        <w:rPr>
          <w:rFonts w:hint="default" w:ascii="Times New Roman" w:hAnsi="Times New Roman" w:eastAsia="仿宋_GB2312" w:cs="Times New Roman"/>
          <w:b w:val="0"/>
          <w:bCs/>
          <w:color w:val="auto"/>
          <w:kern w:val="0"/>
          <w:sz w:val="32"/>
          <w:szCs w:val="32"/>
          <w:highlight w:val="none"/>
          <w:lang w:val="en" w:eastAsia="zh-CN" w:bidi="ar-SA"/>
        </w:rPr>
        <w:t>企业上市，</w:t>
      </w:r>
      <w:r>
        <w:rPr>
          <w:rFonts w:hint="default" w:ascii="Times New Roman" w:hAnsi="Times New Roman" w:eastAsia="仿宋_GB2312" w:cs="Times New Roman"/>
          <w:b w:val="0"/>
          <w:bCs/>
          <w:color w:val="auto"/>
          <w:kern w:val="0"/>
          <w:sz w:val="32"/>
          <w:szCs w:val="32"/>
          <w:highlight w:val="none"/>
          <w:lang w:val="en-US" w:eastAsia="zh-CN" w:bidi="ar-SA"/>
        </w:rPr>
        <w:t>支持</w:t>
      </w:r>
      <w:r>
        <w:rPr>
          <w:rFonts w:hint="default" w:ascii="Times New Roman" w:hAnsi="Times New Roman" w:eastAsia="仿宋_GB2312" w:cs="Times New Roman"/>
          <w:b w:val="0"/>
          <w:bCs/>
          <w:color w:val="auto"/>
          <w:kern w:val="0"/>
          <w:sz w:val="32"/>
          <w:szCs w:val="32"/>
          <w:highlight w:val="none"/>
          <w:lang w:val="en" w:eastAsia="zh-CN" w:bidi="ar-SA"/>
        </w:rPr>
        <w:t>招大引强，加快项目落地，提高亩均税收贡献</w:t>
      </w:r>
      <w:r>
        <w:rPr>
          <w:rFonts w:hint="default" w:ascii="Times New Roman" w:hAnsi="Times New Roman" w:eastAsia="仿宋_GB2312" w:cs="Times New Roman"/>
          <w:b w:val="0"/>
          <w:bCs/>
          <w:color w:val="auto"/>
          <w:kern w:val="0"/>
          <w:sz w:val="32"/>
          <w:szCs w:val="32"/>
          <w:highlight w:val="none"/>
          <w:lang w:val="en-US" w:eastAsia="zh-CN" w:bidi="ar-SA"/>
        </w:rPr>
        <w:t>；坚持以税收贡献和培育有效财源为导向，完善产业奖补政策，支持市场主体培育行动，大力发展含税企业，做大总量、提升质量。</w:t>
      </w:r>
      <w:r>
        <w:rPr>
          <w:rFonts w:hint="default" w:ascii="Times New Roman" w:hAnsi="Times New Roman" w:eastAsia="仿宋_GB2312" w:cs="Times New Roman"/>
          <w:b/>
          <w:bCs w:val="0"/>
          <w:color w:val="auto"/>
          <w:kern w:val="0"/>
          <w:sz w:val="32"/>
          <w:szCs w:val="32"/>
          <w:highlight w:val="none"/>
          <w:lang w:val="en-US" w:eastAsia="zh-CN" w:bidi="ar-SA"/>
        </w:rPr>
        <w:t>着力抓增收。</w:t>
      </w:r>
      <w:r>
        <w:rPr>
          <w:rFonts w:hint="default" w:ascii="Times New Roman" w:hAnsi="Times New Roman" w:eastAsia="仿宋_GB2312" w:cs="Times New Roman"/>
          <w:b w:val="0"/>
          <w:bCs/>
          <w:color w:val="auto"/>
          <w:kern w:val="0"/>
          <w:sz w:val="32"/>
          <w:szCs w:val="32"/>
          <w:highlight w:val="none"/>
          <w:lang w:val="en-US" w:eastAsia="zh-CN" w:bidi="ar-SA"/>
        </w:rPr>
        <w:t>进一步量化分解财税预期目标，完善收入分享、目标考核、通报激励制度，巩固和完善领导带头抓、税务部门具体抓、部门镇办协助抓的财源建设“1+8+N”工作机制，激发各级各部门抓收积极性、主动性、自觉性，持续打好区镇协同综合治税“组合拳”，做到“西瓜”“芝麻”一起抓。</w:t>
      </w:r>
      <w:r>
        <w:rPr>
          <w:rFonts w:hint="default" w:ascii="Times New Roman" w:hAnsi="Times New Roman" w:eastAsia="仿宋_GB2312" w:cs="Times New Roman"/>
          <w:b w:val="0"/>
          <w:bCs/>
          <w:color w:val="auto"/>
          <w:kern w:val="0"/>
          <w:sz w:val="32"/>
          <w:szCs w:val="32"/>
          <w:highlight w:val="none"/>
          <w:lang w:val="en" w:eastAsia="zh-CN" w:bidi="ar-SA"/>
        </w:rPr>
        <w:t>加大“三资”盘活力度，激活“沉睡资源”，变资源为财源、变资产为资金，变存量为增量</w:t>
      </w:r>
      <w:r>
        <w:rPr>
          <w:rFonts w:hint="default" w:ascii="Times New Roman" w:hAnsi="Times New Roman" w:eastAsia="仿宋_GB2312" w:cs="Times New Roman"/>
          <w:b w:val="0"/>
          <w:bCs/>
          <w:color w:val="auto"/>
          <w:kern w:val="0"/>
          <w:sz w:val="32"/>
          <w:szCs w:val="32"/>
          <w:highlight w:val="none"/>
          <w:lang w:val="en-US" w:eastAsia="zh-CN" w:bidi="ar-SA"/>
        </w:rPr>
        <w:t>。</w:t>
      </w:r>
      <w:r>
        <w:rPr>
          <w:rFonts w:hint="default" w:ascii="Times New Roman" w:hAnsi="Times New Roman" w:eastAsia="仿宋_GB2312" w:cs="Times New Roman"/>
          <w:b/>
          <w:bCs w:val="0"/>
          <w:color w:val="auto"/>
          <w:kern w:val="0"/>
          <w:sz w:val="32"/>
          <w:szCs w:val="32"/>
          <w:highlight w:val="none"/>
          <w:lang w:val="en-US" w:eastAsia="zh-CN" w:bidi="ar-SA"/>
        </w:rPr>
        <w:t>着力抓争资。</w:t>
      </w:r>
      <w:r>
        <w:rPr>
          <w:rFonts w:hint="default" w:ascii="Times New Roman" w:hAnsi="Times New Roman" w:eastAsia="仿宋_GB2312" w:cs="Times New Roman"/>
          <w:b w:val="0"/>
          <w:bCs/>
          <w:color w:val="auto"/>
          <w:kern w:val="0"/>
          <w:sz w:val="32"/>
          <w:szCs w:val="32"/>
          <w:highlight w:val="none"/>
          <w:lang w:val="en-US" w:eastAsia="zh-CN" w:bidi="ar-SA"/>
        </w:rPr>
        <w:t>把握中央积极的财政政策机遇，加强与上级对接，千方百计争取预算投资、专项债、专项扶持资金等，引导、撬动金融资本和社会投资，减少财政资金投入压力。</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firstLine="640" w:firstLineChars="200"/>
        <w:textAlignment w:val="auto"/>
        <w:rPr>
          <w:rFonts w:hint="default" w:ascii="Times New Roman" w:hAnsi="Times New Roman" w:eastAsia="仿宋_GB2312" w:cs="Times New Roman"/>
          <w:b w:val="0"/>
          <w:bCs/>
          <w:color w:val="auto"/>
          <w:kern w:val="0"/>
          <w:sz w:val="32"/>
          <w:szCs w:val="32"/>
          <w:lang w:val="en" w:eastAsia="zh-CN" w:bidi="ar-SA"/>
        </w:rPr>
      </w:pPr>
      <w:r>
        <w:rPr>
          <w:rFonts w:hint="default" w:ascii="Times New Roman" w:hAnsi="Times New Roman" w:eastAsia="楷体_GB2312" w:cs="Times New Roman"/>
          <w:b w:val="0"/>
          <w:bCs/>
          <w:color w:val="auto"/>
          <w:kern w:val="0"/>
          <w:sz w:val="32"/>
          <w:szCs w:val="32"/>
          <w:highlight w:val="none"/>
          <w:lang w:val="en" w:eastAsia="zh-CN" w:bidi="ar-SA"/>
        </w:rPr>
        <w:t>（二）坚持有保和有压并重，巧做“少米之炊”的“减法”。</w:t>
      </w:r>
      <w:r>
        <w:rPr>
          <w:rFonts w:hint="default" w:ascii="Times New Roman" w:hAnsi="Times New Roman" w:eastAsia="仿宋_GB2312" w:cs="Times New Roman"/>
          <w:b w:val="0"/>
          <w:bCs/>
          <w:color w:val="auto"/>
          <w:kern w:val="0"/>
          <w:sz w:val="32"/>
          <w:szCs w:val="32"/>
          <w:lang w:val="en" w:eastAsia="zh-CN" w:bidi="ar-SA"/>
        </w:rPr>
        <w:t>清醒认识严峻的经济财政形势，进一步强化艰苦奋斗、过“紧日子”的紧迫感和使命感，坚持政策从严、标准从严，着力硬化“过紧日子”措施，建立健全节约型保障机制，</w:t>
      </w:r>
      <w:r>
        <w:rPr>
          <w:rFonts w:hint="default" w:ascii="Times New Roman" w:hAnsi="Times New Roman" w:eastAsia="仿宋_GB2312" w:cs="Times New Roman"/>
          <w:b w:val="0"/>
          <w:bCs/>
          <w:color w:val="auto"/>
          <w:kern w:val="0"/>
          <w:sz w:val="32"/>
          <w:szCs w:val="32"/>
          <w:lang w:val="en-US" w:eastAsia="zh-CN" w:bidi="ar-SA"/>
        </w:rPr>
        <w:t>把有限资金用在刀刃上、紧要处</w:t>
      </w:r>
      <w:r>
        <w:rPr>
          <w:rFonts w:hint="default" w:ascii="Times New Roman" w:hAnsi="Times New Roman" w:eastAsia="仿宋_GB2312" w:cs="Times New Roman"/>
          <w:b w:val="0"/>
          <w:bCs/>
          <w:color w:val="auto"/>
          <w:kern w:val="0"/>
          <w:sz w:val="32"/>
          <w:szCs w:val="32"/>
          <w:lang w:val="en" w:eastAsia="zh-CN" w:bidi="ar-SA"/>
        </w:rPr>
        <w:t>。</w:t>
      </w:r>
      <w:r>
        <w:rPr>
          <w:rFonts w:hint="default" w:ascii="Times New Roman" w:hAnsi="Times New Roman" w:eastAsia="仿宋_GB2312" w:cs="Times New Roman"/>
          <w:b w:val="0"/>
          <w:bCs/>
          <w:color w:val="auto"/>
          <w:kern w:val="0"/>
          <w:sz w:val="32"/>
          <w:szCs w:val="32"/>
          <w:lang w:val="en-US" w:eastAsia="zh-CN" w:bidi="ar-SA"/>
        </w:rPr>
        <w:t>进一步完善零基预算，严格按政策和标准安排人员经费、运转经费，</w:t>
      </w:r>
      <w:r>
        <w:rPr>
          <w:rFonts w:hint="default" w:ascii="Times New Roman" w:hAnsi="Times New Roman" w:eastAsia="仿宋_GB2312" w:cs="Times New Roman"/>
          <w:b w:val="0"/>
          <w:bCs/>
          <w:color w:val="auto"/>
          <w:kern w:val="0"/>
          <w:sz w:val="32"/>
          <w:szCs w:val="32"/>
          <w:lang w:val="en" w:eastAsia="zh-CN" w:bidi="ar-SA"/>
        </w:rPr>
        <w:t>重点规范编外人员经费管理，加强力量整合和统筹，</w:t>
      </w:r>
      <w:r>
        <w:rPr>
          <w:rFonts w:hint="default" w:ascii="Times New Roman" w:hAnsi="Times New Roman" w:eastAsia="仿宋_GB2312" w:cs="Times New Roman"/>
          <w:b w:val="0"/>
          <w:bCs/>
          <w:color w:val="auto"/>
          <w:kern w:val="0"/>
          <w:sz w:val="32"/>
          <w:szCs w:val="32"/>
          <w:lang w:val="en-US" w:eastAsia="zh-CN" w:bidi="ar-SA"/>
        </w:rPr>
        <w:t>杜绝超范围、超标准支出</w:t>
      </w:r>
      <w:r>
        <w:rPr>
          <w:rFonts w:hint="default" w:ascii="Times New Roman" w:hAnsi="Times New Roman" w:eastAsia="仿宋_GB2312" w:cs="Times New Roman"/>
          <w:b w:val="0"/>
          <w:bCs/>
          <w:color w:val="auto"/>
          <w:kern w:val="0"/>
          <w:sz w:val="32"/>
          <w:szCs w:val="32"/>
          <w:lang w:val="en" w:eastAsia="zh-CN" w:bidi="ar-SA"/>
        </w:rPr>
        <w:t>。</w:t>
      </w:r>
      <w:r>
        <w:rPr>
          <w:rFonts w:hint="default" w:ascii="Times New Roman" w:hAnsi="Times New Roman" w:eastAsia="仿宋_GB2312" w:cs="Times New Roman"/>
          <w:b w:val="0"/>
          <w:bCs/>
          <w:color w:val="auto"/>
          <w:kern w:val="0"/>
          <w:sz w:val="32"/>
          <w:szCs w:val="32"/>
          <w:lang w:val="en-US" w:eastAsia="zh-CN" w:bidi="ar-SA"/>
        </w:rPr>
        <w:t>量力而行安排项目经费，</w:t>
      </w:r>
      <w:r>
        <w:rPr>
          <w:rFonts w:hint="default" w:ascii="Times New Roman" w:hAnsi="Times New Roman" w:eastAsia="仿宋_GB2312" w:cs="Times New Roman"/>
          <w:b w:val="0"/>
          <w:bCs/>
          <w:color w:val="auto"/>
          <w:kern w:val="0"/>
          <w:sz w:val="32"/>
          <w:szCs w:val="32"/>
          <w:lang w:val="en" w:eastAsia="zh-CN" w:bidi="ar-SA"/>
        </w:rPr>
        <w:t>将业务性专项并入项目支出，实行分类管理、限额控制。对照上级政策要求，从严规范政府投资项目决策和民生政策评估备案工作，对于区本级出台的支出项目</w:t>
      </w:r>
      <w:r>
        <w:rPr>
          <w:rFonts w:hint="default" w:ascii="Times New Roman" w:hAnsi="Times New Roman" w:eastAsia="仿宋_GB2312" w:cs="Times New Roman"/>
          <w:b w:val="0"/>
          <w:bCs/>
          <w:color w:val="auto"/>
          <w:kern w:val="0"/>
          <w:sz w:val="32"/>
          <w:szCs w:val="32"/>
          <w:lang w:val="en-US" w:eastAsia="zh-CN" w:bidi="ar-SA"/>
        </w:rPr>
        <w:t>予以</w:t>
      </w:r>
      <w:r>
        <w:rPr>
          <w:rFonts w:hint="default" w:ascii="Times New Roman" w:hAnsi="Times New Roman" w:eastAsia="仿宋_GB2312" w:cs="Times New Roman"/>
          <w:b w:val="0"/>
          <w:bCs/>
          <w:color w:val="auto"/>
          <w:kern w:val="0"/>
          <w:sz w:val="32"/>
          <w:szCs w:val="32"/>
          <w:lang w:val="en" w:eastAsia="zh-CN" w:bidi="ar-SA"/>
        </w:rPr>
        <w:t>清理。严格执行《财政资金审批管理暂行办法》和人大批</w:t>
      </w:r>
      <w:r>
        <w:rPr>
          <w:rFonts w:hint="default" w:ascii="Times New Roman" w:hAnsi="Times New Roman" w:eastAsia="仿宋_GB2312" w:cs="Times New Roman"/>
          <w:b w:val="0"/>
          <w:bCs/>
          <w:color w:val="auto"/>
          <w:kern w:val="0"/>
          <w:sz w:val="32"/>
          <w:szCs w:val="32"/>
          <w:lang w:val="en-US" w:eastAsia="zh-CN" w:bidi="ar-SA"/>
        </w:rPr>
        <w:t>准</w:t>
      </w:r>
      <w:r>
        <w:rPr>
          <w:rFonts w:hint="default" w:ascii="Times New Roman" w:hAnsi="Times New Roman" w:eastAsia="仿宋_GB2312" w:cs="Times New Roman"/>
          <w:b w:val="0"/>
          <w:bCs/>
          <w:color w:val="auto"/>
          <w:kern w:val="0"/>
          <w:sz w:val="32"/>
          <w:szCs w:val="32"/>
          <w:lang w:val="en" w:eastAsia="zh-CN" w:bidi="ar-SA"/>
        </w:rPr>
        <w:t>的区级预算，不随意新增支出口子，从严控制二次分配。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仿宋_GB2312" w:cs="Times New Roman"/>
          <w:color w:val="auto"/>
          <w:sz w:val="32"/>
          <w:szCs w:val="32"/>
          <w:lang w:val="en" w:eastAsia="zh-CN"/>
        </w:rPr>
      </w:pPr>
      <w:r>
        <w:rPr>
          <w:rFonts w:hint="default" w:ascii="Times New Roman" w:hAnsi="Times New Roman" w:eastAsia="楷体_GB2312" w:cs="Times New Roman"/>
          <w:b w:val="0"/>
          <w:bCs/>
          <w:color w:val="auto"/>
          <w:kern w:val="0"/>
          <w:sz w:val="32"/>
          <w:szCs w:val="32"/>
          <w:highlight w:val="none"/>
          <w:lang w:val="en" w:eastAsia="zh-CN" w:bidi="ar-SA"/>
        </w:rPr>
        <w:t>（三）坚持守正和创新并立，精做效能提升的“乘法”。</w:t>
      </w:r>
      <w:r>
        <w:rPr>
          <w:rFonts w:hint="default" w:ascii="Times New Roman" w:hAnsi="Times New Roman" w:eastAsia="仿宋_GB2312" w:cs="Times New Roman"/>
          <w:b w:val="0"/>
          <w:bCs/>
          <w:color w:val="auto"/>
          <w:kern w:val="0"/>
          <w:sz w:val="32"/>
          <w:szCs w:val="32"/>
          <w:lang w:val="en-US" w:eastAsia="zh-CN" w:bidi="ar-SA"/>
        </w:rPr>
        <w:t>始终</w:t>
      </w:r>
      <w:r>
        <w:rPr>
          <w:rFonts w:hint="default" w:ascii="Times New Roman" w:hAnsi="Times New Roman" w:eastAsia="仿宋_GB2312" w:cs="Times New Roman"/>
          <w:b w:val="0"/>
          <w:bCs/>
          <w:color w:val="auto"/>
          <w:kern w:val="0"/>
          <w:sz w:val="32"/>
          <w:szCs w:val="32"/>
          <w:highlight w:val="none"/>
          <w:lang w:val="en-US" w:eastAsia="zh-CN" w:bidi="ar-SA"/>
        </w:rPr>
        <w:t>坚持财政现代治理取向，突出问题导向，守正创新，加快财政制</w:t>
      </w:r>
      <w:r>
        <w:rPr>
          <w:rFonts w:hint="default" w:ascii="Times New Roman" w:hAnsi="Times New Roman" w:eastAsia="仿宋_GB2312" w:cs="Times New Roman"/>
          <w:b w:val="0"/>
          <w:bCs/>
          <w:color w:val="auto"/>
          <w:kern w:val="0"/>
          <w:sz w:val="32"/>
          <w:szCs w:val="32"/>
          <w:lang w:val="en-US" w:eastAsia="zh-CN" w:bidi="ar-SA"/>
        </w:rPr>
        <w:t>度重构与再造。</w:t>
      </w:r>
      <w:r>
        <w:rPr>
          <w:rFonts w:hint="default" w:ascii="Times New Roman" w:hAnsi="Times New Roman" w:eastAsia="仿宋_GB2312" w:cs="Times New Roman"/>
          <w:b/>
          <w:bCs w:val="0"/>
          <w:color w:val="auto"/>
          <w:kern w:val="0"/>
          <w:sz w:val="32"/>
          <w:szCs w:val="32"/>
          <w:lang w:val="en" w:eastAsia="zh-CN" w:bidi="ar-SA"/>
        </w:rPr>
        <w:t>构建“大财政”管理格局。</w:t>
      </w:r>
      <w:r>
        <w:rPr>
          <w:rFonts w:hint="default" w:ascii="Times New Roman" w:hAnsi="Times New Roman" w:eastAsia="仿宋_GB2312" w:cs="Times New Roman"/>
          <w:b w:val="0"/>
          <w:bCs/>
          <w:color w:val="auto"/>
          <w:kern w:val="0"/>
          <w:sz w:val="32"/>
          <w:szCs w:val="32"/>
          <w:lang w:val="en" w:eastAsia="zh-CN" w:bidi="ar-SA"/>
        </w:rPr>
        <w:t>按照上级要求，统筹做好收入统缴、资金统筹、账户统管等工作，着重规范征拆资金、用途相近或相同的项目支出管理，整合资源，真正做到全区财政“资金一个池子，标准一把尺子，支出一个口子”，克服多头分散管理弊端。</w:t>
      </w:r>
      <w:r>
        <w:rPr>
          <w:rFonts w:hint="default" w:ascii="Times New Roman" w:hAnsi="Times New Roman" w:eastAsia="仿宋_GB2312" w:cs="Times New Roman"/>
          <w:b/>
          <w:bCs w:val="0"/>
          <w:color w:val="auto"/>
          <w:kern w:val="0"/>
          <w:sz w:val="32"/>
          <w:szCs w:val="32"/>
          <w:lang w:val="en" w:eastAsia="zh-CN" w:bidi="ar-SA"/>
        </w:rPr>
        <w:t>完善财权与事权相匹配的分配体制。</w:t>
      </w:r>
      <w:r>
        <w:rPr>
          <w:rFonts w:hint="default" w:ascii="Times New Roman" w:hAnsi="Times New Roman" w:eastAsia="仿宋_GB2312" w:cs="Times New Roman"/>
          <w:b w:val="0"/>
          <w:bCs/>
          <w:color w:val="auto"/>
          <w:kern w:val="0"/>
          <w:sz w:val="32"/>
          <w:szCs w:val="32"/>
          <w:lang w:val="en" w:eastAsia="zh-CN" w:bidi="ar-SA"/>
        </w:rPr>
        <w:t>坚持和完善财源建设收入分享机制，充分调动基层培源抓收的积极性；</w:t>
      </w:r>
      <w:r>
        <w:rPr>
          <w:rFonts w:hint="default" w:ascii="Times New Roman" w:hAnsi="Times New Roman" w:eastAsia="仿宋_GB2312" w:cs="Times New Roman"/>
          <w:b w:val="0"/>
          <w:bCs/>
          <w:color w:val="auto"/>
          <w:kern w:val="0"/>
          <w:sz w:val="32"/>
          <w:szCs w:val="32"/>
          <w:lang w:val="en-US" w:eastAsia="zh-CN" w:bidi="ar-SA"/>
        </w:rPr>
        <w:t>全面实施</w:t>
      </w:r>
      <w:r>
        <w:rPr>
          <w:rFonts w:hint="default" w:ascii="Times New Roman" w:hAnsi="Times New Roman" w:eastAsia="仿宋_GB2312" w:cs="Times New Roman"/>
          <w:b w:val="0"/>
          <w:bCs/>
          <w:color w:val="auto"/>
          <w:kern w:val="0"/>
          <w:sz w:val="32"/>
          <w:szCs w:val="32"/>
          <w:lang w:val="en" w:eastAsia="zh-CN" w:bidi="ar-SA"/>
        </w:rPr>
        <w:t>镇（街道）在职在编人员工资区级统发</w:t>
      </w:r>
      <w:r>
        <w:rPr>
          <w:rFonts w:hint="default" w:ascii="Times New Roman" w:hAnsi="Times New Roman" w:eastAsia="仿宋_GB2312" w:cs="Times New Roman"/>
          <w:b w:val="0"/>
          <w:bCs/>
          <w:color w:val="auto"/>
          <w:kern w:val="0"/>
          <w:sz w:val="32"/>
          <w:szCs w:val="32"/>
          <w:lang w:val="en-US" w:eastAsia="zh-CN" w:bidi="ar-SA"/>
        </w:rPr>
        <w:t>制度</w:t>
      </w:r>
      <w:r>
        <w:rPr>
          <w:rFonts w:hint="default" w:ascii="Times New Roman" w:hAnsi="Times New Roman" w:eastAsia="仿宋_GB2312" w:cs="Times New Roman"/>
          <w:b w:val="0"/>
          <w:bCs/>
          <w:color w:val="auto"/>
          <w:kern w:val="0"/>
          <w:sz w:val="32"/>
          <w:szCs w:val="32"/>
          <w:lang w:val="en" w:eastAsia="zh-CN" w:bidi="ar-SA"/>
        </w:rPr>
        <w:t>；坚持“事权与财权匹配”“谁合适谁管”的原则，进一步理清部门与部门、部门与镇办的责任边界，规范财随事转的预算机制。</w:t>
      </w:r>
      <w:r>
        <w:rPr>
          <w:rFonts w:hint="default" w:ascii="Times New Roman" w:hAnsi="Times New Roman" w:eastAsia="仿宋_GB2312" w:cs="Times New Roman"/>
          <w:b/>
          <w:bCs w:val="0"/>
          <w:color w:val="auto"/>
          <w:kern w:val="0"/>
          <w:sz w:val="32"/>
          <w:szCs w:val="32"/>
          <w:lang w:val="en" w:eastAsia="zh-CN" w:bidi="ar-SA"/>
        </w:rPr>
        <w:t>建立全方位全过程的财政监督机制。</w:t>
      </w:r>
      <w:r>
        <w:rPr>
          <w:rFonts w:hint="default" w:ascii="Times New Roman" w:hAnsi="Times New Roman" w:eastAsia="仿宋_GB2312" w:cs="Times New Roman"/>
          <w:b w:val="0"/>
          <w:bCs/>
          <w:color w:val="auto"/>
          <w:kern w:val="0"/>
          <w:sz w:val="32"/>
          <w:szCs w:val="32"/>
          <w:lang w:val="en" w:eastAsia="zh-CN" w:bidi="ar-SA"/>
        </w:rPr>
        <w:t>积极推动国库集中支付改革扩面提质，加快完善政府采购、政府购买服务、绩效评价等制度，开展常态化的</w:t>
      </w:r>
      <w:r>
        <w:rPr>
          <w:rFonts w:hint="default" w:ascii="Times New Roman" w:hAnsi="Times New Roman" w:eastAsia="仿宋_GB2312" w:cs="Times New Roman"/>
          <w:b w:val="0"/>
          <w:bCs/>
          <w:color w:val="auto"/>
          <w:kern w:val="0"/>
          <w:sz w:val="32"/>
          <w:szCs w:val="32"/>
          <w:lang w:val="en-US" w:eastAsia="zh-CN" w:bidi="ar-SA"/>
        </w:rPr>
        <w:t>会计监督检查</w:t>
      </w:r>
      <w:r>
        <w:rPr>
          <w:rFonts w:hint="default" w:ascii="Times New Roman" w:hAnsi="Times New Roman" w:eastAsia="仿宋_GB2312" w:cs="Times New Roman"/>
          <w:b w:val="0"/>
          <w:bCs/>
          <w:color w:val="auto"/>
          <w:kern w:val="0"/>
          <w:sz w:val="32"/>
          <w:szCs w:val="32"/>
          <w:lang w:val="en" w:eastAsia="zh-CN" w:bidi="ar-SA"/>
        </w:rPr>
        <w:t>，加强与纪委监委、巡察、审计等部门联动，严肃查处违规行为，</w:t>
      </w:r>
      <w:r>
        <w:rPr>
          <w:rFonts w:hint="default" w:ascii="Times New Roman" w:hAnsi="Times New Roman" w:eastAsia="仿宋_GB2312" w:cs="Times New Roman"/>
          <w:b w:val="0"/>
          <w:bCs/>
          <w:color w:val="auto"/>
          <w:kern w:val="0"/>
          <w:sz w:val="32"/>
          <w:szCs w:val="32"/>
          <w:lang w:val="en-US" w:eastAsia="zh-CN" w:bidi="ar-SA"/>
        </w:rPr>
        <w:t>强化整章建制，把纪律立起来、严起来</w:t>
      </w:r>
      <w:r>
        <w:rPr>
          <w:rFonts w:hint="default" w:ascii="Times New Roman" w:hAnsi="Times New Roman" w:eastAsia="仿宋_GB2312" w:cs="Times New Roman"/>
          <w:b w:val="0"/>
          <w:bCs/>
          <w:color w:val="auto"/>
          <w:kern w:val="0"/>
          <w:sz w:val="32"/>
          <w:szCs w:val="32"/>
          <w:lang w:val="en" w:eastAsia="zh-CN" w:bidi="ar-SA"/>
        </w:rPr>
        <w:t>。</w:t>
      </w:r>
      <w:r>
        <w:rPr>
          <w:rFonts w:hint="default" w:ascii="Times New Roman" w:hAnsi="Times New Roman" w:eastAsia="仿宋_GB2312" w:cs="Times New Roman"/>
          <w:color w:val="auto"/>
          <w:sz w:val="32"/>
          <w:szCs w:val="32"/>
          <w:lang w:val="en-US" w:eastAsia="zh-CN"/>
        </w:rPr>
        <w:t>积极落实人大预算联网监督、国有资产管理报告、互联网+监督等制度，主动接受人大监督以及审计监督、社会监督。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仿宋_GB2312" w:cs="Times New Roman"/>
          <w:color w:val="auto"/>
          <w:sz w:val="32"/>
          <w:szCs w:val="32"/>
          <w:lang w:val="en" w:eastAsia="zh-CN"/>
        </w:rPr>
      </w:pPr>
      <w:r>
        <w:rPr>
          <w:rFonts w:hint="default" w:ascii="Times New Roman" w:hAnsi="Times New Roman" w:eastAsia="楷体_GB2312" w:cs="Times New Roman"/>
          <w:b w:val="0"/>
          <w:bCs/>
          <w:color w:val="auto"/>
          <w:kern w:val="0"/>
          <w:sz w:val="32"/>
          <w:szCs w:val="32"/>
          <w:highlight w:val="none"/>
          <w:lang w:val="en" w:eastAsia="zh-CN" w:bidi="ar-SA"/>
        </w:rPr>
        <w:t>（四）坚持</w:t>
      </w:r>
      <w:r>
        <w:rPr>
          <w:rFonts w:hint="default" w:ascii="Times New Roman" w:hAnsi="Times New Roman" w:eastAsia="楷体_GB2312" w:cs="Times New Roman"/>
          <w:b w:val="0"/>
          <w:bCs/>
          <w:color w:val="auto"/>
          <w:kern w:val="0"/>
          <w:sz w:val="32"/>
          <w:szCs w:val="32"/>
          <w:highlight w:val="none"/>
          <w:lang w:val="en-US" w:eastAsia="zh-CN" w:bidi="ar-SA"/>
        </w:rPr>
        <w:t>安全</w:t>
      </w:r>
      <w:r>
        <w:rPr>
          <w:rFonts w:hint="default" w:ascii="Times New Roman" w:hAnsi="Times New Roman" w:eastAsia="楷体_GB2312" w:cs="Times New Roman"/>
          <w:b w:val="0"/>
          <w:bCs/>
          <w:color w:val="auto"/>
          <w:kern w:val="0"/>
          <w:sz w:val="32"/>
          <w:szCs w:val="32"/>
          <w:highlight w:val="none"/>
          <w:lang w:val="en" w:eastAsia="zh-CN" w:bidi="ar-SA"/>
        </w:rPr>
        <w:t>和</w:t>
      </w:r>
      <w:r>
        <w:rPr>
          <w:rFonts w:hint="default" w:ascii="Times New Roman" w:hAnsi="Times New Roman" w:eastAsia="楷体_GB2312" w:cs="Times New Roman"/>
          <w:b w:val="0"/>
          <w:bCs/>
          <w:color w:val="auto"/>
          <w:kern w:val="0"/>
          <w:sz w:val="32"/>
          <w:szCs w:val="32"/>
          <w:highlight w:val="none"/>
          <w:lang w:val="en-US" w:eastAsia="zh-CN" w:bidi="ar-SA"/>
        </w:rPr>
        <w:t>发展</w:t>
      </w:r>
      <w:r>
        <w:rPr>
          <w:rFonts w:hint="default" w:ascii="Times New Roman" w:hAnsi="Times New Roman" w:eastAsia="楷体_GB2312" w:cs="Times New Roman"/>
          <w:b w:val="0"/>
          <w:bCs/>
          <w:color w:val="auto"/>
          <w:kern w:val="0"/>
          <w:sz w:val="32"/>
          <w:szCs w:val="32"/>
          <w:highlight w:val="none"/>
          <w:lang w:val="en" w:eastAsia="zh-CN" w:bidi="ar-SA"/>
        </w:rPr>
        <w:t>并进，实做化债工作的“除法”</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全面贯彻上级化债政策精神，</w:t>
      </w:r>
      <w:r>
        <w:rPr>
          <w:rFonts w:hint="default" w:ascii="Times New Roman" w:hAnsi="Times New Roman" w:eastAsia="仿宋_GB2312" w:cs="Times New Roman"/>
          <w:color w:val="auto"/>
          <w:sz w:val="32"/>
          <w:szCs w:val="32"/>
          <w:lang w:val="en" w:eastAsia="zh-CN"/>
        </w:rPr>
        <w:t>加强债务预判预警，做到早谋划、早部署、早行动。</w:t>
      </w:r>
      <w:r>
        <w:rPr>
          <w:rFonts w:hint="default" w:ascii="Times New Roman" w:hAnsi="Times New Roman" w:eastAsia="仿宋_GB2312" w:cs="Times New Roman"/>
          <w:color w:val="auto"/>
          <w:sz w:val="32"/>
          <w:szCs w:val="32"/>
          <w:lang w:val="en-US" w:eastAsia="zh-CN"/>
        </w:rPr>
        <w:t>坚决遏制增量，化解存量，</w:t>
      </w:r>
      <w:r>
        <w:rPr>
          <w:rFonts w:hint="default" w:ascii="Times New Roman" w:hAnsi="Times New Roman" w:eastAsia="仿宋_GB2312" w:cs="Times New Roman"/>
          <w:color w:val="auto"/>
          <w:sz w:val="32"/>
          <w:szCs w:val="32"/>
          <w:lang w:val="en" w:eastAsia="zh-CN"/>
        </w:rPr>
        <w:t>降低债务率，打好风险防范主动仗。要努力做好增加税收收入、加大土地出让、盘活资产资源、加大股权经营等文章，想方设法做大收入盘子；积极抓</w:t>
      </w:r>
      <w:r>
        <w:rPr>
          <w:rFonts w:hint="default" w:ascii="Times New Roman" w:hAnsi="Times New Roman" w:eastAsia="仿宋_GB2312" w:cs="Times New Roman"/>
          <w:color w:val="auto"/>
          <w:sz w:val="32"/>
          <w:szCs w:val="32"/>
          <w:lang w:val="en-US" w:eastAsia="zh-CN"/>
        </w:rPr>
        <w:t>住</w:t>
      </w:r>
      <w:r>
        <w:rPr>
          <w:rFonts w:hint="default" w:ascii="Times New Roman" w:hAnsi="Times New Roman" w:eastAsia="仿宋_GB2312" w:cs="Times New Roman"/>
          <w:color w:val="auto"/>
          <w:sz w:val="32"/>
          <w:szCs w:val="32"/>
          <w:lang w:val="en" w:eastAsia="zh-CN"/>
        </w:rPr>
        <w:t>改革窗口期，加快公司转型升级，以时间换空间，平稳化解债务风险。保持融资渠道畅通，积极筹集化债资金，有效化解存量债务；积极</w:t>
      </w:r>
      <w:r>
        <w:rPr>
          <w:rFonts w:hint="default" w:ascii="Times New Roman" w:hAnsi="Times New Roman" w:eastAsia="仿宋_GB2312" w:cs="Times New Roman"/>
          <w:color w:val="auto"/>
          <w:sz w:val="32"/>
          <w:szCs w:val="32"/>
          <w:lang w:val="en-US" w:eastAsia="zh-CN"/>
        </w:rPr>
        <w:t>研</w:t>
      </w:r>
      <w:r>
        <w:rPr>
          <w:rFonts w:hint="default" w:ascii="Times New Roman" w:hAnsi="Times New Roman" w:eastAsia="仿宋_GB2312" w:cs="Times New Roman"/>
          <w:color w:val="auto"/>
          <w:sz w:val="32"/>
          <w:szCs w:val="32"/>
          <w:lang w:val="en" w:eastAsia="zh-CN"/>
        </w:rPr>
        <w:t>究</w:t>
      </w:r>
      <w:r>
        <w:rPr>
          <w:rFonts w:hint="default" w:ascii="Times New Roman" w:hAnsi="Times New Roman" w:eastAsia="仿宋_GB2312" w:cs="Times New Roman"/>
          <w:color w:val="auto"/>
          <w:sz w:val="32"/>
          <w:szCs w:val="32"/>
          <w:lang w:val="en-US" w:eastAsia="zh-CN"/>
        </w:rPr>
        <w:t>债务</w:t>
      </w:r>
      <w:r>
        <w:rPr>
          <w:rFonts w:hint="default" w:ascii="Times New Roman" w:hAnsi="Times New Roman" w:eastAsia="仿宋_GB2312" w:cs="Times New Roman"/>
          <w:color w:val="auto"/>
          <w:sz w:val="32"/>
          <w:szCs w:val="32"/>
          <w:lang w:val="en" w:eastAsia="zh-CN"/>
        </w:rPr>
        <w:t>化解重大政策，拓展融资市场，引进战略投资者，加快债务置换，进一步优化债务结构，降低债务成本。</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位代表，肩负新使命，踏上新征程。让我们在工委、管委会、区委的坚强领导和区人大、政协的监督支持下，踔厉奋发，真抓实干，加快推进财政治理体系和治理能力现代化建设，为“营造活力高新，建设现代天元”贡献财政力量。</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DF1C9"/>
    <w:multiLevelType w:val="singleLevel"/>
    <w:tmpl w:val="BE6DF1C9"/>
    <w:lvl w:ilvl="0" w:tentative="0">
      <w:start w:val="3"/>
      <w:numFmt w:val="chineseCounting"/>
      <w:suff w:val="nothing"/>
      <w:lvlText w:val="%1、"/>
      <w:lvlJc w:val="left"/>
      <w:pPr>
        <w:ind w:left="-10"/>
      </w:pPr>
      <w:rPr>
        <w:rFonts w:hint="eastAsia"/>
      </w:rPr>
    </w:lvl>
  </w:abstractNum>
  <w:abstractNum w:abstractNumId="1">
    <w:nsid w:val="42AC3F21"/>
    <w:multiLevelType w:val="singleLevel"/>
    <w:tmpl w:val="42AC3F2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MzFlMjkyM2E4ZWY2ZWUyMzVhMzE0OGNjZTEyODAifQ=="/>
  </w:docVars>
  <w:rsids>
    <w:rsidRoot w:val="19B51015"/>
    <w:rsid w:val="01A02C70"/>
    <w:rsid w:val="029701F6"/>
    <w:rsid w:val="034E1979"/>
    <w:rsid w:val="053A7903"/>
    <w:rsid w:val="07B34CF2"/>
    <w:rsid w:val="08FF6855"/>
    <w:rsid w:val="0BA76893"/>
    <w:rsid w:val="0BC67047"/>
    <w:rsid w:val="0C587423"/>
    <w:rsid w:val="0C764D8B"/>
    <w:rsid w:val="0C9E33A9"/>
    <w:rsid w:val="0DBE2C33"/>
    <w:rsid w:val="0DFE7D03"/>
    <w:rsid w:val="0E367D3F"/>
    <w:rsid w:val="0EC97A29"/>
    <w:rsid w:val="0FE2A50B"/>
    <w:rsid w:val="10B70CCB"/>
    <w:rsid w:val="113A4A2C"/>
    <w:rsid w:val="114120C9"/>
    <w:rsid w:val="11E044D7"/>
    <w:rsid w:val="11EB9B4D"/>
    <w:rsid w:val="1284299B"/>
    <w:rsid w:val="1321015B"/>
    <w:rsid w:val="1400788F"/>
    <w:rsid w:val="14826184"/>
    <w:rsid w:val="158A648F"/>
    <w:rsid w:val="160A26DF"/>
    <w:rsid w:val="183F7D8A"/>
    <w:rsid w:val="19B51015"/>
    <w:rsid w:val="1A42165B"/>
    <w:rsid w:val="1A591C30"/>
    <w:rsid w:val="1A77930F"/>
    <w:rsid w:val="1AAF1212"/>
    <w:rsid w:val="1B9211AC"/>
    <w:rsid w:val="1C525B36"/>
    <w:rsid w:val="1C68238E"/>
    <w:rsid w:val="1DFAE26A"/>
    <w:rsid w:val="1EAF0D1C"/>
    <w:rsid w:val="1ECA3253"/>
    <w:rsid w:val="1EED08D5"/>
    <w:rsid w:val="1F376970"/>
    <w:rsid w:val="1F3B30EF"/>
    <w:rsid w:val="1F8372E3"/>
    <w:rsid w:val="1FAA3C51"/>
    <w:rsid w:val="1FFF1381"/>
    <w:rsid w:val="207313C1"/>
    <w:rsid w:val="208F5125"/>
    <w:rsid w:val="20E24817"/>
    <w:rsid w:val="21DC1483"/>
    <w:rsid w:val="23EB2A72"/>
    <w:rsid w:val="249F6365"/>
    <w:rsid w:val="25AC5561"/>
    <w:rsid w:val="263F68B1"/>
    <w:rsid w:val="264107B5"/>
    <w:rsid w:val="26D00A6D"/>
    <w:rsid w:val="28FD67FF"/>
    <w:rsid w:val="2A88C687"/>
    <w:rsid w:val="2C2440D8"/>
    <w:rsid w:val="2D6F7E74"/>
    <w:rsid w:val="2E6C11DA"/>
    <w:rsid w:val="2F815B0B"/>
    <w:rsid w:val="2FBFCBD1"/>
    <w:rsid w:val="2FDE2A93"/>
    <w:rsid w:val="2FEF6E3A"/>
    <w:rsid w:val="2FF5D69B"/>
    <w:rsid w:val="30DF78AD"/>
    <w:rsid w:val="31D56941"/>
    <w:rsid w:val="31DE4FB0"/>
    <w:rsid w:val="32FF2CBB"/>
    <w:rsid w:val="33905AD4"/>
    <w:rsid w:val="35C1131B"/>
    <w:rsid w:val="35C3492C"/>
    <w:rsid w:val="36D432DE"/>
    <w:rsid w:val="36D82D46"/>
    <w:rsid w:val="37D29CF2"/>
    <w:rsid w:val="38D11AE7"/>
    <w:rsid w:val="394E689C"/>
    <w:rsid w:val="3A434940"/>
    <w:rsid w:val="3AD60058"/>
    <w:rsid w:val="3AE1A67F"/>
    <w:rsid w:val="3B7E5387"/>
    <w:rsid w:val="3BED175B"/>
    <w:rsid w:val="3C1F04D1"/>
    <w:rsid w:val="3C517425"/>
    <w:rsid w:val="3CAE74B6"/>
    <w:rsid w:val="3D944D1C"/>
    <w:rsid w:val="3E2D328B"/>
    <w:rsid w:val="3EB5502E"/>
    <w:rsid w:val="3ECB219F"/>
    <w:rsid w:val="3EFBD16A"/>
    <w:rsid w:val="3EFFDD31"/>
    <w:rsid w:val="3F7153F9"/>
    <w:rsid w:val="3FCF94BE"/>
    <w:rsid w:val="3FD7D7C6"/>
    <w:rsid w:val="3FDDA021"/>
    <w:rsid w:val="3FEF0E0F"/>
    <w:rsid w:val="3FEF7392"/>
    <w:rsid w:val="3FF77C7F"/>
    <w:rsid w:val="3FFF7667"/>
    <w:rsid w:val="40DD051E"/>
    <w:rsid w:val="41674CBD"/>
    <w:rsid w:val="41C10754"/>
    <w:rsid w:val="41D972EC"/>
    <w:rsid w:val="43CF15B3"/>
    <w:rsid w:val="43DC6329"/>
    <w:rsid w:val="44662566"/>
    <w:rsid w:val="451A3920"/>
    <w:rsid w:val="45E44B9D"/>
    <w:rsid w:val="47679B60"/>
    <w:rsid w:val="479C4FDD"/>
    <w:rsid w:val="47A92B9F"/>
    <w:rsid w:val="4A2B43F6"/>
    <w:rsid w:val="4B1138F1"/>
    <w:rsid w:val="4B5034ED"/>
    <w:rsid w:val="4C1F1ACC"/>
    <w:rsid w:val="4E0B69DA"/>
    <w:rsid w:val="4E406317"/>
    <w:rsid w:val="4E638D4A"/>
    <w:rsid w:val="4E82213A"/>
    <w:rsid w:val="4EDE4040"/>
    <w:rsid w:val="4EE9CCE9"/>
    <w:rsid w:val="4EFE2448"/>
    <w:rsid w:val="507E03DE"/>
    <w:rsid w:val="53166A5A"/>
    <w:rsid w:val="533D3909"/>
    <w:rsid w:val="538A2683"/>
    <w:rsid w:val="54CD5493"/>
    <w:rsid w:val="55E815DA"/>
    <w:rsid w:val="55FD0856"/>
    <w:rsid w:val="564162D0"/>
    <w:rsid w:val="56720555"/>
    <w:rsid w:val="577B4E1E"/>
    <w:rsid w:val="577FE1E7"/>
    <w:rsid w:val="57850F92"/>
    <w:rsid w:val="57AF26E3"/>
    <w:rsid w:val="57B31619"/>
    <w:rsid w:val="58AB4C1D"/>
    <w:rsid w:val="58F13D00"/>
    <w:rsid w:val="597F4857"/>
    <w:rsid w:val="59B863D7"/>
    <w:rsid w:val="59BBFC54"/>
    <w:rsid w:val="59DD84E8"/>
    <w:rsid w:val="5A6A4571"/>
    <w:rsid w:val="5AF73FD1"/>
    <w:rsid w:val="5B39D377"/>
    <w:rsid w:val="5B490C9B"/>
    <w:rsid w:val="5BA2B1FE"/>
    <w:rsid w:val="5BF058EB"/>
    <w:rsid w:val="5C572DBC"/>
    <w:rsid w:val="5D0946D4"/>
    <w:rsid w:val="5DBB57E5"/>
    <w:rsid w:val="5DF72B96"/>
    <w:rsid w:val="5E541D16"/>
    <w:rsid w:val="5EFF30A9"/>
    <w:rsid w:val="5F256C75"/>
    <w:rsid w:val="5F504F85"/>
    <w:rsid w:val="5F9BEF2D"/>
    <w:rsid w:val="5F9F7F2A"/>
    <w:rsid w:val="601604CC"/>
    <w:rsid w:val="601E170D"/>
    <w:rsid w:val="610619ED"/>
    <w:rsid w:val="61477D3A"/>
    <w:rsid w:val="61F8309D"/>
    <w:rsid w:val="63422A85"/>
    <w:rsid w:val="638B4C60"/>
    <w:rsid w:val="63FAE0C1"/>
    <w:rsid w:val="64306999"/>
    <w:rsid w:val="64453B98"/>
    <w:rsid w:val="667A0BE2"/>
    <w:rsid w:val="66B792E7"/>
    <w:rsid w:val="67FE216B"/>
    <w:rsid w:val="68242B3B"/>
    <w:rsid w:val="68AA137B"/>
    <w:rsid w:val="69D7E6CD"/>
    <w:rsid w:val="6A1231B1"/>
    <w:rsid w:val="6AF7BCCC"/>
    <w:rsid w:val="6BD9778B"/>
    <w:rsid w:val="6BFF4F2F"/>
    <w:rsid w:val="6C4B73ED"/>
    <w:rsid w:val="6D8A12B0"/>
    <w:rsid w:val="6DA106DD"/>
    <w:rsid w:val="6DD72636"/>
    <w:rsid w:val="6EB16E7A"/>
    <w:rsid w:val="6EDFF284"/>
    <w:rsid w:val="6F5FB026"/>
    <w:rsid w:val="6FBD5384"/>
    <w:rsid w:val="6FBEA7EA"/>
    <w:rsid w:val="6FDD35BC"/>
    <w:rsid w:val="6FDF335D"/>
    <w:rsid w:val="6FF50F1E"/>
    <w:rsid w:val="6FF74B63"/>
    <w:rsid w:val="6FFD2451"/>
    <w:rsid w:val="706225DA"/>
    <w:rsid w:val="70EF6A51"/>
    <w:rsid w:val="71D9C59A"/>
    <w:rsid w:val="724D1E21"/>
    <w:rsid w:val="72ED4B0F"/>
    <w:rsid w:val="739EE6B1"/>
    <w:rsid w:val="73CD1FD4"/>
    <w:rsid w:val="73EFFA1D"/>
    <w:rsid w:val="73FF690F"/>
    <w:rsid w:val="74FFCD4D"/>
    <w:rsid w:val="766B578C"/>
    <w:rsid w:val="76B12AA0"/>
    <w:rsid w:val="76BC7A78"/>
    <w:rsid w:val="76D338C0"/>
    <w:rsid w:val="76E17887"/>
    <w:rsid w:val="777D8C78"/>
    <w:rsid w:val="77B7B5C0"/>
    <w:rsid w:val="77FD3522"/>
    <w:rsid w:val="77FEAC11"/>
    <w:rsid w:val="78574485"/>
    <w:rsid w:val="78D15FE5"/>
    <w:rsid w:val="793F0211"/>
    <w:rsid w:val="79506E7A"/>
    <w:rsid w:val="79AC6672"/>
    <w:rsid w:val="79BB0459"/>
    <w:rsid w:val="7A7F7D0D"/>
    <w:rsid w:val="7ADFCD5A"/>
    <w:rsid w:val="7AFF44E3"/>
    <w:rsid w:val="7B8B252C"/>
    <w:rsid w:val="7BBBC31E"/>
    <w:rsid w:val="7BCF40E5"/>
    <w:rsid w:val="7C663F54"/>
    <w:rsid w:val="7C902230"/>
    <w:rsid w:val="7CEF10D3"/>
    <w:rsid w:val="7CFDC81A"/>
    <w:rsid w:val="7D3F963F"/>
    <w:rsid w:val="7DAA6E48"/>
    <w:rsid w:val="7DFB48BB"/>
    <w:rsid w:val="7DFEDE0B"/>
    <w:rsid w:val="7DFF253D"/>
    <w:rsid w:val="7DFF80A2"/>
    <w:rsid w:val="7E1DF370"/>
    <w:rsid w:val="7E7EDB12"/>
    <w:rsid w:val="7E9B6335"/>
    <w:rsid w:val="7EBFA5B0"/>
    <w:rsid w:val="7EF7126D"/>
    <w:rsid w:val="7EFD8AFA"/>
    <w:rsid w:val="7EFF1C63"/>
    <w:rsid w:val="7EFFB524"/>
    <w:rsid w:val="7F371459"/>
    <w:rsid w:val="7F37EEEF"/>
    <w:rsid w:val="7F3A4ABA"/>
    <w:rsid w:val="7F768D70"/>
    <w:rsid w:val="7F77B8C9"/>
    <w:rsid w:val="7F7A15BB"/>
    <w:rsid w:val="7F7D5D79"/>
    <w:rsid w:val="7F7E7A80"/>
    <w:rsid w:val="7F97F4DF"/>
    <w:rsid w:val="7F9B92A8"/>
    <w:rsid w:val="7FAFA3BA"/>
    <w:rsid w:val="7FB6176A"/>
    <w:rsid w:val="7FBEEEDA"/>
    <w:rsid w:val="7FBF5DFB"/>
    <w:rsid w:val="7FD472D3"/>
    <w:rsid w:val="7FDD558D"/>
    <w:rsid w:val="7FE026A5"/>
    <w:rsid w:val="7FEBCD8C"/>
    <w:rsid w:val="7FED858A"/>
    <w:rsid w:val="7FFBC2AA"/>
    <w:rsid w:val="7FFD0C93"/>
    <w:rsid w:val="7FFD6429"/>
    <w:rsid w:val="7FFDA0FA"/>
    <w:rsid w:val="7FFF1D11"/>
    <w:rsid w:val="7FFF7579"/>
    <w:rsid w:val="7FFF8D79"/>
    <w:rsid w:val="7FFFF1E5"/>
    <w:rsid w:val="875823BB"/>
    <w:rsid w:val="89FED14A"/>
    <w:rsid w:val="8FEDE53F"/>
    <w:rsid w:val="8FFDCA56"/>
    <w:rsid w:val="91EB4E19"/>
    <w:rsid w:val="947B4F51"/>
    <w:rsid w:val="96FF49DB"/>
    <w:rsid w:val="97EC8D2D"/>
    <w:rsid w:val="993F3CBC"/>
    <w:rsid w:val="99BB287F"/>
    <w:rsid w:val="9BFFD0F3"/>
    <w:rsid w:val="9E93C1F9"/>
    <w:rsid w:val="9F7BE17F"/>
    <w:rsid w:val="9FB9DDBC"/>
    <w:rsid w:val="9FFD99BA"/>
    <w:rsid w:val="A8F387EA"/>
    <w:rsid w:val="AB36DFC1"/>
    <w:rsid w:val="ADF81E1E"/>
    <w:rsid w:val="AE6B0111"/>
    <w:rsid w:val="AE7F6A6A"/>
    <w:rsid w:val="AFF35E6E"/>
    <w:rsid w:val="B5FB9A80"/>
    <w:rsid w:val="B65FD8C9"/>
    <w:rsid w:val="B7FBCEC9"/>
    <w:rsid w:val="B962391F"/>
    <w:rsid w:val="BBBFBF1C"/>
    <w:rsid w:val="BBC736E9"/>
    <w:rsid w:val="BBFFB568"/>
    <w:rsid w:val="BEBB69C7"/>
    <w:rsid w:val="BEFDBA05"/>
    <w:rsid w:val="BF9F7662"/>
    <w:rsid w:val="BFFF1DCA"/>
    <w:rsid w:val="C4FF0227"/>
    <w:rsid w:val="C5E6A08E"/>
    <w:rsid w:val="C63F5152"/>
    <w:rsid w:val="C9EF6F34"/>
    <w:rsid w:val="CABF0E4B"/>
    <w:rsid w:val="CBFFF4CB"/>
    <w:rsid w:val="CDDBD529"/>
    <w:rsid w:val="CF0E0B09"/>
    <w:rsid w:val="CF184971"/>
    <w:rsid w:val="CF5F6612"/>
    <w:rsid w:val="D5FDA6EF"/>
    <w:rsid w:val="D6E7C49B"/>
    <w:rsid w:val="DBBD8607"/>
    <w:rsid w:val="DBBF2B8F"/>
    <w:rsid w:val="DBF71070"/>
    <w:rsid w:val="DC9F0AC5"/>
    <w:rsid w:val="DDFF781C"/>
    <w:rsid w:val="DDFFE4E0"/>
    <w:rsid w:val="DF574638"/>
    <w:rsid w:val="DF7F9E63"/>
    <w:rsid w:val="DFAC0E7C"/>
    <w:rsid w:val="DFB7DB6B"/>
    <w:rsid w:val="DFDDDE1C"/>
    <w:rsid w:val="DFFA01C6"/>
    <w:rsid w:val="DFFF555F"/>
    <w:rsid w:val="DFFF807E"/>
    <w:rsid w:val="E287A191"/>
    <w:rsid w:val="E3CFC2BA"/>
    <w:rsid w:val="E5FF9585"/>
    <w:rsid w:val="E77F0450"/>
    <w:rsid w:val="E7FB8D65"/>
    <w:rsid w:val="E7FCB1B5"/>
    <w:rsid w:val="E9FF047F"/>
    <w:rsid w:val="EB7F59CD"/>
    <w:rsid w:val="EBBF5B0E"/>
    <w:rsid w:val="EBFF2C1F"/>
    <w:rsid w:val="ED7E85FB"/>
    <w:rsid w:val="EE78EF09"/>
    <w:rsid w:val="EF7FF4FD"/>
    <w:rsid w:val="EFC7ACEF"/>
    <w:rsid w:val="EFDBF390"/>
    <w:rsid w:val="EFDBF8D2"/>
    <w:rsid w:val="EFE7E2B4"/>
    <w:rsid w:val="EFF1699E"/>
    <w:rsid w:val="EFFFCA58"/>
    <w:rsid w:val="F27FEC55"/>
    <w:rsid w:val="F3F90851"/>
    <w:rsid w:val="F3FF5F12"/>
    <w:rsid w:val="F3FFC20D"/>
    <w:rsid w:val="F497D3D7"/>
    <w:rsid w:val="F4BFF1E8"/>
    <w:rsid w:val="F6BB3E50"/>
    <w:rsid w:val="F77BE3A9"/>
    <w:rsid w:val="F77EF5ED"/>
    <w:rsid w:val="F79B9C64"/>
    <w:rsid w:val="F79BE4DD"/>
    <w:rsid w:val="F7AC0B13"/>
    <w:rsid w:val="F7DF87F4"/>
    <w:rsid w:val="F7EEB9BF"/>
    <w:rsid w:val="F8E7ABFB"/>
    <w:rsid w:val="F9766C90"/>
    <w:rsid w:val="F9FBACB1"/>
    <w:rsid w:val="FA3A632F"/>
    <w:rsid w:val="FAFC18EE"/>
    <w:rsid w:val="FBB1FE23"/>
    <w:rsid w:val="FBBD7D27"/>
    <w:rsid w:val="FBDD463C"/>
    <w:rsid w:val="FBF62AFE"/>
    <w:rsid w:val="FBFF4398"/>
    <w:rsid w:val="FC646359"/>
    <w:rsid w:val="FC923804"/>
    <w:rsid w:val="FD1DB7B5"/>
    <w:rsid w:val="FD252143"/>
    <w:rsid w:val="FD7D86B0"/>
    <w:rsid w:val="FD9E05BD"/>
    <w:rsid w:val="FDA804F0"/>
    <w:rsid w:val="FDB9BFE0"/>
    <w:rsid w:val="FDF7158E"/>
    <w:rsid w:val="FDFA4B57"/>
    <w:rsid w:val="FE1F5015"/>
    <w:rsid w:val="FEBC088B"/>
    <w:rsid w:val="FED7A7FC"/>
    <w:rsid w:val="FEDBC7BC"/>
    <w:rsid w:val="FEDF26C1"/>
    <w:rsid w:val="FEF70892"/>
    <w:rsid w:val="FF2B9434"/>
    <w:rsid w:val="FF3F1AAE"/>
    <w:rsid w:val="FF3F40DE"/>
    <w:rsid w:val="FF6DC92F"/>
    <w:rsid w:val="FF6F1225"/>
    <w:rsid w:val="FF76C6BA"/>
    <w:rsid w:val="FF7BE1F3"/>
    <w:rsid w:val="FF9FB970"/>
    <w:rsid w:val="FFAF1C58"/>
    <w:rsid w:val="FFB33539"/>
    <w:rsid w:val="FFDD0C5B"/>
    <w:rsid w:val="FFDF4CFF"/>
    <w:rsid w:val="FFDF75EC"/>
    <w:rsid w:val="FFE7B3AD"/>
    <w:rsid w:val="FFEB3B2D"/>
    <w:rsid w:val="FFEE16FA"/>
    <w:rsid w:val="FFEFC583"/>
    <w:rsid w:val="FFF21B2C"/>
    <w:rsid w:val="FFF5A55B"/>
    <w:rsid w:val="FFF7661B"/>
    <w:rsid w:val="FFFF15F7"/>
    <w:rsid w:val="FFFF75BC"/>
    <w:rsid w:val="FFFFA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rPr>
      <w:rFonts w:ascii="Times New Roman" w:hAnsi="Times New Roman"/>
    </w:rPr>
  </w:style>
  <w:style w:type="paragraph" w:styleId="3">
    <w:name w:val="Normal Indent"/>
    <w:basedOn w:val="1"/>
    <w:next w:val="4"/>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4">
    <w:name w:val="Body Text Indent"/>
    <w:basedOn w:val="1"/>
    <w:next w:val="5"/>
    <w:qFormat/>
    <w:uiPriority w:val="0"/>
    <w:pPr>
      <w:spacing w:after="120"/>
      <w:ind w:left="420" w:leftChars="200"/>
    </w:pPr>
  </w:style>
  <w:style w:type="paragraph" w:styleId="5">
    <w:name w:val="Body Text First Indent 2"/>
    <w:basedOn w:val="4"/>
    <w:next w:val="6"/>
    <w:qFormat/>
    <w:uiPriority w:val="0"/>
    <w:pPr>
      <w:widowControl/>
      <w:spacing w:after="0"/>
      <w:ind w:left="0" w:leftChars="0" w:firstLine="420"/>
      <w:textAlignment w:val="baseline"/>
    </w:pPr>
    <w:rPr>
      <w:rFonts w:ascii="仿宋_GB2312" w:eastAsia="仿宋_GB2312" w:cs="仿宋_GB2312"/>
      <w:b/>
      <w:sz w:val="32"/>
      <w:szCs w:val="32"/>
      <w:lang w:val="en-US" w:eastAsia="en-US" w:bidi="ar-SA"/>
    </w:rPr>
  </w:style>
  <w:style w:type="paragraph" w:styleId="6">
    <w:name w:val="Body Text First Indent"/>
    <w:basedOn w:val="7"/>
    <w:next w:val="1"/>
    <w:qFormat/>
    <w:uiPriority w:val="0"/>
    <w:pPr>
      <w:ind w:firstLine="420" w:firstLineChars="100"/>
    </w:pPr>
  </w:style>
  <w:style w:type="paragraph" w:styleId="7">
    <w:name w:val="Body Text"/>
    <w:basedOn w:val="1"/>
    <w:next w:val="8"/>
    <w:qFormat/>
    <w:uiPriority w:val="0"/>
    <w:pPr>
      <w:spacing w:after="120"/>
    </w:pPr>
  </w:style>
  <w:style w:type="paragraph" w:customStyle="1" w:styleId="8">
    <w:name w:val="列出段落1"/>
    <w:basedOn w:val="1"/>
    <w:qFormat/>
    <w:uiPriority w:val="0"/>
    <w:pPr>
      <w:ind w:firstLine="420"/>
    </w:pPr>
    <w:rPr>
      <w:rFonts w:ascii="Times New Roman" w:hAnsi="Times New Roman"/>
    </w:rPr>
  </w:style>
  <w:style w:type="paragraph" w:styleId="9">
    <w:name w:val="index 5"/>
    <w:basedOn w:val="1"/>
    <w:next w:val="1"/>
    <w:qFormat/>
    <w:uiPriority w:val="0"/>
    <w:pPr>
      <w:ind w:left="1680"/>
    </w:pPr>
    <w:rPr>
      <w:rFonts w:eastAsia="宋体" w:cs="Times New Roman"/>
    </w:rPr>
  </w:style>
  <w:style w:type="paragraph" w:styleId="10">
    <w:name w:val="footer"/>
    <w:basedOn w:val="1"/>
    <w:next w:val="11"/>
    <w:qFormat/>
    <w:uiPriority w:val="0"/>
    <w:pPr>
      <w:tabs>
        <w:tab w:val="center" w:pos="4153"/>
        <w:tab w:val="right" w:pos="8306"/>
      </w:tabs>
      <w:snapToGrid w:val="0"/>
      <w:jc w:val="left"/>
    </w:pPr>
    <w:rPr>
      <w:sz w:val="18"/>
    </w:rPr>
  </w:style>
  <w:style w:type="paragraph" w:styleId="11">
    <w:name w:val="Normal (Web)"/>
    <w:basedOn w:val="1"/>
    <w:next w:val="12"/>
    <w:unhideWhenUsed/>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12">
    <w:name w:val="Body text|1"/>
    <w:next w:val="9"/>
    <w:qFormat/>
    <w:uiPriority w:val="0"/>
    <w:pPr>
      <w:widowControl w:val="0"/>
      <w:spacing w:line="420" w:lineRule="auto"/>
      <w:ind w:firstLine="400"/>
      <w:jc w:val="both"/>
    </w:pPr>
    <w:rPr>
      <w:rFonts w:ascii="宋体" w:hAnsi="Times New Roman" w:eastAsia="宋体" w:cs="宋体"/>
      <w:kern w:val="2"/>
      <w:sz w:val="30"/>
      <w:szCs w:val="30"/>
      <w:lang w:val="zh-TW" w:eastAsia="zh-TW" w:bidi="zh-TW"/>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7">
    <w:name w:val="Strong"/>
    <w:basedOn w:val="16"/>
    <w:qFormat/>
    <w:uiPriority w:val="0"/>
    <w:rPr>
      <w:b/>
    </w:rPr>
  </w:style>
  <w:style w:type="character" w:customStyle="1" w:styleId="18">
    <w:name w:val="NormalCharacter"/>
    <w:qFormat/>
    <w:uiPriority w:val="0"/>
    <w:rPr>
      <w:rFonts w:ascii="Calibri" w:hAnsi="Calibri" w:eastAsia="宋体" w:cs="Times New Roman"/>
      <w:kern w:val="2"/>
      <w:sz w:val="21"/>
      <w:szCs w:val="24"/>
      <w:lang w:val="en-US" w:eastAsia="zh-CN" w:bidi="ar-SA"/>
    </w:rPr>
  </w:style>
  <w:style w:type="paragraph" w:customStyle="1" w:styleId="19">
    <w:name w:val="首行缩进"/>
    <w:basedOn w:val="1"/>
    <w:qFormat/>
    <w:uiPriority w:val="0"/>
    <w:pPr>
      <w:widowControl w:val="0"/>
      <w:adjustRightInd/>
      <w:snapToGrid/>
      <w:spacing w:after="0" w:line="240" w:lineRule="auto"/>
      <w:ind w:firstLine="720" w:firstLineChars="0"/>
      <w:jc w:val="both"/>
    </w:pPr>
    <w:rPr>
      <w:rFonts w:ascii="Calibri" w:hAnsi="Calibri" w:eastAsia="宋体" w:cs="Times New Roman"/>
      <w:kern w:val="2"/>
      <w:sz w:val="24"/>
      <w:szCs w:val="24"/>
    </w:rPr>
  </w:style>
  <w:style w:type="paragraph" w:customStyle="1" w:styleId="20">
    <w:name w:val="TOC2"/>
    <w:basedOn w:val="1"/>
    <w:next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7341</Words>
  <Characters>7999</Characters>
  <Lines>0</Lines>
  <Paragraphs>0</Paragraphs>
  <TotalTime>25</TotalTime>
  <ScaleCrop>false</ScaleCrop>
  <LinksUpToDate>false</LinksUpToDate>
  <CharactersWithSpaces>8004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2021-12-31T23:03:00Z</dcterms:created>
  <dc:creator>吃着火锅唱着歌</dc:creator>
  <cp:lastModifiedBy>十元</cp:lastModifiedBy>
  <cp:lastPrinted>2023-01-06T06:24:00Z</cp:lastPrinted>
  <dcterms:modified xsi:type="dcterms:W3CDTF">2023-05-22T08:17:01Z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E78C4C50EABD48D7A3F105D0D12B62C1_13</vt:lpwstr>
  </property>
</Properties>
</file>