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left"/>
        <w:textAlignment w:val="baseline"/>
        <w:outlineLvl w:val="9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株洲市荷塘区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2022年财政预算执行情况和2023年财政预算（草案）的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2023年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日在株洲市荷塘区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第六届人民代表大会第三次会议上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57" w:beforeLines="50" w:line="600" w:lineRule="exact"/>
        <w:ind w:right="0" w:rightChars="0"/>
        <w:jc w:val="center"/>
        <w:textAlignment w:val="baseline"/>
        <w:outlineLvl w:val="9"/>
        <w:rPr>
          <w:rFonts w:hint="default" w:ascii="Times New Roman" w:hAnsi="Times New Roman" w:eastAsia="楷体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lang w:eastAsia="zh-CN"/>
        </w:rPr>
        <w:t>区财政局局长</w:t>
      </w:r>
      <w:r>
        <w:rPr>
          <w:rFonts w:hint="eastAsia" w:ascii="Times New Roman" w:hAnsi="Times New Roman" w:eastAsia="楷体_GB2312" w:cs="Times New Roman"/>
          <w:color w:val="00000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000000"/>
          <w:sz w:val="32"/>
          <w:lang w:eastAsia="zh-CN"/>
        </w:rPr>
        <w:t>苏</w:t>
      </w:r>
      <w:r>
        <w:rPr>
          <w:rFonts w:hint="default" w:ascii="Times New Roman" w:hAnsi="Times New Roman" w:eastAsia="楷体_GB2312" w:cs="Times New Roman"/>
          <w:color w:val="00000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32"/>
          <w:lang w:eastAsia="zh-CN"/>
        </w:rPr>
        <w:t>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各位代表：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受区人民政府委托，我向大会报告荷塘区2022年财政预算执行情况和2023年财政预算草案，请予审查，并请各位政协委员和其他列席人员提出意见。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年财政预算执行情况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一般公共预算执行情况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一般公共预算收入执行情况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一般公共预算总收入完成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70891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同比降低4.1%，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税收收入6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降低2.48%，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税收占比为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地方收入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39735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降低2.04%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其中：税收收入3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，同比增长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1.75%，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税收占比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为83.11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一般公共预算支出执行情况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一般公共预算支出完成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225322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增长22.39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民生支出1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99317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万元，占全年支出的比重为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88.46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增长26.81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）政府性基金预算执行情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政府性基金上级补助收入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65071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万元，新增专项转贷债券收入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00万元，上年结转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22043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政府性基金本年支出完成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160477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降低18.23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国有资本经营预算执行情况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国有资本经营本年收入完成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万元，国有资本经营本年支出完成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降低92.41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（四）社会保险基金预算执行情况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城乡居民基本养老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保险基金收入完成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1902.87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万元，城乡居民基本养老保险基金支出完成1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153.33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城乡居民基本养老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基金本年结余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749.54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万元，累计结余7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122.54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（五）债务情况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新增一般债券2100万元用于公益性资本支出项目，新增专项债券63800万元用于有一定收益的公益性项目，再融资债券9037万元。2022年一般债券付息2251.6万元，专项债付息9186.16万元。截至12月，我区政府性债务余额为344157.25万元，为政府负有偿还责任债务，其中：一般债务64196.25万元，专项债务279961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需要说明的是，上述数据为快报数据情况，在决算汇总后，我们再按规定向区人大常委会报告。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回顾过去一年的预算执行和财政工作，主要有以下特点：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——扎实推进稳经济促发展工作。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对经济下行的严峻形势，实施积极的财政政策，发挥财政资金“四两拨千斤”作用，切实为企业排忧解难，确保“两城”项目快速建设。一是全面落实减税降费政策。积极发挥财政资金引导作用，推动企业复工复产，支持企业技术改造，解决融资困难问题，促进企业做稳做大做强。同时，加大招商引资力度，有效盘活“三资”潜力，打造优良的营商环境，兑现各类招商引资奖补优惠政策。二是全力筹措上级资金。紧抓中央、省市“稳住经济大盘”的契机和政策机遇，大力争取专项债券资金，为经济社会发展提供了基础性资金保障。三是全速加快项目建设。以“三高建设”为抓手，切实为“两城”建设发展保驾护航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——扎实推进财税收入征管工作。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加强财税收入专题调研，认真研判收入形势，挖潜开源，确保全区财政收入在合理区间运行。一是及时将增资引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任务分解到各镇（街道）、各单位，明确职责，纳入绩效考核任务，定期督办。二是加强对重点企业重点税源调研分析，及时协调解决重点企业重点税源税收征管存在问题，确保重点税收按时间和进度均衡入库。三是全面清查资产底数，健库补库。四是加大资金清理收回力度，弥补税收减收导致的地方财力缺口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——扎实推进保障基本民生工作。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增支因素增多、财政收支矛盾突出情况下，进一步优化支出结构，集中有限财力保障和改善基本民生。一是坚持过紧日子，在预算安排、执行和资金拨付顺序上，坚持把国家和省规定标准的“三保”摆在首位，兜牢保工资、保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、保基本民生的“三保”支出底线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确保未出现“三保”保障风险。二是下大力气压减一般性支出和非刚性、非重点项目支出。压减资金全部集中用于疫情防控、社会保障、医疗卫生、教育、巩固创建全国文明城市工作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保障和改善民生等重点领域，提高财政资金配置效率。三是认真组织好直达资金预算执行，力求精准拨付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快速直达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从严监管，发挥资金使用效益，促进资金落实至企业和困难群众。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年财政预算草案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一般公共预算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年预算继续按照严控一般性支出，硬化预算约束，细化项目预算编制，规范资金绩效管理，加大财政资金统筹整合力度等要求进行编制，人员经费按财政供养人数和有关政策规定标准安排，公用经费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进行统一安排，专项经费从严从紧进行安排。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一般公共预算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拟安排情况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统一部署，202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年全区地方收入增长目标为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%，地方税收增长目标为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%，预计全年完成地方收入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42914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万元，其中：地方税收收入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36328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万元，非税收入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万元。在此基础上，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上级补助收入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、调入资金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万元，减去上解支出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15770万元后，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年我区可用财力预计为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万元，较上年同口径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增加132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一般公共预算支出拟安排情况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年一般公共预算支出为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较上年同口径增加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其中：人员经费为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51358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万元、公用经费为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万元、专项经费为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人员经费。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2023年人员经费51358万元，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较上年同口径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44304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增加7054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了在职及退休人员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医疗铺底、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在职人员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工伤保险、公务员医疗补助及职业年金，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区直部门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环卫、绿化、镇办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在职及退休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医卫系统减少102万元；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增加4368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；人员经费预留减少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公用经费。202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年公用经费为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较上年同口径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3384万元增加171万元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，主要是：区直部门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人员变动及镇办调标造成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公用经费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增加186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；保运转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公用经费预留等减少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专项经费。202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年专项经费为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万元，较上年同口径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69358万元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一是区本级专项经费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18975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万元，较上年同口径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1737万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元，主要是：三高四新财源建设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少500万元，产业发展扶持减少1000万元，乡村振兴基层治理减少700万元，新冠肺炎防控经费增加200万元，公安辅警经费增加90万元，协管员经费增加124万元，苗圃人员经费减少21万元，政府债务本息减少123万元，火车站站前广场管理经费增加30万元，电子政务内网及预算联网监督系统建设经费增加75万元，合泰地区、自建房整治及治违经费增加80万元，国家赔偿、依法治区等项目进行适当压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上级对财政平稳运行相关文件要求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及刚性支出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外的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专项压减50%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压减后单位专项经费28617万元，较上年同口径增加3740万元，主要是：消防大队保障经费增加66万元，残联各类残疾人专项增加91万元，教育局各类教育专项增加1011万元，人社局各类社保项目区级配套资金增加3900万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提前下达及预计下达上级转移支付27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万元，较上年同口径增加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政府性基金收入均为上级补助收入，主要来源为金城和金科公司国有土地使用权出让收入，由市财政统筹核算后下拨到区级，预计全年国有土地使用权出让收入为78301万元。全年政府性基金预算支出为78301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其中：国有土地使用权出让收入安排的支出26622万元、地方政府专项债付息支出11393万元、其他政府性基金支出34097万元、调入一般公共预算开支6189万元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国有资本经营预算收入139070万元，国有资本经营预算支出139070万元，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国有企业资本注入中的成本投入支出101636万元、公益性设施投资支出8813万元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调入一般公共预算开支28621万元。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（四）社会保险基金预算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城乡居民基本养老保险基金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2023年城乡居民基本养老保险基金预算收入为210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万元，其中：个人缴费收入1262万元，利息收入21万元，财政补贴收入81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万元，转移收入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万元，其他收入5万元。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2023年城乡居民基本养老保险基金预算支出为1275万元，其中：基础养老金支出为1154万元，个人账户养老金支出为100万元，转移支出21万元。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年末滚存结余预计为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机关事业单位基本养老保险基金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2023年机关事业单位基本养老保险基金预算收入为14456万元，其中：基本养老保险费收入7325万元，利息收入98万元，财政补贴收入6149万元，转移收入884万元。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2023年机关事业单位基本养老保险基金预算支出为1281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万元，其中：基本养老保险基金支出为1258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万元，转移支出234万元。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年末滚存结余为12057万元。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sz w:val="32"/>
          <w:szCs w:val="32"/>
        </w:rPr>
        <w:t>年财政工作重点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）加强平衡统筹，推动财政健康可持续发展。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强化收入组织。加强部门联动，扎实开展税收协同共治工作，促进收入征管有序开展，保持收入均衡增长。二是严格落实政府过“紧日子”要求。从严从紧管好财政支出，大力压减非急需、非刚性支出，一般性支出规模保持下降，节约资金全部用于保障“三保”等重点支出。三是强化预算统筹。加强预算编制、资金拨付、绩效评价、资产管理等闭环管理，提高财政资源配置效率，确保疫情防控和各项重点、刚性支出需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）加强融资和风险防范，扎实打好防范化解重大风险攻坚战。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一是畅通政企银沟通渠道，严格落实“631”工作机制，系统推进债务化解。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持续优化调整融资结构，推动债务结构“三变”即由“短变长、高变低、刚变柔”，实现降本增效。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制定还本付息计划，争取“延展缓释”政策支持，确保偿债资金不断链，风险事件不发生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）强化创新驱动，推动财政管理水平再上台阶。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全面预算绩效管理。完善预算绩效管理制度体系，拓展预算绩效管理层级，全面推开部门整体支出绩效目标编制及自评工作，多方面分析部门整体预算绩效管理的薄弱环节，提升部门整体绩效。二是深入推进国企改革。按照“主业归核、资产归集、产业归位”思路，明确国企战略定位，加强企业内部管理，提升企业综合实力和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各位代表、各位委员，新的一年财政工作任务艰巨，责任重大。我们将在区委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、区政府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的坚强领导下，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自觉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接受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人大的监督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、虚心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听取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政协的意见，继续实施积极的财政政策，认真履行职责，培植壮大财源，狠抓增收节支，优先保障和改善民生，强化财政监督，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各项工作有序推进！</w:t>
      </w:r>
    </w:p>
    <w:sectPr>
      <w:footerReference r:id="rId3" w:type="default"/>
      <w:pgSz w:w="11906" w:h="16838"/>
      <w:pgMar w:top="1984" w:right="1417" w:bottom="1417" w:left="1417" w:header="850" w:footer="107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DB7FF"/>
    <w:multiLevelType w:val="singleLevel"/>
    <w:tmpl w:val="D6EDB7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8D6DF4"/>
    <w:multiLevelType w:val="singleLevel"/>
    <w:tmpl w:val="FF8D6DF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jM2MzcxODM3MzZiYjNlNWZiZmRiMTkwZDNjYTUifQ=="/>
  </w:docVars>
  <w:rsids>
    <w:rsidRoot w:val="50F04A7D"/>
    <w:rsid w:val="002A32E1"/>
    <w:rsid w:val="004B24FA"/>
    <w:rsid w:val="00F831C1"/>
    <w:rsid w:val="00F9596B"/>
    <w:rsid w:val="01A303EB"/>
    <w:rsid w:val="04007D16"/>
    <w:rsid w:val="048B2321"/>
    <w:rsid w:val="04CA3BC9"/>
    <w:rsid w:val="05234089"/>
    <w:rsid w:val="054F7637"/>
    <w:rsid w:val="068D457C"/>
    <w:rsid w:val="06B630BC"/>
    <w:rsid w:val="0863395E"/>
    <w:rsid w:val="089D0368"/>
    <w:rsid w:val="09F41A4C"/>
    <w:rsid w:val="0A5C6F26"/>
    <w:rsid w:val="0A7A25C7"/>
    <w:rsid w:val="0AA82425"/>
    <w:rsid w:val="0C174C05"/>
    <w:rsid w:val="0C6B6E12"/>
    <w:rsid w:val="0CB914CB"/>
    <w:rsid w:val="0D4C6468"/>
    <w:rsid w:val="0E0E058B"/>
    <w:rsid w:val="10C77AD2"/>
    <w:rsid w:val="110F69D8"/>
    <w:rsid w:val="11237B58"/>
    <w:rsid w:val="11405031"/>
    <w:rsid w:val="12F672DF"/>
    <w:rsid w:val="134B63D5"/>
    <w:rsid w:val="14606803"/>
    <w:rsid w:val="15880E68"/>
    <w:rsid w:val="1607772B"/>
    <w:rsid w:val="162028BF"/>
    <w:rsid w:val="171F1310"/>
    <w:rsid w:val="18AF666F"/>
    <w:rsid w:val="19010E6A"/>
    <w:rsid w:val="197F55E8"/>
    <w:rsid w:val="19F36C13"/>
    <w:rsid w:val="1A56517C"/>
    <w:rsid w:val="1B0A3A6C"/>
    <w:rsid w:val="1C4768B5"/>
    <w:rsid w:val="1F5E0FDE"/>
    <w:rsid w:val="20822B2E"/>
    <w:rsid w:val="24B26B95"/>
    <w:rsid w:val="24B84D60"/>
    <w:rsid w:val="252F6C5D"/>
    <w:rsid w:val="254F38C5"/>
    <w:rsid w:val="25AD02D8"/>
    <w:rsid w:val="2620418E"/>
    <w:rsid w:val="266C332F"/>
    <w:rsid w:val="26D17833"/>
    <w:rsid w:val="273A66D2"/>
    <w:rsid w:val="27574E3E"/>
    <w:rsid w:val="27B87F64"/>
    <w:rsid w:val="27C15702"/>
    <w:rsid w:val="29A91D56"/>
    <w:rsid w:val="2AB84368"/>
    <w:rsid w:val="2BAC1EB6"/>
    <w:rsid w:val="2D51087C"/>
    <w:rsid w:val="2F5D6F92"/>
    <w:rsid w:val="2F840AB4"/>
    <w:rsid w:val="2FC847E0"/>
    <w:rsid w:val="2FFF6254"/>
    <w:rsid w:val="30C3323C"/>
    <w:rsid w:val="30DF748C"/>
    <w:rsid w:val="3169607D"/>
    <w:rsid w:val="321572E5"/>
    <w:rsid w:val="326E42CA"/>
    <w:rsid w:val="3277219A"/>
    <w:rsid w:val="32AC5469"/>
    <w:rsid w:val="32D76845"/>
    <w:rsid w:val="33882056"/>
    <w:rsid w:val="364362F7"/>
    <w:rsid w:val="36703FAE"/>
    <w:rsid w:val="37196270"/>
    <w:rsid w:val="37DE2FE3"/>
    <w:rsid w:val="3A46541F"/>
    <w:rsid w:val="3BDE6919"/>
    <w:rsid w:val="3E0B10D8"/>
    <w:rsid w:val="3E504B0F"/>
    <w:rsid w:val="3F171558"/>
    <w:rsid w:val="40A10F56"/>
    <w:rsid w:val="40A406CA"/>
    <w:rsid w:val="41342561"/>
    <w:rsid w:val="43F6059B"/>
    <w:rsid w:val="448B1231"/>
    <w:rsid w:val="460C2456"/>
    <w:rsid w:val="463809B5"/>
    <w:rsid w:val="46444345"/>
    <w:rsid w:val="48DB5999"/>
    <w:rsid w:val="496546D3"/>
    <w:rsid w:val="49D94211"/>
    <w:rsid w:val="4A611B03"/>
    <w:rsid w:val="4A99461C"/>
    <w:rsid w:val="4B51178C"/>
    <w:rsid w:val="4BF14737"/>
    <w:rsid w:val="4C2933F3"/>
    <w:rsid w:val="4C95731C"/>
    <w:rsid w:val="4CC424F3"/>
    <w:rsid w:val="4CE71342"/>
    <w:rsid w:val="4DFE5414"/>
    <w:rsid w:val="4F2B0662"/>
    <w:rsid w:val="4F3A528D"/>
    <w:rsid w:val="4F4A05D8"/>
    <w:rsid w:val="4FA374F3"/>
    <w:rsid w:val="4FA40F4E"/>
    <w:rsid w:val="500E6D6F"/>
    <w:rsid w:val="506E72FB"/>
    <w:rsid w:val="50F04A7D"/>
    <w:rsid w:val="51973B56"/>
    <w:rsid w:val="521D52AE"/>
    <w:rsid w:val="537D7A69"/>
    <w:rsid w:val="53A9367D"/>
    <w:rsid w:val="561571DA"/>
    <w:rsid w:val="576D3A68"/>
    <w:rsid w:val="581704CA"/>
    <w:rsid w:val="58C951C1"/>
    <w:rsid w:val="58F70229"/>
    <w:rsid w:val="59264BC4"/>
    <w:rsid w:val="5A0E1D6C"/>
    <w:rsid w:val="5A7F7CFF"/>
    <w:rsid w:val="5A8D07B1"/>
    <w:rsid w:val="5C057190"/>
    <w:rsid w:val="5C2D32D7"/>
    <w:rsid w:val="5D8A7D9C"/>
    <w:rsid w:val="5DA5775B"/>
    <w:rsid w:val="5DCB7560"/>
    <w:rsid w:val="5E1E798E"/>
    <w:rsid w:val="5EBD0A58"/>
    <w:rsid w:val="5FA87C6C"/>
    <w:rsid w:val="5FC659EB"/>
    <w:rsid w:val="613B48EE"/>
    <w:rsid w:val="61C11283"/>
    <w:rsid w:val="63783F75"/>
    <w:rsid w:val="64F93617"/>
    <w:rsid w:val="657B0CF6"/>
    <w:rsid w:val="65EE0DEE"/>
    <w:rsid w:val="66300BF5"/>
    <w:rsid w:val="677C0B08"/>
    <w:rsid w:val="695E14CA"/>
    <w:rsid w:val="6A0B1ABB"/>
    <w:rsid w:val="6A436681"/>
    <w:rsid w:val="6AF55EDE"/>
    <w:rsid w:val="6C002D50"/>
    <w:rsid w:val="6CBE455D"/>
    <w:rsid w:val="6DAB6FB5"/>
    <w:rsid w:val="6DE22B15"/>
    <w:rsid w:val="6EC10E2E"/>
    <w:rsid w:val="716369B7"/>
    <w:rsid w:val="71BC3A4F"/>
    <w:rsid w:val="72DB40AD"/>
    <w:rsid w:val="7377014D"/>
    <w:rsid w:val="745F637B"/>
    <w:rsid w:val="74894EF3"/>
    <w:rsid w:val="74D97B67"/>
    <w:rsid w:val="75EB1684"/>
    <w:rsid w:val="765A691F"/>
    <w:rsid w:val="77417517"/>
    <w:rsid w:val="779D6776"/>
    <w:rsid w:val="797D578A"/>
    <w:rsid w:val="7A4C0D53"/>
    <w:rsid w:val="7A8039F4"/>
    <w:rsid w:val="7B284EF1"/>
    <w:rsid w:val="7BA16E3E"/>
    <w:rsid w:val="7E157D2B"/>
    <w:rsid w:val="7E99568F"/>
    <w:rsid w:val="7FA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华文中宋"/>
      <w:sz w:val="44"/>
      <w:szCs w:val="44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3729</Words>
  <Characters>4212</Characters>
  <Lines>0</Lines>
  <Paragraphs>0</Paragraphs>
  <TotalTime>4</TotalTime>
  <ScaleCrop>false</ScaleCrop>
  <LinksUpToDate>false</LinksUpToDate>
  <CharactersWithSpaces>4216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2022-01-18T03:22:00Z</dcterms:created>
  <dc:creator>W。</dc:creator>
  <cp:lastModifiedBy>汤圆</cp:lastModifiedBy>
  <cp:lastPrinted>2023-01-12T07:07:00Z</cp:lastPrinted>
  <dcterms:modified xsi:type="dcterms:W3CDTF">2023-04-21T08:26:16Z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8242F57C24834D438F3FE636476291F9</vt:lpwstr>
  </property>
</Properties>
</file>