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cs="Times New Roman"/>
          <w:sz w:val="40"/>
          <w:szCs w:val="36"/>
        </w:rPr>
      </w:pPr>
      <w:r>
        <w:rPr>
          <w:rFonts w:cs="Times New Roman"/>
          <w:sz w:val="40"/>
          <w:szCs w:val="36"/>
        </w:rPr>
        <w:drawing>
          <wp:anchor distT="0" distB="0" distL="114300" distR="114300" simplePos="0" relativeHeight="251755520" behindDoc="0" locked="0" layoutInCell="1" allowOverlap="1">
            <wp:simplePos x="0" y="0"/>
            <wp:positionH relativeFrom="column">
              <wp:posOffset>-1905</wp:posOffset>
            </wp:positionH>
            <wp:positionV relativeFrom="paragraph">
              <wp:posOffset>86995</wp:posOffset>
            </wp:positionV>
            <wp:extent cx="5669915" cy="8022590"/>
            <wp:effectExtent l="0" t="0" r="698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69988" cy="8022866"/>
                    </a:xfrm>
                    <a:prstGeom prst="rect">
                      <a:avLst/>
                    </a:prstGeom>
                    <a:noFill/>
                    <a:ln>
                      <a:noFill/>
                    </a:ln>
                  </pic:spPr>
                </pic:pic>
              </a:graphicData>
            </a:graphic>
          </wp:anchor>
        </w:drawing>
      </w:r>
    </w:p>
    <w:p>
      <w:pPr>
        <w:ind w:firstLine="0" w:firstLineChars="0"/>
        <w:jc w:val="center"/>
        <w:rPr>
          <w:rFonts w:cs="Times New Roman"/>
          <w:sz w:val="40"/>
          <w:szCs w:val="36"/>
        </w:rPr>
      </w:pPr>
    </w:p>
    <w:p>
      <w:pPr>
        <w:ind w:firstLine="0" w:firstLineChars="0"/>
        <w:jc w:val="center"/>
        <w:rPr>
          <w:rFonts w:cs="Times New Roman"/>
          <w:sz w:val="40"/>
          <w:szCs w:val="36"/>
        </w:rPr>
      </w:pPr>
      <w:bookmarkStart w:id="0" w:name="_Hlk106535155"/>
      <w:bookmarkEnd w:id="0"/>
    </w:p>
    <w:p>
      <w:pPr>
        <w:ind w:firstLine="0" w:firstLineChars="0"/>
        <w:jc w:val="center"/>
        <w:rPr>
          <w:rFonts w:cs="Times New Roman"/>
          <w:sz w:val="40"/>
          <w:szCs w:val="36"/>
        </w:rPr>
      </w:pPr>
    </w:p>
    <w:p>
      <w:pPr>
        <w:ind w:firstLine="0" w:firstLineChars="0"/>
        <w:jc w:val="center"/>
        <w:outlineLvl w:val="0"/>
        <w:rPr>
          <w:rFonts w:cs="Times New Roman"/>
          <w:b/>
          <w:bCs/>
          <w:sz w:val="72"/>
          <w:szCs w:val="56"/>
        </w:rPr>
      </w:pPr>
      <w:bookmarkStart w:id="1" w:name="_Toc30146"/>
      <w:bookmarkStart w:id="2" w:name="_Toc25550"/>
      <w:r>
        <w:rPr>
          <w:rFonts w:cs="Times New Roman"/>
          <w:b/>
          <w:bCs/>
          <w:sz w:val="72"/>
          <w:szCs w:val="56"/>
        </w:rPr>
        <w:t>建设项目环境影响报告表</w:t>
      </w:r>
      <w:bookmarkEnd w:id="1"/>
      <w:bookmarkEnd w:id="2"/>
    </w:p>
    <w:p>
      <w:pPr>
        <w:ind w:firstLine="0" w:firstLineChars="0"/>
        <w:jc w:val="center"/>
        <w:rPr>
          <w:rFonts w:cs="Times New Roman"/>
          <w:sz w:val="48"/>
          <w:szCs w:val="44"/>
        </w:rPr>
      </w:pPr>
      <w:r>
        <w:rPr>
          <w:rFonts w:cs="Times New Roman"/>
          <w:sz w:val="48"/>
          <w:szCs w:val="44"/>
        </w:rPr>
        <w:t>（</w:t>
      </w:r>
      <w:r>
        <w:rPr>
          <w:rFonts w:hint="eastAsia" w:cs="Times New Roman"/>
          <w:sz w:val="48"/>
          <w:szCs w:val="44"/>
        </w:rPr>
        <w:t>污染</w:t>
      </w:r>
      <w:r>
        <w:rPr>
          <w:rFonts w:cs="Times New Roman"/>
          <w:sz w:val="48"/>
          <w:szCs w:val="44"/>
        </w:rPr>
        <w:t>影响类）</w:t>
      </w:r>
    </w:p>
    <w:p>
      <w:pPr>
        <w:ind w:firstLine="0" w:firstLineChars="0"/>
        <w:jc w:val="center"/>
        <w:rPr>
          <w:rFonts w:cs="Times New Roman"/>
          <w:sz w:val="48"/>
          <w:szCs w:val="44"/>
        </w:rPr>
      </w:pPr>
    </w:p>
    <w:p>
      <w:pPr>
        <w:ind w:firstLine="0" w:firstLineChars="0"/>
        <w:jc w:val="center"/>
        <w:rPr>
          <w:rFonts w:cs="Times New Roman"/>
          <w:sz w:val="48"/>
          <w:szCs w:val="44"/>
        </w:rPr>
      </w:pPr>
    </w:p>
    <w:p>
      <w:pPr>
        <w:ind w:firstLine="0" w:firstLineChars="0"/>
        <w:jc w:val="center"/>
        <w:rPr>
          <w:rFonts w:cs="Times New Roman"/>
          <w:sz w:val="48"/>
          <w:szCs w:val="44"/>
        </w:rPr>
      </w:pPr>
    </w:p>
    <w:p>
      <w:pPr>
        <w:ind w:firstLine="0" w:firstLineChars="0"/>
        <w:jc w:val="center"/>
        <w:rPr>
          <w:rFonts w:cs="Times New Roman"/>
          <w:sz w:val="48"/>
          <w:szCs w:val="44"/>
        </w:rPr>
      </w:pPr>
    </w:p>
    <w:p>
      <w:pPr>
        <w:ind w:firstLine="0" w:firstLineChars="0"/>
        <w:jc w:val="center"/>
        <w:rPr>
          <w:rFonts w:cs="Times New Roman"/>
          <w:sz w:val="48"/>
          <w:szCs w:val="44"/>
        </w:rPr>
      </w:pPr>
    </w:p>
    <w:p>
      <w:pPr>
        <w:ind w:firstLine="0" w:firstLineChars="0"/>
        <w:jc w:val="left"/>
        <w:rPr>
          <w:rFonts w:cs="Times New Roman"/>
          <w:sz w:val="36"/>
          <w:szCs w:val="32"/>
          <w:u w:val="single"/>
        </w:rPr>
      </w:pPr>
      <w:r>
        <w:rPr>
          <w:rFonts w:cs="Times New Roman"/>
          <w:sz w:val="36"/>
          <w:szCs w:val="32"/>
        </w:rPr>
        <w:t>项</w:t>
      </w:r>
      <w:r>
        <w:rPr>
          <w:rFonts w:hint="eastAsia" w:cs="Times New Roman"/>
          <w:sz w:val="36"/>
          <w:szCs w:val="32"/>
        </w:rPr>
        <w:t xml:space="preserve"> </w:t>
      </w:r>
      <w:r>
        <w:rPr>
          <w:rFonts w:cs="Times New Roman"/>
          <w:sz w:val="36"/>
          <w:szCs w:val="32"/>
        </w:rPr>
        <w:t xml:space="preserve">    目</w:t>
      </w:r>
      <w:r>
        <w:rPr>
          <w:rFonts w:hint="eastAsia" w:cs="Times New Roman"/>
          <w:sz w:val="36"/>
          <w:szCs w:val="32"/>
        </w:rPr>
        <w:t xml:space="preserve"> </w:t>
      </w:r>
      <w:r>
        <w:rPr>
          <w:rFonts w:cs="Times New Roman"/>
          <w:sz w:val="36"/>
          <w:szCs w:val="32"/>
        </w:rPr>
        <w:t xml:space="preserve">    名</w:t>
      </w:r>
      <w:r>
        <w:rPr>
          <w:rFonts w:hint="eastAsia" w:cs="Times New Roman"/>
          <w:sz w:val="36"/>
          <w:szCs w:val="32"/>
        </w:rPr>
        <w:t xml:space="preserve"> </w:t>
      </w:r>
      <w:r>
        <w:rPr>
          <w:rFonts w:cs="Times New Roman"/>
          <w:sz w:val="36"/>
          <w:szCs w:val="32"/>
        </w:rPr>
        <w:t xml:space="preserve">   称：</w:t>
      </w:r>
      <w:r>
        <w:rPr>
          <w:rFonts w:hint="eastAsia" w:cs="Times New Roman"/>
          <w:sz w:val="36"/>
          <w:szCs w:val="32"/>
          <w:u w:val="single"/>
        </w:rPr>
        <w:t xml:space="preserve">建福煤炭加工项目 </w:t>
      </w:r>
      <w:r>
        <w:rPr>
          <w:rFonts w:cs="Times New Roman"/>
          <w:sz w:val="36"/>
          <w:szCs w:val="32"/>
          <w:u w:val="single"/>
        </w:rPr>
        <w:t xml:space="preserve">                                               </w:t>
      </w:r>
    </w:p>
    <w:p>
      <w:pPr>
        <w:ind w:firstLine="0" w:firstLineChars="0"/>
        <w:jc w:val="left"/>
        <w:rPr>
          <w:rFonts w:cs="Times New Roman"/>
          <w:sz w:val="36"/>
          <w:szCs w:val="32"/>
          <w:u w:val="single"/>
        </w:rPr>
      </w:pPr>
      <w:r>
        <w:rPr>
          <w:rFonts w:cs="Times New Roman"/>
          <w:sz w:val="36"/>
          <w:szCs w:val="32"/>
        </w:rPr>
        <w:t>建设单位（盖章）：</w:t>
      </w:r>
      <w:r>
        <w:rPr>
          <w:rFonts w:hint="eastAsia" w:cs="Times New Roman"/>
          <w:sz w:val="36"/>
          <w:szCs w:val="32"/>
          <w:u w:val="single"/>
        </w:rPr>
        <w:t xml:space="preserve">攸县黄丰桥建福煤炭贸易有限公司 </w:t>
      </w:r>
      <w:r>
        <w:rPr>
          <w:rFonts w:cs="Times New Roman"/>
          <w:sz w:val="36"/>
          <w:szCs w:val="32"/>
          <w:u w:val="single"/>
        </w:rPr>
        <w:t xml:space="preserve">     </w:t>
      </w:r>
    </w:p>
    <w:p>
      <w:pPr>
        <w:ind w:firstLine="0" w:firstLineChars="0"/>
        <w:jc w:val="left"/>
        <w:rPr>
          <w:rFonts w:cs="Times New Roman"/>
          <w:sz w:val="36"/>
          <w:szCs w:val="32"/>
          <w:u w:val="single"/>
        </w:rPr>
      </w:pPr>
      <w:r>
        <w:rPr>
          <w:rFonts w:cs="Times New Roman"/>
          <w:sz w:val="36"/>
          <w:szCs w:val="32"/>
        </w:rPr>
        <w:t>编</w:t>
      </w:r>
      <w:r>
        <w:rPr>
          <w:rFonts w:hint="eastAsia" w:cs="Times New Roman"/>
          <w:sz w:val="36"/>
          <w:szCs w:val="32"/>
        </w:rPr>
        <w:t xml:space="preserve"> </w:t>
      </w:r>
      <w:r>
        <w:rPr>
          <w:rFonts w:cs="Times New Roman"/>
          <w:sz w:val="36"/>
          <w:szCs w:val="32"/>
        </w:rPr>
        <w:t xml:space="preserve">    制</w:t>
      </w:r>
      <w:r>
        <w:rPr>
          <w:rFonts w:hint="eastAsia" w:cs="Times New Roman"/>
          <w:sz w:val="36"/>
          <w:szCs w:val="32"/>
        </w:rPr>
        <w:t xml:space="preserve"> </w:t>
      </w:r>
      <w:r>
        <w:rPr>
          <w:rFonts w:cs="Times New Roman"/>
          <w:sz w:val="36"/>
          <w:szCs w:val="32"/>
        </w:rPr>
        <w:t xml:space="preserve">    日</w:t>
      </w:r>
      <w:r>
        <w:rPr>
          <w:rFonts w:hint="eastAsia" w:cs="Times New Roman"/>
          <w:sz w:val="36"/>
          <w:szCs w:val="32"/>
        </w:rPr>
        <w:t xml:space="preserve"> </w:t>
      </w:r>
      <w:r>
        <w:rPr>
          <w:rFonts w:cs="Times New Roman"/>
          <w:sz w:val="36"/>
          <w:szCs w:val="32"/>
        </w:rPr>
        <w:t xml:space="preserve">   期：</w:t>
      </w:r>
      <w:r>
        <w:rPr>
          <w:rFonts w:cs="Times New Roman"/>
          <w:sz w:val="36"/>
          <w:szCs w:val="32"/>
          <w:u w:val="single"/>
        </w:rPr>
        <w:t>202</w:t>
      </w:r>
      <w:r>
        <w:rPr>
          <w:rFonts w:hint="eastAsia" w:cs="Times New Roman"/>
          <w:sz w:val="36"/>
          <w:szCs w:val="32"/>
          <w:u w:val="single"/>
        </w:rPr>
        <w:t xml:space="preserve">3年2月 </w:t>
      </w:r>
      <w:r>
        <w:rPr>
          <w:rFonts w:cs="Times New Roman"/>
          <w:sz w:val="36"/>
          <w:szCs w:val="32"/>
          <w:u w:val="single"/>
        </w:rPr>
        <w:t xml:space="preserve">                                                           </w:t>
      </w:r>
    </w:p>
    <w:p>
      <w:pPr>
        <w:ind w:firstLine="0" w:firstLineChars="0"/>
        <w:jc w:val="left"/>
        <w:rPr>
          <w:rFonts w:cs="Times New Roman"/>
          <w:sz w:val="36"/>
          <w:szCs w:val="32"/>
          <w:u w:val="single"/>
        </w:rPr>
      </w:pPr>
    </w:p>
    <w:p>
      <w:pPr>
        <w:ind w:firstLine="0" w:firstLineChars="0"/>
        <w:jc w:val="left"/>
        <w:rPr>
          <w:rFonts w:cs="Times New Roman"/>
          <w:sz w:val="36"/>
          <w:szCs w:val="32"/>
          <w:u w:val="single"/>
        </w:rPr>
      </w:pPr>
    </w:p>
    <w:p>
      <w:pPr>
        <w:ind w:firstLine="0" w:firstLineChars="0"/>
        <w:jc w:val="left"/>
        <w:rPr>
          <w:rFonts w:cs="Times New Roman"/>
          <w:sz w:val="36"/>
          <w:szCs w:val="32"/>
          <w:u w:val="single"/>
        </w:rPr>
      </w:pPr>
    </w:p>
    <w:p>
      <w:pPr>
        <w:ind w:firstLine="0" w:firstLineChars="0"/>
        <w:jc w:val="left"/>
        <w:rPr>
          <w:rFonts w:cs="Times New Roman"/>
          <w:sz w:val="36"/>
          <w:szCs w:val="32"/>
          <w:u w:val="single"/>
        </w:rPr>
      </w:pPr>
    </w:p>
    <w:p>
      <w:pPr>
        <w:ind w:firstLine="0" w:firstLineChars="0"/>
        <w:jc w:val="left"/>
        <w:rPr>
          <w:rFonts w:cs="Times New Roman"/>
          <w:sz w:val="36"/>
          <w:szCs w:val="32"/>
          <w:u w:val="single"/>
        </w:rPr>
      </w:pPr>
    </w:p>
    <w:p>
      <w:pPr>
        <w:ind w:firstLine="0" w:firstLineChars="0"/>
        <w:jc w:val="center"/>
        <w:rPr>
          <w:rFonts w:cs="Times New Roman"/>
          <w:sz w:val="36"/>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531" w:bottom="1440" w:left="1531" w:header="851" w:footer="992" w:gutter="0"/>
          <w:cols w:space="425" w:num="1"/>
          <w:docGrid w:type="lines" w:linePitch="312" w:charSpace="0"/>
        </w:sectPr>
      </w:pPr>
      <w:r>
        <w:rPr>
          <w:rFonts w:cs="Times New Roman"/>
          <w:sz w:val="36"/>
          <w:szCs w:val="32"/>
        </w:rPr>
        <w:t>中华人民共和国生态环境部制</w:t>
      </w:r>
    </w:p>
    <w:p>
      <w:pPr>
        <w:ind w:firstLine="0" w:firstLineChars="0"/>
        <w:jc w:val="center"/>
        <w:rPr>
          <w:rFonts w:cs="Times New Roman"/>
          <w:szCs w:val="32"/>
        </w:rPr>
      </w:pPr>
      <w:r>
        <w:rPr>
          <w:rFonts w:ascii="宋体" w:hAnsi="宋体"/>
          <w:b/>
          <w:bCs/>
          <w:sz w:val="28"/>
          <w:szCs w:val="28"/>
        </w:rPr>
        <w:t>目</w:t>
      </w:r>
      <w:r>
        <w:rPr>
          <w:rFonts w:hint="eastAsia" w:ascii="宋体" w:hAnsi="宋体"/>
          <w:b/>
          <w:bCs/>
          <w:sz w:val="28"/>
          <w:szCs w:val="28"/>
        </w:rPr>
        <w:t xml:space="preserve">  </w:t>
      </w:r>
      <w:r>
        <w:rPr>
          <w:rFonts w:ascii="宋体" w:hAnsi="宋体"/>
          <w:b/>
          <w:bCs/>
          <w:sz w:val="28"/>
          <w:szCs w:val="28"/>
        </w:rPr>
        <w:t>录</w:t>
      </w:r>
      <w:r>
        <w:rPr>
          <w:rFonts w:cs="Times New Roman"/>
          <w:sz w:val="36"/>
          <w:szCs w:val="32"/>
        </w:rPr>
        <w:fldChar w:fldCharType="begin"/>
      </w:r>
      <w:r>
        <w:rPr>
          <w:rFonts w:cs="Times New Roman"/>
          <w:sz w:val="36"/>
          <w:szCs w:val="32"/>
        </w:rPr>
        <w:instrText xml:space="preserve">TOC \o "1-1" \h \u </w:instrText>
      </w:r>
      <w:r>
        <w:rPr>
          <w:rFonts w:cs="Times New Roman"/>
          <w:sz w:val="36"/>
          <w:szCs w:val="32"/>
        </w:rPr>
        <w:fldChar w:fldCharType="separate"/>
      </w:r>
    </w:p>
    <w:p>
      <w:pPr>
        <w:pStyle w:val="12"/>
        <w:tabs>
          <w:tab w:val="right" w:leader="dot" w:pos="8306"/>
          <w:tab w:val="clear" w:pos="8296"/>
        </w:tabs>
      </w:pPr>
      <w:r>
        <w:fldChar w:fldCharType="begin"/>
      </w:r>
      <w:r>
        <w:instrText xml:space="preserve"> HYPERLINK \l "_Toc21659" </w:instrText>
      </w:r>
      <w:r>
        <w:fldChar w:fldCharType="separate"/>
      </w:r>
      <w:r>
        <w:t>一、建设项目基本情况</w:t>
      </w:r>
      <w:r>
        <w:tab/>
      </w:r>
      <w:r>
        <w:fldChar w:fldCharType="begin"/>
      </w:r>
      <w:r>
        <w:instrText xml:space="preserve"> PAGEREF _Toc21659 \h </w:instrText>
      </w:r>
      <w:r>
        <w:fldChar w:fldCharType="separate"/>
      </w:r>
      <w:r>
        <w:t>1</w:t>
      </w:r>
      <w:r>
        <w:fldChar w:fldCharType="end"/>
      </w:r>
      <w:r>
        <w:fldChar w:fldCharType="end"/>
      </w:r>
    </w:p>
    <w:p>
      <w:pPr>
        <w:pStyle w:val="12"/>
        <w:tabs>
          <w:tab w:val="right" w:leader="dot" w:pos="8306"/>
          <w:tab w:val="clear" w:pos="8296"/>
        </w:tabs>
      </w:pPr>
      <w:r>
        <w:fldChar w:fldCharType="begin"/>
      </w:r>
      <w:r>
        <w:instrText xml:space="preserve"> HYPERLINK \l "_Toc10515" </w:instrText>
      </w:r>
      <w:r>
        <w:fldChar w:fldCharType="separate"/>
      </w:r>
      <w:r>
        <w:t>二、</w:t>
      </w:r>
      <w:r>
        <w:rPr>
          <w:rFonts w:hint="eastAsia"/>
        </w:rPr>
        <w:t>建设项目工程分析</w:t>
      </w:r>
      <w:r>
        <w:tab/>
      </w:r>
      <w:r>
        <w:fldChar w:fldCharType="begin"/>
      </w:r>
      <w:r>
        <w:instrText xml:space="preserve"> PAGEREF _Toc10515 \h </w:instrText>
      </w:r>
      <w:r>
        <w:fldChar w:fldCharType="separate"/>
      </w:r>
      <w:r>
        <w:t>6</w:t>
      </w:r>
      <w:r>
        <w:fldChar w:fldCharType="end"/>
      </w:r>
      <w:r>
        <w:fldChar w:fldCharType="end"/>
      </w:r>
    </w:p>
    <w:p>
      <w:pPr>
        <w:pStyle w:val="12"/>
        <w:tabs>
          <w:tab w:val="right" w:leader="dot" w:pos="8306"/>
          <w:tab w:val="clear" w:pos="8296"/>
        </w:tabs>
      </w:pPr>
      <w:r>
        <w:fldChar w:fldCharType="begin"/>
      </w:r>
      <w:r>
        <w:instrText xml:space="preserve"> HYPERLINK \l "_Toc7376" </w:instrText>
      </w:r>
      <w:r>
        <w:fldChar w:fldCharType="separate"/>
      </w:r>
      <w:r>
        <w:t>三、生态环境现状、保护目标及评价标准</w:t>
      </w:r>
      <w:r>
        <w:tab/>
      </w:r>
      <w:r>
        <w:fldChar w:fldCharType="begin"/>
      </w:r>
      <w:r>
        <w:instrText xml:space="preserve"> PAGEREF _Toc7376 \h </w:instrText>
      </w:r>
      <w:r>
        <w:fldChar w:fldCharType="separate"/>
      </w:r>
      <w:r>
        <w:t>16</w:t>
      </w:r>
      <w:r>
        <w:fldChar w:fldCharType="end"/>
      </w:r>
      <w:r>
        <w:fldChar w:fldCharType="end"/>
      </w:r>
    </w:p>
    <w:p>
      <w:pPr>
        <w:pStyle w:val="12"/>
        <w:tabs>
          <w:tab w:val="right" w:leader="dot" w:pos="8306"/>
          <w:tab w:val="clear" w:pos="8296"/>
        </w:tabs>
      </w:pPr>
      <w:r>
        <w:fldChar w:fldCharType="begin"/>
      </w:r>
      <w:r>
        <w:instrText xml:space="preserve"> HYPERLINK \l "_Toc24984" </w:instrText>
      </w:r>
      <w:r>
        <w:fldChar w:fldCharType="separate"/>
      </w:r>
      <w:r>
        <w:t>四、</w:t>
      </w:r>
      <w:r>
        <w:rPr>
          <w:rFonts w:hint="eastAsia"/>
        </w:rPr>
        <w:t>主要环境影响和保护措施</w:t>
      </w:r>
      <w:r>
        <w:tab/>
      </w:r>
      <w:r>
        <w:fldChar w:fldCharType="begin"/>
      </w:r>
      <w:r>
        <w:instrText xml:space="preserve"> PAGEREF _Toc24984 \h </w:instrText>
      </w:r>
      <w:r>
        <w:fldChar w:fldCharType="separate"/>
      </w:r>
      <w:r>
        <w:t>21</w:t>
      </w:r>
      <w:r>
        <w:fldChar w:fldCharType="end"/>
      </w:r>
      <w:r>
        <w:fldChar w:fldCharType="end"/>
      </w:r>
    </w:p>
    <w:p>
      <w:pPr>
        <w:pStyle w:val="12"/>
        <w:tabs>
          <w:tab w:val="right" w:leader="dot" w:pos="8306"/>
          <w:tab w:val="clear" w:pos="8296"/>
        </w:tabs>
      </w:pPr>
      <w:r>
        <w:fldChar w:fldCharType="begin"/>
      </w:r>
      <w:r>
        <w:instrText xml:space="preserve"> HYPERLINK \l "_Toc6392" </w:instrText>
      </w:r>
      <w:r>
        <w:fldChar w:fldCharType="separate"/>
      </w:r>
      <w:r>
        <w:rPr>
          <w:rFonts w:hint="eastAsia"/>
        </w:rPr>
        <w:t>五</w:t>
      </w:r>
      <w:r>
        <w:t>、</w:t>
      </w:r>
      <w:r>
        <w:rPr>
          <w:snapToGrid w:val="0"/>
        </w:rPr>
        <w:t>环境保护措施监督检查清单</w:t>
      </w:r>
      <w:r>
        <w:tab/>
      </w:r>
      <w:r>
        <w:fldChar w:fldCharType="begin"/>
      </w:r>
      <w:r>
        <w:instrText xml:space="preserve"> PAGEREF _Toc6392 \h </w:instrText>
      </w:r>
      <w:r>
        <w:fldChar w:fldCharType="separate"/>
      </w:r>
      <w:r>
        <w:t>42</w:t>
      </w:r>
      <w:r>
        <w:fldChar w:fldCharType="end"/>
      </w:r>
      <w:r>
        <w:fldChar w:fldCharType="end"/>
      </w:r>
    </w:p>
    <w:p>
      <w:pPr>
        <w:pStyle w:val="12"/>
        <w:tabs>
          <w:tab w:val="right" w:leader="dot" w:pos="8306"/>
          <w:tab w:val="clear" w:pos="8296"/>
        </w:tabs>
      </w:pPr>
      <w:r>
        <w:fldChar w:fldCharType="begin"/>
      </w:r>
      <w:r>
        <w:instrText xml:space="preserve"> HYPERLINK \l "_Toc28835" </w:instrText>
      </w:r>
      <w:r>
        <w:fldChar w:fldCharType="separate"/>
      </w:r>
      <w:r>
        <w:rPr>
          <w:rFonts w:hint="eastAsia"/>
        </w:rPr>
        <w:t>六</w:t>
      </w:r>
      <w:r>
        <w:t>、结论</w:t>
      </w:r>
      <w:r>
        <w:tab/>
      </w:r>
      <w:r>
        <w:fldChar w:fldCharType="begin"/>
      </w:r>
      <w:r>
        <w:instrText xml:space="preserve"> PAGEREF _Toc28835 \h </w:instrText>
      </w:r>
      <w:r>
        <w:fldChar w:fldCharType="separate"/>
      </w:r>
      <w:r>
        <w:t>45</w:t>
      </w:r>
      <w:r>
        <w:fldChar w:fldCharType="end"/>
      </w:r>
      <w:r>
        <w:fldChar w:fldCharType="end"/>
      </w:r>
    </w:p>
    <w:p>
      <w:pPr>
        <w:pStyle w:val="12"/>
        <w:tabs>
          <w:tab w:val="right" w:leader="dot" w:pos="8306"/>
          <w:tab w:val="clear" w:pos="8296"/>
        </w:tabs>
      </w:pPr>
      <w:r>
        <w:fldChar w:fldCharType="begin"/>
      </w:r>
      <w:r>
        <w:instrText xml:space="preserve"> HYPERLINK \l "_Toc1035" </w:instrText>
      </w:r>
      <w:r>
        <w:fldChar w:fldCharType="separate"/>
      </w:r>
      <w:r>
        <w:rPr>
          <w:rFonts w:hint="eastAsia"/>
        </w:rPr>
        <w:t>附图1地理位置图</w:t>
      </w:r>
      <w:r>
        <w:tab/>
      </w:r>
      <w:r>
        <w:fldChar w:fldCharType="begin"/>
      </w:r>
      <w:r>
        <w:instrText xml:space="preserve"> PAGEREF _Toc1035 \h </w:instrText>
      </w:r>
      <w:r>
        <w:fldChar w:fldCharType="separate"/>
      </w:r>
      <w:r>
        <w:t>48</w:t>
      </w:r>
      <w:r>
        <w:fldChar w:fldCharType="end"/>
      </w:r>
      <w:r>
        <w:fldChar w:fldCharType="end"/>
      </w:r>
    </w:p>
    <w:p>
      <w:pPr>
        <w:pStyle w:val="12"/>
        <w:tabs>
          <w:tab w:val="right" w:leader="dot" w:pos="8306"/>
          <w:tab w:val="clear" w:pos="8296"/>
        </w:tabs>
      </w:pPr>
      <w:r>
        <w:fldChar w:fldCharType="begin"/>
      </w:r>
      <w:r>
        <w:instrText xml:space="preserve"> HYPERLINK \l "_Toc994" </w:instrText>
      </w:r>
      <w:r>
        <w:fldChar w:fldCharType="separate"/>
      </w:r>
      <w:r>
        <w:rPr>
          <w:rFonts w:hint="eastAsia"/>
        </w:rPr>
        <w:t>附图2项目平面布置图</w:t>
      </w:r>
      <w:r>
        <w:tab/>
      </w:r>
      <w:r>
        <w:fldChar w:fldCharType="begin"/>
      </w:r>
      <w:r>
        <w:instrText xml:space="preserve"> PAGEREF _Toc994 \h </w:instrText>
      </w:r>
      <w:r>
        <w:fldChar w:fldCharType="separate"/>
      </w:r>
      <w:r>
        <w:t>49</w:t>
      </w:r>
      <w:r>
        <w:fldChar w:fldCharType="end"/>
      </w:r>
      <w:r>
        <w:fldChar w:fldCharType="end"/>
      </w:r>
    </w:p>
    <w:p>
      <w:pPr>
        <w:pStyle w:val="12"/>
        <w:tabs>
          <w:tab w:val="right" w:leader="dot" w:pos="8306"/>
          <w:tab w:val="clear" w:pos="8296"/>
        </w:tabs>
      </w:pPr>
      <w:r>
        <w:fldChar w:fldCharType="begin"/>
      </w:r>
      <w:r>
        <w:instrText xml:space="preserve"> HYPERLINK \l "_Toc14684" </w:instrText>
      </w:r>
      <w:r>
        <w:fldChar w:fldCharType="separate"/>
      </w:r>
      <w:r>
        <w:rPr>
          <w:rFonts w:hint="eastAsia"/>
        </w:rPr>
        <w:t>附图3厂区雨水收集走向图</w:t>
      </w:r>
      <w:r>
        <w:tab/>
      </w:r>
      <w:r>
        <w:fldChar w:fldCharType="begin"/>
      </w:r>
      <w:r>
        <w:instrText xml:space="preserve"> PAGEREF _Toc14684 \h </w:instrText>
      </w:r>
      <w:r>
        <w:fldChar w:fldCharType="separate"/>
      </w:r>
      <w:r>
        <w:t>50</w:t>
      </w:r>
      <w:r>
        <w:fldChar w:fldCharType="end"/>
      </w:r>
      <w:r>
        <w:fldChar w:fldCharType="end"/>
      </w:r>
    </w:p>
    <w:p>
      <w:pPr>
        <w:pStyle w:val="12"/>
        <w:tabs>
          <w:tab w:val="right" w:leader="dot" w:pos="8306"/>
          <w:tab w:val="clear" w:pos="8296"/>
        </w:tabs>
      </w:pPr>
      <w:r>
        <w:fldChar w:fldCharType="begin"/>
      </w:r>
      <w:r>
        <w:instrText xml:space="preserve"> HYPERLINK \l "_Toc3104" </w:instrText>
      </w:r>
      <w:r>
        <w:fldChar w:fldCharType="separate"/>
      </w:r>
      <w:r>
        <w:rPr>
          <w:rFonts w:hint="eastAsia"/>
        </w:rPr>
        <w:t>附图</w:t>
      </w:r>
      <w:r>
        <w:t>4</w:t>
      </w:r>
      <w:r>
        <w:rPr>
          <w:rFonts w:hint="eastAsia"/>
        </w:rPr>
        <w:t>厂区分区防渗图</w:t>
      </w:r>
      <w:r>
        <w:tab/>
      </w:r>
      <w:r>
        <w:fldChar w:fldCharType="begin"/>
      </w:r>
      <w:r>
        <w:instrText xml:space="preserve"> PAGEREF _Toc3104 \h </w:instrText>
      </w:r>
      <w:r>
        <w:fldChar w:fldCharType="separate"/>
      </w:r>
      <w:r>
        <w:t>51</w:t>
      </w:r>
      <w:r>
        <w:fldChar w:fldCharType="end"/>
      </w:r>
      <w:r>
        <w:fldChar w:fldCharType="end"/>
      </w:r>
    </w:p>
    <w:p>
      <w:pPr>
        <w:pStyle w:val="12"/>
        <w:tabs>
          <w:tab w:val="right" w:leader="dot" w:pos="8306"/>
          <w:tab w:val="clear" w:pos="8296"/>
        </w:tabs>
      </w:pPr>
      <w:r>
        <w:fldChar w:fldCharType="begin"/>
      </w:r>
      <w:r>
        <w:instrText xml:space="preserve"> HYPERLINK \l "_Toc17322" </w:instrText>
      </w:r>
      <w:r>
        <w:fldChar w:fldCharType="separate"/>
      </w:r>
      <w:r>
        <w:rPr>
          <w:rFonts w:hint="eastAsia"/>
        </w:rPr>
        <w:t>附图5企业雨污管网图</w:t>
      </w:r>
      <w:r>
        <w:tab/>
      </w:r>
      <w:r>
        <w:fldChar w:fldCharType="begin"/>
      </w:r>
      <w:r>
        <w:instrText xml:space="preserve"> PAGEREF _Toc17322 \h </w:instrText>
      </w:r>
      <w:r>
        <w:fldChar w:fldCharType="separate"/>
      </w:r>
      <w:r>
        <w:t>52</w:t>
      </w:r>
      <w:r>
        <w:fldChar w:fldCharType="end"/>
      </w:r>
      <w:r>
        <w:fldChar w:fldCharType="end"/>
      </w:r>
    </w:p>
    <w:p>
      <w:pPr>
        <w:pStyle w:val="12"/>
        <w:tabs>
          <w:tab w:val="right" w:leader="dot" w:pos="8306"/>
          <w:tab w:val="clear" w:pos="8296"/>
        </w:tabs>
      </w:pPr>
      <w:r>
        <w:fldChar w:fldCharType="begin"/>
      </w:r>
      <w:r>
        <w:instrText xml:space="preserve"> HYPERLINK \l "_Toc12604" </w:instrText>
      </w:r>
      <w:r>
        <w:fldChar w:fldCharType="separate"/>
      </w:r>
      <w:r>
        <w:rPr>
          <w:rFonts w:hint="eastAsia"/>
        </w:rPr>
        <w:t>附图</w:t>
      </w:r>
      <w:r>
        <w:t>6</w:t>
      </w:r>
      <w:r>
        <w:rPr>
          <w:rFonts w:hint="eastAsia"/>
        </w:rPr>
        <w:t>监测布点图</w:t>
      </w:r>
      <w:r>
        <w:tab/>
      </w:r>
      <w:r>
        <w:fldChar w:fldCharType="begin"/>
      </w:r>
      <w:r>
        <w:instrText xml:space="preserve"> PAGEREF _Toc12604 \h </w:instrText>
      </w:r>
      <w:r>
        <w:fldChar w:fldCharType="separate"/>
      </w:r>
      <w:r>
        <w:t>53</w:t>
      </w:r>
      <w:r>
        <w:fldChar w:fldCharType="end"/>
      </w:r>
      <w:r>
        <w:fldChar w:fldCharType="end"/>
      </w:r>
    </w:p>
    <w:p>
      <w:pPr>
        <w:pStyle w:val="12"/>
        <w:tabs>
          <w:tab w:val="right" w:leader="dot" w:pos="8306"/>
          <w:tab w:val="clear" w:pos="8296"/>
        </w:tabs>
      </w:pPr>
      <w:r>
        <w:fldChar w:fldCharType="begin"/>
      </w:r>
      <w:r>
        <w:instrText xml:space="preserve"> HYPERLINK \l "_Toc227" </w:instrText>
      </w:r>
      <w:r>
        <w:fldChar w:fldCharType="separate"/>
      </w:r>
      <w:r>
        <w:rPr>
          <w:rFonts w:hint="eastAsia"/>
        </w:rPr>
        <w:t>附图</w:t>
      </w:r>
      <w:r>
        <w:t>7</w:t>
      </w:r>
      <w:r>
        <w:rPr>
          <w:rFonts w:hint="eastAsia"/>
        </w:rPr>
        <w:t>大气环境环保目标分布图</w:t>
      </w:r>
      <w:r>
        <w:tab/>
      </w:r>
      <w:r>
        <w:fldChar w:fldCharType="begin"/>
      </w:r>
      <w:r>
        <w:instrText xml:space="preserve"> PAGEREF _Toc227 \h </w:instrText>
      </w:r>
      <w:r>
        <w:fldChar w:fldCharType="separate"/>
      </w:r>
      <w:r>
        <w:t>54</w:t>
      </w:r>
      <w:r>
        <w:fldChar w:fldCharType="end"/>
      </w:r>
      <w:r>
        <w:fldChar w:fldCharType="end"/>
      </w:r>
    </w:p>
    <w:p>
      <w:pPr>
        <w:pStyle w:val="12"/>
        <w:tabs>
          <w:tab w:val="right" w:leader="dot" w:pos="8306"/>
          <w:tab w:val="clear" w:pos="8296"/>
        </w:tabs>
      </w:pPr>
      <w:r>
        <w:fldChar w:fldCharType="begin"/>
      </w:r>
      <w:r>
        <w:instrText xml:space="preserve"> HYPERLINK \l "_Toc2563" </w:instrText>
      </w:r>
      <w:r>
        <w:fldChar w:fldCharType="separate"/>
      </w:r>
      <w:r>
        <w:rPr>
          <w:rFonts w:hint="eastAsia"/>
        </w:rPr>
        <w:t>附图</w:t>
      </w:r>
      <w:r>
        <w:t>8</w:t>
      </w:r>
      <w:r>
        <w:rPr>
          <w:rFonts w:hint="eastAsia"/>
        </w:rPr>
        <w:t>声环境环保目标分布图</w:t>
      </w:r>
      <w:r>
        <w:tab/>
      </w:r>
      <w:r>
        <w:fldChar w:fldCharType="begin"/>
      </w:r>
      <w:r>
        <w:instrText xml:space="preserve"> PAGEREF _Toc2563 \h </w:instrText>
      </w:r>
      <w:r>
        <w:fldChar w:fldCharType="separate"/>
      </w:r>
      <w:r>
        <w:t>55</w:t>
      </w:r>
      <w:r>
        <w:fldChar w:fldCharType="end"/>
      </w:r>
      <w:r>
        <w:fldChar w:fldCharType="end"/>
      </w:r>
    </w:p>
    <w:p>
      <w:pPr>
        <w:pStyle w:val="12"/>
        <w:tabs>
          <w:tab w:val="right" w:leader="dot" w:pos="8306"/>
          <w:tab w:val="clear" w:pos="8296"/>
        </w:tabs>
      </w:pPr>
      <w:r>
        <w:fldChar w:fldCharType="begin"/>
      </w:r>
      <w:r>
        <w:instrText xml:space="preserve"> HYPERLINK \l "_Toc727" </w:instrText>
      </w:r>
      <w:r>
        <w:fldChar w:fldCharType="separate"/>
      </w:r>
      <w:r>
        <w:rPr>
          <w:rFonts w:hint="eastAsia"/>
        </w:rPr>
        <w:t>附图</w:t>
      </w:r>
      <w:r>
        <w:t>9</w:t>
      </w:r>
      <w:r>
        <w:rPr>
          <w:rFonts w:hint="eastAsia"/>
        </w:rPr>
        <w:t>周边环境现状</w:t>
      </w:r>
      <w:r>
        <w:tab/>
      </w:r>
      <w:r>
        <w:fldChar w:fldCharType="begin"/>
      </w:r>
      <w:r>
        <w:instrText xml:space="preserve"> PAGEREF _Toc727 \h </w:instrText>
      </w:r>
      <w:r>
        <w:fldChar w:fldCharType="separate"/>
      </w:r>
      <w:r>
        <w:t>56</w:t>
      </w:r>
      <w:r>
        <w:fldChar w:fldCharType="end"/>
      </w:r>
      <w:r>
        <w:fldChar w:fldCharType="end"/>
      </w:r>
    </w:p>
    <w:p>
      <w:pPr>
        <w:pStyle w:val="12"/>
        <w:tabs>
          <w:tab w:val="right" w:leader="dot" w:pos="8306"/>
          <w:tab w:val="clear" w:pos="8296"/>
        </w:tabs>
      </w:pPr>
      <w:r>
        <w:fldChar w:fldCharType="begin"/>
      </w:r>
      <w:r>
        <w:instrText xml:space="preserve"> HYPERLINK \l "_Toc9843" </w:instrText>
      </w:r>
      <w:r>
        <w:fldChar w:fldCharType="separate"/>
      </w:r>
      <w:r>
        <w:rPr>
          <w:rFonts w:hint="eastAsia"/>
        </w:rPr>
        <w:t>附件1委托书</w:t>
      </w:r>
      <w:r>
        <w:tab/>
      </w:r>
      <w:r>
        <w:fldChar w:fldCharType="begin"/>
      </w:r>
      <w:r>
        <w:instrText xml:space="preserve"> PAGEREF _Toc9843 \h </w:instrText>
      </w:r>
      <w:r>
        <w:fldChar w:fldCharType="separate"/>
      </w:r>
      <w:r>
        <w:t>57</w:t>
      </w:r>
      <w:r>
        <w:fldChar w:fldCharType="end"/>
      </w:r>
      <w:r>
        <w:fldChar w:fldCharType="end"/>
      </w:r>
    </w:p>
    <w:p>
      <w:pPr>
        <w:pStyle w:val="12"/>
        <w:tabs>
          <w:tab w:val="right" w:leader="dot" w:pos="8306"/>
          <w:tab w:val="clear" w:pos="8296"/>
        </w:tabs>
      </w:pPr>
      <w:r>
        <w:fldChar w:fldCharType="begin"/>
      </w:r>
      <w:r>
        <w:instrText xml:space="preserve"> HYPERLINK \l "_Toc29001" </w:instrText>
      </w:r>
      <w:r>
        <w:fldChar w:fldCharType="separate"/>
      </w:r>
      <w:r>
        <w:rPr>
          <w:rFonts w:hint="eastAsia"/>
        </w:rPr>
        <w:t>附件2项目备案证明</w:t>
      </w:r>
      <w:r>
        <w:tab/>
      </w:r>
      <w:r>
        <w:fldChar w:fldCharType="begin"/>
      </w:r>
      <w:r>
        <w:instrText xml:space="preserve"> PAGEREF _Toc29001 \h </w:instrText>
      </w:r>
      <w:r>
        <w:fldChar w:fldCharType="separate"/>
      </w:r>
      <w:r>
        <w:t>58</w:t>
      </w:r>
      <w:r>
        <w:fldChar w:fldCharType="end"/>
      </w:r>
      <w:r>
        <w:fldChar w:fldCharType="end"/>
      </w:r>
    </w:p>
    <w:p>
      <w:pPr>
        <w:pStyle w:val="12"/>
        <w:tabs>
          <w:tab w:val="right" w:leader="dot" w:pos="8306"/>
          <w:tab w:val="clear" w:pos="8296"/>
        </w:tabs>
      </w:pPr>
      <w:r>
        <w:fldChar w:fldCharType="begin"/>
      </w:r>
      <w:r>
        <w:instrText xml:space="preserve"> HYPERLINK \l "_Toc4087" </w:instrText>
      </w:r>
      <w:r>
        <w:fldChar w:fldCharType="separate"/>
      </w:r>
      <w:r>
        <w:rPr>
          <w:rFonts w:hint="eastAsia"/>
        </w:rPr>
        <w:t>附件</w:t>
      </w:r>
      <w:r>
        <w:t>3</w:t>
      </w:r>
      <w:r>
        <w:rPr>
          <w:rFonts w:hint="eastAsia"/>
        </w:rPr>
        <w:t>攸县自然局选址意见</w:t>
      </w:r>
      <w:r>
        <w:tab/>
      </w:r>
      <w:r>
        <w:fldChar w:fldCharType="begin"/>
      </w:r>
      <w:r>
        <w:instrText xml:space="preserve"> PAGEREF _Toc4087 \h </w:instrText>
      </w:r>
      <w:r>
        <w:fldChar w:fldCharType="separate"/>
      </w:r>
      <w:r>
        <w:t>60</w:t>
      </w:r>
      <w:r>
        <w:fldChar w:fldCharType="end"/>
      </w:r>
      <w:r>
        <w:fldChar w:fldCharType="end"/>
      </w:r>
    </w:p>
    <w:p>
      <w:pPr>
        <w:pStyle w:val="12"/>
        <w:tabs>
          <w:tab w:val="right" w:leader="dot" w:pos="8306"/>
          <w:tab w:val="clear" w:pos="8296"/>
        </w:tabs>
      </w:pPr>
      <w:r>
        <w:fldChar w:fldCharType="begin"/>
      </w:r>
      <w:r>
        <w:instrText xml:space="preserve"> HYPERLINK \l "_Toc5579" </w:instrText>
      </w:r>
      <w:r>
        <w:fldChar w:fldCharType="separate"/>
      </w:r>
      <w:r>
        <w:rPr>
          <w:rFonts w:hint="eastAsia"/>
        </w:rPr>
        <w:t>附件4营业执照</w:t>
      </w:r>
      <w:r>
        <w:tab/>
      </w:r>
      <w:r>
        <w:fldChar w:fldCharType="begin"/>
      </w:r>
      <w:r>
        <w:instrText xml:space="preserve"> PAGEREF _Toc5579 \h </w:instrText>
      </w:r>
      <w:r>
        <w:fldChar w:fldCharType="separate"/>
      </w:r>
      <w:r>
        <w:t>61</w:t>
      </w:r>
      <w:r>
        <w:fldChar w:fldCharType="end"/>
      </w:r>
      <w:r>
        <w:fldChar w:fldCharType="end"/>
      </w:r>
    </w:p>
    <w:p>
      <w:pPr>
        <w:pStyle w:val="12"/>
        <w:tabs>
          <w:tab w:val="right" w:leader="dot" w:pos="8306"/>
          <w:tab w:val="clear" w:pos="8296"/>
        </w:tabs>
      </w:pPr>
      <w:r>
        <w:fldChar w:fldCharType="begin"/>
      </w:r>
      <w:r>
        <w:instrText xml:space="preserve"> HYPERLINK \l "_Toc105" </w:instrText>
      </w:r>
      <w:r>
        <w:fldChar w:fldCharType="separate"/>
      </w:r>
      <w:r>
        <w:rPr>
          <w:rFonts w:hint="eastAsia"/>
        </w:rPr>
        <w:t>附件</w:t>
      </w:r>
      <w:r>
        <w:t>5</w:t>
      </w:r>
      <w:r>
        <w:rPr>
          <w:rFonts w:hint="eastAsia"/>
        </w:rPr>
        <w:t>监测报告</w:t>
      </w:r>
      <w:r>
        <w:tab/>
      </w:r>
      <w:r>
        <w:fldChar w:fldCharType="begin"/>
      </w:r>
      <w:r>
        <w:instrText xml:space="preserve"> PAGEREF _Toc105 \h </w:instrText>
      </w:r>
      <w:r>
        <w:fldChar w:fldCharType="separate"/>
      </w:r>
      <w:r>
        <w:t>62</w:t>
      </w:r>
      <w:r>
        <w:fldChar w:fldCharType="end"/>
      </w:r>
      <w:r>
        <w:fldChar w:fldCharType="end"/>
      </w:r>
    </w:p>
    <w:p>
      <w:pPr>
        <w:pStyle w:val="12"/>
        <w:tabs>
          <w:tab w:val="right" w:leader="dot" w:pos="8306"/>
          <w:tab w:val="clear" w:pos="8296"/>
        </w:tabs>
      </w:pPr>
      <w:r>
        <w:fldChar w:fldCharType="begin"/>
      </w:r>
      <w:r>
        <w:instrText xml:space="preserve"> HYPERLINK \l "_Toc10032" </w:instrText>
      </w:r>
      <w:r>
        <w:fldChar w:fldCharType="separate"/>
      </w:r>
      <w:r>
        <w:rPr>
          <w:rFonts w:hint="eastAsia"/>
        </w:rPr>
        <w:t>附件</w:t>
      </w:r>
      <w:r>
        <w:t>6</w:t>
      </w:r>
      <w:r>
        <w:rPr>
          <w:rFonts w:hint="eastAsia"/>
        </w:rPr>
        <w:t>土地租赁协议</w:t>
      </w:r>
      <w:r>
        <w:tab/>
      </w:r>
      <w:r>
        <w:fldChar w:fldCharType="begin"/>
      </w:r>
      <w:r>
        <w:instrText xml:space="preserve"> PAGEREF _Toc10032 \h </w:instrText>
      </w:r>
      <w:r>
        <w:fldChar w:fldCharType="separate"/>
      </w:r>
      <w:r>
        <w:t>68</w:t>
      </w:r>
      <w:r>
        <w:fldChar w:fldCharType="end"/>
      </w:r>
      <w:r>
        <w:fldChar w:fldCharType="end"/>
      </w:r>
    </w:p>
    <w:p>
      <w:pPr>
        <w:pStyle w:val="12"/>
        <w:tabs>
          <w:tab w:val="right" w:leader="dot" w:pos="8306"/>
          <w:tab w:val="clear" w:pos="8296"/>
        </w:tabs>
      </w:pPr>
      <w:r>
        <w:fldChar w:fldCharType="begin"/>
      </w:r>
      <w:r>
        <w:instrText xml:space="preserve"> HYPERLINK \l "_Toc11813" </w:instrText>
      </w:r>
      <w:r>
        <w:fldChar w:fldCharType="separate"/>
      </w:r>
      <w:r>
        <w:rPr>
          <w:rFonts w:hint="eastAsia"/>
        </w:rPr>
        <w:t>附件7专家签到表</w:t>
      </w:r>
      <w:r>
        <w:tab/>
      </w:r>
      <w:r>
        <w:fldChar w:fldCharType="begin"/>
      </w:r>
      <w:r>
        <w:instrText xml:space="preserve"> PAGEREF _Toc11813 \h </w:instrText>
      </w:r>
      <w:r>
        <w:fldChar w:fldCharType="separate"/>
      </w:r>
      <w:r>
        <w:t>71</w:t>
      </w:r>
      <w:r>
        <w:fldChar w:fldCharType="end"/>
      </w:r>
      <w:r>
        <w:fldChar w:fldCharType="end"/>
      </w:r>
    </w:p>
    <w:p>
      <w:pPr>
        <w:pStyle w:val="12"/>
        <w:tabs>
          <w:tab w:val="right" w:leader="dot" w:pos="8306"/>
          <w:tab w:val="clear" w:pos="8296"/>
        </w:tabs>
      </w:pPr>
      <w:r>
        <w:fldChar w:fldCharType="begin"/>
      </w:r>
      <w:r>
        <w:instrText xml:space="preserve"> HYPERLINK \l "_Toc23002" </w:instrText>
      </w:r>
      <w:r>
        <w:fldChar w:fldCharType="separate"/>
      </w:r>
      <w:r>
        <w:rPr>
          <w:rFonts w:hint="eastAsia"/>
        </w:rPr>
        <w:t>附件8专家意见</w:t>
      </w:r>
      <w:r>
        <w:tab/>
      </w:r>
      <w:r>
        <w:fldChar w:fldCharType="begin"/>
      </w:r>
      <w:r>
        <w:instrText xml:space="preserve"> PAGEREF _Toc23002 \h </w:instrText>
      </w:r>
      <w:r>
        <w:fldChar w:fldCharType="separate"/>
      </w:r>
      <w:r>
        <w:t>72</w:t>
      </w:r>
      <w:r>
        <w:fldChar w:fldCharType="end"/>
      </w:r>
      <w:r>
        <w:fldChar w:fldCharType="end"/>
      </w:r>
    </w:p>
    <w:p>
      <w:pPr>
        <w:pStyle w:val="12"/>
        <w:tabs>
          <w:tab w:val="right" w:leader="dot" w:pos="8306"/>
          <w:tab w:val="clear" w:pos="8296"/>
        </w:tabs>
      </w:pPr>
      <w:r>
        <w:fldChar w:fldCharType="begin"/>
      </w:r>
      <w:r>
        <w:instrText xml:space="preserve"> HYPERLINK \l "_Toc15794" </w:instrText>
      </w:r>
      <w:r>
        <w:fldChar w:fldCharType="separate"/>
      </w:r>
      <w:r>
        <w:rPr>
          <w:rFonts w:hint="eastAsia"/>
        </w:rPr>
        <w:t>附件</w:t>
      </w:r>
      <w:r>
        <w:t>9</w:t>
      </w:r>
      <w:r>
        <w:rPr>
          <w:rFonts w:hint="eastAsia"/>
        </w:rPr>
        <w:t>专家意见修改清单</w:t>
      </w:r>
      <w:r>
        <w:tab/>
      </w:r>
      <w:r>
        <w:fldChar w:fldCharType="begin"/>
      </w:r>
      <w:r>
        <w:instrText xml:space="preserve"> PAGEREF _Toc15794 \h </w:instrText>
      </w:r>
      <w:r>
        <w:fldChar w:fldCharType="separate"/>
      </w:r>
      <w:r>
        <w:t>74</w:t>
      </w:r>
      <w:r>
        <w:fldChar w:fldCharType="end"/>
      </w:r>
      <w:r>
        <w:fldChar w:fldCharType="end"/>
      </w:r>
    </w:p>
    <w:p>
      <w:pPr>
        <w:spacing w:line="240" w:lineRule="auto"/>
        <w:ind w:firstLine="0" w:firstLineChars="0"/>
        <w:jc w:val="center"/>
        <w:rPr>
          <w:rFonts w:cs="Times New Roman"/>
          <w:sz w:val="36"/>
          <w:szCs w:val="32"/>
        </w:rPr>
        <w:sectPr>
          <w:pgSz w:w="11906" w:h="16838"/>
          <w:pgMar w:top="1440" w:right="1800" w:bottom="1440" w:left="1800" w:header="851" w:footer="992" w:gutter="0"/>
          <w:cols w:space="425" w:num="1"/>
          <w:docGrid w:type="lines" w:linePitch="312" w:charSpace="0"/>
        </w:sectPr>
      </w:pPr>
      <w:r>
        <w:rPr>
          <w:rFonts w:cs="Times New Roman"/>
          <w:szCs w:val="32"/>
        </w:rPr>
        <w:fldChar w:fldCharType="end"/>
      </w:r>
    </w:p>
    <w:p>
      <w:pPr>
        <w:pStyle w:val="2"/>
      </w:pPr>
      <w:bookmarkStart w:id="3" w:name="_Toc21659"/>
      <w:r>
        <w:t>一、建设项目基本情况</w:t>
      </w:r>
      <w:bookmarkEnd w:id="3"/>
    </w:p>
    <w:tbl>
      <w:tblPr>
        <w:tblStyle w:val="17"/>
        <w:tblW w:w="833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90"/>
        <w:gridCol w:w="1861"/>
        <w:gridCol w:w="1706"/>
        <w:gridCol w:w="29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1790" w:type="dxa"/>
            <w:tcBorders>
              <w:top w:val="single" w:color="auto" w:sz="8" w:space="0"/>
              <w:left w:val="single" w:color="auto" w:sz="8" w:space="0"/>
              <w:bottom w:val="single" w:color="auto" w:sz="4" w:space="0"/>
              <w:right w:val="single" w:color="auto" w:sz="4" w:space="0"/>
            </w:tcBorders>
            <w:tcMar>
              <w:top w:w="16" w:type="dxa"/>
              <w:left w:w="16" w:type="dxa"/>
              <w:right w:w="16" w:type="dxa"/>
            </w:tcMar>
            <w:vAlign w:val="center"/>
          </w:tcPr>
          <w:p>
            <w:pPr>
              <w:pStyle w:val="37"/>
              <w:rPr>
                <w:u w:val="none"/>
              </w:rPr>
            </w:pPr>
            <w:r>
              <w:rPr>
                <w:rFonts w:hint="eastAsia"/>
                <w:u w:val="none"/>
              </w:rPr>
              <w:t>建设项目名称</w:t>
            </w:r>
          </w:p>
        </w:tc>
        <w:tc>
          <w:tcPr>
            <w:tcW w:w="6542" w:type="dxa"/>
            <w:gridSpan w:val="3"/>
            <w:tcBorders>
              <w:top w:val="single" w:color="auto" w:sz="8" w:space="0"/>
              <w:left w:val="single" w:color="auto" w:sz="4" w:space="0"/>
              <w:bottom w:val="single" w:color="auto" w:sz="4" w:space="0"/>
              <w:right w:val="single" w:color="auto" w:sz="8" w:space="0"/>
            </w:tcBorders>
            <w:vAlign w:val="center"/>
          </w:tcPr>
          <w:p>
            <w:pPr>
              <w:pStyle w:val="37"/>
              <w:jc w:val="center"/>
              <w:rPr>
                <w:u w:val="none"/>
              </w:rPr>
            </w:pPr>
            <w:r>
              <w:rPr>
                <w:rFonts w:hint="eastAsia"/>
                <w:u w:val="none"/>
              </w:rPr>
              <w:t>建福煤炭加工项目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1790" w:type="dxa"/>
            <w:tcBorders>
              <w:top w:val="single" w:color="auto" w:sz="4" w:space="0"/>
              <w:left w:val="single" w:color="auto" w:sz="8" w:space="0"/>
              <w:bottom w:val="single" w:color="auto" w:sz="4" w:space="0"/>
              <w:right w:val="single" w:color="auto" w:sz="4" w:space="0"/>
            </w:tcBorders>
            <w:tcMar>
              <w:top w:w="16" w:type="dxa"/>
              <w:left w:w="16" w:type="dxa"/>
              <w:right w:w="16" w:type="dxa"/>
            </w:tcMar>
            <w:vAlign w:val="center"/>
          </w:tcPr>
          <w:p>
            <w:pPr>
              <w:pStyle w:val="37"/>
              <w:rPr>
                <w:u w:val="none"/>
              </w:rPr>
            </w:pPr>
            <w:r>
              <w:rPr>
                <w:rFonts w:hint="eastAsia"/>
                <w:u w:val="none"/>
              </w:rPr>
              <w:t>项目代码</w:t>
            </w:r>
          </w:p>
        </w:tc>
        <w:tc>
          <w:tcPr>
            <w:tcW w:w="6542" w:type="dxa"/>
            <w:gridSpan w:val="3"/>
            <w:tcBorders>
              <w:top w:val="single" w:color="auto" w:sz="4" w:space="0"/>
              <w:left w:val="single" w:color="auto" w:sz="4" w:space="0"/>
              <w:bottom w:val="single" w:color="auto" w:sz="4" w:space="0"/>
              <w:right w:val="single" w:color="auto" w:sz="8" w:space="0"/>
            </w:tcBorders>
            <w:vAlign w:val="center"/>
          </w:tcPr>
          <w:p>
            <w:pPr>
              <w:pStyle w:val="37"/>
              <w:jc w:val="center"/>
              <w:rPr>
                <w:u w:val="none"/>
              </w:rPr>
            </w:pPr>
            <w:r>
              <w:rPr>
                <w:rFonts w:hint="eastAsia"/>
                <w:u w:val="none"/>
              </w:rPr>
              <w:t>2</w:t>
            </w:r>
            <w:r>
              <w:rPr>
                <w:u w:val="none"/>
              </w:rPr>
              <w:t>205-430223-04-01-214520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90" w:type="dxa"/>
            <w:tcMar>
              <w:top w:w="16" w:type="dxa"/>
              <w:left w:w="16" w:type="dxa"/>
              <w:right w:w="16" w:type="dxa"/>
            </w:tcMar>
            <w:vAlign w:val="center"/>
          </w:tcPr>
          <w:p>
            <w:pPr>
              <w:pStyle w:val="37"/>
              <w:rPr>
                <w:u w:val="none"/>
              </w:rPr>
            </w:pPr>
            <w:r>
              <w:rPr>
                <w:rFonts w:hint="eastAsia"/>
                <w:u w:val="none"/>
              </w:rPr>
              <w:t>建设单位联系人</w:t>
            </w:r>
          </w:p>
        </w:tc>
        <w:tc>
          <w:tcPr>
            <w:tcW w:w="1861" w:type="dxa"/>
            <w:vAlign w:val="center"/>
          </w:tcPr>
          <w:p>
            <w:pPr>
              <w:pStyle w:val="37"/>
              <w:jc w:val="center"/>
              <w:rPr>
                <w:u w:val="none"/>
              </w:rPr>
            </w:pPr>
          </w:p>
        </w:tc>
        <w:tc>
          <w:tcPr>
            <w:tcW w:w="1706" w:type="dxa"/>
            <w:vAlign w:val="center"/>
          </w:tcPr>
          <w:p>
            <w:pPr>
              <w:pStyle w:val="37"/>
              <w:jc w:val="center"/>
              <w:rPr>
                <w:u w:val="none"/>
              </w:rPr>
            </w:pPr>
            <w:r>
              <w:rPr>
                <w:u w:val="none"/>
              </w:rPr>
              <w:t>联系方式</w:t>
            </w:r>
          </w:p>
        </w:tc>
        <w:tc>
          <w:tcPr>
            <w:tcW w:w="2975" w:type="dxa"/>
            <w:vAlign w:val="center"/>
          </w:tcPr>
          <w:p>
            <w:pPr>
              <w:pStyle w:val="37"/>
              <w:jc w:val="center"/>
              <w:rPr>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90" w:type="dxa"/>
            <w:tcMar>
              <w:top w:w="16" w:type="dxa"/>
              <w:left w:w="16" w:type="dxa"/>
              <w:right w:w="16" w:type="dxa"/>
            </w:tcMar>
            <w:vAlign w:val="center"/>
          </w:tcPr>
          <w:p>
            <w:pPr>
              <w:pStyle w:val="37"/>
              <w:rPr>
                <w:u w:val="none"/>
              </w:rPr>
            </w:pPr>
            <w:r>
              <w:rPr>
                <w:rFonts w:hint="eastAsia"/>
                <w:u w:val="none"/>
              </w:rPr>
              <w:t>建设地点</w:t>
            </w:r>
          </w:p>
        </w:tc>
        <w:tc>
          <w:tcPr>
            <w:tcW w:w="6542" w:type="dxa"/>
            <w:gridSpan w:val="3"/>
            <w:vAlign w:val="center"/>
          </w:tcPr>
          <w:p>
            <w:pPr>
              <w:pStyle w:val="37"/>
              <w:jc w:val="center"/>
              <w:rPr>
                <w:u w:val="none"/>
              </w:rPr>
            </w:pPr>
            <w:r>
              <w:rPr>
                <w:u w:val="none"/>
              </w:rPr>
              <w:t>湖南省</w:t>
            </w:r>
            <w:r>
              <w:rPr>
                <w:rFonts w:hint="eastAsia"/>
                <w:u w:val="none"/>
              </w:rPr>
              <w:t>株洲市攸县宁家坪镇宁家坪社区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90" w:type="dxa"/>
            <w:tcMar>
              <w:top w:w="16" w:type="dxa"/>
              <w:left w:w="16" w:type="dxa"/>
              <w:right w:w="16" w:type="dxa"/>
            </w:tcMar>
            <w:vAlign w:val="center"/>
          </w:tcPr>
          <w:p>
            <w:pPr>
              <w:pStyle w:val="37"/>
              <w:rPr>
                <w:u w:val="none"/>
              </w:rPr>
            </w:pPr>
            <w:r>
              <w:rPr>
                <w:rFonts w:hint="eastAsia"/>
                <w:u w:val="none"/>
              </w:rPr>
              <w:t>地理坐标</w:t>
            </w:r>
          </w:p>
        </w:tc>
        <w:tc>
          <w:tcPr>
            <w:tcW w:w="6542" w:type="dxa"/>
            <w:gridSpan w:val="3"/>
            <w:vAlign w:val="center"/>
          </w:tcPr>
          <w:p>
            <w:pPr>
              <w:pStyle w:val="37"/>
              <w:jc w:val="center"/>
              <w:rPr>
                <w:u w:val="none"/>
              </w:rPr>
            </w:pPr>
            <w:r>
              <w:rPr>
                <w:u w:val="none"/>
              </w:rPr>
              <w:t>（113度</w:t>
            </w:r>
            <w:r>
              <w:rPr>
                <w:rFonts w:hint="eastAsia"/>
                <w:u w:val="none"/>
              </w:rPr>
              <w:t>2</w:t>
            </w:r>
            <w:r>
              <w:rPr>
                <w:u w:val="none"/>
              </w:rPr>
              <w:t>8分10.163秒，27度17分44.803秒）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790" w:type="dxa"/>
            <w:tcMar>
              <w:top w:w="16" w:type="dxa"/>
              <w:left w:w="16" w:type="dxa"/>
              <w:right w:w="16" w:type="dxa"/>
            </w:tcMar>
            <w:vAlign w:val="center"/>
          </w:tcPr>
          <w:p>
            <w:pPr>
              <w:pStyle w:val="37"/>
              <w:rPr>
                <w:u w:val="none"/>
              </w:rPr>
            </w:pPr>
            <w:r>
              <w:rPr>
                <w:rFonts w:hint="eastAsia"/>
                <w:u w:val="none"/>
              </w:rPr>
              <w:t>国民经济</w:t>
            </w:r>
          </w:p>
          <w:p>
            <w:pPr>
              <w:pStyle w:val="37"/>
              <w:rPr>
                <w:u w:val="none"/>
              </w:rPr>
            </w:pPr>
            <w:r>
              <w:rPr>
                <w:rFonts w:hint="eastAsia"/>
                <w:u w:val="none"/>
              </w:rPr>
              <w:t>行业类别</w:t>
            </w:r>
          </w:p>
        </w:tc>
        <w:tc>
          <w:tcPr>
            <w:tcW w:w="1861" w:type="dxa"/>
            <w:vAlign w:val="center"/>
          </w:tcPr>
          <w:p>
            <w:pPr>
              <w:pStyle w:val="37"/>
              <w:jc w:val="center"/>
              <w:rPr>
                <w:u w:val="none"/>
              </w:rPr>
            </w:pPr>
            <w:r>
              <w:rPr>
                <w:rFonts w:hint="eastAsia"/>
                <w:u w:val="none"/>
              </w:rPr>
              <w:t>C</w:t>
            </w:r>
            <w:r>
              <w:rPr>
                <w:u w:val="none"/>
              </w:rPr>
              <w:t>2529</w:t>
            </w:r>
            <w:r>
              <w:rPr>
                <w:rFonts w:hint="eastAsia"/>
                <w:u w:val="none"/>
              </w:rPr>
              <w:t>其他煤炭加工、C</w:t>
            </w:r>
            <w:r>
              <w:rPr>
                <w:u w:val="none"/>
              </w:rPr>
              <w:t>2524</w:t>
            </w:r>
            <w:r>
              <w:rPr>
                <w:rFonts w:hint="eastAsia"/>
                <w:u w:val="none"/>
              </w:rPr>
              <w:t>煤制品制造</w:t>
            </w:r>
          </w:p>
        </w:tc>
        <w:tc>
          <w:tcPr>
            <w:tcW w:w="1706" w:type="dxa"/>
            <w:vAlign w:val="center"/>
          </w:tcPr>
          <w:p>
            <w:pPr>
              <w:pStyle w:val="37"/>
              <w:jc w:val="center"/>
              <w:rPr>
                <w:u w:val="none"/>
              </w:rPr>
            </w:pPr>
            <w:bookmarkStart w:id="4" w:name="_Hlk49843745"/>
            <w:r>
              <w:rPr>
                <w:rFonts w:hint="eastAsia"/>
                <w:u w:val="none"/>
              </w:rPr>
              <w:t>建设项目行业类别</w:t>
            </w:r>
            <w:bookmarkEnd w:id="4"/>
          </w:p>
        </w:tc>
        <w:tc>
          <w:tcPr>
            <w:tcW w:w="2975" w:type="dxa"/>
            <w:vAlign w:val="center"/>
          </w:tcPr>
          <w:p>
            <w:pPr>
              <w:pStyle w:val="37"/>
              <w:jc w:val="center"/>
              <w:rPr>
                <w:u w:val="none"/>
              </w:rPr>
            </w:pPr>
            <w:r>
              <w:rPr>
                <w:rFonts w:hint="eastAsia"/>
                <w:u w:val="none"/>
              </w:rPr>
              <w:t>二十二、石油、煤炭及其他燃料加工业</w:t>
            </w:r>
            <w:r>
              <w:rPr>
                <w:u w:val="none"/>
              </w:rPr>
              <w:t>25</w:t>
            </w:r>
            <w:r>
              <w:rPr>
                <w:rFonts w:hint="eastAsia"/>
                <w:u w:val="none"/>
              </w:rPr>
              <w:t>；4</w:t>
            </w:r>
            <w:r>
              <w:rPr>
                <w:u w:val="none"/>
              </w:rPr>
              <w:t>2</w:t>
            </w:r>
            <w:r>
              <w:rPr>
                <w:rFonts w:hint="eastAsia"/>
                <w:u w:val="none"/>
              </w:rPr>
              <w:t>、煤炭加工</w:t>
            </w:r>
            <w:r>
              <w:rPr>
                <w:u w:val="none"/>
              </w:rPr>
              <w:t>252</w:t>
            </w:r>
            <w:r>
              <w:rPr>
                <w:rFonts w:hint="eastAsia"/>
                <w:u w:val="none"/>
              </w:rPr>
              <w:t>；煤制品制造；其他煤炭加工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790" w:type="dxa"/>
            <w:tcMar>
              <w:top w:w="16" w:type="dxa"/>
              <w:left w:w="16" w:type="dxa"/>
              <w:right w:w="16" w:type="dxa"/>
            </w:tcMar>
            <w:vAlign w:val="center"/>
          </w:tcPr>
          <w:p>
            <w:pPr>
              <w:pStyle w:val="37"/>
              <w:rPr>
                <w:u w:val="none"/>
              </w:rPr>
            </w:pPr>
            <w:r>
              <w:rPr>
                <w:rFonts w:hint="eastAsia"/>
                <w:u w:val="none"/>
              </w:rPr>
              <w:t>建设性质</w:t>
            </w:r>
          </w:p>
        </w:tc>
        <w:tc>
          <w:tcPr>
            <w:tcW w:w="1861" w:type="dxa"/>
            <w:vAlign w:val="center"/>
          </w:tcPr>
          <w:p>
            <w:pPr>
              <w:pStyle w:val="37"/>
              <w:rPr>
                <w:u w:val="none"/>
              </w:rPr>
            </w:pPr>
            <w:r>
              <w:rPr>
                <w:rFonts w:hint="eastAsia"/>
                <w:u w:val="none"/>
              </w:rPr>
              <w:sym w:font="Wingdings" w:char="00FE"/>
            </w:r>
            <w:r>
              <w:rPr>
                <w:rFonts w:hint="eastAsia"/>
                <w:u w:val="none"/>
              </w:rPr>
              <w:t>新建（迁建）</w:t>
            </w:r>
          </w:p>
          <w:p>
            <w:pPr>
              <w:pStyle w:val="37"/>
              <w:rPr>
                <w:u w:val="none"/>
              </w:rPr>
            </w:pPr>
            <w:r>
              <w:rPr>
                <w:rFonts w:hint="eastAsia"/>
                <w:u w:val="none"/>
              </w:rPr>
              <w:sym w:font="Wingdings" w:char="00A8"/>
            </w:r>
            <w:r>
              <w:rPr>
                <w:rFonts w:hint="eastAsia"/>
                <w:u w:val="none"/>
              </w:rPr>
              <w:t>改建</w:t>
            </w:r>
          </w:p>
          <w:p>
            <w:pPr>
              <w:pStyle w:val="37"/>
              <w:rPr>
                <w:u w:val="none"/>
              </w:rPr>
            </w:pPr>
            <w:r>
              <w:rPr>
                <w:rFonts w:hint="eastAsia"/>
                <w:u w:val="none"/>
              </w:rPr>
              <w:sym w:font="Wingdings" w:char="00A8"/>
            </w:r>
            <w:r>
              <w:rPr>
                <w:rFonts w:hint="eastAsia"/>
                <w:u w:val="none"/>
              </w:rPr>
              <w:t>扩建</w:t>
            </w:r>
          </w:p>
          <w:p>
            <w:pPr>
              <w:pStyle w:val="37"/>
              <w:rPr>
                <w:u w:val="none"/>
              </w:rPr>
            </w:pPr>
            <w:r>
              <w:rPr>
                <w:rFonts w:hint="eastAsia"/>
                <w:u w:val="none"/>
              </w:rPr>
              <w:sym w:font="Wingdings" w:char="00A8"/>
            </w:r>
            <w:r>
              <w:rPr>
                <w:rFonts w:hint="eastAsia"/>
                <w:u w:val="none"/>
              </w:rPr>
              <w:t>技术改造</w:t>
            </w:r>
          </w:p>
        </w:tc>
        <w:tc>
          <w:tcPr>
            <w:tcW w:w="1706" w:type="dxa"/>
            <w:vAlign w:val="center"/>
          </w:tcPr>
          <w:p>
            <w:pPr>
              <w:pStyle w:val="37"/>
              <w:rPr>
                <w:u w:val="none"/>
              </w:rPr>
            </w:pPr>
            <w:r>
              <w:rPr>
                <w:rFonts w:hint="eastAsia"/>
                <w:u w:val="none"/>
              </w:rPr>
              <w:t>建设项目申报情形</w:t>
            </w:r>
          </w:p>
        </w:tc>
        <w:tc>
          <w:tcPr>
            <w:tcW w:w="2975" w:type="dxa"/>
            <w:vAlign w:val="center"/>
          </w:tcPr>
          <w:p>
            <w:pPr>
              <w:pStyle w:val="37"/>
              <w:rPr>
                <w:u w:val="none"/>
              </w:rPr>
            </w:pPr>
            <w:r>
              <w:rPr>
                <w:rFonts w:hint="eastAsia"/>
                <w:u w:val="none"/>
              </w:rPr>
              <w:sym w:font="Wingdings 2" w:char="0052"/>
            </w:r>
            <w:r>
              <w:rPr>
                <w:rFonts w:hint="eastAsia"/>
                <w:u w:val="none"/>
              </w:rPr>
              <w:t>首次申报项目</w:t>
            </w:r>
          </w:p>
          <w:p>
            <w:pPr>
              <w:pStyle w:val="37"/>
              <w:rPr>
                <w:u w:val="none"/>
              </w:rPr>
            </w:pPr>
            <w:r>
              <w:rPr>
                <w:rFonts w:hint="eastAsia"/>
                <w:u w:val="none"/>
              </w:rPr>
              <w:t>□不予批准后再次申报项目</w:t>
            </w:r>
          </w:p>
          <w:p>
            <w:pPr>
              <w:pStyle w:val="37"/>
              <w:rPr>
                <w:u w:val="none"/>
              </w:rPr>
            </w:pPr>
            <w:r>
              <w:rPr>
                <w:rFonts w:hint="eastAsia"/>
                <w:u w:val="none"/>
              </w:rPr>
              <w:t>□超五年重新审核项目</w:t>
            </w:r>
          </w:p>
          <w:p>
            <w:pPr>
              <w:pStyle w:val="37"/>
              <w:rPr>
                <w:u w:val="none"/>
              </w:rPr>
            </w:pPr>
            <w:r>
              <w:rPr>
                <w:rFonts w:hint="eastAsia"/>
                <w:u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790" w:type="dxa"/>
            <w:tcMar>
              <w:top w:w="16" w:type="dxa"/>
              <w:left w:w="16" w:type="dxa"/>
              <w:right w:w="16" w:type="dxa"/>
            </w:tcMar>
            <w:vAlign w:val="center"/>
          </w:tcPr>
          <w:p>
            <w:pPr>
              <w:pStyle w:val="37"/>
              <w:rPr>
                <w:u w:val="none"/>
              </w:rPr>
            </w:pPr>
            <w:r>
              <w:rPr>
                <w:rFonts w:hint="eastAsia"/>
                <w:u w:val="none"/>
              </w:rPr>
              <w:t>项目审批（核准</w:t>
            </w:r>
            <w:r>
              <w:rPr>
                <w:u w:val="none"/>
              </w:rPr>
              <w:t>/</w:t>
            </w:r>
          </w:p>
          <w:p>
            <w:pPr>
              <w:pStyle w:val="37"/>
              <w:rPr>
                <w:u w:val="none"/>
              </w:rPr>
            </w:pPr>
            <w:r>
              <w:rPr>
                <w:rFonts w:hint="eastAsia"/>
                <w:u w:val="none"/>
              </w:rPr>
              <w:t>备案）部门（选填）</w:t>
            </w:r>
          </w:p>
        </w:tc>
        <w:tc>
          <w:tcPr>
            <w:tcW w:w="1861" w:type="dxa"/>
            <w:vAlign w:val="center"/>
          </w:tcPr>
          <w:p>
            <w:pPr>
              <w:pStyle w:val="37"/>
              <w:jc w:val="center"/>
              <w:rPr>
                <w:u w:val="none"/>
              </w:rPr>
            </w:pPr>
            <w:r>
              <w:rPr>
                <w:rFonts w:hint="eastAsia"/>
                <w:u w:val="none"/>
              </w:rPr>
              <w:t>攸县</w:t>
            </w:r>
            <w:r>
              <w:rPr>
                <w:u w:val="none"/>
              </w:rPr>
              <w:t>发展和改革</w:t>
            </w:r>
            <w:r>
              <w:rPr>
                <w:rFonts w:hint="eastAsia"/>
                <w:u w:val="none"/>
              </w:rPr>
              <w:t>局</w:t>
            </w:r>
          </w:p>
        </w:tc>
        <w:tc>
          <w:tcPr>
            <w:tcW w:w="1706" w:type="dxa"/>
            <w:vAlign w:val="center"/>
          </w:tcPr>
          <w:p>
            <w:pPr>
              <w:pStyle w:val="37"/>
              <w:jc w:val="center"/>
              <w:rPr>
                <w:u w:val="none"/>
              </w:rPr>
            </w:pPr>
            <w:r>
              <w:rPr>
                <w:rFonts w:hint="eastAsia"/>
                <w:u w:val="none"/>
              </w:rPr>
              <w:t>项目审批（核准</w:t>
            </w:r>
            <w:r>
              <w:rPr>
                <w:u w:val="none"/>
              </w:rPr>
              <w:t>/</w:t>
            </w:r>
          </w:p>
          <w:p>
            <w:pPr>
              <w:pStyle w:val="37"/>
              <w:jc w:val="center"/>
              <w:rPr>
                <w:u w:val="none"/>
              </w:rPr>
            </w:pPr>
            <w:r>
              <w:rPr>
                <w:rFonts w:hint="eastAsia"/>
                <w:u w:val="none"/>
              </w:rPr>
              <w:t>备案）文号（选填）</w:t>
            </w:r>
          </w:p>
        </w:tc>
        <w:tc>
          <w:tcPr>
            <w:tcW w:w="2975" w:type="dxa"/>
            <w:vAlign w:val="center"/>
          </w:tcPr>
          <w:p>
            <w:pPr>
              <w:pStyle w:val="37"/>
              <w:jc w:val="center"/>
              <w:rPr>
                <w:u w:val="none"/>
              </w:rPr>
            </w:pPr>
            <w:r>
              <w:rPr>
                <w:rFonts w:hint="eastAsia"/>
                <w:u w:val="none"/>
              </w:rPr>
              <w:t>攸发改备[</w:t>
            </w:r>
            <w:r>
              <w:rPr>
                <w:u w:val="none"/>
              </w:rPr>
              <w:t>2022]38</w:t>
            </w:r>
            <w:r>
              <w:rPr>
                <w:rFonts w:hint="eastAsia"/>
                <w:u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90" w:type="dxa"/>
            <w:tcMar>
              <w:top w:w="16" w:type="dxa"/>
              <w:left w:w="16" w:type="dxa"/>
              <w:right w:w="16" w:type="dxa"/>
            </w:tcMar>
            <w:vAlign w:val="center"/>
          </w:tcPr>
          <w:p>
            <w:pPr>
              <w:pStyle w:val="37"/>
              <w:rPr>
                <w:u w:val="none"/>
              </w:rPr>
            </w:pPr>
            <w:r>
              <w:rPr>
                <w:rFonts w:hint="eastAsia"/>
                <w:u w:val="none"/>
              </w:rPr>
              <w:t>总投资（万元）</w:t>
            </w:r>
          </w:p>
        </w:tc>
        <w:tc>
          <w:tcPr>
            <w:tcW w:w="1861" w:type="dxa"/>
            <w:vAlign w:val="center"/>
          </w:tcPr>
          <w:p>
            <w:pPr>
              <w:pStyle w:val="37"/>
              <w:jc w:val="center"/>
              <w:rPr>
                <w:u w:val="none"/>
              </w:rPr>
            </w:pPr>
            <w:r>
              <w:rPr>
                <w:u w:val="none"/>
              </w:rPr>
              <w:t>1000</w:t>
            </w:r>
          </w:p>
        </w:tc>
        <w:tc>
          <w:tcPr>
            <w:tcW w:w="1706" w:type="dxa"/>
            <w:tcMar>
              <w:top w:w="16" w:type="dxa"/>
              <w:left w:w="16" w:type="dxa"/>
              <w:right w:w="16" w:type="dxa"/>
            </w:tcMar>
            <w:vAlign w:val="center"/>
          </w:tcPr>
          <w:p>
            <w:pPr>
              <w:pStyle w:val="37"/>
              <w:jc w:val="center"/>
              <w:rPr>
                <w:u w:val="none"/>
              </w:rPr>
            </w:pPr>
            <w:r>
              <w:rPr>
                <w:u w:val="none"/>
              </w:rPr>
              <w:t>环保投资（万元）</w:t>
            </w:r>
          </w:p>
        </w:tc>
        <w:tc>
          <w:tcPr>
            <w:tcW w:w="2975" w:type="dxa"/>
            <w:vAlign w:val="center"/>
          </w:tcPr>
          <w:p>
            <w:pPr>
              <w:pStyle w:val="37"/>
              <w:jc w:val="center"/>
              <w:rPr>
                <w:highlight w:val="yellow"/>
                <w:u w:val="none"/>
              </w:rPr>
            </w:pPr>
            <w:r>
              <w:rPr>
                <w:rFonts w:hint="eastAsia"/>
                <w:u w:val="none"/>
              </w:rPr>
              <w:t>8</w:t>
            </w:r>
            <w:r>
              <w:rPr>
                <w:u w:val="none"/>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90" w:type="dxa"/>
            <w:tcMar>
              <w:top w:w="16" w:type="dxa"/>
              <w:left w:w="16" w:type="dxa"/>
              <w:right w:w="16" w:type="dxa"/>
            </w:tcMar>
            <w:vAlign w:val="center"/>
          </w:tcPr>
          <w:p>
            <w:pPr>
              <w:pStyle w:val="37"/>
              <w:rPr>
                <w:u w:val="none"/>
              </w:rPr>
            </w:pPr>
            <w:r>
              <w:rPr>
                <w:rFonts w:hint="eastAsia"/>
                <w:u w:val="none"/>
              </w:rPr>
              <w:t>环保投资占比（</w:t>
            </w:r>
            <w:r>
              <w:rPr>
                <w:u w:val="none"/>
              </w:rPr>
              <w:t>%</w:t>
            </w:r>
            <w:r>
              <w:rPr>
                <w:rFonts w:hint="eastAsia"/>
                <w:u w:val="none"/>
              </w:rPr>
              <w:t>）</w:t>
            </w:r>
          </w:p>
        </w:tc>
        <w:tc>
          <w:tcPr>
            <w:tcW w:w="1861" w:type="dxa"/>
            <w:vAlign w:val="center"/>
          </w:tcPr>
          <w:p>
            <w:pPr>
              <w:pStyle w:val="37"/>
              <w:jc w:val="center"/>
              <w:rPr>
                <w:u w:val="none"/>
              </w:rPr>
            </w:pPr>
            <w:r>
              <w:rPr>
                <w:u w:val="none"/>
              </w:rPr>
              <w:t>8%</w:t>
            </w:r>
          </w:p>
        </w:tc>
        <w:tc>
          <w:tcPr>
            <w:tcW w:w="1706" w:type="dxa"/>
            <w:tcMar>
              <w:top w:w="16" w:type="dxa"/>
              <w:left w:w="16" w:type="dxa"/>
              <w:right w:w="16" w:type="dxa"/>
            </w:tcMar>
            <w:vAlign w:val="center"/>
          </w:tcPr>
          <w:p>
            <w:pPr>
              <w:pStyle w:val="37"/>
              <w:jc w:val="center"/>
              <w:rPr>
                <w:u w:val="none"/>
              </w:rPr>
            </w:pPr>
            <w:r>
              <w:rPr>
                <w:u w:val="none"/>
              </w:rPr>
              <w:t>施工工期</w:t>
            </w:r>
          </w:p>
        </w:tc>
        <w:tc>
          <w:tcPr>
            <w:tcW w:w="2975" w:type="dxa"/>
            <w:vAlign w:val="center"/>
          </w:tcPr>
          <w:p>
            <w:pPr>
              <w:pStyle w:val="37"/>
              <w:jc w:val="center"/>
              <w:rPr>
                <w:u w:val="none"/>
              </w:rPr>
            </w:pPr>
            <w:r>
              <w:rPr>
                <w:u w:val="none"/>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790" w:type="dxa"/>
            <w:tcMar>
              <w:top w:w="16" w:type="dxa"/>
              <w:left w:w="16" w:type="dxa"/>
              <w:right w:w="16" w:type="dxa"/>
            </w:tcMar>
            <w:vAlign w:val="center"/>
          </w:tcPr>
          <w:p>
            <w:pPr>
              <w:pStyle w:val="37"/>
              <w:rPr>
                <w:u w:val="none"/>
              </w:rPr>
            </w:pPr>
            <w:r>
              <w:rPr>
                <w:rFonts w:hint="eastAsia"/>
                <w:u w:val="none"/>
              </w:rPr>
              <w:t>是否开工建设</w:t>
            </w:r>
          </w:p>
        </w:tc>
        <w:tc>
          <w:tcPr>
            <w:tcW w:w="1861" w:type="dxa"/>
            <w:vAlign w:val="center"/>
          </w:tcPr>
          <w:p>
            <w:pPr>
              <w:pStyle w:val="37"/>
              <w:rPr>
                <w:u w:val="none"/>
              </w:rPr>
            </w:pPr>
            <w:r>
              <w:rPr>
                <w:sz w:val="32"/>
                <w:szCs w:val="32"/>
                <w:u w:val="none"/>
              </w:rPr>
              <w:t>□</w:t>
            </w:r>
            <w:r>
              <w:rPr>
                <w:u w:val="none"/>
              </w:rPr>
              <w:t>否</w:t>
            </w:r>
          </w:p>
          <w:p>
            <w:pPr>
              <w:pStyle w:val="37"/>
              <w:rPr>
                <w:u w:val="none"/>
              </w:rPr>
            </w:pPr>
            <w:r>
              <w:rPr>
                <w:u w:val="none"/>
              </w:rPr>
              <w:sym w:font="Wingdings 2" w:char="0052"/>
            </w:r>
            <w:r>
              <w:rPr>
                <w:u w:val="none"/>
              </w:rPr>
              <w:t>是：已完成基础建设及设备安装，目前处于停产状态</w:t>
            </w:r>
          </w:p>
        </w:tc>
        <w:tc>
          <w:tcPr>
            <w:tcW w:w="1706" w:type="dxa"/>
            <w:tcMar>
              <w:top w:w="16" w:type="dxa"/>
              <w:left w:w="16" w:type="dxa"/>
              <w:right w:w="16" w:type="dxa"/>
            </w:tcMar>
            <w:vAlign w:val="center"/>
          </w:tcPr>
          <w:p>
            <w:pPr>
              <w:pStyle w:val="37"/>
              <w:rPr>
                <w:u w:val="none"/>
              </w:rPr>
            </w:pPr>
            <w:r>
              <w:rPr>
                <w:u w:val="none"/>
              </w:rPr>
              <w:t>用地（用海）面积（m</w:t>
            </w:r>
            <w:r>
              <w:rPr>
                <w:u w:val="none"/>
                <w:vertAlign w:val="superscript"/>
              </w:rPr>
              <w:t>2</w:t>
            </w:r>
            <w:r>
              <w:rPr>
                <w:u w:val="none"/>
              </w:rPr>
              <w:t>）</w:t>
            </w:r>
          </w:p>
        </w:tc>
        <w:tc>
          <w:tcPr>
            <w:tcW w:w="2975" w:type="dxa"/>
            <w:vAlign w:val="center"/>
          </w:tcPr>
          <w:p>
            <w:pPr>
              <w:pStyle w:val="37"/>
              <w:jc w:val="center"/>
              <w:rPr>
                <w:u w:val="none"/>
              </w:rPr>
            </w:pPr>
            <w:bookmarkStart w:id="5" w:name="_Hlk106542602"/>
            <w:r>
              <w:rPr>
                <w:u w:val="none"/>
              </w:rPr>
              <w:t>8896.45</w:t>
            </w:r>
            <w:bookmarkEnd w:id="5"/>
            <w:r>
              <w:rPr>
                <w:u w:val="none"/>
              </w:rPr>
              <w:t>m</w:t>
            </w:r>
            <w:r>
              <w:rPr>
                <w:u w:val="none"/>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1790" w:type="dxa"/>
            <w:vAlign w:val="center"/>
          </w:tcPr>
          <w:p>
            <w:pPr>
              <w:pStyle w:val="37"/>
              <w:rPr>
                <w:u w:val="none"/>
              </w:rPr>
            </w:pPr>
            <w:r>
              <w:rPr>
                <w:rFonts w:hint="eastAsia"/>
                <w:u w:val="none"/>
              </w:rPr>
              <w:t>专项评价</w:t>
            </w:r>
          </w:p>
          <w:p>
            <w:pPr>
              <w:pStyle w:val="37"/>
              <w:rPr>
                <w:u w:val="none"/>
              </w:rPr>
            </w:pPr>
            <w:r>
              <w:rPr>
                <w:rFonts w:hint="eastAsia"/>
                <w:u w:val="none"/>
              </w:rPr>
              <w:t>设置情况</w:t>
            </w:r>
          </w:p>
        </w:tc>
        <w:tc>
          <w:tcPr>
            <w:tcW w:w="6542" w:type="dxa"/>
            <w:gridSpan w:val="3"/>
            <w:vAlign w:val="center"/>
          </w:tcPr>
          <w:p>
            <w:pPr>
              <w:pStyle w:val="37"/>
              <w:jc w:val="center"/>
              <w:rPr>
                <w:u w:val="none"/>
              </w:rPr>
            </w:pPr>
            <w:r>
              <w:rPr>
                <w:rFonts w:hint="eastAsia"/>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jc w:val="center"/>
        </w:trPr>
        <w:tc>
          <w:tcPr>
            <w:tcW w:w="1790" w:type="dxa"/>
            <w:vAlign w:val="center"/>
          </w:tcPr>
          <w:p>
            <w:pPr>
              <w:pStyle w:val="37"/>
              <w:rPr>
                <w:u w:val="none"/>
              </w:rPr>
            </w:pPr>
            <w:r>
              <w:rPr>
                <w:rFonts w:hint="eastAsia"/>
                <w:u w:val="none"/>
              </w:rPr>
              <w:t>规划情况</w:t>
            </w:r>
          </w:p>
        </w:tc>
        <w:tc>
          <w:tcPr>
            <w:tcW w:w="6542" w:type="dxa"/>
            <w:gridSpan w:val="3"/>
            <w:vAlign w:val="center"/>
          </w:tcPr>
          <w:p>
            <w:pPr>
              <w:pStyle w:val="37"/>
              <w:jc w:val="center"/>
              <w:rPr>
                <w:u w:val="none"/>
              </w:rPr>
            </w:pPr>
            <w:r>
              <w:rPr>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jc w:val="center"/>
        </w:trPr>
        <w:tc>
          <w:tcPr>
            <w:tcW w:w="1790" w:type="dxa"/>
            <w:vAlign w:val="center"/>
          </w:tcPr>
          <w:p>
            <w:pPr>
              <w:pStyle w:val="37"/>
              <w:rPr>
                <w:u w:val="none"/>
              </w:rPr>
            </w:pPr>
            <w:r>
              <w:rPr>
                <w:rFonts w:hint="eastAsia"/>
                <w:u w:val="none"/>
              </w:rPr>
              <w:t>规划环境影响</w:t>
            </w:r>
          </w:p>
          <w:p>
            <w:pPr>
              <w:pStyle w:val="37"/>
              <w:rPr>
                <w:u w:val="none"/>
              </w:rPr>
            </w:pPr>
            <w:r>
              <w:rPr>
                <w:rFonts w:hint="eastAsia"/>
                <w:u w:val="none"/>
              </w:rPr>
              <w:t>评价情况</w:t>
            </w:r>
          </w:p>
        </w:tc>
        <w:tc>
          <w:tcPr>
            <w:tcW w:w="6542" w:type="dxa"/>
            <w:gridSpan w:val="3"/>
            <w:vAlign w:val="center"/>
          </w:tcPr>
          <w:p>
            <w:pPr>
              <w:pStyle w:val="37"/>
              <w:jc w:val="center"/>
              <w:rPr>
                <w:u w:val="none"/>
              </w:rPr>
            </w:pPr>
            <w:r>
              <w:rPr>
                <w:rFonts w:hint="eastAsia"/>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76" w:hRule="atLeast"/>
          <w:jc w:val="center"/>
        </w:trPr>
        <w:tc>
          <w:tcPr>
            <w:tcW w:w="1790" w:type="dxa"/>
            <w:vAlign w:val="center"/>
          </w:tcPr>
          <w:p>
            <w:pPr>
              <w:pStyle w:val="37"/>
              <w:rPr>
                <w:u w:val="none"/>
              </w:rPr>
            </w:pPr>
            <w:r>
              <w:rPr>
                <w:rFonts w:hint="eastAsia"/>
                <w:u w:val="none"/>
              </w:rPr>
              <w:t>规划及规划环境影响评价符合性分析</w:t>
            </w:r>
          </w:p>
        </w:tc>
        <w:tc>
          <w:tcPr>
            <w:tcW w:w="6542" w:type="dxa"/>
            <w:gridSpan w:val="3"/>
            <w:vAlign w:val="center"/>
          </w:tcPr>
          <w:p>
            <w:pPr>
              <w:pStyle w:val="37"/>
              <w:jc w:val="center"/>
              <w:rPr>
                <w:u w:val="none"/>
              </w:rPr>
            </w:pPr>
            <w:r>
              <w:rPr>
                <w:rFonts w:hint="eastAsia"/>
                <w:u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790" w:type="dxa"/>
            <w:vAlign w:val="center"/>
          </w:tcPr>
          <w:p>
            <w:pPr>
              <w:pStyle w:val="37"/>
              <w:rPr>
                <w:u w:val="none"/>
              </w:rPr>
            </w:pPr>
            <w:r>
              <w:rPr>
                <w:u w:val="none"/>
              </w:rPr>
              <w:t>其他符合性分析</w:t>
            </w:r>
          </w:p>
        </w:tc>
        <w:tc>
          <w:tcPr>
            <w:tcW w:w="6542" w:type="dxa"/>
            <w:gridSpan w:val="3"/>
            <w:vAlign w:val="center"/>
          </w:tcPr>
          <w:p>
            <w:pPr>
              <w:ind w:firstLine="0" w:firstLineChars="0"/>
              <w:rPr>
                <w:szCs w:val="24"/>
              </w:rPr>
            </w:pPr>
            <w:r>
              <w:rPr>
                <w:szCs w:val="24"/>
              </w:rPr>
              <w:t>1</w:t>
            </w:r>
            <w:r>
              <w:rPr>
                <w:rFonts w:hint="eastAsia"/>
                <w:szCs w:val="24"/>
              </w:rPr>
              <w:t>、产业政策符合性分析</w:t>
            </w:r>
          </w:p>
          <w:p>
            <w:pPr>
              <w:ind w:firstLine="480"/>
              <w:rPr>
                <w:color w:val="000000"/>
                <w:szCs w:val="24"/>
              </w:rPr>
            </w:pPr>
            <w:r>
              <w:rPr>
                <w:rFonts w:hint="eastAsia"/>
                <w:szCs w:val="24"/>
              </w:rPr>
              <w:t>本项目属C</w:t>
            </w:r>
            <w:r>
              <w:rPr>
                <w:szCs w:val="24"/>
              </w:rPr>
              <w:t>2529</w:t>
            </w:r>
            <w:r>
              <w:rPr>
                <w:rFonts w:hint="eastAsia"/>
                <w:szCs w:val="24"/>
              </w:rPr>
              <w:t>其他煤炭加工、</w:t>
            </w:r>
            <w:r>
              <w:rPr>
                <w:rFonts w:hint="eastAsia"/>
              </w:rPr>
              <w:t>C</w:t>
            </w:r>
            <w:r>
              <w:t>2524</w:t>
            </w:r>
            <w:r>
              <w:rPr>
                <w:rFonts w:hint="eastAsia"/>
              </w:rPr>
              <w:t>煤制品制造</w:t>
            </w:r>
            <w:r>
              <w:rPr>
                <w:rFonts w:hint="eastAsia"/>
                <w:szCs w:val="24"/>
              </w:rPr>
              <w:t>，不属于《产业结构调整指导目录（2</w:t>
            </w:r>
            <w:r>
              <w:rPr>
                <w:szCs w:val="24"/>
              </w:rPr>
              <w:t>019</w:t>
            </w:r>
            <w:r>
              <w:rPr>
                <w:rFonts w:hint="eastAsia"/>
                <w:szCs w:val="24"/>
              </w:rPr>
              <w:t>年本）》中的鼓励类、限制类和淘汰类项目，属允许类项目。并于2</w:t>
            </w:r>
            <w:r>
              <w:rPr>
                <w:szCs w:val="24"/>
              </w:rPr>
              <w:t>022</w:t>
            </w:r>
            <w:r>
              <w:rPr>
                <w:rFonts w:hint="eastAsia"/>
                <w:szCs w:val="24"/>
              </w:rPr>
              <w:t>年5月1</w:t>
            </w:r>
            <w:r>
              <w:rPr>
                <w:szCs w:val="24"/>
              </w:rPr>
              <w:t>7</w:t>
            </w:r>
            <w:r>
              <w:rPr>
                <w:rFonts w:hint="eastAsia"/>
                <w:szCs w:val="24"/>
              </w:rPr>
              <w:t>日取得攸县发展</w:t>
            </w:r>
            <w:r>
              <w:rPr>
                <w:szCs w:val="24"/>
              </w:rPr>
              <w:t>改革</w:t>
            </w:r>
            <w:r>
              <w:rPr>
                <w:rFonts w:hint="eastAsia"/>
                <w:szCs w:val="24"/>
              </w:rPr>
              <w:t>局的批号为“攸发改备[</w:t>
            </w:r>
            <w:r>
              <w:rPr>
                <w:szCs w:val="24"/>
              </w:rPr>
              <w:t>2022]38</w:t>
            </w:r>
            <w:r>
              <w:rPr>
                <w:rFonts w:hint="eastAsia"/>
                <w:szCs w:val="24"/>
              </w:rPr>
              <w:t>号”的备案证明，因此，项目的建设符合国家和湖南省当前产业政策要求。</w:t>
            </w:r>
          </w:p>
          <w:p>
            <w:pPr>
              <w:ind w:firstLine="0" w:firstLineChars="0"/>
              <w:rPr>
                <w:szCs w:val="24"/>
              </w:rPr>
            </w:pPr>
            <w:r>
              <w:rPr>
                <w:szCs w:val="24"/>
              </w:rPr>
              <w:t>2</w:t>
            </w:r>
            <w:r>
              <w:rPr>
                <w:rFonts w:hint="eastAsia"/>
                <w:szCs w:val="24"/>
              </w:rPr>
              <w:t>、</w:t>
            </w:r>
            <w:r>
              <w:rPr>
                <w:szCs w:val="24"/>
              </w:rPr>
              <w:t>项目“三线一单”符合性分析</w:t>
            </w:r>
          </w:p>
          <w:p>
            <w:pPr>
              <w:ind w:firstLine="480"/>
              <w:rPr>
                <w:szCs w:val="24"/>
              </w:rPr>
            </w:pPr>
            <w:r>
              <w:rPr>
                <w:szCs w:val="24"/>
              </w:rPr>
              <w:t>根据《关于以改善环境质量为核心加强环境影响评价管理的通知》（环环评[2016]150号）：“为适应以改善环境质量为核心的环境管理要求，切实加强环境影响评价管理，落实“生态保护红线、环境质量底线、资源利用上线和环境准入负面清单”（以下简称“三线一单”）约束要求，</w:t>
            </w:r>
            <w:r>
              <w:rPr>
                <w:rFonts w:hint="eastAsia"/>
                <w:szCs w:val="24"/>
              </w:rPr>
              <w:t>建立项目环评审批与规划环评、现有项目环境管理、区域环境质量联动机制，更好地发挥环评制度从源头防范环境污染和生态破坏的作用，加快推进改善环境质量。</w:t>
            </w:r>
          </w:p>
          <w:p>
            <w:pPr>
              <w:ind w:firstLine="480"/>
              <w:rPr>
                <w:szCs w:val="24"/>
              </w:rPr>
            </w:pPr>
            <w:r>
              <w:rPr>
                <w:szCs w:val="24"/>
              </w:rPr>
              <w:t>项目“三线一单”符合性判定见表1-1。</w:t>
            </w:r>
          </w:p>
          <w:p>
            <w:pPr>
              <w:pStyle w:val="31"/>
            </w:pPr>
            <w:r>
              <w:t>表1-1项目“三线一单”符合性分析表</w:t>
            </w:r>
          </w:p>
          <w:tbl>
            <w:tblPr>
              <w:tblStyle w:val="17"/>
              <w:tblW w:w="6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4580"/>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20" w:type="dxa"/>
                  <w:vAlign w:val="center"/>
                </w:tcPr>
                <w:p>
                  <w:pPr>
                    <w:pStyle w:val="37"/>
                    <w:rPr>
                      <w:u w:val="none"/>
                    </w:rPr>
                  </w:pPr>
                  <w:r>
                    <w:rPr>
                      <w:u w:val="none"/>
                    </w:rPr>
                    <w:t>内容</w:t>
                  </w:r>
                </w:p>
              </w:tc>
              <w:tc>
                <w:tcPr>
                  <w:tcW w:w="4580" w:type="dxa"/>
                  <w:vAlign w:val="center"/>
                </w:tcPr>
                <w:p>
                  <w:pPr>
                    <w:pStyle w:val="37"/>
                    <w:rPr>
                      <w:u w:val="none"/>
                    </w:rPr>
                  </w:pPr>
                  <w:r>
                    <w:rPr>
                      <w:u w:val="none"/>
                    </w:rPr>
                    <w:t>符合性分析</w:t>
                  </w:r>
                </w:p>
              </w:tc>
              <w:tc>
                <w:tcPr>
                  <w:tcW w:w="816" w:type="dxa"/>
                  <w:vAlign w:val="center"/>
                </w:tcPr>
                <w:p>
                  <w:pPr>
                    <w:pStyle w:val="37"/>
                    <w:rPr>
                      <w:u w:val="none"/>
                    </w:rPr>
                  </w:pPr>
                  <w:r>
                    <w:rPr>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920" w:type="dxa"/>
                  <w:vAlign w:val="center"/>
                </w:tcPr>
                <w:p>
                  <w:pPr>
                    <w:pStyle w:val="37"/>
                    <w:rPr>
                      <w:u w:val="none"/>
                    </w:rPr>
                  </w:pPr>
                  <w:r>
                    <w:rPr>
                      <w:u w:val="none"/>
                    </w:rPr>
                    <w:t>生态保护红线</w:t>
                  </w:r>
                </w:p>
              </w:tc>
              <w:tc>
                <w:tcPr>
                  <w:tcW w:w="4580" w:type="dxa"/>
                  <w:vAlign w:val="center"/>
                </w:tcPr>
                <w:p>
                  <w:pPr>
                    <w:pStyle w:val="37"/>
                    <w:rPr>
                      <w:u w:val="none"/>
                    </w:rPr>
                  </w:pPr>
                  <w:r>
                    <w:rPr>
                      <w:u w:val="none"/>
                    </w:rPr>
                    <w:t>项目</w:t>
                  </w:r>
                  <w:r>
                    <w:rPr>
                      <w:rFonts w:hint="eastAsia"/>
                      <w:u w:val="none"/>
                    </w:rPr>
                    <w:t>建设用地</w:t>
                  </w:r>
                  <w:r>
                    <w:rPr>
                      <w:u w:val="none"/>
                    </w:rPr>
                    <w:t>位于湖南省</w:t>
                  </w:r>
                  <w:r>
                    <w:rPr>
                      <w:rFonts w:hint="eastAsia"/>
                      <w:u w:val="none"/>
                    </w:rPr>
                    <w:t>攸县宁家坪镇宁家坪社区</w:t>
                  </w:r>
                  <w:r>
                    <w:rPr>
                      <w:u w:val="none"/>
                    </w:rPr>
                    <w:t>，项目所在地不涉及基本农田，不涉及国家公园、自然保护区、森林公园、饮用水源一级保护区、风景名胜区的核心景区、地质遗迹保护区、世界自然遗产保护地、湿地保育区和恢复重建区、水产种质资源保护核心区、重要物种栖息地、重要湿地（含滨海湿地）、国家级水土流失重点预防区、沙化土地封禁保护区、野生植物集中分布地、自然岸线、雪山冰川、高原冻土等重要生态保护地等生态保护目标，符合生态保护红线要求，依据</w:t>
                  </w:r>
                  <w:r>
                    <w:rPr>
                      <w:rFonts w:hint="eastAsia"/>
                      <w:u w:val="none"/>
                    </w:rPr>
                    <w:t>株洲市</w:t>
                  </w:r>
                  <w:r>
                    <w:rPr>
                      <w:u w:val="none"/>
                    </w:rPr>
                    <w:t>生态红线划定成果，项目不在生态红线范围内</w:t>
                  </w:r>
                  <w:r>
                    <w:rPr>
                      <w:rFonts w:hint="eastAsia"/>
                      <w:u w:val="none"/>
                    </w:rPr>
                    <w:t>。</w:t>
                  </w:r>
                </w:p>
              </w:tc>
              <w:tc>
                <w:tcPr>
                  <w:tcW w:w="816" w:type="dxa"/>
                  <w:vAlign w:val="center"/>
                </w:tcPr>
                <w:p>
                  <w:pPr>
                    <w:pStyle w:val="37"/>
                    <w:rPr>
                      <w:u w:val="none"/>
                    </w:rPr>
                  </w:pPr>
                  <w:r>
                    <w:rPr>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20" w:type="dxa"/>
                  <w:vAlign w:val="center"/>
                </w:tcPr>
                <w:p>
                  <w:pPr>
                    <w:pStyle w:val="37"/>
                    <w:rPr>
                      <w:u w:val="none"/>
                    </w:rPr>
                  </w:pPr>
                  <w:r>
                    <w:rPr>
                      <w:u w:val="none"/>
                    </w:rPr>
                    <w:t>环境质量底线</w:t>
                  </w:r>
                </w:p>
              </w:tc>
              <w:tc>
                <w:tcPr>
                  <w:tcW w:w="4580" w:type="dxa"/>
                  <w:vAlign w:val="center"/>
                </w:tcPr>
                <w:p>
                  <w:pPr>
                    <w:pStyle w:val="37"/>
                    <w:rPr>
                      <w:u w:val="none"/>
                    </w:rPr>
                  </w:pPr>
                  <w:r>
                    <w:rPr>
                      <w:rFonts w:hint="eastAsia"/>
                      <w:u w:val="none"/>
                    </w:rPr>
                    <w:t>项目所在地环境空气质量满足《环境空气质量标准》（GB3095-2012）二级标准要求；铁水丫江桥～铁河口保留段满足《地表水环境质量标准》（GB3838-2002）中Ⅲ类标准要求；声环境质量均能达到《声环境质量标准》（GB3096-2008）中二类标准要求。</w:t>
                  </w:r>
                </w:p>
                <w:p>
                  <w:pPr>
                    <w:pStyle w:val="37"/>
                    <w:rPr>
                      <w:u w:val="none"/>
                    </w:rPr>
                  </w:pPr>
                  <w:r>
                    <w:rPr>
                      <w:rFonts w:hint="eastAsia"/>
                      <w:u w:val="none"/>
                    </w:rPr>
                    <w:t>项目洗车废水经沉淀池处理后循环使用，初期雨水经沉淀池处理后回用于厂区喷淋降尘；生活污水经化粪池处理后用于农用地灌溉，废水均不外排；废气经采取封闭车间、湿法除尘、雾化喷淋抑尘措施后可达标排放；固废均可做到合理有效处置，不外排。噪声采取车间隔声、低噪设备及距离衰减等措施降噪后可达到标准。采取本环评提出的各项污染防治措施后，可确保污染物达标排放，不改变周边环境功能，不突破环境质量底线。</w:t>
                  </w:r>
                </w:p>
              </w:tc>
              <w:tc>
                <w:tcPr>
                  <w:tcW w:w="816" w:type="dxa"/>
                  <w:vAlign w:val="center"/>
                </w:tcPr>
                <w:p>
                  <w:pPr>
                    <w:pStyle w:val="37"/>
                    <w:rPr>
                      <w:u w:val="none"/>
                    </w:rPr>
                  </w:pPr>
                  <w:r>
                    <w:rPr>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20" w:type="dxa"/>
                  <w:vAlign w:val="center"/>
                </w:tcPr>
                <w:p>
                  <w:pPr>
                    <w:pStyle w:val="37"/>
                    <w:rPr>
                      <w:u w:val="none"/>
                    </w:rPr>
                  </w:pPr>
                  <w:r>
                    <w:rPr>
                      <w:u w:val="none"/>
                    </w:rPr>
                    <w:t>资源利用上线</w:t>
                  </w:r>
                </w:p>
              </w:tc>
              <w:tc>
                <w:tcPr>
                  <w:tcW w:w="4580" w:type="dxa"/>
                  <w:vAlign w:val="center"/>
                </w:tcPr>
                <w:p>
                  <w:pPr>
                    <w:pStyle w:val="37"/>
                    <w:rPr>
                      <w:u w:val="none"/>
                    </w:rPr>
                  </w:pPr>
                  <w:r>
                    <w:rPr>
                      <w:rFonts w:hint="eastAsia"/>
                      <w:u w:val="none"/>
                    </w:rPr>
                    <w:t>项目运营过程会消耗一定量的水、电资源，不属于高耗能和资源消耗型企业。项目生产用水主要是降尘用水和洗车用水，用水量较小，洗车废水经三级沉淀池沉淀后循环使用，不会突破资源利用上线。</w:t>
                  </w:r>
                </w:p>
              </w:tc>
              <w:tc>
                <w:tcPr>
                  <w:tcW w:w="816" w:type="dxa"/>
                  <w:vAlign w:val="center"/>
                </w:tcPr>
                <w:p>
                  <w:pPr>
                    <w:pStyle w:val="37"/>
                    <w:rPr>
                      <w:u w:val="none"/>
                    </w:rPr>
                  </w:pPr>
                  <w:r>
                    <w:rPr>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20" w:type="dxa"/>
                  <w:vAlign w:val="center"/>
                </w:tcPr>
                <w:p>
                  <w:pPr>
                    <w:pStyle w:val="37"/>
                    <w:rPr>
                      <w:u w:val="none"/>
                    </w:rPr>
                  </w:pPr>
                  <w:r>
                    <w:rPr>
                      <w:u w:val="none"/>
                    </w:rPr>
                    <w:t>环境准入负面清单</w:t>
                  </w:r>
                </w:p>
              </w:tc>
              <w:tc>
                <w:tcPr>
                  <w:tcW w:w="4580" w:type="dxa"/>
                  <w:vAlign w:val="center"/>
                </w:tcPr>
                <w:p>
                  <w:pPr>
                    <w:pStyle w:val="37"/>
                    <w:rPr>
                      <w:u w:val="none"/>
                    </w:rPr>
                  </w:pPr>
                  <w:r>
                    <w:rPr>
                      <w:rFonts w:hint="eastAsia"/>
                      <w:u w:val="none"/>
                    </w:rPr>
                    <w:t>本次环评对《国家发展改革委商务部关于印发&lt;市场准入负面清单（2</w:t>
                  </w:r>
                  <w:r>
                    <w:rPr>
                      <w:u w:val="none"/>
                    </w:rPr>
                    <w:t>020</w:t>
                  </w:r>
                  <w:r>
                    <w:rPr>
                      <w:rFonts w:hint="eastAsia"/>
                      <w:u w:val="none"/>
                    </w:rPr>
                    <w:t>年版）</w:t>
                  </w:r>
                  <w:r>
                    <w:rPr>
                      <w:u w:val="none"/>
                    </w:rPr>
                    <w:t>&gt;</w:t>
                  </w:r>
                  <w:r>
                    <w:rPr>
                      <w:rFonts w:hint="eastAsia"/>
                      <w:u w:val="none"/>
                    </w:rPr>
                    <w:t>的通知》（发改体改规[</w:t>
                  </w:r>
                  <w:r>
                    <w:rPr>
                      <w:u w:val="none"/>
                    </w:rPr>
                    <w:t>2020]1880</w:t>
                  </w:r>
                  <w:r>
                    <w:rPr>
                      <w:rFonts w:hint="eastAsia"/>
                      <w:u w:val="none"/>
                    </w:rPr>
                    <w:t>号）以及与项目所在地规划的符合性分析进行说明。</w:t>
                  </w:r>
                </w:p>
                <w:p>
                  <w:pPr>
                    <w:pStyle w:val="37"/>
                    <w:rPr>
                      <w:u w:val="none"/>
                    </w:rPr>
                  </w:pPr>
                  <w:r>
                    <w:rPr>
                      <w:rFonts w:hint="eastAsia"/>
                      <w:u w:val="none"/>
                    </w:rPr>
                    <w:t>与《市场准入负面清单（2</w:t>
                  </w:r>
                  <w:r>
                    <w:rPr>
                      <w:u w:val="none"/>
                    </w:rPr>
                    <w:t>022</w:t>
                  </w:r>
                  <w:r>
                    <w:rPr>
                      <w:rFonts w:hint="eastAsia"/>
                      <w:u w:val="none"/>
                    </w:rPr>
                    <w:t>年版）》（发改体改规[</w:t>
                  </w:r>
                  <w:r>
                    <w:rPr>
                      <w:u w:val="none"/>
                    </w:rPr>
                    <w:t>2020]1880</w:t>
                  </w:r>
                  <w:r>
                    <w:rPr>
                      <w:rFonts w:hint="eastAsia"/>
                      <w:u w:val="none"/>
                    </w:rPr>
                    <w:t>号）相符性分析：经检索市场准入负面清单（2</w:t>
                  </w:r>
                  <w:r>
                    <w:rPr>
                      <w:u w:val="none"/>
                    </w:rPr>
                    <w:t>022</w:t>
                  </w:r>
                  <w:r>
                    <w:rPr>
                      <w:rFonts w:hint="eastAsia"/>
                      <w:u w:val="none"/>
                    </w:rPr>
                    <w:t>年版）》（发改体改规[</w:t>
                  </w:r>
                  <w:r>
                    <w:rPr>
                      <w:u w:val="none"/>
                    </w:rPr>
                    <w:t>2020]1880</w:t>
                  </w:r>
                  <w:r>
                    <w:rPr>
                      <w:rFonts w:hint="eastAsia"/>
                      <w:u w:val="none"/>
                    </w:rPr>
                    <w:t>号），本项目不在其禁止准入类中，因此本项目符合市场准入负面清单（2</w:t>
                  </w:r>
                  <w:r>
                    <w:rPr>
                      <w:u w:val="none"/>
                    </w:rPr>
                    <w:t>0202</w:t>
                  </w:r>
                  <w:r>
                    <w:rPr>
                      <w:rFonts w:hint="eastAsia"/>
                      <w:u w:val="none"/>
                    </w:rPr>
                    <w:t>年版）》（发改体改规[</w:t>
                  </w:r>
                  <w:r>
                    <w:rPr>
                      <w:u w:val="none"/>
                    </w:rPr>
                    <w:t>2020]1880</w:t>
                  </w:r>
                  <w:r>
                    <w:rPr>
                      <w:rFonts w:hint="eastAsia"/>
                      <w:u w:val="none"/>
                    </w:rPr>
                    <w:t>号）要求。</w:t>
                  </w:r>
                </w:p>
              </w:tc>
              <w:tc>
                <w:tcPr>
                  <w:tcW w:w="816" w:type="dxa"/>
                  <w:vAlign w:val="center"/>
                </w:tcPr>
                <w:p>
                  <w:pPr>
                    <w:pStyle w:val="37"/>
                    <w:rPr>
                      <w:u w:val="none"/>
                    </w:rPr>
                  </w:pPr>
                  <w:r>
                    <w:rPr>
                      <w:u w:val="none"/>
                    </w:rPr>
                    <w:t>符合</w:t>
                  </w:r>
                </w:p>
              </w:tc>
            </w:tr>
          </w:tbl>
          <w:p>
            <w:pPr>
              <w:ind w:firstLine="480"/>
              <w:rPr>
                <w:szCs w:val="24"/>
              </w:rPr>
            </w:pPr>
            <w:r>
              <w:rPr>
                <w:rFonts w:hint="eastAsia"/>
                <w:szCs w:val="24"/>
              </w:rPr>
              <w:t>由上述分析可知，项目的实施符合《关于以改善环境质量为核心加强环境影响评价管理的通知》（环环评[</w:t>
            </w:r>
            <w:r>
              <w:rPr>
                <w:szCs w:val="24"/>
              </w:rPr>
              <w:t>2016]150</w:t>
            </w:r>
            <w:r>
              <w:rPr>
                <w:rFonts w:hint="eastAsia"/>
                <w:szCs w:val="24"/>
              </w:rPr>
              <w:t>号）中“三线一单”的要求。</w:t>
            </w:r>
          </w:p>
          <w:p>
            <w:pPr>
              <w:ind w:firstLine="480"/>
              <w:rPr>
                <w:szCs w:val="24"/>
              </w:rPr>
            </w:pPr>
            <w:r>
              <w:rPr>
                <w:szCs w:val="24"/>
              </w:rPr>
              <w:t>3、与《</w:t>
            </w:r>
            <w:r>
              <w:rPr>
                <w:rFonts w:hint="eastAsia"/>
                <w:szCs w:val="24"/>
              </w:rPr>
              <w:t>株洲市（除省级以上产业园区外）其余4</w:t>
            </w:r>
            <w:r>
              <w:rPr>
                <w:szCs w:val="24"/>
              </w:rPr>
              <w:t>2</w:t>
            </w:r>
            <w:r>
              <w:rPr>
                <w:rFonts w:hint="eastAsia"/>
                <w:szCs w:val="24"/>
              </w:rPr>
              <w:t>个环境管控单元生态环境准入清单</w:t>
            </w:r>
            <w:r>
              <w:rPr>
                <w:szCs w:val="24"/>
              </w:rPr>
              <w:t>》符合性分析</w:t>
            </w:r>
          </w:p>
          <w:p>
            <w:pPr>
              <w:ind w:firstLine="480"/>
              <w:rPr>
                <w:szCs w:val="24"/>
              </w:rPr>
            </w:pPr>
            <w:r>
              <w:rPr>
                <w:rFonts w:hint="eastAsia"/>
                <w:szCs w:val="24"/>
              </w:rPr>
              <w:t>全省建立“1+4+14+860”的四级生态环境准入清单管控体系，以下简称“准入清单”。本项目所处区域为湖南省攸县宁家坪镇宁家坪社区，因此对照</w:t>
            </w:r>
            <w:r>
              <w:rPr>
                <w:szCs w:val="24"/>
              </w:rPr>
              <w:t>《</w:t>
            </w:r>
            <w:r>
              <w:rPr>
                <w:rFonts w:hint="eastAsia"/>
                <w:szCs w:val="24"/>
              </w:rPr>
              <w:t>株洲市（除省级以上产业园区外）其余4</w:t>
            </w:r>
            <w:r>
              <w:rPr>
                <w:szCs w:val="24"/>
              </w:rPr>
              <w:t>2</w:t>
            </w:r>
            <w:r>
              <w:rPr>
                <w:rFonts w:hint="eastAsia"/>
                <w:szCs w:val="24"/>
              </w:rPr>
              <w:t>个环境管控单元生态环境准入清单</w:t>
            </w:r>
            <w:r>
              <w:rPr>
                <w:szCs w:val="24"/>
              </w:rPr>
              <w:t>》</w:t>
            </w:r>
            <w:r>
              <w:rPr>
                <w:rFonts w:hint="eastAsia"/>
                <w:szCs w:val="24"/>
              </w:rPr>
              <w:t>要求分析项目符合性，项目与其中的宁家坪镇的生态环境准入清单符合性分析详见下表：</w:t>
            </w:r>
          </w:p>
          <w:p>
            <w:pPr>
              <w:pStyle w:val="31"/>
            </w:pPr>
            <w:r>
              <w:rPr>
                <w:rFonts w:hint="eastAsia"/>
              </w:rPr>
              <w:t>表1-</w:t>
            </w:r>
            <w:r>
              <w:t>2</w:t>
            </w:r>
            <w:r>
              <w:rPr>
                <w:rFonts w:hint="eastAsia"/>
              </w:rPr>
              <w:t>项目与宁家坪镇生态环境准入清单符合性分析表</w:t>
            </w:r>
          </w:p>
          <w:tbl>
            <w:tblPr>
              <w:tblStyle w:val="18"/>
              <w:tblW w:w="6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6"/>
              <w:gridCol w:w="3496"/>
              <w:gridCol w:w="141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Align w:val="center"/>
                </w:tcPr>
                <w:p>
                  <w:pPr>
                    <w:pStyle w:val="37"/>
                    <w:jc w:val="center"/>
                    <w:rPr>
                      <w:u w:val="none"/>
                    </w:rPr>
                  </w:pPr>
                  <w:r>
                    <w:rPr>
                      <w:rFonts w:hint="eastAsia"/>
                      <w:u w:val="none"/>
                    </w:rPr>
                    <w:t>管控维度</w:t>
                  </w:r>
                </w:p>
              </w:tc>
              <w:tc>
                <w:tcPr>
                  <w:tcW w:w="3496" w:type="dxa"/>
                  <w:vAlign w:val="center"/>
                </w:tcPr>
                <w:p>
                  <w:pPr>
                    <w:pStyle w:val="37"/>
                    <w:jc w:val="center"/>
                    <w:rPr>
                      <w:u w:val="none"/>
                    </w:rPr>
                  </w:pPr>
                  <w:r>
                    <w:rPr>
                      <w:rFonts w:hint="eastAsia"/>
                      <w:u w:val="none"/>
                    </w:rPr>
                    <w:t>管控要求</w:t>
                  </w:r>
                </w:p>
              </w:tc>
              <w:tc>
                <w:tcPr>
                  <w:tcW w:w="1417" w:type="dxa"/>
                  <w:vAlign w:val="center"/>
                </w:tcPr>
                <w:p>
                  <w:pPr>
                    <w:pStyle w:val="37"/>
                    <w:jc w:val="center"/>
                    <w:rPr>
                      <w:u w:val="none"/>
                    </w:rPr>
                  </w:pPr>
                  <w:r>
                    <w:rPr>
                      <w:rFonts w:hint="eastAsia"/>
                      <w:u w:val="none"/>
                    </w:rPr>
                    <w:t>项目情况</w:t>
                  </w:r>
                </w:p>
              </w:tc>
              <w:tc>
                <w:tcPr>
                  <w:tcW w:w="709" w:type="dxa"/>
                  <w:vAlign w:val="center"/>
                </w:tcPr>
                <w:p>
                  <w:pPr>
                    <w:pStyle w:val="37"/>
                    <w:jc w:val="center"/>
                    <w:rPr>
                      <w:u w:val="none"/>
                    </w:rPr>
                  </w:pPr>
                  <w:r>
                    <w:rPr>
                      <w:rFonts w:hint="eastAsia"/>
                      <w:u w:val="none"/>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Merge w:val="restart"/>
                  <w:vAlign w:val="center"/>
                </w:tcPr>
                <w:p>
                  <w:pPr>
                    <w:pStyle w:val="37"/>
                    <w:rPr>
                      <w:u w:val="none"/>
                    </w:rPr>
                  </w:pPr>
                  <w:r>
                    <w:rPr>
                      <w:rFonts w:hint="eastAsia"/>
                      <w:u w:val="none"/>
                    </w:rPr>
                    <w:t>空间布局约束</w:t>
                  </w:r>
                </w:p>
              </w:tc>
              <w:tc>
                <w:tcPr>
                  <w:tcW w:w="3496" w:type="dxa"/>
                  <w:vAlign w:val="center"/>
                </w:tcPr>
                <w:p>
                  <w:pPr>
                    <w:pStyle w:val="37"/>
                    <w:rPr>
                      <w:u w:val="none"/>
                    </w:rPr>
                  </w:pPr>
                  <w:r>
                    <w:rPr>
                      <w:rFonts w:hint="eastAsia"/>
                      <w:u w:val="none"/>
                    </w:rPr>
                    <w:t>宁家坪镇湖南坳沙河地下水饮用水源保护区、攸县宁家坪镇双雅水库饮用水源保护区、攸县皇图岭镇高枧玉泉自来水厂饮用水水源保护区、攸县皇图岭镇自来水厂饮用水水源保护区范围内土地的开发利用必须满足饮用水水源保护区相关要求。</w:t>
                  </w:r>
                </w:p>
              </w:tc>
              <w:tc>
                <w:tcPr>
                  <w:tcW w:w="1417" w:type="dxa"/>
                  <w:vAlign w:val="center"/>
                </w:tcPr>
                <w:p>
                  <w:pPr>
                    <w:pStyle w:val="37"/>
                    <w:rPr>
                      <w:u w:val="none"/>
                    </w:rPr>
                  </w:pPr>
                  <w:r>
                    <w:rPr>
                      <w:rFonts w:hint="eastAsia"/>
                      <w:u w:val="none"/>
                    </w:rPr>
                    <w:t>本项目不涉及水源保护区</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上述饮用水源保护区，皇图岭镇、宁家坪镇的镇政府所在地的集镇建成区为畜禽养殖禁养区。禁养区严禁新建畜禽养殖场，已建成的限期关停或搬迁，搬迁的优先支持异地重建。禁养区内畜禽散养户须做好畜禽养殖污染防治工作，禁止排放污染物。其他区域新建畜禽养殖小区和养殖场选址需满足《攸县人民政府关于划定全县畜禽养殖禁养区的通告》、《株洲市畜禽养殖污染防治条例》等法律法规规章相关选址要求。</w:t>
                  </w:r>
                </w:p>
              </w:tc>
              <w:tc>
                <w:tcPr>
                  <w:tcW w:w="1417" w:type="dxa"/>
                  <w:vAlign w:val="center"/>
                </w:tcPr>
                <w:p>
                  <w:pPr>
                    <w:pStyle w:val="37"/>
                    <w:rPr>
                      <w:u w:val="none"/>
                    </w:rPr>
                  </w:pPr>
                  <w:r>
                    <w:rPr>
                      <w:rFonts w:hint="eastAsia"/>
                      <w:u w:val="none"/>
                    </w:rPr>
                    <w:t>本项目不属于畜禽养殖项目</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铁水及一级支流属于水产养殖限养区，应满足《株洲市养殖水域滩涂规划》（2018-2030年）限养区相关规定。严禁非法围垦河道、非法侵占河库水域。</w:t>
                  </w:r>
                </w:p>
              </w:tc>
              <w:tc>
                <w:tcPr>
                  <w:tcW w:w="1417" w:type="dxa"/>
                  <w:vAlign w:val="center"/>
                </w:tcPr>
                <w:p>
                  <w:pPr>
                    <w:pStyle w:val="37"/>
                    <w:rPr>
                      <w:u w:val="none"/>
                    </w:rPr>
                  </w:pPr>
                  <w:r>
                    <w:rPr>
                      <w:rFonts w:hint="eastAsia"/>
                      <w:u w:val="none"/>
                    </w:rPr>
                    <w:t>本项目不属于水产养殖项目</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Merge w:val="restart"/>
                  <w:vAlign w:val="center"/>
                </w:tcPr>
                <w:p>
                  <w:pPr>
                    <w:pStyle w:val="37"/>
                    <w:rPr>
                      <w:u w:val="none"/>
                    </w:rPr>
                  </w:pPr>
                  <w:r>
                    <w:rPr>
                      <w:rFonts w:hint="eastAsia"/>
                      <w:u w:val="none"/>
                    </w:rPr>
                    <w:t>污染物排放管控</w:t>
                  </w:r>
                </w:p>
              </w:tc>
              <w:tc>
                <w:tcPr>
                  <w:tcW w:w="3496" w:type="dxa"/>
                  <w:vAlign w:val="center"/>
                </w:tcPr>
                <w:p>
                  <w:pPr>
                    <w:pStyle w:val="37"/>
                    <w:rPr>
                      <w:u w:val="none"/>
                    </w:rPr>
                  </w:pPr>
                  <w:r>
                    <w:rPr>
                      <w:rFonts w:hint="eastAsia"/>
                      <w:u w:val="none"/>
                    </w:rPr>
                    <w:t>加快皇图岭镇、宁家坪镇生活污水处理设施和管网建设，确保城镇生活污水集中收集处理率达到100%。</w:t>
                  </w:r>
                </w:p>
              </w:tc>
              <w:tc>
                <w:tcPr>
                  <w:tcW w:w="1417" w:type="dxa"/>
                  <w:vAlign w:val="center"/>
                </w:tcPr>
                <w:p>
                  <w:pPr>
                    <w:pStyle w:val="37"/>
                    <w:rPr>
                      <w:u w:val="none"/>
                    </w:rPr>
                  </w:pPr>
                  <w:r>
                    <w:rPr>
                      <w:rFonts w:hint="eastAsia"/>
                      <w:u w:val="none"/>
                    </w:rPr>
                    <w:t>本项目生活污水产生量较少，经三级化粪池处理后用于周边农田施肥，生产废水循环使用，不外排</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加强砂石开采中排放管控，要求企业建设相应环保治理设施并严格落实，同时对破坏的生态环境及时进行生态修复。新建砂石开采企业需满足《湖南省砂石骨料行业规范条件》，现有砂石开采企业需达到《湖南省砂石骨料行业规范条》中“节能降耗、环境保护与资源综合利用”相关规定要求。</w:t>
                  </w:r>
                </w:p>
              </w:tc>
              <w:tc>
                <w:tcPr>
                  <w:tcW w:w="1417" w:type="dxa"/>
                  <w:vAlign w:val="center"/>
                </w:tcPr>
                <w:p>
                  <w:pPr>
                    <w:pStyle w:val="37"/>
                    <w:rPr>
                      <w:u w:val="none"/>
                    </w:rPr>
                  </w:pPr>
                  <w:r>
                    <w:rPr>
                      <w:rFonts w:hint="eastAsia"/>
                      <w:u w:val="none"/>
                    </w:rPr>
                    <w:t>本项目不属于砂石开采类项目</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畜禽养殖项目严格执行《株洲市畜禽养殖污染防治条例》。</w:t>
                  </w:r>
                </w:p>
              </w:tc>
              <w:tc>
                <w:tcPr>
                  <w:tcW w:w="1417" w:type="dxa"/>
                  <w:vAlign w:val="center"/>
                </w:tcPr>
                <w:p>
                  <w:pPr>
                    <w:pStyle w:val="37"/>
                    <w:rPr>
                      <w:u w:val="none"/>
                    </w:rPr>
                  </w:pPr>
                  <w:r>
                    <w:rPr>
                      <w:rFonts w:hint="eastAsia"/>
                      <w:u w:val="none"/>
                    </w:rPr>
                    <w:t>本项目不属于畜禽养殖项目</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71" w:hRule="atLeast"/>
              </w:trPr>
              <w:tc>
                <w:tcPr>
                  <w:tcW w:w="646" w:type="dxa"/>
                  <w:vMerge w:val="restart"/>
                  <w:vAlign w:val="center"/>
                </w:tcPr>
                <w:p>
                  <w:pPr>
                    <w:pStyle w:val="37"/>
                    <w:rPr>
                      <w:u w:val="none"/>
                    </w:rPr>
                  </w:pPr>
                  <w:r>
                    <w:rPr>
                      <w:rFonts w:hint="eastAsia"/>
                      <w:u w:val="none"/>
                    </w:rPr>
                    <w:t>环境风险防控</w:t>
                  </w:r>
                </w:p>
              </w:tc>
              <w:tc>
                <w:tcPr>
                  <w:tcW w:w="3496" w:type="dxa"/>
                  <w:vAlign w:val="center"/>
                </w:tcPr>
                <w:p>
                  <w:pPr>
                    <w:pStyle w:val="37"/>
                    <w:rPr>
                      <w:u w:val="none"/>
                    </w:rPr>
                  </w:pPr>
                  <w:r>
                    <w:rPr>
                      <w:rFonts w:hint="eastAsia"/>
                      <w:u w:val="none"/>
                    </w:rPr>
                    <w:t>市县两级政府和企业制定突发环境事件应急预案，配置足额应急物资，定期组织应急演练和预案的修订。开展重金属风险评估，建立环境风险隐患登记、整改和销号监管制度。对重大环境风险隐患，实施挂牌督办、跟踪治理和整改销号。</w:t>
                  </w:r>
                </w:p>
              </w:tc>
              <w:tc>
                <w:tcPr>
                  <w:tcW w:w="1417" w:type="dxa"/>
                  <w:vAlign w:val="center"/>
                </w:tcPr>
                <w:p>
                  <w:pPr>
                    <w:pStyle w:val="37"/>
                    <w:rPr>
                      <w:u w:val="none"/>
                    </w:rPr>
                  </w:pPr>
                  <w:r>
                    <w:rPr>
                      <w:rFonts w:hint="eastAsia"/>
                      <w:u w:val="none"/>
                    </w:rPr>
                    <w:t>要求企业落实相关政策</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70" w:hRule="atLeast"/>
              </w:trPr>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加快城乡饮用水水源规范化和达标建设、加快落实重要饮用水水源安全保障达标建设实施方案，强化应急水源建设。加强应急备用水源建设，根据水源布局规划，按照国家给定有序推进备用水源或应急水源建设，确保城市供水安全。</w:t>
                  </w:r>
                </w:p>
              </w:tc>
              <w:tc>
                <w:tcPr>
                  <w:tcW w:w="1417" w:type="dxa"/>
                  <w:vAlign w:val="center"/>
                </w:tcPr>
                <w:p>
                  <w:pPr>
                    <w:pStyle w:val="37"/>
                    <w:rPr>
                      <w:u w:val="none"/>
                    </w:rPr>
                  </w:pPr>
                  <w:r>
                    <w:rPr>
                      <w:rFonts w:hint="eastAsia"/>
                      <w:u w:val="none"/>
                    </w:rPr>
                    <w:t>本项目不靠近饮用水水源地</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70" w:hRule="atLeast"/>
              </w:trPr>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根据重污染天气的环境空气质量指数，采取对应的应急处置措施。</w:t>
                  </w:r>
                </w:p>
              </w:tc>
              <w:tc>
                <w:tcPr>
                  <w:tcW w:w="1417" w:type="dxa"/>
                  <w:vAlign w:val="center"/>
                </w:tcPr>
                <w:p>
                  <w:pPr>
                    <w:pStyle w:val="37"/>
                    <w:rPr>
                      <w:u w:val="none"/>
                    </w:rPr>
                  </w:pPr>
                  <w:r>
                    <w:rPr>
                      <w:rFonts w:hint="eastAsia"/>
                      <w:u w:val="none"/>
                    </w:rPr>
                    <w:t>本项目所在地为湖南省攸县宁家坪镇，环境空气质量满足《环境空气质量标准》（GB3095-2012）二级标准要求</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70" w:hRule="atLeast"/>
              </w:trPr>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土壤污染重点监管企业要加强内部管理，将土壤污染防治纳入环境风险防控体系，严格依法依规建设和运营污染治理设施，确保重点污染物稳定达标排放，造成土壤污染的，应承担损害评估、治理与修复的法律责任。</w:t>
                  </w:r>
                </w:p>
              </w:tc>
              <w:tc>
                <w:tcPr>
                  <w:tcW w:w="1417" w:type="dxa"/>
                  <w:vAlign w:val="center"/>
                </w:tcPr>
                <w:p>
                  <w:pPr>
                    <w:pStyle w:val="37"/>
                    <w:rPr>
                      <w:u w:val="none"/>
                    </w:rPr>
                  </w:pPr>
                  <w:r>
                    <w:rPr>
                      <w:rFonts w:hint="eastAsia"/>
                      <w:u w:val="none"/>
                    </w:rPr>
                    <w:t>本项目不属于土壤污染重点企业</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646" w:type="dxa"/>
                  <w:vMerge w:val="restart"/>
                  <w:vAlign w:val="center"/>
                </w:tcPr>
                <w:p>
                  <w:pPr>
                    <w:pStyle w:val="37"/>
                    <w:rPr>
                      <w:u w:val="none"/>
                    </w:rPr>
                  </w:pPr>
                  <w:r>
                    <w:rPr>
                      <w:rFonts w:hint="eastAsia"/>
                      <w:u w:val="none"/>
                    </w:rPr>
                    <w:t>资源开发效率要求</w:t>
                  </w:r>
                </w:p>
              </w:tc>
              <w:tc>
                <w:tcPr>
                  <w:tcW w:w="3496" w:type="dxa"/>
                  <w:vAlign w:val="center"/>
                </w:tcPr>
                <w:p>
                  <w:pPr>
                    <w:pStyle w:val="37"/>
                    <w:rPr>
                      <w:u w:val="none"/>
                    </w:rPr>
                  </w:pPr>
                  <w:r>
                    <w:rPr>
                      <w:rFonts w:hint="eastAsia"/>
                      <w:u w:val="none"/>
                    </w:rPr>
                    <w:t>能源：积极引导生活用燃煤的居民改用液化石油气等清洁燃料。</w:t>
                  </w:r>
                </w:p>
              </w:tc>
              <w:tc>
                <w:tcPr>
                  <w:tcW w:w="1417" w:type="dxa"/>
                  <w:vAlign w:val="center"/>
                </w:tcPr>
                <w:p>
                  <w:pPr>
                    <w:pStyle w:val="37"/>
                    <w:rPr>
                      <w:u w:val="none"/>
                    </w:rPr>
                  </w:pPr>
                  <w:r>
                    <w:rPr>
                      <w:rFonts w:hint="eastAsia"/>
                      <w:u w:val="none"/>
                    </w:rPr>
                    <w:t>本项目不使用燃料</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8" w:hRule="atLeast"/>
              </w:trPr>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水资源：攸县2020年万元国内生产总值用水量比2015年下降30%，万元国内生产总值用水量95.0立方米/万元，万元工业增长值用水量比2015年下降25.0%。农田灌溉水有效利用系数为0.549。</w:t>
                  </w:r>
                </w:p>
              </w:tc>
              <w:tc>
                <w:tcPr>
                  <w:tcW w:w="1417" w:type="dxa"/>
                  <w:vAlign w:val="center"/>
                </w:tcPr>
                <w:p>
                  <w:pPr>
                    <w:pStyle w:val="37"/>
                    <w:rPr>
                      <w:u w:val="none"/>
                    </w:rPr>
                  </w:pPr>
                  <w:r>
                    <w:rPr>
                      <w:rFonts w:hint="eastAsia"/>
                      <w:u w:val="none"/>
                    </w:rPr>
                    <w:t>本项目用水量为1</w:t>
                  </w:r>
                  <w:r>
                    <w:rPr>
                      <w:u w:val="none"/>
                    </w:rPr>
                    <w:t>0656</w:t>
                  </w:r>
                  <w:r>
                    <w:rPr>
                      <w:rFonts w:hint="eastAsia"/>
                      <w:u w:val="none"/>
                    </w:rPr>
                    <w:t>m</w:t>
                  </w:r>
                  <w:r>
                    <w:rPr>
                      <w:u w:val="none"/>
                      <w:vertAlign w:val="superscript"/>
                    </w:rPr>
                    <w:t>3</w:t>
                  </w:r>
                  <w:r>
                    <w:rPr>
                      <w:rFonts w:hint="eastAsia"/>
                      <w:u w:val="none"/>
                    </w:rPr>
                    <w:t>/a，计划生产蜂窝煤1</w:t>
                  </w:r>
                  <w:r>
                    <w:rPr>
                      <w:u w:val="none"/>
                    </w:rPr>
                    <w:t>0000</w:t>
                  </w:r>
                  <w:r>
                    <w:rPr>
                      <w:rFonts w:hint="eastAsia"/>
                      <w:u w:val="none"/>
                    </w:rPr>
                    <w:t>吨，1</w:t>
                  </w:r>
                  <w:r>
                    <w:rPr>
                      <w:u w:val="none"/>
                    </w:rPr>
                    <w:t>1500</w:t>
                  </w:r>
                  <w:r>
                    <w:rPr>
                      <w:rFonts w:hint="eastAsia"/>
                      <w:u w:val="none"/>
                    </w:rPr>
                    <w:t>吨块煤，年生产总值可达</w:t>
                  </w:r>
                  <w:r>
                    <w:rPr>
                      <w:u w:val="none"/>
                    </w:rPr>
                    <w:t>3000</w:t>
                  </w:r>
                  <w:r>
                    <w:rPr>
                      <w:rFonts w:hint="eastAsia"/>
                      <w:u w:val="none"/>
                    </w:rPr>
                    <w:t>万，万元生产总值</w:t>
                  </w:r>
                  <w:r>
                    <w:rPr>
                      <w:u w:val="none"/>
                    </w:rPr>
                    <w:t>3.55</w:t>
                  </w:r>
                  <w:r>
                    <w:rPr>
                      <w:rFonts w:hint="eastAsia"/>
                      <w:u w:val="none"/>
                    </w:rPr>
                    <w:t>立方米/万元。符合相关要求</w:t>
                  </w:r>
                </w:p>
              </w:tc>
              <w:tc>
                <w:tcPr>
                  <w:tcW w:w="709" w:type="dxa"/>
                  <w:vAlign w:val="center"/>
                </w:tcPr>
                <w:p>
                  <w:pPr>
                    <w:pStyle w:val="37"/>
                    <w:rPr>
                      <w:u w:val="none"/>
                    </w:rPr>
                  </w:pPr>
                  <w:r>
                    <w:rPr>
                      <w:rFonts w:hint="eastAsia"/>
                      <w:u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5" w:hRule="atLeast"/>
              </w:trPr>
              <w:tc>
                <w:tcPr>
                  <w:tcW w:w="646" w:type="dxa"/>
                  <w:vMerge w:val="continue"/>
                  <w:vAlign w:val="center"/>
                </w:tcPr>
                <w:p>
                  <w:pPr>
                    <w:pStyle w:val="37"/>
                    <w:rPr>
                      <w:u w:val="none"/>
                    </w:rPr>
                  </w:pPr>
                </w:p>
              </w:tc>
              <w:tc>
                <w:tcPr>
                  <w:tcW w:w="3496" w:type="dxa"/>
                  <w:vAlign w:val="center"/>
                </w:tcPr>
                <w:p>
                  <w:pPr>
                    <w:pStyle w:val="37"/>
                    <w:rPr>
                      <w:u w:val="none"/>
                    </w:rPr>
                  </w:pPr>
                  <w:r>
                    <w:rPr>
                      <w:rFonts w:hint="eastAsia"/>
                      <w:u w:val="none"/>
                    </w:rPr>
                    <w:t>土地资源：</w:t>
                  </w:r>
                </w:p>
                <w:p>
                  <w:pPr>
                    <w:pStyle w:val="37"/>
                    <w:rPr>
                      <w:u w:val="none"/>
                    </w:rPr>
                  </w:pPr>
                  <w:r>
                    <w:rPr>
                      <w:rFonts w:hint="eastAsia"/>
                      <w:u w:val="none"/>
                    </w:rPr>
                    <w:t>宁家坪镇：2020年，耕地保有量不低于4300.00公顷，基本农田保护面积不得低于3586.00公顷；城乡建设用地规模控制在1168.00公顷以内，城镇工矿用地规模控制在117.00公顷以内。</w:t>
                  </w:r>
                </w:p>
              </w:tc>
              <w:tc>
                <w:tcPr>
                  <w:tcW w:w="1417" w:type="dxa"/>
                  <w:vAlign w:val="center"/>
                </w:tcPr>
                <w:p>
                  <w:pPr>
                    <w:pStyle w:val="37"/>
                    <w:rPr>
                      <w:u w:val="none"/>
                    </w:rPr>
                  </w:pPr>
                  <w:r>
                    <w:rPr>
                      <w:rFonts w:hint="eastAsia"/>
                      <w:u w:val="none"/>
                    </w:rPr>
                    <w:t>本项目不占用基本农田等</w:t>
                  </w:r>
                </w:p>
              </w:tc>
              <w:tc>
                <w:tcPr>
                  <w:tcW w:w="709" w:type="dxa"/>
                  <w:vAlign w:val="center"/>
                </w:tcPr>
                <w:p>
                  <w:pPr>
                    <w:pStyle w:val="37"/>
                    <w:rPr>
                      <w:u w:val="none"/>
                    </w:rPr>
                  </w:pPr>
                  <w:r>
                    <w:rPr>
                      <w:rFonts w:hint="eastAsia"/>
                      <w:u w:val="none"/>
                    </w:rPr>
                    <w:t>符合</w:t>
                  </w:r>
                </w:p>
              </w:tc>
            </w:tr>
          </w:tbl>
          <w:p>
            <w:pPr>
              <w:ind w:firstLine="480"/>
              <w:rPr>
                <w:szCs w:val="24"/>
              </w:rPr>
            </w:pPr>
            <w:r>
              <w:rPr>
                <w:rFonts w:hint="eastAsia"/>
                <w:szCs w:val="24"/>
              </w:rPr>
              <w:t>根据上表分析，本项目建设符合《湖南省“三线一单”生态环境总体管控要求暨省级以上产业园区生态环境准入清单》中对攸县宁家坪镇的生态环境管控要求。</w:t>
            </w:r>
          </w:p>
          <w:p>
            <w:pPr>
              <w:ind w:firstLine="0" w:firstLineChars="0"/>
              <w:rPr>
                <w:szCs w:val="24"/>
              </w:rPr>
            </w:pPr>
            <w:r>
              <w:rPr>
                <w:szCs w:val="24"/>
              </w:rPr>
              <w:t>3、项目选址合理性分析</w:t>
            </w:r>
          </w:p>
          <w:p>
            <w:pPr>
              <w:ind w:firstLine="480"/>
            </w:pPr>
            <w:r>
              <w:rPr>
                <w:szCs w:val="24"/>
              </w:rPr>
              <w:t>本项目位于</w:t>
            </w:r>
            <w:r>
              <w:rPr>
                <w:rFonts w:hint="eastAsia"/>
                <w:szCs w:val="24"/>
              </w:rPr>
              <w:t>株洲市攸县宁家坪镇宁家坪社区</w:t>
            </w:r>
            <w:r>
              <w:rPr>
                <w:szCs w:val="24"/>
              </w:rPr>
              <w:t>，项目不涉及自然保护区、风景名胜区、饮用水源保护区、生态保护红线、基本农田等环境敏感区，项目</w:t>
            </w:r>
            <w:r>
              <w:rPr>
                <w:rFonts w:hint="eastAsia"/>
                <w:szCs w:val="24"/>
              </w:rPr>
              <w:t>于2</w:t>
            </w:r>
            <w:r>
              <w:rPr>
                <w:szCs w:val="24"/>
              </w:rPr>
              <w:t>022</w:t>
            </w:r>
            <w:r>
              <w:rPr>
                <w:rFonts w:hint="eastAsia"/>
                <w:szCs w:val="24"/>
              </w:rPr>
              <w:t>年5月1</w:t>
            </w:r>
            <w:r>
              <w:rPr>
                <w:szCs w:val="24"/>
              </w:rPr>
              <w:t>6</w:t>
            </w:r>
            <w:r>
              <w:rPr>
                <w:rFonts w:hint="eastAsia"/>
                <w:szCs w:val="24"/>
              </w:rPr>
              <w:t>日</w:t>
            </w:r>
            <w:r>
              <w:rPr>
                <w:szCs w:val="24"/>
              </w:rPr>
              <w:t>取得了</w:t>
            </w:r>
            <w:r>
              <w:rPr>
                <w:rFonts w:hint="eastAsia"/>
                <w:szCs w:val="24"/>
              </w:rPr>
              <w:t>攸县自然资源局</w:t>
            </w:r>
            <w:r>
              <w:rPr>
                <w:szCs w:val="24"/>
              </w:rPr>
              <w:t>对本项目的</w:t>
            </w:r>
            <w:r>
              <w:rPr>
                <w:rFonts w:hint="eastAsia"/>
                <w:szCs w:val="24"/>
              </w:rPr>
              <w:t>“攸自然资选[</w:t>
            </w:r>
            <w:r>
              <w:rPr>
                <w:szCs w:val="24"/>
              </w:rPr>
              <w:t>2022]37</w:t>
            </w:r>
            <w:r>
              <w:rPr>
                <w:rFonts w:hint="eastAsia"/>
                <w:szCs w:val="24"/>
              </w:rPr>
              <w:t>号”</w:t>
            </w:r>
            <w:r>
              <w:rPr>
                <w:szCs w:val="24"/>
              </w:rPr>
              <w:t>选址意见</w:t>
            </w:r>
            <w:r>
              <w:rPr>
                <w:rFonts w:hint="eastAsia"/>
                <w:szCs w:val="24"/>
              </w:rPr>
              <w:t>，详见附件</w:t>
            </w:r>
            <w:r>
              <w:rPr>
                <w:szCs w:val="24"/>
              </w:rPr>
              <w:t>3。因此项目选址符合</w:t>
            </w:r>
            <w:r>
              <w:rPr>
                <w:rFonts w:hint="eastAsia"/>
                <w:szCs w:val="24"/>
              </w:rPr>
              <w:t>攸县宁家坪镇</w:t>
            </w:r>
            <w:r>
              <w:rPr>
                <w:szCs w:val="24"/>
              </w:rPr>
              <w:t>相关规划要求。</w:t>
            </w:r>
          </w:p>
        </w:tc>
      </w:tr>
    </w:tbl>
    <w:p>
      <w:pPr>
        <w:ind w:firstLine="480"/>
        <w:rPr>
          <w:rFonts w:cs="Times New Roman"/>
        </w:rPr>
        <w:sectPr>
          <w:footerReference r:id="rId9" w:type="default"/>
          <w:pgSz w:w="11906" w:h="16838"/>
          <w:pgMar w:top="1440" w:right="1800" w:bottom="1440" w:left="1800" w:header="851" w:footer="992" w:gutter="0"/>
          <w:pgNumType w:start="1"/>
          <w:cols w:space="425" w:num="1"/>
          <w:docGrid w:type="lines" w:linePitch="312" w:charSpace="0"/>
        </w:sectPr>
      </w:pPr>
    </w:p>
    <w:p>
      <w:pPr>
        <w:pStyle w:val="2"/>
      </w:pPr>
      <w:bookmarkStart w:id="6" w:name="_Toc10515"/>
      <w:r>
        <w:t>二、</w:t>
      </w:r>
      <w:r>
        <w:rPr>
          <w:rFonts w:hint="eastAsia"/>
        </w:rPr>
        <w:t>建设项目工程分析</w:t>
      </w:r>
      <w:bookmarkEnd w:id="6"/>
    </w:p>
    <w:tbl>
      <w:tblPr>
        <w:tblStyle w:val="17"/>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0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452" w:type="dxa"/>
            <w:vAlign w:val="center"/>
          </w:tcPr>
          <w:p>
            <w:pPr>
              <w:adjustRightInd w:val="0"/>
              <w:snapToGrid w:val="0"/>
              <w:spacing w:line="240" w:lineRule="auto"/>
              <w:ind w:firstLine="0" w:firstLineChars="0"/>
              <w:jc w:val="center"/>
              <w:rPr>
                <w:rFonts w:cs="Times New Roman"/>
                <w:kern w:val="0"/>
                <w:szCs w:val="21"/>
              </w:rPr>
            </w:pPr>
            <w:r>
              <w:rPr>
                <w:rFonts w:hint="eastAsia" w:cs="Times New Roman"/>
                <w:kern w:val="0"/>
                <w:szCs w:val="21"/>
              </w:rPr>
              <w:t>建设内容</w:t>
            </w:r>
          </w:p>
        </w:tc>
        <w:tc>
          <w:tcPr>
            <w:tcW w:w="8070" w:type="dxa"/>
            <w:vAlign w:val="center"/>
          </w:tcPr>
          <w:p>
            <w:pPr>
              <w:pStyle w:val="4"/>
            </w:pPr>
            <w:bookmarkStart w:id="7" w:name="_Toc106531326"/>
            <w:bookmarkStart w:id="8" w:name="_Toc107415650"/>
            <w:bookmarkStart w:id="9" w:name="_Toc107343561"/>
            <w:bookmarkStart w:id="10" w:name="_Toc107343375"/>
            <w:bookmarkStart w:id="11" w:name="_Toc116339905"/>
            <w:bookmarkStart w:id="12" w:name="_Toc107409296"/>
            <w:r>
              <w:rPr>
                <w:rFonts w:hint="eastAsia"/>
              </w:rPr>
              <w:t>1、项目由来</w:t>
            </w:r>
            <w:bookmarkEnd w:id="7"/>
            <w:bookmarkEnd w:id="8"/>
            <w:bookmarkEnd w:id="9"/>
            <w:bookmarkEnd w:id="10"/>
            <w:bookmarkEnd w:id="11"/>
            <w:bookmarkEnd w:id="12"/>
          </w:p>
          <w:p>
            <w:pPr>
              <w:ind w:firstLine="480"/>
              <w:rPr>
                <w:u w:val="single"/>
              </w:rPr>
            </w:pPr>
            <w:bookmarkStart w:id="13" w:name="_Hlk116344229"/>
            <w:r>
              <w:rPr>
                <w:rFonts w:hint="eastAsia"/>
                <w:u w:val="single"/>
              </w:rPr>
              <w:t>攸县黄丰桥建福煤炭贸易有限公司，主要经营范围：煤制品制造，煤制品加工销售。2</w:t>
            </w:r>
            <w:r>
              <w:rPr>
                <w:u w:val="single"/>
              </w:rPr>
              <w:t>009</w:t>
            </w:r>
            <w:r>
              <w:rPr>
                <w:rFonts w:hint="eastAsia"/>
                <w:u w:val="single"/>
              </w:rPr>
              <w:t>年为了满足市场的需求，攸县黄丰桥建福煤炭贸易有限公司投资1</w:t>
            </w:r>
            <w:r>
              <w:rPr>
                <w:u w:val="single"/>
              </w:rPr>
              <w:t>000</w:t>
            </w:r>
            <w:r>
              <w:rPr>
                <w:rFonts w:hint="eastAsia"/>
                <w:u w:val="single"/>
              </w:rPr>
              <w:t>万元，从事煤炭加工，年加工蜂窝煤10000吨，煤块11500吨；主要从黄丰桥等地将煤炭运送过来后加工成块煤及蜂窝煤后投入市场。</w:t>
            </w:r>
            <w:bookmarkEnd w:id="13"/>
          </w:p>
          <w:p>
            <w:pPr>
              <w:ind w:firstLine="480"/>
            </w:pPr>
            <w:r>
              <w:t>根据《中华人民共和国环境保护法》、《中华人民共和国环境影响评价法》和《建设项目环境保护管理条例》、《建设项目环境影响评价分类管理名录》等法律法规要求，本项目需进行环境影响评价，</w:t>
            </w:r>
            <w:r>
              <w:rPr>
                <w:rFonts w:hint="eastAsia"/>
              </w:rPr>
              <w:t>本项目属于</w:t>
            </w:r>
            <w:r>
              <w:t>《建设项目环境影响评价分类管理名录》</w:t>
            </w:r>
            <w:r>
              <w:rPr>
                <w:rFonts w:hint="eastAsia"/>
              </w:rPr>
              <w:t>中“二十二、石油、煤炭及其他燃料加工业</w:t>
            </w:r>
            <w:r>
              <w:t>25</w:t>
            </w:r>
            <w:r>
              <w:rPr>
                <w:rFonts w:hint="eastAsia"/>
              </w:rPr>
              <w:t>；4</w:t>
            </w:r>
            <w:r>
              <w:t>2</w:t>
            </w:r>
            <w:r>
              <w:rPr>
                <w:rFonts w:hint="eastAsia"/>
              </w:rPr>
              <w:t>煤炭加工</w:t>
            </w:r>
            <w:r>
              <w:t>252</w:t>
            </w:r>
            <w:r>
              <w:rPr>
                <w:rFonts w:hint="eastAsia"/>
              </w:rPr>
              <w:t>；煤制品制造；其他煤炭加工”，需编制环境影响报告表。2</w:t>
            </w:r>
            <w:r>
              <w:t>022</w:t>
            </w:r>
            <w:r>
              <w:rPr>
                <w:rFonts w:hint="eastAsia"/>
              </w:rPr>
              <w:t>年5月攸县黄丰桥建福煤炭贸易有限公司委托湖南烨辰环保科技有限公司（以下简称“我公司”）承担《攸县黄丰桥建福煤炭贸易有限公司煤炭加工项目环境影响报告表》的编制工作。我公司接受建设单位委托后（委托书见附件1），立即组织技术人员进行现场踏勘和收集有关资料，并按照相关规定编制另外本环境影响报告表，供建设单位上报环保主管部门审批和作为污染防治设施建设的依据。</w:t>
            </w:r>
          </w:p>
          <w:p>
            <w:pPr>
              <w:pStyle w:val="4"/>
            </w:pPr>
            <w:bookmarkStart w:id="14" w:name="_Toc106531327"/>
            <w:bookmarkStart w:id="15" w:name="_Toc107343562"/>
            <w:bookmarkStart w:id="16" w:name="_Toc107415651"/>
            <w:bookmarkStart w:id="17" w:name="_Toc116339906"/>
            <w:bookmarkStart w:id="18" w:name="_Toc107343376"/>
            <w:bookmarkStart w:id="19" w:name="_Toc107409297"/>
            <w:r>
              <w:t>2</w:t>
            </w:r>
            <w:r>
              <w:rPr>
                <w:rFonts w:hint="eastAsia"/>
              </w:rPr>
              <w:t>、项目建设内容及规模</w:t>
            </w:r>
            <w:bookmarkEnd w:id="14"/>
            <w:bookmarkEnd w:id="15"/>
            <w:bookmarkEnd w:id="16"/>
            <w:bookmarkEnd w:id="17"/>
            <w:bookmarkEnd w:id="18"/>
            <w:bookmarkEnd w:id="19"/>
          </w:p>
          <w:p>
            <w:pPr>
              <w:ind w:firstLine="480"/>
            </w:pPr>
            <w:r>
              <w:rPr>
                <w:rFonts w:hint="eastAsia"/>
              </w:rPr>
              <w:t>本项目位于湖南省攸县宁家坪镇宁家坪组，</w:t>
            </w:r>
            <w:bookmarkStart w:id="20" w:name="_Hlk116344258"/>
            <w:r>
              <w:rPr>
                <w:rFonts w:hint="eastAsia"/>
              </w:rPr>
              <w:t>项目总占地面积</w:t>
            </w:r>
            <w:r>
              <w:t>8896.45m</w:t>
            </w:r>
            <w:r>
              <w:rPr>
                <w:vertAlign w:val="superscript"/>
              </w:rPr>
              <w:t>2</w:t>
            </w:r>
            <w:r>
              <w:rPr>
                <w:rFonts w:hint="eastAsia"/>
              </w:rPr>
              <w:t>，</w:t>
            </w:r>
            <w:bookmarkEnd w:id="20"/>
            <w:r>
              <w:rPr>
                <w:rFonts w:hint="eastAsia"/>
              </w:rPr>
              <w:t>建筑面积3</w:t>
            </w:r>
            <w:r>
              <w:t>370m</w:t>
            </w:r>
            <w:r>
              <w:rPr>
                <w:vertAlign w:val="superscript"/>
              </w:rPr>
              <w:t>2</w:t>
            </w:r>
            <w:r>
              <w:rPr>
                <w:rFonts w:hint="eastAsia"/>
              </w:rPr>
              <w:t>，搭建铁棚厂房三栋，购置粗细加工设施2套、蜂窝煤成型机</w:t>
            </w:r>
            <w:r>
              <w:t>6</w:t>
            </w:r>
            <w:r>
              <w:rPr>
                <w:rFonts w:hint="eastAsia"/>
              </w:rPr>
              <w:t>台。项目主要组成情况见表2</w:t>
            </w:r>
            <w:r>
              <w:t>-1</w:t>
            </w:r>
            <w:r>
              <w:rPr>
                <w:rFonts w:hint="eastAsia"/>
              </w:rPr>
              <w:t>。</w:t>
            </w:r>
          </w:p>
          <w:p>
            <w:pPr>
              <w:pStyle w:val="31"/>
            </w:pPr>
            <w:r>
              <w:rPr>
                <w:rFonts w:hint="eastAsia"/>
              </w:rPr>
              <w:t>表2</w:t>
            </w:r>
            <w:r>
              <w:t>-1</w:t>
            </w:r>
            <w:r>
              <w:rPr>
                <w:rFonts w:hint="eastAsia"/>
              </w:rPr>
              <w:t>项目组成情况一览表</w:t>
            </w:r>
          </w:p>
          <w:tbl>
            <w:tblPr>
              <w:tblStyle w:val="18"/>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74"/>
              <w:gridCol w:w="3218"/>
              <w:gridCol w:w="2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Align w:val="center"/>
                </w:tcPr>
                <w:p>
                  <w:pPr>
                    <w:pStyle w:val="37"/>
                    <w:jc w:val="center"/>
                    <w:rPr>
                      <w:u w:val="none"/>
                    </w:rPr>
                  </w:pPr>
                  <w:r>
                    <w:rPr>
                      <w:rFonts w:hint="eastAsia"/>
                      <w:u w:val="none"/>
                    </w:rPr>
                    <w:t>工程类别</w:t>
                  </w:r>
                </w:p>
              </w:tc>
              <w:tc>
                <w:tcPr>
                  <w:tcW w:w="1374" w:type="dxa"/>
                  <w:vAlign w:val="center"/>
                </w:tcPr>
                <w:p>
                  <w:pPr>
                    <w:pStyle w:val="37"/>
                    <w:jc w:val="center"/>
                    <w:rPr>
                      <w:u w:val="none"/>
                    </w:rPr>
                  </w:pPr>
                  <w:r>
                    <w:rPr>
                      <w:rFonts w:hint="eastAsia"/>
                      <w:u w:val="none"/>
                    </w:rPr>
                    <w:t>建设名称</w:t>
                  </w:r>
                </w:p>
              </w:tc>
              <w:tc>
                <w:tcPr>
                  <w:tcW w:w="3218" w:type="dxa"/>
                  <w:vAlign w:val="center"/>
                </w:tcPr>
                <w:p>
                  <w:pPr>
                    <w:pStyle w:val="37"/>
                    <w:jc w:val="center"/>
                    <w:rPr>
                      <w:u w:val="none"/>
                    </w:rPr>
                  </w:pPr>
                  <w:r>
                    <w:rPr>
                      <w:rFonts w:hint="eastAsia"/>
                      <w:u w:val="none"/>
                    </w:rPr>
                    <w:t>项目内容</w:t>
                  </w:r>
                </w:p>
              </w:tc>
              <w:tc>
                <w:tcPr>
                  <w:tcW w:w="2581" w:type="dxa"/>
                  <w:vAlign w:val="center"/>
                </w:tcPr>
                <w:p>
                  <w:pPr>
                    <w:pStyle w:val="37"/>
                    <w:jc w:val="center"/>
                    <w:rPr>
                      <w:u w:val="none"/>
                    </w:rPr>
                  </w:pPr>
                  <w:r>
                    <w:rPr>
                      <w:rFonts w:hint="eastAsia"/>
                      <w:u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1" w:type="dxa"/>
                  <w:vMerge w:val="restart"/>
                  <w:vAlign w:val="center"/>
                </w:tcPr>
                <w:p>
                  <w:pPr>
                    <w:pStyle w:val="37"/>
                    <w:jc w:val="center"/>
                    <w:rPr>
                      <w:u w:val="none"/>
                    </w:rPr>
                  </w:pPr>
                  <w:r>
                    <w:rPr>
                      <w:rFonts w:hint="eastAsia"/>
                      <w:u w:val="none"/>
                    </w:rPr>
                    <w:t>主体工程</w:t>
                  </w:r>
                </w:p>
                <w:p>
                  <w:pPr>
                    <w:pStyle w:val="37"/>
                    <w:jc w:val="center"/>
                    <w:rPr>
                      <w:u w:val="none"/>
                    </w:rPr>
                  </w:pPr>
                </w:p>
              </w:tc>
              <w:tc>
                <w:tcPr>
                  <w:tcW w:w="1374" w:type="dxa"/>
                  <w:vAlign w:val="center"/>
                </w:tcPr>
                <w:p>
                  <w:pPr>
                    <w:pStyle w:val="37"/>
                    <w:jc w:val="center"/>
                    <w:rPr>
                      <w:u w:val="none"/>
                    </w:rPr>
                  </w:pPr>
                  <w:r>
                    <w:rPr>
                      <w:rFonts w:hint="eastAsia"/>
                      <w:u w:val="none"/>
                    </w:rPr>
                    <w:t>加工区</w:t>
                  </w:r>
                </w:p>
              </w:tc>
              <w:tc>
                <w:tcPr>
                  <w:tcW w:w="3218" w:type="dxa"/>
                  <w:vAlign w:val="center"/>
                </w:tcPr>
                <w:p>
                  <w:pPr>
                    <w:pStyle w:val="37"/>
                    <w:jc w:val="center"/>
                    <w:rPr>
                      <w:u w:val="none"/>
                    </w:rPr>
                  </w:pPr>
                  <w:r>
                    <w:rPr>
                      <w:rFonts w:hint="eastAsia"/>
                      <w:u w:val="none"/>
                    </w:rPr>
                    <w:t>1栋铁棚厂房，内设1条破碎筛分生产线，，</w:t>
                  </w:r>
                  <w:r>
                    <w:rPr>
                      <w:u w:val="none"/>
                    </w:rPr>
                    <w:t>6</w:t>
                  </w:r>
                  <w:r>
                    <w:rPr>
                      <w:rFonts w:hint="eastAsia"/>
                      <w:u w:val="none"/>
                    </w:rPr>
                    <w:t>条蜂窝煤生产线，位于厂区北侧，占地面积1</w:t>
                  </w:r>
                  <w:r>
                    <w:rPr>
                      <w:u w:val="none"/>
                    </w:rPr>
                    <w:t>400m</w:t>
                  </w:r>
                  <w:r>
                    <w:rPr>
                      <w:u w:val="none"/>
                      <w:vertAlign w:val="superscript"/>
                    </w:rPr>
                    <w:t>2</w:t>
                  </w:r>
                  <w:r>
                    <w:rPr>
                      <w:rFonts w:hint="eastAsia"/>
                      <w:u w:val="none"/>
                    </w:rPr>
                    <w:t>，用于原料加工</w:t>
                  </w:r>
                </w:p>
              </w:tc>
              <w:tc>
                <w:tcPr>
                  <w:tcW w:w="2581" w:type="dxa"/>
                  <w:vAlign w:val="center"/>
                </w:tcPr>
                <w:p>
                  <w:pPr>
                    <w:pStyle w:val="37"/>
                    <w:jc w:val="center"/>
                    <w:rPr>
                      <w:u w:val="none"/>
                    </w:rPr>
                  </w:pPr>
                  <w:r>
                    <w:rPr>
                      <w:rFonts w:hint="eastAsia"/>
                      <w:u w:val="none"/>
                    </w:rPr>
                    <w:t>已建成，设备已安装，现处于停工状态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671" w:type="dxa"/>
                  <w:vMerge w:val="continue"/>
                  <w:vAlign w:val="center"/>
                </w:tcPr>
                <w:p>
                  <w:pPr>
                    <w:pStyle w:val="37"/>
                    <w:jc w:val="center"/>
                    <w:rPr>
                      <w:u w:val="none"/>
                    </w:rPr>
                  </w:pPr>
                </w:p>
              </w:tc>
              <w:tc>
                <w:tcPr>
                  <w:tcW w:w="1374" w:type="dxa"/>
                  <w:vAlign w:val="center"/>
                </w:tcPr>
                <w:p>
                  <w:pPr>
                    <w:pStyle w:val="37"/>
                    <w:jc w:val="center"/>
                    <w:rPr>
                      <w:u w:val="none"/>
                    </w:rPr>
                  </w:pPr>
                  <w:r>
                    <w:rPr>
                      <w:rFonts w:hint="eastAsia"/>
                      <w:u w:val="none"/>
                    </w:rPr>
                    <w:t>原料堆场</w:t>
                  </w:r>
                </w:p>
              </w:tc>
              <w:tc>
                <w:tcPr>
                  <w:tcW w:w="3218" w:type="dxa"/>
                  <w:vAlign w:val="center"/>
                </w:tcPr>
                <w:p>
                  <w:pPr>
                    <w:pStyle w:val="37"/>
                    <w:jc w:val="center"/>
                    <w:rPr>
                      <w:u w:val="none"/>
                    </w:rPr>
                  </w:pPr>
                  <w:r>
                    <w:rPr>
                      <w:rFonts w:hint="eastAsia"/>
                      <w:u w:val="none"/>
                    </w:rPr>
                    <w:t>一栋铁棚厂房，位于厂房内西北侧，生产线旁，约2</w:t>
                  </w:r>
                  <w:r>
                    <w:rPr>
                      <w:u w:val="none"/>
                    </w:rPr>
                    <w:t>00m</w:t>
                  </w:r>
                  <w:r>
                    <w:rPr>
                      <w:u w:val="none"/>
                      <w:vertAlign w:val="superscript"/>
                    </w:rPr>
                    <w:t>2</w:t>
                  </w:r>
                </w:p>
              </w:tc>
              <w:tc>
                <w:tcPr>
                  <w:tcW w:w="2581" w:type="dxa"/>
                  <w:vAlign w:val="center"/>
                </w:tcPr>
                <w:p>
                  <w:pPr>
                    <w:pStyle w:val="37"/>
                    <w:jc w:val="center"/>
                    <w:rPr>
                      <w:u w:val="none"/>
                    </w:rPr>
                  </w:pPr>
                  <w:r>
                    <w:rPr>
                      <w:rFonts w:hint="eastAsia"/>
                      <w:u w:val="none"/>
                    </w:rPr>
                    <w:t>已建成，目前厂房周边无围挡，本环评要求进行车间全封闭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671" w:type="dxa"/>
                  <w:vMerge w:val="continue"/>
                  <w:vAlign w:val="center"/>
                </w:tcPr>
                <w:p>
                  <w:pPr>
                    <w:pStyle w:val="37"/>
                    <w:jc w:val="center"/>
                    <w:rPr>
                      <w:u w:val="none"/>
                    </w:rPr>
                  </w:pPr>
                </w:p>
              </w:tc>
              <w:tc>
                <w:tcPr>
                  <w:tcW w:w="1374" w:type="dxa"/>
                  <w:vAlign w:val="center"/>
                </w:tcPr>
                <w:p>
                  <w:pPr>
                    <w:pStyle w:val="37"/>
                    <w:jc w:val="center"/>
                    <w:rPr>
                      <w:u w:val="none"/>
                    </w:rPr>
                  </w:pPr>
                  <w:r>
                    <w:rPr>
                      <w:rFonts w:hint="eastAsia"/>
                      <w:u w:val="none"/>
                    </w:rPr>
                    <w:t>成品堆场</w:t>
                  </w:r>
                </w:p>
              </w:tc>
              <w:tc>
                <w:tcPr>
                  <w:tcW w:w="3218" w:type="dxa"/>
                  <w:vAlign w:val="center"/>
                </w:tcPr>
                <w:p>
                  <w:pPr>
                    <w:pStyle w:val="37"/>
                    <w:jc w:val="center"/>
                    <w:rPr>
                      <w:u w:val="none"/>
                    </w:rPr>
                  </w:pPr>
                  <w:r>
                    <w:rPr>
                      <w:rFonts w:hint="eastAsia"/>
                      <w:u w:val="none"/>
                    </w:rPr>
                    <w:t>1栋铁棚厂房，位于厂区中部，加工区的西侧，占地约6</w:t>
                  </w:r>
                  <w:r>
                    <w:rPr>
                      <w:u w:val="none"/>
                    </w:rPr>
                    <w:t>00</w:t>
                  </w:r>
                  <w:r>
                    <w:rPr>
                      <w:rFonts w:hint="eastAsia"/>
                      <w:u w:val="none"/>
                    </w:rPr>
                    <w:t>m</w:t>
                  </w:r>
                  <w:r>
                    <w:rPr>
                      <w:u w:val="none"/>
                      <w:vertAlign w:val="superscript"/>
                    </w:rPr>
                    <w:t>2</w:t>
                  </w:r>
                </w:p>
              </w:tc>
              <w:tc>
                <w:tcPr>
                  <w:tcW w:w="2581" w:type="dxa"/>
                  <w:vAlign w:val="center"/>
                </w:tcPr>
                <w:p>
                  <w:pPr>
                    <w:pStyle w:val="37"/>
                    <w:jc w:val="center"/>
                    <w:rPr>
                      <w:u w:val="none"/>
                    </w:rPr>
                  </w:pPr>
                  <w:r>
                    <w:rPr>
                      <w:rFonts w:hint="eastAsia"/>
                      <w:u w:val="none"/>
                    </w:rPr>
                    <w:t>已建成，目前周边无围挡，本环评要求进行车间全封闭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9" w:hRule="atLeast"/>
              </w:trPr>
              <w:tc>
                <w:tcPr>
                  <w:tcW w:w="671" w:type="dxa"/>
                  <w:vAlign w:val="center"/>
                </w:tcPr>
                <w:p>
                  <w:pPr>
                    <w:pStyle w:val="37"/>
                    <w:jc w:val="center"/>
                    <w:rPr>
                      <w:u w:val="none"/>
                    </w:rPr>
                  </w:pPr>
                  <w:r>
                    <w:rPr>
                      <w:rFonts w:hint="eastAsia"/>
                      <w:u w:val="none"/>
                    </w:rPr>
                    <w:t>辅助工程</w:t>
                  </w:r>
                </w:p>
              </w:tc>
              <w:tc>
                <w:tcPr>
                  <w:tcW w:w="1374" w:type="dxa"/>
                  <w:vAlign w:val="center"/>
                </w:tcPr>
                <w:p>
                  <w:pPr>
                    <w:pStyle w:val="37"/>
                    <w:jc w:val="center"/>
                    <w:rPr>
                      <w:u w:val="none"/>
                    </w:rPr>
                  </w:pPr>
                  <w:r>
                    <w:rPr>
                      <w:rFonts w:hint="eastAsia"/>
                      <w:u w:val="none"/>
                    </w:rPr>
                    <w:t>办公室</w:t>
                  </w:r>
                </w:p>
              </w:tc>
              <w:tc>
                <w:tcPr>
                  <w:tcW w:w="3218" w:type="dxa"/>
                  <w:vAlign w:val="center"/>
                </w:tcPr>
                <w:p>
                  <w:pPr>
                    <w:pStyle w:val="37"/>
                    <w:jc w:val="center"/>
                    <w:rPr>
                      <w:u w:val="none"/>
                    </w:rPr>
                  </w:pPr>
                  <w:r>
                    <w:rPr>
                      <w:rFonts w:hint="eastAsia"/>
                      <w:u w:val="none"/>
                    </w:rPr>
                    <w:t>位于加工厂房东南侧，封闭车间外</w:t>
                  </w:r>
                </w:p>
              </w:tc>
              <w:tc>
                <w:tcPr>
                  <w:tcW w:w="2581" w:type="dxa"/>
                  <w:vAlign w:val="center"/>
                </w:tcPr>
                <w:p>
                  <w:pPr>
                    <w:pStyle w:val="37"/>
                    <w:jc w:val="center"/>
                    <w:rPr>
                      <w:u w:val="none"/>
                    </w:rPr>
                  </w:pPr>
                  <w:r>
                    <w:rPr>
                      <w:rFonts w:hint="eastAsia"/>
                      <w:u w:val="none"/>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671" w:type="dxa"/>
                  <w:vMerge w:val="restart"/>
                  <w:vAlign w:val="center"/>
                </w:tcPr>
                <w:p>
                  <w:pPr>
                    <w:pStyle w:val="37"/>
                    <w:jc w:val="center"/>
                    <w:rPr>
                      <w:u w:val="none"/>
                    </w:rPr>
                  </w:pPr>
                  <w:r>
                    <w:rPr>
                      <w:rFonts w:hint="eastAsia"/>
                      <w:u w:val="none"/>
                    </w:rPr>
                    <w:t>公用工程</w:t>
                  </w:r>
                </w:p>
              </w:tc>
              <w:tc>
                <w:tcPr>
                  <w:tcW w:w="1374" w:type="dxa"/>
                  <w:vAlign w:val="center"/>
                </w:tcPr>
                <w:p>
                  <w:pPr>
                    <w:pStyle w:val="37"/>
                    <w:jc w:val="center"/>
                    <w:rPr>
                      <w:u w:val="none"/>
                    </w:rPr>
                  </w:pPr>
                  <w:r>
                    <w:rPr>
                      <w:rFonts w:hint="eastAsia"/>
                      <w:u w:val="none"/>
                    </w:rPr>
                    <w:t>给水</w:t>
                  </w:r>
                </w:p>
              </w:tc>
              <w:tc>
                <w:tcPr>
                  <w:tcW w:w="3218" w:type="dxa"/>
                  <w:vAlign w:val="center"/>
                </w:tcPr>
                <w:p>
                  <w:pPr>
                    <w:pStyle w:val="37"/>
                    <w:jc w:val="center"/>
                    <w:rPr>
                      <w:u w:val="none"/>
                    </w:rPr>
                  </w:pPr>
                  <w:r>
                    <w:rPr>
                      <w:rFonts w:hint="eastAsia"/>
                      <w:u w:val="none"/>
                    </w:rPr>
                    <w:t>宁家坪镇自来水厂供水</w:t>
                  </w:r>
                </w:p>
              </w:tc>
              <w:tc>
                <w:tcPr>
                  <w:tcW w:w="2581" w:type="dxa"/>
                  <w:vAlign w:val="center"/>
                </w:tcPr>
                <w:p>
                  <w:pPr>
                    <w:pStyle w:val="37"/>
                    <w:jc w:val="center"/>
                    <w:rPr>
                      <w:u w:val="none"/>
                    </w:rPr>
                  </w:pPr>
                  <w:r>
                    <w:rPr>
                      <w:rFonts w:hint="eastAsia"/>
                      <w:u w:val="none"/>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trPr>
              <w:tc>
                <w:tcPr>
                  <w:tcW w:w="671" w:type="dxa"/>
                  <w:vMerge w:val="continue"/>
                  <w:vAlign w:val="center"/>
                </w:tcPr>
                <w:p>
                  <w:pPr>
                    <w:pStyle w:val="37"/>
                    <w:jc w:val="center"/>
                    <w:rPr>
                      <w:u w:val="none"/>
                    </w:rPr>
                  </w:pPr>
                </w:p>
              </w:tc>
              <w:tc>
                <w:tcPr>
                  <w:tcW w:w="1374" w:type="dxa"/>
                  <w:vAlign w:val="center"/>
                </w:tcPr>
                <w:p>
                  <w:pPr>
                    <w:pStyle w:val="37"/>
                    <w:jc w:val="center"/>
                    <w:rPr>
                      <w:u w:val="none"/>
                    </w:rPr>
                  </w:pPr>
                  <w:r>
                    <w:rPr>
                      <w:rFonts w:hint="eastAsia"/>
                      <w:u w:val="none"/>
                    </w:rPr>
                    <w:t>排水</w:t>
                  </w:r>
                </w:p>
              </w:tc>
              <w:tc>
                <w:tcPr>
                  <w:tcW w:w="3218" w:type="dxa"/>
                  <w:vAlign w:val="center"/>
                </w:tcPr>
                <w:p>
                  <w:pPr>
                    <w:pStyle w:val="37"/>
                    <w:jc w:val="center"/>
                    <w:rPr>
                      <w:u w:val="none"/>
                    </w:rPr>
                  </w:pPr>
                  <w:r>
                    <w:rPr>
                      <w:rFonts w:hint="eastAsia"/>
                      <w:u w:val="none"/>
                    </w:rPr>
                    <w:t>雨污分流制；洗车废水经沉淀池沉淀后回用；降尘用水全部蒸发损耗，不外排；员工生活污水经化粪池处理后用于周边林地浇灌</w:t>
                  </w:r>
                </w:p>
              </w:tc>
              <w:tc>
                <w:tcPr>
                  <w:tcW w:w="2581" w:type="dxa"/>
                  <w:vAlign w:val="center"/>
                </w:tcPr>
                <w:p>
                  <w:pPr>
                    <w:pStyle w:val="37"/>
                    <w:jc w:val="center"/>
                    <w:rPr>
                      <w:u w:val="none"/>
                    </w:rPr>
                  </w:pPr>
                  <w:r>
                    <w:rPr>
                      <w:rFonts w:hint="eastAsia"/>
                      <w:u w:val="none"/>
                    </w:rPr>
                    <w:t>目前未完成雨污分流，本环评要求企业全厂进行雨污分流改造，改造后，初期雨水分别通过厂区新建的雨水管道（明沟盖板）进入两个初期雨水沉淀池沉淀处理后回用于厂区洒水降尘，后期雨水直接排入周边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trPr>
              <w:tc>
                <w:tcPr>
                  <w:tcW w:w="671" w:type="dxa"/>
                  <w:vMerge w:val="continue"/>
                  <w:vAlign w:val="center"/>
                </w:tcPr>
                <w:p>
                  <w:pPr>
                    <w:pStyle w:val="37"/>
                    <w:jc w:val="center"/>
                    <w:rPr>
                      <w:u w:val="none"/>
                    </w:rPr>
                  </w:pPr>
                </w:p>
              </w:tc>
              <w:tc>
                <w:tcPr>
                  <w:tcW w:w="1374" w:type="dxa"/>
                  <w:vAlign w:val="center"/>
                </w:tcPr>
                <w:p>
                  <w:pPr>
                    <w:pStyle w:val="37"/>
                    <w:jc w:val="center"/>
                    <w:rPr>
                      <w:u w:val="none"/>
                    </w:rPr>
                  </w:pPr>
                  <w:r>
                    <w:rPr>
                      <w:rFonts w:hint="eastAsia"/>
                      <w:u w:val="none"/>
                    </w:rPr>
                    <w:t>供电</w:t>
                  </w:r>
                </w:p>
              </w:tc>
              <w:tc>
                <w:tcPr>
                  <w:tcW w:w="3218" w:type="dxa"/>
                  <w:vAlign w:val="center"/>
                </w:tcPr>
                <w:p>
                  <w:pPr>
                    <w:pStyle w:val="37"/>
                    <w:jc w:val="center"/>
                    <w:rPr>
                      <w:u w:val="none"/>
                    </w:rPr>
                  </w:pPr>
                  <w:r>
                    <w:rPr>
                      <w:rFonts w:hint="eastAsia"/>
                      <w:u w:val="none"/>
                    </w:rPr>
                    <w:t>由国家电网供电</w:t>
                  </w:r>
                </w:p>
              </w:tc>
              <w:tc>
                <w:tcPr>
                  <w:tcW w:w="2581" w:type="dxa"/>
                  <w:vAlign w:val="center"/>
                </w:tcPr>
                <w:p>
                  <w:pPr>
                    <w:pStyle w:val="37"/>
                    <w:jc w:val="center"/>
                    <w:rPr>
                      <w:u w:val="none"/>
                    </w:rPr>
                  </w:pPr>
                  <w:r>
                    <w:rPr>
                      <w:rFonts w:hint="eastAsia"/>
                      <w:u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71" w:type="dxa"/>
                  <w:vMerge w:val="restart"/>
                  <w:vAlign w:val="center"/>
                </w:tcPr>
                <w:p>
                  <w:pPr>
                    <w:pStyle w:val="37"/>
                    <w:jc w:val="center"/>
                    <w:rPr>
                      <w:u w:val="none"/>
                    </w:rPr>
                  </w:pPr>
                  <w:r>
                    <w:rPr>
                      <w:rFonts w:hint="eastAsia"/>
                      <w:u w:val="none"/>
                    </w:rPr>
                    <w:t>环保工程</w:t>
                  </w:r>
                </w:p>
              </w:tc>
              <w:tc>
                <w:tcPr>
                  <w:tcW w:w="1374" w:type="dxa"/>
                  <w:vAlign w:val="center"/>
                </w:tcPr>
                <w:p>
                  <w:pPr>
                    <w:pStyle w:val="37"/>
                    <w:jc w:val="center"/>
                    <w:rPr>
                      <w:u w:val="none"/>
                    </w:rPr>
                  </w:pPr>
                  <w:r>
                    <w:rPr>
                      <w:rFonts w:hint="eastAsia"/>
                      <w:u w:val="none"/>
                    </w:rPr>
                    <w:t>废水</w:t>
                  </w:r>
                </w:p>
              </w:tc>
              <w:tc>
                <w:tcPr>
                  <w:tcW w:w="3218" w:type="dxa"/>
                  <w:vAlign w:val="center"/>
                </w:tcPr>
                <w:p>
                  <w:pPr>
                    <w:pStyle w:val="37"/>
                    <w:jc w:val="center"/>
                    <w:rPr>
                      <w:u w:val="none"/>
                    </w:rPr>
                  </w:pPr>
                  <w:r>
                    <w:rPr>
                      <w:rFonts w:hint="eastAsia"/>
                      <w:u w:val="none"/>
                    </w:rPr>
                    <w:t>项目生产过程无废水产生；车间地面只需进行扫把清扫，不进行拖把清洁等，无清洁废水产生；生活污水:经化粪池处理后用于周边农田施肥；</w:t>
                  </w:r>
                </w:p>
                <w:p>
                  <w:pPr>
                    <w:pStyle w:val="37"/>
                    <w:jc w:val="center"/>
                    <w:rPr>
                      <w:u w:val="none"/>
                    </w:rPr>
                  </w:pPr>
                  <w:r>
                    <w:rPr>
                      <w:rFonts w:hint="eastAsia"/>
                      <w:u w:val="none"/>
                    </w:rPr>
                    <w:t>洗车废水：经三级沉淀池沉淀后循环使用；</w:t>
                  </w:r>
                </w:p>
              </w:tc>
              <w:tc>
                <w:tcPr>
                  <w:tcW w:w="2581" w:type="dxa"/>
                  <w:vAlign w:val="center"/>
                </w:tcPr>
                <w:p>
                  <w:pPr>
                    <w:pStyle w:val="37"/>
                    <w:jc w:val="center"/>
                  </w:pPr>
                  <w:bookmarkStart w:id="21" w:name="_Hlk118485191"/>
                  <w:r>
                    <w:rPr>
                      <w:rFonts w:hint="eastAsia"/>
                    </w:rPr>
                    <w:t>隔油池+化粪池已建；需建设初期雨水沉淀池1（5</w:t>
                  </w:r>
                  <w:r>
                    <w:t>0</w:t>
                  </w:r>
                  <w:r>
                    <w:rPr>
                      <w:rFonts w:hint="eastAsia"/>
                    </w:rPr>
                    <w:t>m</w:t>
                  </w:r>
                  <w:r>
                    <w:rPr>
                      <w:vertAlign w:val="superscript"/>
                    </w:rPr>
                    <w:t>3</w:t>
                  </w:r>
                  <w:r>
                    <w:rPr>
                      <w:rFonts w:hint="eastAsia"/>
                    </w:rPr>
                    <w:t>，长5m</w:t>
                  </w:r>
                  <w:r>
                    <w:t>*</w:t>
                  </w:r>
                  <w:r>
                    <w:rPr>
                      <w:rFonts w:hint="eastAsia"/>
                    </w:rPr>
                    <w:t>宽5m</w:t>
                  </w:r>
                  <w:r>
                    <w:t>*</w:t>
                  </w:r>
                  <w:r>
                    <w:rPr>
                      <w:rFonts w:hint="eastAsia"/>
                    </w:rPr>
                    <w:t>深2m）和雨水沉淀池2（总容积9</w:t>
                  </w:r>
                  <w:r>
                    <w:t>0</w:t>
                  </w:r>
                  <w:r>
                    <w:rPr>
                      <w:rFonts w:hint="eastAsia"/>
                    </w:rPr>
                    <w:t>m</w:t>
                  </w:r>
                  <w:r>
                    <w:rPr>
                      <w:vertAlign w:val="superscript"/>
                    </w:rPr>
                    <w:t>3</w:t>
                  </w:r>
                  <w:r>
                    <w:rPr>
                      <w:rFonts w:hint="eastAsia"/>
                    </w:rPr>
                    <w:t>，长</w:t>
                  </w:r>
                  <w:r>
                    <w:t>9</w:t>
                  </w:r>
                  <w:r>
                    <w:rPr>
                      <w:rFonts w:hint="eastAsia"/>
                    </w:rPr>
                    <w:t>m</w:t>
                  </w:r>
                  <w:r>
                    <w:t>*</w:t>
                  </w:r>
                  <w:r>
                    <w:rPr>
                      <w:rFonts w:hint="eastAsia"/>
                    </w:rPr>
                    <w:t>宽5m</w:t>
                  </w:r>
                  <w:r>
                    <w:t>*</w:t>
                  </w:r>
                  <w:r>
                    <w:rPr>
                      <w:rFonts w:hint="eastAsia"/>
                    </w:rPr>
                    <w:t>深2m）；建设洗车平台及洗车废水三级沉淀池；且所有池均需做重点防渗处理。</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671" w:type="dxa"/>
                  <w:vMerge w:val="continue"/>
                  <w:vAlign w:val="center"/>
                </w:tcPr>
                <w:p>
                  <w:pPr>
                    <w:pStyle w:val="37"/>
                    <w:jc w:val="center"/>
                    <w:rPr>
                      <w:u w:val="none"/>
                    </w:rPr>
                  </w:pPr>
                </w:p>
              </w:tc>
              <w:tc>
                <w:tcPr>
                  <w:tcW w:w="1374" w:type="dxa"/>
                  <w:vAlign w:val="center"/>
                </w:tcPr>
                <w:p>
                  <w:pPr>
                    <w:pStyle w:val="37"/>
                    <w:jc w:val="center"/>
                    <w:rPr>
                      <w:u w:val="none"/>
                    </w:rPr>
                  </w:pPr>
                  <w:r>
                    <w:rPr>
                      <w:rFonts w:hint="eastAsia"/>
                      <w:u w:val="none"/>
                    </w:rPr>
                    <w:t>废气</w:t>
                  </w:r>
                </w:p>
              </w:tc>
              <w:tc>
                <w:tcPr>
                  <w:tcW w:w="3218" w:type="dxa"/>
                  <w:vAlign w:val="center"/>
                </w:tcPr>
                <w:p>
                  <w:pPr>
                    <w:pStyle w:val="37"/>
                    <w:rPr>
                      <w:u w:val="none"/>
                    </w:rPr>
                  </w:pPr>
                  <w:r>
                    <w:rPr>
                      <w:u w:val="none"/>
                    </w:rPr>
                    <w:fldChar w:fldCharType="begin"/>
                  </w:r>
                  <w:r>
                    <w:rPr>
                      <w:u w:val="none"/>
                    </w:rPr>
                    <w:instrText xml:space="preserve"> </w:instrText>
                  </w:r>
                  <w:r>
                    <w:rPr>
                      <w:rFonts w:hint="eastAsia"/>
                      <w:u w:val="none"/>
                    </w:rPr>
                    <w:instrText xml:space="preserve">= 1 \* GB3</w:instrText>
                  </w:r>
                  <w:r>
                    <w:rPr>
                      <w:u w:val="none"/>
                    </w:rPr>
                    <w:instrText xml:space="preserve"> </w:instrText>
                  </w:r>
                  <w:r>
                    <w:rPr>
                      <w:u w:val="none"/>
                    </w:rPr>
                    <w:fldChar w:fldCharType="separate"/>
                  </w:r>
                  <w:r>
                    <w:rPr>
                      <w:rFonts w:hint="eastAsia"/>
                      <w:u w:val="none"/>
                    </w:rPr>
                    <w:t>①</w:t>
                  </w:r>
                  <w:r>
                    <w:rPr>
                      <w:u w:val="none"/>
                    </w:rPr>
                    <w:fldChar w:fldCharType="end"/>
                  </w:r>
                  <w:r>
                    <w:rPr>
                      <w:rFonts w:hint="eastAsia"/>
                      <w:u w:val="none"/>
                    </w:rPr>
                    <w:t>原料卸料粉尘：雾化喷淋装置洒水降尘；</w:t>
                  </w:r>
                </w:p>
                <w:p>
                  <w:pPr>
                    <w:pStyle w:val="37"/>
                    <w:rPr>
                      <w:u w:val="none"/>
                    </w:rPr>
                  </w:pPr>
                  <w:r>
                    <w:rPr>
                      <w:rFonts w:hint="eastAsia"/>
                      <w:u w:val="none"/>
                    </w:rPr>
                    <w:t>②破碎筛分粉尘：封闭车间+湿法破碎+集气罩+湿法除尘设施+</w:t>
                  </w:r>
                  <w:r>
                    <w:rPr>
                      <w:u w:val="none"/>
                    </w:rPr>
                    <w:t>15</w:t>
                  </w:r>
                  <w:r>
                    <w:rPr>
                      <w:rFonts w:hint="eastAsia"/>
                      <w:u w:val="none"/>
                    </w:rPr>
                    <w:t>m排气筒；</w:t>
                  </w:r>
                </w:p>
                <w:p>
                  <w:pPr>
                    <w:pStyle w:val="37"/>
                    <w:rPr>
                      <w:u w:val="none"/>
                    </w:rPr>
                  </w:pPr>
                  <w:r>
                    <w:rPr>
                      <w:rFonts w:hint="eastAsia"/>
                      <w:u w:val="none"/>
                    </w:rPr>
                    <w:t>③堆场粉尘：封闭车间+雾化喷淋装置、洒水抑尘；</w:t>
                  </w:r>
                </w:p>
                <w:p>
                  <w:pPr>
                    <w:pStyle w:val="37"/>
                    <w:rPr>
                      <w:u w:val="none"/>
                    </w:rPr>
                  </w:pPr>
                  <w:r>
                    <w:rPr>
                      <w:rFonts w:hint="eastAsia"/>
                      <w:u w:val="none"/>
                    </w:rPr>
                    <w:t>④运输车辆扬尘：清洗车辆轮胎、篷布遮盖；</w:t>
                  </w:r>
                </w:p>
                <w:p>
                  <w:pPr>
                    <w:pStyle w:val="37"/>
                    <w:rPr>
                      <w:u w:val="none"/>
                    </w:rPr>
                  </w:pPr>
                  <w:r>
                    <w:rPr>
                      <w:rFonts w:hint="eastAsia"/>
                      <w:u w:val="none"/>
                    </w:rPr>
                    <w:t>⑤下料：封闭车间+雾化喷淋装置。</w:t>
                  </w:r>
                </w:p>
              </w:tc>
              <w:tc>
                <w:tcPr>
                  <w:tcW w:w="2581" w:type="dxa"/>
                  <w:vAlign w:val="center"/>
                </w:tcPr>
                <w:p>
                  <w:pPr>
                    <w:pStyle w:val="37"/>
                    <w:jc w:val="center"/>
                  </w:pPr>
                  <w:bookmarkStart w:id="22" w:name="_Hlk118485220"/>
                  <w:r>
                    <w:rPr>
                      <w:rFonts w:hint="eastAsia"/>
                    </w:rPr>
                    <w:t>原料堆场，生产车间，及成品堆场均设置雾化喷淋装置洒水降尘；破碎筛分工序段洒水并设置集气罩收集粉尘后送入湿法除尘设施进行湿法除尘（需新建</w:t>
                  </w:r>
                  <w:r>
                    <w:t>60</w:t>
                  </w:r>
                  <w:r>
                    <w:rPr>
                      <w:rFonts w:hint="eastAsia"/>
                    </w:rPr>
                    <w:t>m</w:t>
                  </w:r>
                  <w:r>
                    <w:rPr>
                      <w:vertAlign w:val="superscript"/>
                    </w:rPr>
                    <w:t>3</w:t>
                  </w:r>
                  <w:r>
                    <w:rPr>
                      <w:rFonts w:hint="eastAsia"/>
                    </w:rPr>
                    <w:t>湿法除尘沉淀池（长*宽*高：</w:t>
                  </w:r>
                  <w:r>
                    <w:t>6</w:t>
                  </w:r>
                  <w:r>
                    <w:rPr>
                      <w:rFonts w:hint="eastAsia"/>
                    </w:rPr>
                    <w:t>m</w:t>
                  </w:r>
                  <w:r>
                    <w:t>*5</w:t>
                  </w:r>
                  <w:r>
                    <w:rPr>
                      <w:rFonts w:hint="eastAsia"/>
                    </w:rPr>
                    <w:t>m</w:t>
                  </w:r>
                  <w:r>
                    <w:t>*2</w:t>
                  </w:r>
                  <w:r>
                    <w:rPr>
                      <w:rFonts w:hint="eastAsia"/>
                    </w:rPr>
                    <w:t>m）；下料及上料均在车间内，采取人工洒水及雾化喷淋装置降尘。</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671" w:type="dxa"/>
                  <w:vMerge w:val="continue"/>
                  <w:vAlign w:val="center"/>
                </w:tcPr>
                <w:p>
                  <w:pPr>
                    <w:pStyle w:val="37"/>
                    <w:jc w:val="center"/>
                    <w:rPr>
                      <w:u w:val="none"/>
                    </w:rPr>
                  </w:pPr>
                </w:p>
              </w:tc>
              <w:tc>
                <w:tcPr>
                  <w:tcW w:w="1374" w:type="dxa"/>
                  <w:vAlign w:val="center"/>
                </w:tcPr>
                <w:p>
                  <w:pPr>
                    <w:pStyle w:val="37"/>
                    <w:jc w:val="center"/>
                    <w:rPr>
                      <w:u w:val="none"/>
                    </w:rPr>
                  </w:pPr>
                  <w:r>
                    <w:rPr>
                      <w:rFonts w:hint="eastAsia"/>
                      <w:u w:val="none"/>
                    </w:rPr>
                    <w:t>噪声</w:t>
                  </w:r>
                </w:p>
              </w:tc>
              <w:tc>
                <w:tcPr>
                  <w:tcW w:w="3218" w:type="dxa"/>
                  <w:vAlign w:val="center"/>
                </w:tcPr>
                <w:p>
                  <w:pPr>
                    <w:pStyle w:val="37"/>
                    <w:jc w:val="center"/>
                    <w:rPr>
                      <w:u w:val="none"/>
                    </w:rPr>
                  </w:pPr>
                  <w:r>
                    <w:rPr>
                      <w:rFonts w:hint="eastAsia"/>
                      <w:u w:val="none"/>
                    </w:rPr>
                    <w:t>采取车间隔声、低噪设备及距离衰减等措施降噪。</w:t>
                  </w:r>
                </w:p>
              </w:tc>
              <w:tc>
                <w:tcPr>
                  <w:tcW w:w="2581" w:type="dxa"/>
                  <w:vAlign w:val="center"/>
                </w:tcPr>
                <w:p>
                  <w:pPr>
                    <w:pStyle w:val="37"/>
                    <w:jc w:val="center"/>
                    <w:rPr>
                      <w:u w:val="none"/>
                    </w:rPr>
                  </w:pPr>
                  <w:bookmarkStart w:id="23" w:name="_Hlk118485236"/>
                  <w:r>
                    <w:rPr>
                      <w:rFonts w:hint="eastAsia"/>
                      <w:u w:val="none"/>
                    </w:rPr>
                    <w:t>对车间进行封闭改造，</w:t>
                  </w:r>
                  <w:r>
                    <w:rPr>
                      <w:rFonts w:hint="eastAsia"/>
                    </w:rPr>
                    <w:t>采用夹板墙及充填墙等混合使用，</w:t>
                  </w:r>
                  <w:r>
                    <w:rPr>
                      <w:rFonts w:hint="eastAsia"/>
                      <w:u w:val="none"/>
                    </w:rPr>
                    <w:t>降低噪声污染</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671" w:type="dxa"/>
                  <w:vMerge w:val="continue"/>
                  <w:vAlign w:val="center"/>
                </w:tcPr>
                <w:p>
                  <w:pPr>
                    <w:pStyle w:val="37"/>
                    <w:jc w:val="center"/>
                    <w:rPr>
                      <w:u w:val="none"/>
                    </w:rPr>
                  </w:pPr>
                </w:p>
              </w:tc>
              <w:tc>
                <w:tcPr>
                  <w:tcW w:w="1374" w:type="dxa"/>
                  <w:vAlign w:val="center"/>
                </w:tcPr>
                <w:p>
                  <w:pPr>
                    <w:pStyle w:val="37"/>
                    <w:jc w:val="center"/>
                    <w:rPr>
                      <w:u w:val="none"/>
                    </w:rPr>
                  </w:pPr>
                  <w:r>
                    <w:rPr>
                      <w:rFonts w:hint="eastAsia"/>
                      <w:u w:val="none"/>
                    </w:rPr>
                    <w:t>固废</w:t>
                  </w:r>
                </w:p>
              </w:tc>
              <w:tc>
                <w:tcPr>
                  <w:tcW w:w="3218" w:type="dxa"/>
                  <w:vAlign w:val="center"/>
                </w:tcPr>
                <w:p>
                  <w:pPr>
                    <w:pStyle w:val="37"/>
                    <w:jc w:val="center"/>
                    <w:rPr>
                      <w:u w:val="none"/>
                    </w:rPr>
                  </w:pPr>
                  <w:bookmarkStart w:id="24" w:name="_Hlk118485277"/>
                  <w:r>
                    <w:rPr>
                      <w:rFonts w:hint="eastAsia"/>
                      <w:u w:val="none"/>
                    </w:rPr>
                    <w:t>一般固废暂存间2</w:t>
                  </w:r>
                  <w:r>
                    <w:rPr>
                      <w:u w:val="none"/>
                    </w:rPr>
                    <w:t>0</w:t>
                  </w:r>
                  <w:r>
                    <w:rPr>
                      <w:rFonts w:hint="eastAsia"/>
                      <w:u w:val="none"/>
                    </w:rPr>
                    <w:t>m</w:t>
                  </w:r>
                  <w:r>
                    <w:rPr>
                      <w:u w:val="none"/>
                      <w:vertAlign w:val="superscript"/>
                    </w:rPr>
                    <w:t>2</w:t>
                  </w:r>
                  <w:r>
                    <w:rPr>
                      <w:rFonts w:hint="eastAsia"/>
                      <w:u w:val="none"/>
                    </w:rPr>
                    <w:t>，危险废物暂存间</w:t>
                  </w:r>
                  <w:r>
                    <w:rPr>
                      <w:u w:val="none"/>
                    </w:rPr>
                    <w:t>5</w:t>
                  </w:r>
                  <w:r>
                    <w:rPr>
                      <w:rFonts w:hint="eastAsia"/>
                      <w:u w:val="none"/>
                    </w:rPr>
                    <w:t>m</w:t>
                  </w:r>
                  <w:r>
                    <w:rPr>
                      <w:u w:val="none"/>
                      <w:vertAlign w:val="superscript"/>
                    </w:rPr>
                    <w:t>2</w:t>
                  </w:r>
                  <w:bookmarkEnd w:id="24"/>
                </w:p>
              </w:tc>
              <w:tc>
                <w:tcPr>
                  <w:tcW w:w="2581" w:type="dxa"/>
                  <w:vAlign w:val="center"/>
                </w:tcPr>
                <w:p>
                  <w:pPr>
                    <w:pStyle w:val="37"/>
                    <w:jc w:val="center"/>
                    <w:rPr>
                      <w:u w:val="none"/>
                    </w:rPr>
                  </w:pPr>
                  <w:r>
                    <w:rPr>
                      <w:rFonts w:hint="eastAsia"/>
                      <w:u w:val="none"/>
                    </w:rPr>
                    <w:t>按相关技术要求新建一般固废暂存间和危险废物暂存间</w:t>
                  </w:r>
                </w:p>
              </w:tc>
            </w:tr>
          </w:tbl>
          <w:p>
            <w:pPr>
              <w:ind w:firstLine="480"/>
            </w:pPr>
            <w:bookmarkStart w:id="25" w:name="_Toc106531328"/>
            <w:bookmarkStart w:id="26" w:name="_Toc116339907"/>
            <w:bookmarkStart w:id="27" w:name="_Toc107343563"/>
            <w:bookmarkStart w:id="28" w:name="_Toc107409298"/>
            <w:bookmarkStart w:id="29" w:name="_Toc107415652"/>
            <w:bookmarkStart w:id="30" w:name="_Toc107343377"/>
            <w:r>
              <w:rPr>
                <w:rFonts w:hint="eastAsia"/>
              </w:rPr>
              <w:t>厂房密闭方案见下表：</w:t>
            </w:r>
          </w:p>
          <w:p>
            <w:pPr>
              <w:pStyle w:val="31"/>
            </w:pPr>
            <w:r>
              <w:rPr>
                <w:rFonts w:hint="eastAsia"/>
              </w:rPr>
              <w:t>表2</w:t>
            </w:r>
            <w:r>
              <w:t>-2</w:t>
            </w:r>
            <w:r>
              <w:rPr>
                <w:rFonts w:hint="eastAsia"/>
              </w:rPr>
              <w:t>厂房密闭方案详表</w:t>
            </w:r>
          </w:p>
          <w:tbl>
            <w:tblPr>
              <w:tblStyle w:val="18"/>
              <w:tblW w:w="78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418"/>
              <w:gridCol w:w="1417"/>
              <w:gridCol w:w="1559"/>
              <w:gridCol w:w="1311"/>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vAlign w:val="center"/>
                </w:tcPr>
                <w:p>
                  <w:pPr>
                    <w:pStyle w:val="37"/>
                    <w:jc w:val="center"/>
                  </w:pPr>
                  <w:r>
                    <w:rPr>
                      <w:rFonts w:hint="eastAsia"/>
                    </w:rPr>
                    <w:t>序号</w:t>
                  </w:r>
                </w:p>
              </w:tc>
              <w:tc>
                <w:tcPr>
                  <w:tcW w:w="1418" w:type="dxa"/>
                  <w:vAlign w:val="center"/>
                </w:tcPr>
                <w:p>
                  <w:pPr>
                    <w:pStyle w:val="37"/>
                    <w:jc w:val="center"/>
                  </w:pPr>
                  <w:r>
                    <w:rPr>
                      <w:rFonts w:hint="eastAsia"/>
                    </w:rPr>
                    <w:t>厂房属性</w:t>
                  </w:r>
                </w:p>
              </w:tc>
              <w:tc>
                <w:tcPr>
                  <w:tcW w:w="1417" w:type="dxa"/>
                  <w:vAlign w:val="center"/>
                </w:tcPr>
                <w:p>
                  <w:pPr>
                    <w:pStyle w:val="37"/>
                    <w:jc w:val="center"/>
                  </w:pPr>
                  <w:r>
                    <w:rPr>
                      <w:rFonts w:hint="eastAsia"/>
                    </w:rPr>
                    <w:t>厂区位置</w:t>
                  </w:r>
                </w:p>
              </w:tc>
              <w:tc>
                <w:tcPr>
                  <w:tcW w:w="1559" w:type="dxa"/>
                  <w:vAlign w:val="center"/>
                </w:tcPr>
                <w:p>
                  <w:pPr>
                    <w:pStyle w:val="37"/>
                    <w:jc w:val="center"/>
                  </w:pPr>
                  <w:r>
                    <w:rPr>
                      <w:rFonts w:hint="eastAsia"/>
                    </w:rPr>
                    <w:t>面积（</w:t>
                  </w:r>
                  <w:r>
                    <w:rPr>
                      <w:rFonts w:hint="eastAsia"/>
                      <w:u w:val="none"/>
                    </w:rPr>
                    <w:t>m</w:t>
                  </w:r>
                  <w:r>
                    <w:rPr>
                      <w:u w:val="none"/>
                      <w:vertAlign w:val="superscript"/>
                    </w:rPr>
                    <w:t>2</w:t>
                  </w:r>
                  <w:r>
                    <w:rPr>
                      <w:rFonts w:hint="eastAsia"/>
                    </w:rPr>
                    <w:t>）</w:t>
                  </w:r>
                </w:p>
              </w:tc>
              <w:tc>
                <w:tcPr>
                  <w:tcW w:w="1311" w:type="dxa"/>
                  <w:vAlign w:val="center"/>
                </w:tcPr>
                <w:p>
                  <w:pPr>
                    <w:pStyle w:val="37"/>
                    <w:jc w:val="center"/>
                  </w:pPr>
                  <w:r>
                    <w:rPr>
                      <w:rFonts w:hint="eastAsia"/>
                    </w:rPr>
                    <w:t>厂房封闭材料</w:t>
                  </w:r>
                </w:p>
              </w:tc>
              <w:tc>
                <w:tcPr>
                  <w:tcW w:w="1312" w:type="dxa"/>
                  <w:vAlign w:val="center"/>
                </w:tcPr>
                <w:p>
                  <w:pPr>
                    <w:pStyle w:val="37"/>
                    <w:jc w:val="center"/>
                  </w:pPr>
                  <w:r>
                    <w:rPr>
                      <w:rFonts w:hint="eastAsia"/>
                    </w:rPr>
                    <w:t>隔声降噪标准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vAlign w:val="center"/>
                </w:tcPr>
                <w:p>
                  <w:pPr>
                    <w:pStyle w:val="37"/>
                    <w:jc w:val="center"/>
                  </w:pPr>
                  <w:r>
                    <w:rPr>
                      <w:rFonts w:hint="eastAsia"/>
                    </w:rPr>
                    <w:t>1</w:t>
                  </w:r>
                </w:p>
              </w:tc>
              <w:tc>
                <w:tcPr>
                  <w:tcW w:w="1418" w:type="dxa"/>
                  <w:vAlign w:val="center"/>
                </w:tcPr>
                <w:p>
                  <w:pPr>
                    <w:pStyle w:val="37"/>
                    <w:jc w:val="center"/>
                  </w:pPr>
                  <w:r>
                    <w:rPr>
                      <w:rFonts w:hint="eastAsia"/>
                    </w:rPr>
                    <w:t>生产车间</w:t>
                  </w:r>
                </w:p>
              </w:tc>
              <w:tc>
                <w:tcPr>
                  <w:tcW w:w="1417" w:type="dxa"/>
                  <w:vAlign w:val="center"/>
                </w:tcPr>
                <w:p>
                  <w:pPr>
                    <w:pStyle w:val="37"/>
                    <w:jc w:val="center"/>
                  </w:pPr>
                  <w:r>
                    <w:rPr>
                      <w:rFonts w:hint="eastAsia"/>
                    </w:rPr>
                    <w:t>偏北部厂区</w:t>
                  </w:r>
                </w:p>
              </w:tc>
              <w:tc>
                <w:tcPr>
                  <w:tcW w:w="1559" w:type="dxa"/>
                  <w:vAlign w:val="center"/>
                </w:tcPr>
                <w:p>
                  <w:pPr>
                    <w:pStyle w:val="37"/>
                    <w:jc w:val="center"/>
                  </w:pPr>
                  <w:r>
                    <w:rPr>
                      <w:rFonts w:hint="eastAsia"/>
                    </w:rPr>
                    <w:t>1</w:t>
                  </w:r>
                  <w:r>
                    <w:t>400</w:t>
                  </w:r>
                </w:p>
              </w:tc>
              <w:tc>
                <w:tcPr>
                  <w:tcW w:w="1311" w:type="dxa"/>
                  <w:vMerge w:val="restart"/>
                  <w:vAlign w:val="center"/>
                </w:tcPr>
                <w:p>
                  <w:pPr>
                    <w:pStyle w:val="37"/>
                    <w:jc w:val="center"/>
                  </w:pPr>
                  <w:r>
                    <w:rPr>
                      <w:rFonts w:hint="eastAsia"/>
                    </w:rPr>
                    <w:t>采用1</w:t>
                  </w:r>
                  <w:r>
                    <w:t>0</w:t>
                  </w:r>
                  <w:r>
                    <w:rPr>
                      <w:rFonts w:hint="eastAsia"/>
                    </w:rPr>
                    <w:t>cm厚夹板墙及充填墙等混合使用</w:t>
                  </w:r>
                </w:p>
              </w:tc>
              <w:tc>
                <w:tcPr>
                  <w:tcW w:w="1312" w:type="dxa"/>
                  <w:vMerge w:val="restart"/>
                  <w:vAlign w:val="center"/>
                </w:tcPr>
                <w:p>
                  <w:pPr>
                    <w:pStyle w:val="37"/>
                    <w:jc w:val="center"/>
                  </w:pPr>
                  <w:r>
                    <w:t>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1" w:type="dxa"/>
                  <w:vAlign w:val="center"/>
                </w:tcPr>
                <w:p>
                  <w:pPr>
                    <w:pStyle w:val="37"/>
                    <w:jc w:val="center"/>
                  </w:pPr>
                  <w:r>
                    <w:rPr>
                      <w:rFonts w:hint="eastAsia"/>
                    </w:rPr>
                    <w:t>2</w:t>
                  </w:r>
                </w:p>
              </w:tc>
              <w:tc>
                <w:tcPr>
                  <w:tcW w:w="1418" w:type="dxa"/>
                  <w:vAlign w:val="center"/>
                </w:tcPr>
                <w:p>
                  <w:pPr>
                    <w:pStyle w:val="37"/>
                    <w:jc w:val="center"/>
                  </w:pPr>
                  <w:r>
                    <w:rPr>
                      <w:rFonts w:hint="eastAsia"/>
                    </w:rPr>
                    <w:t>原料堆场</w:t>
                  </w:r>
                </w:p>
              </w:tc>
              <w:tc>
                <w:tcPr>
                  <w:tcW w:w="1417" w:type="dxa"/>
                  <w:vAlign w:val="center"/>
                </w:tcPr>
                <w:p>
                  <w:pPr>
                    <w:pStyle w:val="37"/>
                    <w:jc w:val="center"/>
                  </w:pPr>
                  <w:r>
                    <w:rPr>
                      <w:rFonts w:hint="eastAsia"/>
                    </w:rPr>
                    <w:t>生产车间厂房内西北侧</w:t>
                  </w:r>
                </w:p>
              </w:tc>
              <w:tc>
                <w:tcPr>
                  <w:tcW w:w="1559" w:type="dxa"/>
                  <w:vAlign w:val="center"/>
                </w:tcPr>
                <w:p>
                  <w:pPr>
                    <w:pStyle w:val="37"/>
                    <w:jc w:val="center"/>
                  </w:pPr>
                  <w:r>
                    <w:rPr>
                      <w:rFonts w:hint="eastAsia"/>
                    </w:rPr>
                    <w:t>2</w:t>
                  </w:r>
                  <w:r>
                    <w:t>00</w:t>
                  </w:r>
                </w:p>
              </w:tc>
              <w:tc>
                <w:tcPr>
                  <w:tcW w:w="1311" w:type="dxa"/>
                  <w:vMerge w:val="continue"/>
                  <w:vAlign w:val="center"/>
                </w:tcPr>
                <w:p>
                  <w:pPr>
                    <w:pStyle w:val="37"/>
                    <w:jc w:val="center"/>
                  </w:pPr>
                </w:p>
              </w:tc>
              <w:tc>
                <w:tcPr>
                  <w:tcW w:w="1312" w:type="dxa"/>
                  <w:vMerge w:val="continue"/>
                  <w:vAlign w:val="center"/>
                </w:tcPr>
                <w:p>
                  <w:pPr>
                    <w:pStyle w:val="37"/>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21" w:type="dxa"/>
                  <w:vAlign w:val="center"/>
                </w:tcPr>
                <w:p>
                  <w:pPr>
                    <w:pStyle w:val="37"/>
                    <w:jc w:val="center"/>
                  </w:pPr>
                  <w:r>
                    <w:rPr>
                      <w:rFonts w:hint="eastAsia"/>
                    </w:rPr>
                    <w:t>3</w:t>
                  </w:r>
                </w:p>
              </w:tc>
              <w:tc>
                <w:tcPr>
                  <w:tcW w:w="1418" w:type="dxa"/>
                  <w:vAlign w:val="center"/>
                </w:tcPr>
                <w:p>
                  <w:pPr>
                    <w:pStyle w:val="37"/>
                    <w:jc w:val="center"/>
                  </w:pPr>
                  <w:r>
                    <w:rPr>
                      <w:rFonts w:hint="eastAsia"/>
                    </w:rPr>
                    <w:t>成品堆场</w:t>
                  </w:r>
                </w:p>
              </w:tc>
              <w:tc>
                <w:tcPr>
                  <w:tcW w:w="1417" w:type="dxa"/>
                  <w:vAlign w:val="center"/>
                </w:tcPr>
                <w:p>
                  <w:pPr>
                    <w:pStyle w:val="37"/>
                    <w:jc w:val="center"/>
                  </w:pPr>
                  <w:r>
                    <w:rPr>
                      <w:rFonts w:hint="eastAsia"/>
                    </w:rPr>
                    <w:t>厂区中部</w:t>
                  </w:r>
                </w:p>
              </w:tc>
              <w:tc>
                <w:tcPr>
                  <w:tcW w:w="1559" w:type="dxa"/>
                  <w:vAlign w:val="center"/>
                </w:tcPr>
                <w:p>
                  <w:pPr>
                    <w:pStyle w:val="37"/>
                    <w:jc w:val="center"/>
                  </w:pPr>
                  <w:r>
                    <w:rPr>
                      <w:rFonts w:hint="eastAsia"/>
                    </w:rPr>
                    <w:t>6</w:t>
                  </w:r>
                  <w:r>
                    <w:t>00</w:t>
                  </w:r>
                </w:p>
              </w:tc>
              <w:tc>
                <w:tcPr>
                  <w:tcW w:w="1311" w:type="dxa"/>
                  <w:vMerge w:val="continue"/>
                  <w:vAlign w:val="center"/>
                </w:tcPr>
                <w:p>
                  <w:pPr>
                    <w:pStyle w:val="37"/>
                    <w:jc w:val="center"/>
                  </w:pPr>
                </w:p>
              </w:tc>
              <w:tc>
                <w:tcPr>
                  <w:tcW w:w="1312" w:type="dxa"/>
                  <w:vMerge w:val="continue"/>
                  <w:vAlign w:val="center"/>
                </w:tcPr>
                <w:p>
                  <w:pPr>
                    <w:pStyle w:val="37"/>
                    <w:jc w:val="center"/>
                  </w:pPr>
                </w:p>
              </w:tc>
            </w:tr>
          </w:tbl>
          <w:p>
            <w:pPr>
              <w:pStyle w:val="4"/>
            </w:pPr>
            <w:r>
              <w:rPr>
                <w:rFonts w:hint="eastAsia"/>
              </w:rPr>
              <w:t>3、产品方案</w:t>
            </w:r>
            <w:bookmarkEnd w:id="25"/>
            <w:bookmarkEnd w:id="26"/>
            <w:bookmarkEnd w:id="27"/>
            <w:bookmarkEnd w:id="28"/>
            <w:bookmarkEnd w:id="29"/>
            <w:bookmarkEnd w:id="30"/>
          </w:p>
          <w:p>
            <w:pPr>
              <w:ind w:firstLine="480"/>
            </w:pPr>
            <w:r>
              <w:rPr>
                <w:rFonts w:hint="eastAsia"/>
              </w:rPr>
              <w:t>项目主要产品方案见下表。</w:t>
            </w:r>
          </w:p>
          <w:p>
            <w:pPr>
              <w:pStyle w:val="31"/>
            </w:pPr>
            <w:r>
              <w:rPr>
                <w:rFonts w:hint="eastAsia"/>
              </w:rPr>
              <w:t>表2</w:t>
            </w:r>
            <w:r>
              <w:t>-3</w:t>
            </w:r>
            <w:r>
              <w:rPr>
                <w:rFonts w:hint="eastAsia"/>
              </w:rPr>
              <w:t>项目产品方案一览表</w:t>
            </w:r>
          </w:p>
          <w:tbl>
            <w:tblPr>
              <w:tblStyle w:val="18"/>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15"/>
              <w:gridCol w:w="1961"/>
              <w:gridCol w:w="1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vAlign w:val="center"/>
                </w:tcPr>
                <w:p>
                  <w:pPr>
                    <w:pStyle w:val="37"/>
                    <w:jc w:val="center"/>
                    <w:rPr>
                      <w:u w:val="none"/>
                    </w:rPr>
                  </w:pPr>
                  <w:r>
                    <w:rPr>
                      <w:rFonts w:hint="eastAsia"/>
                      <w:u w:val="none"/>
                    </w:rPr>
                    <w:t>序号</w:t>
                  </w:r>
                </w:p>
              </w:tc>
              <w:tc>
                <w:tcPr>
                  <w:tcW w:w="2815" w:type="dxa"/>
                  <w:vAlign w:val="center"/>
                </w:tcPr>
                <w:p>
                  <w:pPr>
                    <w:pStyle w:val="37"/>
                    <w:jc w:val="center"/>
                    <w:rPr>
                      <w:u w:val="none"/>
                    </w:rPr>
                  </w:pPr>
                  <w:r>
                    <w:rPr>
                      <w:rFonts w:hint="eastAsia"/>
                      <w:u w:val="none"/>
                    </w:rPr>
                    <w:t>产品名称</w:t>
                  </w:r>
                </w:p>
              </w:tc>
              <w:tc>
                <w:tcPr>
                  <w:tcW w:w="1961" w:type="dxa"/>
                  <w:vAlign w:val="center"/>
                </w:tcPr>
                <w:p>
                  <w:pPr>
                    <w:pStyle w:val="37"/>
                    <w:jc w:val="center"/>
                    <w:rPr>
                      <w:u w:val="none"/>
                    </w:rPr>
                  </w:pPr>
                  <w:r>
                    <w:rPr>
                      <w:rFonts w:hint="eastAsia"/>
                      <w:u w:val="none"/>
                    </w:rPr>
                    <w:t>规格（直径：cm）</w:t>
                  </w:r>
                </w:p>
              </w:tc>
              <w:tc>
                <w:tcPr>
                  <w:tcW w:w="1961" w:type="dxa"/>
                  <w:vAlign w:val="center"/>
                </w:tcPr>
                <w:p>
                  <w:pPr>
                    <w:pStyle w:val="37"/>
                    <w:jc w:val="center"/>
                    <w:rPr>
                      <w:u w:val="none"/>
                    </w:rPr>
                  </w:pPr>
                  <w:r>
                    <w:rPr>
                      <w:rFonts w:hint="eastAsia"/>
                      <w:u w:val="none"/>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7" w:type="dxa"/>
                  <w:vAlign w:val="center"/>
                </w:tcPr>
                <w:p>
                  <w:pPr>
                    <w:pStyle w:val="37"/>
                    <w:jc w:val="center"/>
                    <w:rPr>
                      <w:u w:val="none"/>
                    </w:rPr>
                  </w:pPr>
                  <w:r>
                    <w:rPr>
                      <w:rFonts w:hint="eastAsia"/>
                      <w:u w:val="none"/>
                    </w:rPr>
                    <w:t>1</w:t>
                  </w:r>
                </w:p>
              </w:tc>
              <w:tc>
                <w:tcPr>
                  <w:tcW w:w="2815" w:type="dxa"/>
                  <w:vAlign w:val="center"/>
                </w:tcPr>
                <w:p>
                  <w:pPr>
                    <w:pStyle w:val="37"/>
                    <w:jc w:val="center"/>
                    <w:rPr>
                      <w:u w:val="none"/>
                    </w:rPr>
                  </w:pPr>
                  <w:r>
                    <w:rPr>
                      <w:rFonts w:hint="eastAsia"/>
                      <w:u w:val="none"/>
                    </w:rPr>
                    <w:t>块煤</w:t>
                  </w:r>
                </w:p>
              </w:tc>
              <w:tc>
                <w:tcPr>
                  <w:tcW w:w="1961" w:type="dxa"/>
                  <w:vAlign w:val="center"/>
                </w:tcPr>
                <w:p>
                  <w:pPr>
                    <w:pStyle w:val="37"/>
                    <w:jc w:val="center"/>
                    <w:rPr>
                      <w:u w:val="none"/>
                    </w:rPr>
                  </w:pPr>
                  <w:r>
                    <w:rPr>
                      <w:u w:val="none"/>
                    </w:rPr>
                    <w:t>8-12</w:t>
                  </w:r>
                  <w:r>
                    <w:rPr>
                      <w:rFonts w:hint="eastAsia"/>
                      <w:u w:val="none"/>
                    </w:rPr>
                    <w:t>cm</w:t>
                  </w:r>
                </w:p>
              </w:tc>
              <w:tc>
                <w:tcPr>
                  <w:tcW w:w="1961" w:type="dxa"/>
                  <w:vAlign w:val="center"/>
                </w:tcPr>
                <w:p>
                  <w:pPr>
                    <w:pStyle w:val="37"/>
                    <w:jc w:val="center"/>
                    <w:rPr>
                      <w:u w:val="none"/>
                    </w:rPr>
                  </w:pPr>
                  <w:r>
                    <w:rPr>
                      <w:u w:val="none"/>
                    </w:rPr>
                    <w:t>5000</w:t>
                  </w:r>
                  <w:r>
                    <w:rPr>
                      <w:rFonts w:hint="eastAsia"/>
                      <w:u w:val="none"/>
                    </w:rPr>
                    <w:t>t</w:t>
                  </w:r>
                  <w:r>
                    <w:rPr>
                      <w:u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7" w:type="dxa"/>
                  <w:vAlign w:val="center"/>
                </w:tcPr>
                <w:p>
                  <w:pPr>
                    <w:pStyle w:val="37"/>
                    <w:jc w:val="center"/>
                    <w:rPr>
                      <w:u w:val="none"/>
                    </w:rPr>
                  </w:pPr>
                  <w:r>
                    <w:rPr>
                      <w:rFonts w:hint="eastAsia"/>
                      <w:u w:val="none"/>
                    </w:rPr>
                    <w:t>2</w:t>
                  </w:r>
                </w:p>
              </w:tc>
              <w:tc>
                <w:tcPr>
                  <w:tcW w:w="2815" w:type="dxa"/>
                  <w:vAlign w:val="center"/>
                </w:tcPr>
                <w:p>
                  <w:pPr>
                    <w:pStyle w:val="37"/>
                    <w:jc w:val="center"/>
                    <w:rPr>
                      <w:u w:val="none"/>
                    </w:rPr>
                  </w:pPr>
                  <w:r>
                    <w:rPr>
                      <w:rFonts w:hint="eastAsia"/>
                      <w:u w:val="none"/>
                    </w:rPr>
                    <w:t>块煤</w:t>
                  </w:r>
                </w:p>
              </w:tc>
              <w:tc>
                <w:tcPr>
                  <w:tcW w:w="1961" w:type="dxa"/>
                  <w:vAlign w:val="center"/>
                </w:tcPr>
                <w:p>
                  <w:pPr>
                    <w:pStyle w:val="37"/>
                    <w:jc w:val="center"/>
                    <w:rPr>
                      <w:u w:val="none"/>
                    </w:rPr>
                  </w:pPr>
                  <w:r>
                    <w:rPr>
                      <w:u w:val="none"/>
                    </w:rPr>
                    <w:t>5-8</w:t>
                  </w:r>
                  <w:r>
                    <w:rPr>
                      <w:rFonts w:hint="eastAsia"/>
                      <w:u w:val="none"/>
                    </w:rPr>
                    <w:t>cm</w:t>
                  </w:r>
                </w:p>
              </w:tc>
              <w:tc>
                <w:tcPr>
                  <w:tcW w:w="1961" w:type="dxa"/>
                  <w:vAlign w:val="center"/>
                </w:tcPr>
                <w:p>
                  <w:pPr>
                    <w:pStyle w:val="37"/>
                    <w:jc w:val="center"/>
                    <w:rPr>
                      <w:u w:val="none"/>
                    </w:rPr>
                  </w:pPr>
                  <w:r>
                    <w:rPr>
                      <w:rFonts w:hint="eastAsia"/>
                      <w:u w:val="none"/>
                    </w:rPr>
                    <w:t>5</w:t>
                  </w:r>
                  <w:r>
                    <w:rPr>
                      <w:u w:val="none"/>
                    </w:rPr>
                    <w:t>000</w:t>
                  </w:r>
                  <w:r>
                    <w:rPr>
                      <w:rFonts w:hint="eastAsia"/>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07" w:type="dxa"/>
                  <w:vAlign w:val="center"/>
                </w:tcPr>
                <w:p>
                  <w:pPr>
                    <w:pStyle w:val="37"/>
                    <w:jc w:val="center"/>
                    <w:rPr>
                      <w:u w:val="none"/>
                    </w:rPr>
                  </w:pPr>
                  <w:r>
                    <w:rPr>
                      <w:u w:val="none"/>
                    </w:rPr>
                    <w:t>3</w:t>
                  </w:r>
                </w:p>
              </w:tc>
              <w:tc>
                <w:tcPr>
                  <w:tcW w:w="2815" w:type="dxa"/>
                  <w:vAlign w:val="center"/>
                </w:tcPr>
                <w:p>
                  <w:pPr>
                    <w:pStyle w:val="37"/>
                    <w:jc w:val="center"/>
                    <w:rPr>
                      <w:u w:val="none"/>
                    </w:rPr>
                  </w:pPr>
                  <w:r>
                    <w:rPr>
                      <w:rFonts w:hint="eastAsia"/>
                      <w:u w:val="none"/>
                    </w:rPr>
                    <w:t>蜂窝煤</w:t>
                  </w:r>
                </w:p>
              </w:tc>
              <w:tc>
                <w:tcPr>
                  <w:tcW w:w="1961" w:type="dxa"/>
                  <w:vAlign w:val="center"/>
                </w:tcPr>
                <w:p>
                  <w:pPr>
                    <w:pStyle w:val="37"/>
                    <w:jc w:val="center"/>
                    <w:rPr>
                      <w:u w:val="none"/>
                    </w:rPr>
                  </w:pPr>
                  <w:r>
                    <w:rPr>
                      <w:u w:val="none"/>
                    </w:rPr>
                    <w:t>12</w:t>
                  </w:r>
                  <w:r>
                    <w:rPr>
                      <w:rFonts w:hint="eastAsia"/>
                      <w:u w:val="none"/>
                    </w:rPr>
                    <w:t>cm</w:t>
                  </w:r>
                </w:p>
              </w:tc>
              <w:tc>
                <w:tcPr>
                  <w:tcW w:w="1961" w:type="dxa"/>
                  <w:vAlign w:val="center"/>
                </w:tcPr>
                <w:p>
                  <w:pPr>
                    <w:pStyle w:val="37"/>
                    <w:jc w:val="center"/>
                    <w:rPr>
                      <w:u w:val="none"/>
                    </w:rPr>
                  </w:pPr>
                  <w:r>
                    <w:rPr>
                      <w:u w:val="none"/>
                    </w:rPr>
                    <w:t>10000</w:t>
                  </w:r>
                  <w:r>
                    <w:rPr>
                      <w:rFonts w:hint="eastAsia"/>
                      <w:u w:val="none"/>
                    </w:rPr>
                    <w:t>t/a</w:t>
                  </w:r>
                </w:p>
              </w:tc>
            </w:tr>
          </w:tbl>
          <w:p>
            <w:pPr>
              <w:pStyle w:val="4"/>
            </w:pPr>
            <w:bookmarkStart w:id="31" w:name="_Toc106531329"/>
            <w:bookmarkStart w:id="32" w:name="_Toc107409299"/>
            <w:bookmarkStart w:id="33" w:name="_Toc107415653"/>
            <w:bookmarkStart w:id="34" w:name="_Toc107343564"/>
            <w:bookmarkStart w:id="35" w:name="_Toc116339908"/>
            <w:bookmarkStart w:id="36" w:name="_Toc107343378"/>
            <w:r>
              <w:rPr>
                <w:rFonts w:hint="eastAsia"/>
              </w:rPr>
              <w:t>4、</w:t>
            </w:r>
            <w:r>
              <w:t>主要设备</w:t>
            </w:r>
            <w:bookmarkEnd w:id="31"/>
            <w:bookmarkEnd w:id="32"/>
            <w:bookmarkEnd w:id="33"/>
            <w:bookmarkEnd w:id="34"/>
            <w:bookmarkEnd w:id="35"/>
            <w:bookmarkEnd w:id="36"/>
          </w:p>
          <w:p>
            <w:pPr>
              <w:pStyle w:val="31"/>
            </w:pPr>
            <w:r>
              <w:rPr>
                <w:rFonts w:hint="eastAsia"/>
              </w:rPr>
              <w:t>表2</w:t>
            </w:r>
            <w:r>
              <w:t>-4</w:t>
            </w:r>
            <w:r>
              <w:rPr>
                <w:rFonts w:hint="eastAsia"/>
              </w:rPr>
              <w:t>主要设备一览表</w:t>
            </w:r>
          </w:p>
          <w:tbl>
            <w:tblPr>
              <w:tblStyle w:val="18"/>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664"/>
              <w:gridCol w:w="2427"/>
              <w:gridCol w:w="1470"/>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rFonts w:hint="eastAsia"/>
                      <w:u w:val="none"/>
                    </w:rPr>
                    <w:t>序号</w:t>
                  </w:r>
                </w:p>
              </w:tc>
              <w:tc>
                <w:tcPr>
                  <w:tcW w:w="1664" w:type="dxa"/>
                  <w:vAlign w:val="center"/>
                </w:tcPr>
                <w:p>
                  <w:pPr>
                    <w:pStyle w:val="37"/>
                    <w:jc w:val="center"/>
                    <w:rPr>
                      <w:u w:val="none"/>
                    </w:rPr>
                  </w:pPr>
                  <w:r>
                    <w:rPr>
                      <w:rFonts w:hint="eastAsia"/>
                      <w:u w:val="none"/>
                    </w:rPr>
                    <w:t>设备名称</w:t>
                  </w:r>
                </w:p>
              </w:tc>
              <w:tc>
                <w:tcPr>
                  <w:tcW w:w="2427" w:type="dxa"/>
                  <w:vAlign w:val="center"/>
                </w:tcPr>
                <w:p>
                  <w:pPr>
                    <w:pStyle w:val="37"/>
                    <w:jc w:val="center"/>
                    <w:rPr>
                      <w:u w:val="none"/>
                    </w:rPr>
                  </w:pPr>
                  <w:r>
                    <w:rPr>
                      <w:rFonts w:hint="eastAsia"/>
                      <w:u w:val="none"/>
                    </w:rPr>
                    <w:t>型号</w:t>
                  </w:r>
                </w:p>
              </w:tc>
              <w:tc>
                <w:tcPr>
                  <w:tcW w:w="1470" w:type="dxa"/>
                  <w:vAlign w:val="center"/>
                </w:tcPr>
                <w:p>
                  <w:pPr>
                    <w:pStyle w:val="37"/>
                    <w:jc w:val="center"/>
                    <w:rPr>
                      <w:u w:val="none"/>
                    </w:rPr>
                  </w:pPr>
                  <w:r>
                    <w:rPr>
                      <w:rFonts w:hint="eastAsia"/>
                      <w:u w:val="none"/>
                    </w:rPr>
                    <w:t>数量</w:t>
                  </w:r>
                </w:p>
              </w:tc>
              <w:tc>
                <w:tcPr>
                  <w:tcW w:w="1567" w:type="dxa"/>
                  <w:vAlign w:val="center"/>
                </w:tcPr>
                <w:p>
                  <w:pPr>
                    <w:pStyle w:val="37"/>
                    <w:jc w:val="center"/>
                    <w:rPr>
                      <w:u w:val="none"/>
                    </w:rPr>
                  </w:pPr>
                  <w:r>
                    <w:rPr>
                      <w:rFonts w:hint="eastAsia"/>
                      <w:u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rFonts w:hint="eastAsia"/>
                      <w:u w:val="none"/>
                    </w:rPr>
                    <w:t>1</w:t>
                  </w:r>
                </w:p>
              </w:tc>
              <w:tc>
                <w:tcPr>
                  <w:tcW w:w="1664" w:type="dxa"/>
                  <w:vAlign w:val="center"/>
                </w:tcPr>
                <w:p>
                  <w:pPr>
                    <w:pStyle w:val="37"/>
                    <w:jc w:val="center"/>
                    <w:rPr>
                      <w:u w:val="none"/>
                    </w:rPr>
                  </w:pPr>
                  <w:r>
                    <w:rPr>
                      <w:rFonts w:hint="eastAsia"/>
                      <w:u w:val="none"/>
                    </w:rPr>
                    <w:t>给料机</w:t>
                  </w:r>
                </w:p>
              </w:tc>
              <w:tc>
                <w:tcPr>
                  <w:tcW w:w="2427" w:type="dxa"/>
                  <w:vAlign w:val="center"/>
                </w:tcPr>
                <w:p>
                  <w:pPr>
                    <w:pStyle w:val="37"/>
                    <w:jc w:val="center"/>
                    <w:rPr>
                      <w:u w:val="none"/>
                    </w:rPr>
                  </w:pPr>
                  <w:r>
                    <w:rPr>
                      <w:u w:val="none"/>
                    </w:rPr>
                    <w:t>K1往复式输送机</w:t>
                  </w:r>
                </w:p>
              </w:tc>
              <w:tc>
                <w:tcPr>
                  <w:tcW w:w="1470" w:type="dxa"/>
                  <w:vAlign w:val="center"/>
                </w:tcPr>
                <w:p>
                  <w:pPr>
                    <w:pStyle w:val="37"/>
                    <w:jc w:val="center"/>
                    <w:rPr>
                      <w:u w:val="none"/>
                    </w:rPr>
                  </w:pPr>
                  <w:r>
                    <w:rPr>
                      <w:u w:val="none"/>
                    </w:rPr>
                    <w:t>2</w:t>
                  </w:r>
                </w:p>
              </w:tc>
              <w:tc>
                <w:tcPr>
                  <w:tcW w:w="1567" w:type="dxa"/>
                  <w:vAlign w:val="center"/>
                </w:tcPr>
                <w:p>
                  <w:pPr>
                    <w:pStyle w:val="37"/>
                    <w:jc w:val="center"/>
                    <w:rPr>
                      <w:u w:val="none"/>
                    </w:rPr>
                  </w:pPr>
                  <w:r>
                    <w:rPr>
                      <w:rFonts w:hint="eastAsia"/>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rFonts w:hint="eastAsia"/>
                      <w:u w:val="none"/>
                    </w:rPr>
                    <w:t>2</w:t>
                  </w:r>
                </w:p>
              </w:tc>
              <w:tc>
                <w:tcPr>
                  <w:tcW w:w="1664" w:type="dxa"/>
                  <w:vAlign w:val="center"/>
                </w:tcPr>
                <w:p>
                  <w:pPr>
                    <w:pStyle w:val="37"/>
                    <w:jc w:val="center"/>
                    <w:rPr>
                      <w:u w:val="none"/>
                    </w:rPr>
                  </w:pPr>
                  <w:r>
                    <w:rPr>
                      <w:rFonts w:hint="eastAsia"/>
                      <w:u w:val="none"/>
                    </w:rPr>
                    <w:t>破碎机</w:t>
                  </w:r>
                </w:p>
              </w:tc>
              <w:tc>
                <w:tcPr>
                  <w:tcW w:w="2427" w:type="dxa"/>
                  <w:vAlign w:val="center"/>
                </w:tcPr>
                <w:p>
                  <w:pPr>
                    <w:pStyle w:val="37"/>
                    <w:jc w:val="center"/>
                    <w:rPr>
                      <w:u w:val="none"/>
                    </w:rPr>
                  </w:pPr>
                  <w:r>
                    <w:rPr>
                      <w:u w:val="none"/>
                    </w:rPr>
                    <w:t>NFJ1060颚式破碎机</w:t>
                  </w:r>
                </w:p>
              </w:tc>
              <w:tc>
                <w:tcPr>
                  <w:tcW w:w="1470" w:type="dxa"/>
                  <w:vAlign w:val="center"/>
                </w:tcPr>
                <w:p>
                  <w:pPr>
                    <w:pStyle w:val="37"/>
                    <w:jc w:val="center"/>
                    <w:rPr>
                      <w:u w:val="none"/>
                    </w:rPr>
                  </w:pPr>
                  <w:r>
                    <w:rPr>
                      <w:u w:val="none"/>
                    </w:rPr>
                    <w:t>2</w:t>
                  </w:r>
                </w:p>
              </w:tc>
              <w:tc>
                <w:tcPr>
                  <w:tcW w:w="1567" w:type="dxa"/>
                  <w:vAlign w:val="center"/>
                </w:tcPr>
                <w:p>
                  <w:pPr>
                    <w:pStyle w:val="37"/>
                    <w:jc w:val="center"/>
                    <w:rPr>
                      <w:u w:val="none"/>
                    </w:rPr>
                  </w:pPr>
                  <w:r>
                    <w:rPr>
                      <w:rFonts w:hint="eastAsia"/>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rFonts w:hint="eastAsia"/>
                      <w:u w:val="none"/>
                    </w:rPr>
                    <w:t>3</w:t>
                  </w:r>
                </w:p>
              </w:tc>
              <w:tc>
                <w:tcPr>
                  <w:tcW w:w="1664" w:type="dxa"/>
                  <w:vAlign w:val="center"/>
                </w:tcPr>
                <w:p>
                  <w:pPr>
                    <w:pStyle w:val="37"/>
                    <w:jc w:val="center"/>
                    <w:rPr>
                      <w:u w:val="none"/>
                    </w:rPr>
                  </w:pPr>
                  <w:r>
                    <w:rPr>
                      <w:rFonts w:hint="eastAsia"/>
                      <w:u w:val="none"/>
                    </w:rPr>
                    <w:t>筛分机</w:t>
                  </w:r>
                </w:p>
              </w:tc>
              <w:tc>
                <w:tcPr>
                  <w:tcW w:w="2427" w:type="dxa"/>
                  <w:vAlign w:val="center"/>
                </w:tcPr>
                <w:p>
                  <w:pPr>
                    <w:pStyle w:val="37"/>
                    <w:jc w:val="center"/>
                    <w:rPr>
                      <w:u w:val="none"/>
                    </w:rPr>
                  </w:pPr>
                  <w:r>
                    <w:rPr>
                      <w:u w:val="none"/>
                    </w:rPr>
                    <w:t>ZZS直线振动筛</w:t>
                  </w:r>
                </w:p>
              </w:tc>
              <w:tc>
                <w:tcPr>
                  <w:tcW w:w="1470" w:type="dxa"/>
                  <w:vAlign w:val="center"/>
                </w:tcPr>
                <w:p>
                  <w:pPr>
                    <w:pStyle w:val="37"/>
                    <w:jc w:val="center"/>
                    <w:rPr>
                      <w:u w:val="none"/>
                    </w:rPr>
                  </w:pPr>
                  <w:r>
                    <w:rPr>
                      <w:u w:val="none"/>
                    </w:rPr>
                    <w:t>2</w:t>
                  </w:r>
                </w:p>
              </w:tc>
              <w:tc>
                <w:tcPr>
                  <w:tcW w:w="1567" w:type="dxa"/>
                  <w:vAlign w:val="center"/>
                </w:tcPr>
                <w:p>
                  <w:pPr>
                    <w:pStyle w:val="37"/>
                    <w:jc w:val="center"/>
                    <w:rPr>
                      <w:u w:val="none"/>
                    </w:rPr>
                  </w:pPr>
                  <w:r>
                    <w:rPr>
                      <w:rFonts w:hint="eastAsia"/>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rFonts w:hint="eastAsia"/>
                      <w:u w:val="none"/>
                    </w:rPr>
                    <w:t>4</w:t>
                  </w:r>
                </w:p>
              </w:tc>
              <w:tc>
                <w:tcPr>
                  <w:tcW w:w="1664" w:type="dxa"/>
                  <w:vAlign w:val="center"/>
                </w:tcPr>
                <w:p>
                  <w:pPr>
                    <w:pStyle w:val="37"/>
                    <w:jc w:val="center"/>
                    <w:rPr>
                      <w:u w:val="none"/>
                    </w:rPr>
                  </w:pPr>
                  <w:r>
                    <w:rPr>
                      <w:rFonts w:hint="eastAsia"/>
                      <w:u w:val="none"/>
                    </w:rPr>
                    <w:t>蜂窝煤成型机</w:t>
                  </w:r>
                </w:p>
              </w:tc>
              <w:tc>
                <w:tcPr>
                  <w:tcW w:w="2427" w:type="dxa"/>
                  <w:vAlign w:val="center"/>
                </w:tcPr>
                <w:p>
                  <w:pPr>
                    <w:pStyle w:val="37"/>
                    <w:jc w:val="center"/>
                    <w:rPr>
                      <w:u w:val="none"/>
                    </w:rPr>
                  </w:pPr>
                  <w:r>
                    <w:rPr>
                      <w:rFonts w:hint="eastAsia"/>
                      <w:u w:val="none"/>
                    </w:rPr>
                    <w:t>宜宾</w:t>
                  </w:r>
                  <w:r>
                    <w:rPr>
                      <w:u w:val="none"/>
                    </w:rPr>
                    <w:t>12号型</w:t>
                  </w:r>
                </w:p>
              </w:tc>
              <w:tc>
                <w:tcPr>
                  <w:tcW w:w="1470" w:type="dxa"/>
                  <w:vAlign w:val="center"/>
                </w:tcPr>
                <w:p>
                  <w:pPr>
                    <w:pStyle w:val="37"/>
                    <w:jc w:val="center"/>
                    <w:rPr>
                      <w:u w:val="none"/>
                    </w:rPr>
                  </w:pPr>
                  <w:r>
                    <w:rPr>
                      <w:u w:val="none"/>
                    </w:rPr>
                    <w:t>6</w:t>
                  </w:r>
                </w:p>
              </w:tc>
              <w:tc>
                <w:tcPr>
                  <w:tcW w:w="1567" w:type="dxa"/>
                  <w:vAlign w:val="center"/>
                </w:tcPr>
                <w:p>
                  <w:pPr>
                    <w:pStyle w:val="37"/>
                    <w:jc w:val="center"/>
                    <w:rPr>
                      <w:u w:val="none"/>
                    </w:rPr>
                  </w:pPr>
                  <w:r>
                    <w:rPr>
                      <w:rFonts w:hint="eastAsia"/>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u w:val="none"/>
                    </w:rPr>
                    <w:t>5</w:t>
                  </w:r>
                </w:p>
              </w:tc>
              <w:tc>
                <w:tcPr>
                  <w:tcW w:w="1664" w:type="dxa"/>
                  <w:vAlign w:val="center"/>
                </w:tcPr>
                <w:p>
                  <w:pPr>
                    <w:pStyle w:val="37"/>
                    <w:jc w:val="center"/>
                    <w:rPr>
                      <w:u w:val="none"/>
                    </w:rPr>
                  </w:pPr>
                  <w:r>
                    <w:rPr>
                      <w:rFonts w:hint="eastAsia"/>
                      <w:u w:val="none"/>
                    </w:rPr>
                    <w:t>铲车</w:t>
                  </w:r>
                </w:p>
              </w:tc>
              <w:tc>
                <w:tcPr>
                  <w:tcW w:w="2427" w:type="dxa"/>
                  <w:vAlign w:val="center"/>
                </w:tcPr>
                <w:p>
                  <w:pPr>
                    <w:pStyle w:val="37"/>
                    <w:jc w:val="center"/>
                    <w:rPr>
                      <w:u w:val="none"/>
                    </w:rPr>
                  </w:pPr>
                  <w:r>
                    <w:rPr>
                      <w:rFonts w:hint="eastAsia"/>
                      <w:u w:val="none"/>
                    </w:rPr>
                    <w:t>电铲车</w:t>
                  </w:r>
                </w:p>
              </w:tc>
              <w:tc>
                <w:tcPr>
                  <w:tcW w:w="1470" w:type="dxa"/>
                  <w:vAlign w:val="center"/>
                </w:tcPr>
                <w:p>
                  <w:pPr>
                    <w:pStyle w:val="37"/>
                    <w:jc w:val="center"/>
                    <w:rPr>
                      <w:u w:val="none"/>
                    </w:rPr>
                  </w:pPr>
                  <w:r>
                    <w:rPr>
                      <w:rFonts w:hint="eastAsia"/>
                      <w:u w:val="none"/>
                    </w:rPr>
                    <w:t>2</w:t>
                  </w:r>
                </w:p>
              </w:tc>
              <w:tc>
                <w:tcPr>
                  <w:tcW w:w="1567" w:type="dxa"/>
                  <w:vAlign w:val="center"/>
                </w:tcPr>
                <w:p>
                  <w:pPr>
                    <w:pStyle w:val="37"/>
                    <w:jc w:val="center"/>
                    <w:rPr>
                      <w:u w:val="none"/>
                    </w:rPr>
                  </w:pPr>
                  <w:r>
                    <w:rPr>
                      <w:rFonts w:hint="eastAsia"/>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u w:val="none"/>
                    </w:rPr>
                    <w:t>6</w:t>
                  </w:r>
                </w:p>
              </w:tc>
              <w:tc>
                <w:tcPr>
                  <w:tcW w:w="1664" w:type="dxa"/>
                  <w:vAlign w:val="center"/>
                </w:tcPr>
                <w:p>
                  <w:pPr>
                    <w:pStyle w:val="37"/>
                    <w:jc w:val="center"/>
                    <w:rPr>
                      <w:u w:val="none"/>
                    </w:rPr>
                  </w:pPr>
                  <w:r>
                    <w:rPr>
                      <w:rFonts w:hint="eastAsia"/>
                      <w:u w:val="none"/>
                    </w:rPr>
                    <w:t>输送带</w:t>
                  </w:r>
                </w:p>
              </w:tc>
              <w:tc>
                <w:tcPr>
                  <w:tcW w:w="2427" w:type="dxa"/>
                  <w:vAlign w:val="center"/>
                </w:tcPr>
                <w:p>
                  <w:pPr>
                    <w:pStyle w:val="37"/>
                    <w:jc w:val="center"/>
                    <w:rPr>
                      <w:u w:val="none"/>
                    </w:rPr>
                  </w:pPr>
                  <w:r>
                    <w:rPr>
                      <w:rFonts w:hint="eastAsia"/>
                      <w:u w:val="none"/>
                    </w:rPr>
                    <w:t>T</w:t>
                  </w:r>
                  <w:r>
                    <w:rPr>
                      <w:u w:val="none"/>
                    </w:rPr>
                    <w:t>D75</w:t>
                  </w:r>
                  <w:r>
                    <w:rPr>
                      <w:rFonts w:hint="eastAsia"/>
                      <w:u w:val="none"/>
                    </w:rPr>
                    <w:t>型皮带输送机</w:t>
                  </w:r>
                </w:p>
              </w:tc>
              <w:tc>
                <w:tcPr>
                  <w:tcW w:w="1470" w:type="dxa"/>
                  <w:vAlign w:val="center"/>
                </w:tcPr>
                <w:p>
                  <w:pPr>
                    <w:pStyle w:val="37"/>
                    <w:jc w:val="center"/>
                    <w:rPr>
                      <w:u w:val="none"/>
                    </w:rPr>
                  </w:pPr>
                  <w:r>
                    <w:rPr>
                      <w:rFonts w:hint="eastAsia"/>
                      <w:u w:val="none"/>
                    </w:rPr>
                    <w:t>5</w:t>
                  </w:r>
                  <w:r>
                    <w:rPr>
                      <w:u w:val="none"/>
                    </w:rPr>
                    <w:t>0</w:t>
                  </w:r>
                </w:p>
              </w:tc>
              <w:tc>
                <w:tcPr>
                  <w:tcW w:w="1567" w:type="dxa"/>
                  <w:vAlign w:val="center"/>
                </w:tcPr>
                <w:p>
                  <w:pPr>
                    <w:pStyle w:val="37"/>
                    <w:jc w:val="center"/>
                    <w:rPr>
                      <w:u w:val="none"/>
                    </w:rPr>
                  </w:pPr>
                  <w:r>
                    <w:rPr>
                      <w:u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u w:val="none"/>
                    </w:rPr>
                    <w:t>7</w:t>
                  </w:r>
                </w:p>
              </w:tc>
              <w:tc>
                <w:tcPr>
                  <w:tcW w:w="1664" w:type="dxa"/>
                  <w:vAlign w:val="center"/>
                </w:tcPr>
                <w:p>
                  <w:pPr>
                    <w:pStyle w:val="37"/>
                    <w:jc w:val="center"/>
                    <w:rPr>
                      <w:u w:val="none"/>
                    </w:rPr>
                  </w:pPr>
                  <w:r>
                    <w:rPr>
                      <w:rFonts w:hint="eastAsia"/>
                      <w:u w:val="none"/>
                    </w:rPr>
                    <w:t>水泵</w:t>
                  </w:r>
                </w:p>
              </w:tc>
              <w:tc>
                <w:tcPr>
                  <w:tcW w:w="2427" w:type="dxa"/>
                  <w:vAlign w:val="center"/>
                </w:tcPr>
                <w:p>
                  <w:pPr>
                    <w:pStyle w:val="37"/>
                    <w:jc w:val="center"/>
                    <w:rPr>
                      <w:u w:val="none"/>
                    </w:rPr>
                  </w:pPr>
                  <w:r>
                    <w:rPr>
                      <w:u w:val="none"/>
                    </w:rPr>
                    <w:t>WQG</w:t>
                  </w:r>
                  <w:r>
                    <w:rPr>
                      <w:rFonts w:hint="eastAsia"/>
                      <w:u w:val="none"/>
                    </w:rPr>
                    <w:t>型抽水泵</w:t>
                  </w:r>
                </w:p>
              </w:tc>
              <w:tc>
                <w:tcPr>
                  <w:tcW w:w="1470" w:type="dxa"/>
                  <w:vAlign w:val="center"/>
                </w:tcPr>
                <w:p>
                  <w:pPr>
                    <w:pStyle w:val="37"/>
                    <w:jc w:val="center"/>
                    <w:rPr>
                      <w:u w:val="none"/>
                    </w:rPr>
                  </w:pPr>
                  <w:r>
                    <w:rPr>
                      <w:rFonts w:hint="eastAsia"/>
                      <w:u w:val="none"/>
                    </w:rPr>
                    <w:t>4</w:t>
                  </w:r>
                </w:p>
              </w:tc>
              <w:tc>
                <w:tcPr>
                  <w:tcW w:w="1567" w:type="dxa"/>
                  <w:vAlign w:val="center"/>
                </w:tcPr>
                <w:p>
                  <w:pPr>
                    <w:pStyle w:val="37"/>
                    <w:jc w:val="center"/>
                    <w:rPr>
                      <w:u w:val="none"/>
                    </w:rPr>
                  </w:pPr>
                  <w:r>
                    <w:rPr>
                      <w:rFonts w:hint="eastAsia"/>
                      <w:u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6" w:type="dxa"/>
                  <w:vAlign w:val="center"/>
                </w:tcPr>
                <w:p>
                  <w:pPr>
                    <w:pStyle w:val="37"/>
                    <w:jc w:val="center"/>
                    <w:rPr>
                      <w:u w:val="none"/>
                    </w:rPr>
                  </w:pPr>
                  <w:r>
                    <w:rPr>
                      <w:u w:val="none"/>
                    </w:rPr>
                    <w:t>8</w:t>
                  </w:r>
                </w:p>
              </w:tc>
              <w:tc>
                <w:tcPr>
                  <w:tcW w:w="1664" w:type="dxa"/>
                  <w:vAlign w:val="center"/>
                </w:tcPr>
                <w:p>
                  <w:pPr>
                    <w:pStyle w:val="37"/>
                    <w:jc w:val="center"/>
                    <w:rPr>
                      <w:u w:val="none"/>
                    </w:rPr>
                  </w:pPr>
                  <w:r>
                    <w:rPr>
                      <w:rFonts w:hint="eastAsia"/>
                      <w:u w:val="none"/>
                    </w:rPr>
                    <w:t>风机</w:t>
                  </w:r>
                </w:p>
              </w:tc>
              <w:tc>
                <w:tcPr>
                  <w:tcW w:w="2427" w:type="dxa"/>
                  <w:vAlign w:val="center"/>
                </w:tcPr>
                <w:p>
                  <w:pPr>
                    <w:pStyle w:val="37"/>
                    <w:jc w:val="center"/>
                    <w:rPr>
                      <w:u w:val="none"/>
                    </w:rPr>
                  </w:pPr>
                  <w:r>
                    <w:rPr>
                      <w:rFonts w:hint="eastAsia"/>
                      <w:u w:val="none"/>
                    </w:rPr>
                    <w:t>T35型轴流风机</w:t>
                  </w:r>
                </w:p>
              </w:tc>
              <w:tc>
                <w:tcPr>
                  <w:tcW w:w="1470" w:type="dxa"/>
                  <w:vAlign w:val="center"/>
                </w:tcPr>
                <w:p>
                  <w:pPr>
                    <w:pStyle w:val="37"/>
                    <w:jc w:val="center"/>
                    <w:rPr>
                      <w:u w:val="none"/>
                    </w:rPr>
                  </w:pPr>
                  <w:r>
                    <w:rPr>
                      <w:rFonts w:hint="eastAsia"/>
                      <w:u w:val="none"/>
                    </w:rPr>
                    <w:t>4</w:t>
                  </w:r>
                </w:p>
              </w:tc>
              <w:tc>
                <w:tcPr>
                  <w:tcW w:w="1567" w:type="dxa"/>
                  <w:vAlign w:val="center"/>
                </w:tcPr>
                <w:p>
                  <w:pPr>
                    <w:pStyle w:val="37"/>
                    <w:jc w:val="center"/>
                    <w:rPr>
                      <w:u w:val="none"/>
                    </w:rPr>
                  </w:pPr>
                  <w:r>
                    <w:rPr>
                      <w:rFonts w:hint="eastAsia"/>
                      <w:u w:val="none"/>
                    </w:rPr>
                    <w:t>台</w:t>
                  </w:r>
                </w:p>
              </w:tc>
            </w:tr>
          </w:tbl>
          <w:p>
            <w:pPr>
              <w:pStyle w:val="4"/>
            </w:pPr>
            <w:bookmarkStart w:id="37" w:name="_Toc107343379"/>
            <w:bookmarkStart w:id="38" w:name="_Toc107415654"/>
            <w:bookmarkStart w:id="39" w:name="_Toc106531330"/>
            <w:bookmarkStart w:id="40" w:name="_Toc116339909"/>
            <w:bookmarkStart w:id="41" w:name="_Toc107343565"/>
            <w:bookmarkStart w:id="42" w:name="_Toc107409300"/>
            <w:r>
              <w:rPr>
                <w:rFonts w:hint="eastAsia"/>
              </w:rPr>
              <w:t>5、主要原辅材料用量及能耗</w:t>
            </w:r>
            <w:bookmarkEnd w:id="37"/>
            <w:bookmarkEnd w:id="38"/>
            <w:bookmarkEnd w:id="39"/>
            <w:bookmarkEnd w:id="40"/>
            <w:bookmarkEnd w:id="41"/>
            <w:bookmarkEnd w:id="42"/>
          </w:p>
          <w:p>
            <w:pPr>
              <w:pStyle w:val="31"/>
            </w:pPr>
            <w:r>
              <w:rPr>
                <w:rFonts w:hint="eastAsia"/>
              </w:rPr>
              <w:t>表2</w:t>
            </w:r>
            <w:r>
              <w:t>-5</w:t>
            </w:r>
            <w:r>
              <w:rPr>
                <w:rFonts w:hint="eastAsia"/>
              </w:rPr>
              <w:t>主要原辅材料一览表</w:t>
            </w:r>
          </w:p>
          <w:tbl>
            <w:tblPr>
              <w:tblStyle w:val="18"/>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
              <w:gridCol w:w="1559"/>
              <w:gridCol w:w="1109"/>
              <w:gridCol w:w="1134"/>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49" w:type="dxa"/>
                  <w:vAlign w:val="center"/>
                </w:tcPr>
                <w:p>
                  <w:pPr>
                    <w:pStyle w:val="37"/>
                    <w:jc w:val="center"/>
                    <w:rPr>
                      <w:u w:val="none"/>
                    </w:rPr>
                  </w:pPr>
                  <w:r>
                    <w:rPr>
                      <w:rFonts w:hint="eastAsia"/>
                      <w:u w:val="none"/>
                    </w:rPr>
                    <w:t>序号</w:t>
                  </w:r>
                </w:p>
              </w:tc>
              <w:tc>
                <w:tcPr>
                  <w:tcW w:w="1569" w:type="dxa"/>
                  <w:gridSpan w:val="2"/>
                  <w:vAlign w:val="center"/>
                </w:tcPr>
                <w:p>
                  <w:pPr>
                    <w:pStyle w:val="37"/>
                    <w:jc w:val="center"/>
                    <w:rPr>
                      <w:u w:val="none"/>
                    </w:rPr>
                  </w:pPr>
                  <w:r>
                    <w:rPr>
                      <w:rFonts w:hint="eastAsia"/>
                      <w:u w:val="none"/>
                    </w:rPr>
                    <w:t>原辅材料名称</w:t>
                  </w:r>
                </w:p>
              </w:tc>
              <w:tc>
                <w:tcPr>
                  <w:tcW w:w="1109" w:type="dxa"/>
                  <w:vAlign w:val="center"/>
                </w:tcPr>
                <w:p>
                  <w:pPr>
                    <w:pStyle w:val="37"/>
                    <w:jc w:val="center"/>
                    <w:rPr>
                      <w:u w:val="none"/>
                    </w:rPr>
                  </w:pPr>
                  <w:r>
                    <w:rPr>
                      <w:rFonts w:hint="eastAsia"/>
                      <w:u w:val="none"/>
                    </w:rPr>
                    <w:t>单位</w:t>
                  </w:r>
                </w:p>
              </w:tc>
              <w:tc>
                <w:tcPr>
                  <w:tcW w:w="1134" w:type="dxa"/>
                  <w:vAlign w:val="center"/>
                </w:tcPr>
                <w:p>
                  <w:pPr>
                    <w:pStyle w:val="37"/>
                    <w:jc w:val="center"/>
                    <w:rPr>
                      <w:u w:val="none"/>
                    </w:rPr>
                  </w:pPr>
                  <w:r>
                    <w:rPr>
                      <w:rFonts w:hint="eastAsia"/>
                      <w:u w:val="none"/>
                    </w:rPr>
                    <w:t>年用量</w:t>
                  </w:r>
                </w:p>
              </w:tc>
              <w:tc>
                <w:tcPr>
                  <w:tcW w:w="2483" w:type="dxa"/>
                  <w:vAlign w:val="center"/>
                </w:tcPr>
                <w:p>
                  <w:pPr>
                    <w:pStyle w:val="37"/>
                    <w:jc w:val="center"/>
                    <w:rPr>
                      <w:u w:val="none"/>
                    </w:rPr>
                  </w:pPr>
                  <w:r>
                    <w:rPr>
                      <w:rFonts w:hint="eastAsia"/>
                      <w:u w:val="none"/>
                    </w:rPr>
                    <w:t>供应单位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49" w:type="dxa"/>
                  <w:vAlign w:val="center"/>
                </w:tcPr>
                <w:p>
                  <w:pPr>
                    <w:pStyle w:val="37"/>
                    <w:jc w:val="center"/>
                    <w:rPr>
                      <w:u w:val="none"/>
                    </w:rPr>
                  </w:pPr>
                  <w:r>
                    <w:rPr>
                      <w:rFonts w:hint="eastAsia"/>
                      <w:u w:val="none"/>
                    </w:rPr>
                    <w:t>1</w:t>
                  </w:r>
                </w:p>
              </w:tc>
              <w:tc>
                <w:tcPr>
                  <w:tcW w:w="1569" w:type="dxa"/>
                  <w:gridSpan w:val="2"/>
                  <w:vAlign w:val="center"/>
                </w:tcPr>
                <w:p>
                  <w:pPr>
                    <w:pStyle w:val="37"/>
                    <w:jc w:val="center"/>
                    <w:rPr>
                      <w:u w:val="none"/>
                    </w:rPr>
                  </w:pPr>
                  <w:r>
                    <w:rPr>
                      <w:rFonts w:hint="eastAsia"/>
                      <w:u w:val="none"/>
                    </w:rPr>
                    <w:t>煤炭</w:t>
                  </w:r>
                </w:p>
              </w:tc>
              <w:tc>
                <w:tcPr>
                  <w:tcW w:w="1109" w:type="dxa"/>
                  <w:vAlign w:val="center"/>
                </w:tcPr>
                <w:p>
                  <w:pPr>
                    <w:pStyle w:val="37"/>
                    <w:jc w:val="center"/>
                    <w:rPr>
                      <w:u w:val="none"/>
                    </w:rPr>
                  </w:pPr>
                  <w:r>
                    <w:rPr>
                      <w:u w:val="none"/>
                    </w:rPr>
                    <w:t>t</w:t>
                  </w:r>
                  <w:r>
                    <w:rPr>
                      <w:rFonts w:hint="eastAsia"/>
                      <w:u w:val="none"/>
                    </w:rPr>
                    <w:t>/</w:t>
                  </w:r>
                  <w:r>
                    <w:rPr>
                      <w:u w:val="none"/>
                    </w:rPr>
                    <w:t>a</w:t>
                  </w:r>
                </w:p>
              </w:tc>
              <w:tc>
                <w:tcPr>
                  <w:tcW w:w="1134" w:type="dxa"/>
                  <w:vAlign w:val="center"/>
                </w:tcPr>
                <w:p>
                  <w:pPr>
                    <w:pStyle w:val="37"/>
                    <w:jc w:val="center"/>
                    <w:rPr>
                      <w:u w:val="none"/>
                    </w:rPr>
                  </w:pPr>
                  <w:r>
                    <w:rPr>
                      <w:rFonts w:hint="eastAsia"/>
                      <w:u w:val="none"/>
                    </w:rPr>
                    <w:t>20</w:t>
                  </w:r>
                  <w:r>
                    <w:rPr>
                      <w:u w:val="none"/>
                    </w:rPr>
                    <w:t>203</w:t>
                  </w:r>
                </w:p>
              </w:tc>
              <w:tc>
                <w:tcPr>
                  <w:tcW w:w="2483" w:type="dxa"/>
                  <w:vAlign w:val="center"/>
                </w:tcPr>
                <w:p>
                  <w:pPr>
                    <w:pStyle w:val="37"/>
                    <w:jc w:val="center"/>
                    <w:rPr>
                      <w:u w:val="none"/>
                    </w:rPr>
                  </w:pPr>
                  <w:r>
                    <w:rPr>
                      <w:rFonts w:hint="eastAsia"/>
                      <w:u w:val="none"/>
                    </w:rPr>
                    <w:t>黄丰桥等地的煤矿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9" w:type="dxa"/>
                  <w:vAlign w:val="center"/>
                </w:tcPr>
                <w:p>
                  <w:pPr>
                    <w:pStyle w:val="37"/>
                    <w:jc w:val="center"/>
                    <w:rPr>
                      <w:u w:val="none"/>
                    </w:rPr>
                  </w:pPr>
                  <w:r>
                    <w:rPr>
                      <w:rFonts w:hint="eastAsia"/>
                      <w:u w:val="none"/>
                    </w:rPr>
                    <w:t>2</w:t>
                  </w:r>
                </w:p>
              </w:tc>
              <w:tc>
                <w:tcPr>
                  <w:tcW w:w="1569" w:type="dxa"/>
                  <w:gridSpan w:val="2"/>
                  <w:vAlign w:val="center"/>
                </w:tcPr>
                <w:p>
                  <w:pPr>
                    <w:pStyle w:val="37"/>
                    <w:jc w:val="center"/>
                    <w:rPr>
                      <w:u w:val="none"/>
                    </w:rPr>
                  </w:pPr>
                  <w:r>
                    <w:rPr>
                      <w:rFonts w:hint="eastAsia"/>
                      <w:u w:val="none"/>
                    </w:rPr>
                    <w:t>泥巴</w:t>
                  </w:r>
                </w:p>
              </w:tc>
              <w:tc>
                <w:tcPr>
                  <w:tcW w:w="1109" w:type="dxa"/>
                  <w:vAlign w:val="center"/>
                </w:tcPr>
                <w:p>
                  <w:pPr>
                    <w:pStyle w:val="37"/>
                    <w:jc w:val="center"/>
                    <w:rPr>
                      <w:u w:val="none"/>
                    </w:rPr>
                  </w:pPr>
                  <w:r>
                    <w:rPr>
                      <w:rFonts w:hint="eastAsia"/>
                      <w:u w:val="none"/>
                    </w:rPr>
                    <w:t>t/a</w:t>
                  </w:r>
                </w:p>
              </w:tc>
              <w:tc>
                <w:tcPr>
                  <w:tcW w:w="1134" w:type="dxa"/>
                  <w:vAlign w:val="center"/>
                </w:tcPr>
                <w:p>
                  <w:pPr>
                    <w:pStyle w:val="37"/>
                    <w:jc w:val="center"/>
                    <w:rPr>
                      <w:u w:val="none"/>
                    </w:rPr>
                  </w:pPr>
                  <w:r>
                    <w:rPr>
                      <w:rFonts w:hint="eastAsia"/>
                      <w:u w:val="none"/>
                    </w:rPr>
                    <w:t>1</w:t>
                  </w:r>
                  <w:r>
                    <w:rPr>
                      <w:u w:val="none"/>
                    </w:rPr>
                    <w:t>000</w:t>
                  </w:r>
                </w:p>
              </w:tc>
              <w:tc>
                <w:tcPr>
                  <w:tcW w:w="2483" w:type="dxa"/>
                  <w:vAlign w:val="center"/>
                </w:tcPr>
                <w:p>
                  <w:pPr>
                    <w:pStyle w:val="37"/>
                    <w:jc w:val="center"/>
                    <w:rPr>
                      <w:u w:val="none"/>
                    </w:rPr>
                  </w:pPr>
                  <w:r>
                    <w:rPr>
                      <w:rFonts w:hint="eastAsia"/>
                      <w:u w:val="none"/>
                    </w:rPr>
                    <w:t>外购，来源于当地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9" w:type="dxa"/>
                  <w:gridSpan w:val="2"/>
                  <w:vAlign w:val="center"/>
                </w:tcPr>
                <w:p>
                  <w:pPr>
                    <w:pStyle w:val="37"/>
                    <w:jc w:val="center"/>
                    <w:rPr>
                      <w:u w:val="none"/>
                    </w:rPr>
                  </w:pPr>
                  <w:r>
                    <w:rPr>
                      <w:rFonts w:hint="eastAsia"/>
                      <w:u w:val="none"/>
                    </w:rPr>
                    <w:t>2</w:t>
                  </w:r>
                </w:p>
              </w:tc>
              <w:tc>
                <w:tcPr>
                  <w:tcW w:w="1559" w:type="dxa"/>
                  <w:vAlign w:val="center"/>
                </w:tcPr>
                <w:p>
                  <w:pPr>
                    <w:pStyle w:val="37"/>
                    <w:jc w:val="center"/>
                    <w:rPr>
                      <w:u w:val="none"/>
                    </w:rPr>
                  </w:pPr>
                  <w:r>
                    <w:rPr>
                      <w:rFonts w:hint="eastAsia"/>
                      <w:u w:val="none"/>
                    </w:rPr>
                    <w:t>电力</w:t>
                  </w:r>
                </w:p>
              </w:tc>
              <w:tc>
                <w:tcPr>
                  <w:tcW w:w="1109" w:type="dxa"/>
                  <w:vAlign w:val="center"/>
                </w:tcPr>
                <w:p>
                  <w:pPr>
                    <w:pStyle w:val="37"/>
                    <w:jc w:val="center"/>
                    <w:rPr>
                      <w:u w:val="none"/>
                    </w:rPr>
                  </w:pPr>
                  <w:r>
                    <w:rPr>
                      <w:rFonts w:hint="eastAsia"/>
                      <w:u w:val="none"/>
                    </w:rPr>
                    <w:t>万k</w:t>
                  </w:r>
                  <w:r>
                    <w:rPr>
                      <w:u w:val="none"/>
                    </w:rPr>
                    <w:t>W</w:t>
                  </w:r>
                  <w:r>
                    <w:rPr>
                      <w:rFonts w:hint="eastAsia"/>
                      <w:u w:val="none"/>
                    </w:rPr>
                    <w:t>h</w:t>
                  </w:r>
                  <w:r>
                    <w:rPr>
                      <w:u w:val="none"/>
                    </w:rPr>
                    <w:t>/</w:t>
                  </w:r>
                  <w:r>
                    <w:rPr>
                      <w:rFonts w:hint="eastAsia"/>
                      <w:u w:val="none"/>
                    </w:rPr>
                    <w:t>a</w:t>
                  </w:r>
                </w:p>
              </w:tc>
              <w:tc>
                <w:tcPr>
                  <w:tcW w:w="1134" w:type="dxa"/>
                  <w:vAlign w:val="center"/>
                </w:tcPr>
                <w:p>
                  <w:pPr>
                    <w:pStyle w:val="37"/>
                    <w:jc w:val="center"/>
                    <w:rPr>
                      <w:u w:val="none"/>
                    </w:rPr>
                  </w:pPr>
                  <w:r>
                    <w:rPr>
                      <w:u w:val="none"/>
                    </w:rPr>
                    <w:t>20</w:t>
                  </w:r>
                </w:p>
              </w:tc>
              <w:tc>
                <w:tcPr>
                  <w:tcW w:w="2483" w:type="dxa"/>
                  <w:vAlign w:val="center"/>
                </w:tcPr>
                <w:p>
                  <w:pPr>
                    <w:pStyle w:val="37"/>
                    <w:jc w:val="center"/>
                    <w:rPr>
                      <w:u w:val="none"/>
                    </w:rPr>
                  </w:pPr>
                  <w:r>
                    <w:rPr>
                      <w:rFonts w:hint="eastAsia"/>
                      <w:u w:val="none"/>
                    </w:rPr>
                    <w:t>国家电网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59" w:type="dxa"/>
                  <w:gridSpan w:val="2"/>
                  <w:vAlign w:val="center"/>
                </w:tcPr>
                <w:p>
                  <w:pPr>
                    <w:pStyle w:val="37"/>
                    <w:jc w:val="center"/>
                    <w:rPr>
                      <w:u w:val="none"/>
                    </w:rPr>
                  </w:pPr>
                  <w:r>
                    <w:rPr>
                      <w:rFonts w:hint="eastAsia"/>
                      <w:u w:val="none"/>
                    </w:rPr>
                    <w:t>3</w:t>
                  </w:r>
                </w:p>
              </w:tc>
              <w:tc>
                <w:tcPr>
                  <w:tcW w:w="1559" w:type="dxa"/>
                  <w:vAlign w:val="center"/>
                </w:tcPr>
                <w:p>
                  <w:pPr>
                    <w:pStyle w:val="37"/>
                    <w:jc w:val="center"/>
                    <w:rPr>
                      <w:u w:val="none"/>
                    </w:rPr>
                  </w:pPr>
                  <w:r>
                    <w:rPr>
                      <w:rFonts w:hint="eastAsia"/>
                      <w:u w:val="none"/>
                    </w:rPr>
                    <w:t>水</w:t>
                  </w:r>
                </w:p>
              </w:tc>
              <w:tc>
                <w:tcPr>
                  <w:tcW w:w="1109" w:type="dxa"/>
                  <w:vAlign w:val="center"/>
                </w:tcPr>
                <w:p>
                  <w:pPr>
                    <w:pStyle w:val="37"/>
                    <w:jc w:val="center"/>
                    <w:rPr>
                      <w:u w:val="none"/>
                    </w:rPr>
                  </w:pPr>
                  <w:r>
                    <w:rPr>
                      <w:rFonts w:hint="eastAsia"/>
                      <w:u w:val="none"/>
                    </w:rPr>
                    <w:t>t/a</w:t>
                  </w:r>
                </w:p>
              </w:tc>
              <w:tc>
                <w:tcPr>
                  <w:tcW w:w="1134" w:type="dxa"/>
                  <w:vAlign w:val="center"/>
                </w:tcPr>
                <w:p>
                  <w:pPr>
                    <w:pStyle w:val="37"/>
                    <w:jc w:val="center"/>
                    <w:rPr>
                      <w:u w:val="none"/>
                    </w:rPr>
                  </w:pPr>
                  <w:r>
                    <w:rPr>
                      <w:u w:val="none"/>
                    </w:rPr>
                    <w:t>10656</w:t>
                  </w:r>
                </w:p>
              </w:tc>
              <w:tc>
                <w:tcPr>
                  <w:tcW w:w="2483" w:type="dxa"/>
                  <w:vAlign w:val="center"/>
                </w:tcPr>
                <w:p>
                  <w:pPr>
                    <w:pStyle w:val="37"/>
                    <w:jc w:val="center"/>
                    <w:rPr>
                      <w:u w:val="none"/>
                    </w:rPr>
                  </w:pPr>
                  <w:r>
                    <w:rPr>
                      <w:rFonts w:hint="eastAsia"/>
                      <w:u w:val="none"/>
                    </w:rPr>
                    <w:t>宁家坪镇自来水厂供水</w:t>
                  </w:r>
                </w:p>
              </w:tc>
            </w:tr>
          </w:tbl>
          <w:p>
            <w:pPr>
              <w:pStyle w:val="4"/>
            </w:pPr>
            <w:bookmarkStart w:id="43" w:name="_Toc106531331"/>
            <w:bookmarkStart w:id="44" w:name="_Toc107343566"/>
            <w:bookmarkStart w:id="45" w:name="_Toc116339910"/>
            <w:bookmarkStart w:id="46" w:name="_Toc107409301"/>
            <w:bookmarkStart w:id="47" w:name="_Toc107415655"/>
            <w:bookmarkStart w:id="48" w:name="_Toc107343380"/>
            <w:r>
              <w:rPr>
                <w:rFonts w:hint="eastAsia"/>
              </w:rPr>
              <w:t>6、劳动定员及工作制度</w:t>
            </w:r>
            <w:bookmarkEnd w:id="43"/>
            <w:bookmarkEnd w:id="44"/>
            <w:bookmarkEnd w:id="45"/>
            <w:bookmarkEnd w:id="46"/>
            <w:bookmarkEnd w:id="47"/>
            <w:bookmarkEnd w:id="48"/>
          </w:p>
          <w:p>
            <w:pPr>
              <w:ind w:firstLine="480"/>
            </w:pPr>
            <w:r>
              <w:rPr>
                <w:rFonts w:hint="eastAsia"/>
              </w:rPr>
              <w:t>职工人数：项目预计员工1</w:t>
            </w:r>
            <w:r>
              <w:t>0</w:t>
            </w:r>
            <w:r>
              <w:rPr>
                <w:rFonts w:hint="eastAsia"/>
              </w:rPr>
              <w:t>人</w:t>
            </w:r>
          </w:p>
          <w:p>
            <w:pPr>
              <w:ind w:firstLine="480"/>
            </w:pPr>
            <w:r>
              <w:rPr>
                <w:rFonts w:hint="eastAsia"/>
              </w:rPr>
              <w:t>工作制度：年生产3</w:t>
            </w:r>
            <w:r>
              <w:t>00</w:t>
            </w:r>
            <w:r>
              <w:rPr>
                <w:rFonts w:hint="eastAsia"/>
              </w:rPr>
              <w:t>d，每班8h，1班制。</w:t>
            </w:r>
          </w:p>
          <w:p>
            <w:pPr>
              <w:pStyle w:val="4"/>
            </w:pPr>
            <w:bookmarkStart w:id="49" w:name="_Toc107415656"/>
            <w:bookmarkStart w:id="50" w:name="_Toc107409302"/>
            <w:bookmarkStart w:id="51" w:name="_Toc116339911"/>
            <w:bookmarkStart w:id="52" w:name="_Toc106531332"/>
            <w:bookmarkStart w:id="53" w:name="_Toc107343381"/>
            <w:bookmarkStart w:id="54" w:name="_Toc107343567"/>
            <w:r>
              <w:rPr>
                <w:rFonts w:hint="eastAsia"/>
              </w:rPr>
              <w:t>7、</w:t>
            </w:r>
            <w:r>
              <w:t>公用工程</w:t>
            </w:r>
            <w:bookmarkEnd w:id="49"/>
            <w:bookmarkEnd w:id="50"/>
            <w:bookmarkEnd w:id="51"/>
            <w:bookmarkEnd w:id="52"/>
            <w:bookmarkEnd w:id="53"/>
            <w:bookmarkEnd w:id="54"/>
          </w:p>
          <w:p>
            <w:pPr>
              <w:ind w:firstLine="480"/>
            </w:pPr>
            <w:r>
              <w:rPr>
                <w:rFonts w:hint="eastAsia"/>
              </w:rPr>
              <w:t>（1）</w:t>
            </w:r>
            <w:r>
              <w:t>给水</w:t>
            </w:r>
          </w:p>
          <w:p>
            <w:pPr>
              <w:ind w:firstLine="480"/>
            </w:pPr>
            <w:r>
              <w:rPr>
                <w:rFonts w:hint="eastAsia"/>
              </w:rPr>
              <w:t>项目总用水量为</w:t>
            </w:r>
            <w:bookmarkStart w:id="55" w:name="_Hlk106568048"/>
            <w:r>
              <w:t>35.52</w:t>
            </w:r>
            <w:r>
              <w:rPr>
                <w:rFonts w:hint="eastAsia"/>
              </w:rPr>
              <w:t>m</w:t>
            </w:r>
            <w:r>
              <w:rPr>
                <w:vertAlign w:val="superscript"/>
              </w:rPr>
              <w:t>3</w:t>
            </w:r>
            <w:r>
              <w:t>/d</w:t>
            </w:r>
            <w:r>
              <w:rPr>
                <w:rFonts w:hint="eastAsia"/>
              </w:rPr>
              <w:t>，</w:t>
            </w:r>
            <w:r>
              <w:t>10656</w:t>
            </w:r>
            <w:r>
              <w:rPr>
                <w:rFonts w:hint="eastAsia"/>
              </w:rPr>
              <w:t>m</w:t>
            </w:r>
            <w:r>
              <w:rPr>
                <w:vertAlign w:val="superscript"/>
              </w:rPr>
              <w:t>3</w:t>
            </w:r>
            <w:r>
              <w:t>/a</w:t>
            </w:r>
            <w:bookmarkEnd w:id="55"/>
            <w:r>
              <w:rPr>
                <w:rFonts w:hint="eastAsia"/>
              </w:rPr>
              <w:t>，由宁家坪镇自来水厂供水。</w:t>
            </w:r>
          </w:p>
          <w:p>
            <w:pPr>
              <w:ind w:firstLine="480"/>
            </w:pPr>
            <w:r>
              <w:rPr>
                <w:rFonts w:hint="eastAsia"/>
              </w:rPr>
              <w:t>1）</w:t>
            </w:r>
            <w:bookmarkStart w:id="56" w:name="_Hlk106568059"/>
            <w:r>
              <w:rPr>
                <w:rFonts w:hint="eastAsia"/>
              </w:rPr>
              <w:t>生活用水</w:t>
            </w:r>
            <w:bookmarkEnd w:id="56"/>
          </w:p>
          <w:p>
            <w:pPr>
              <w:ind w:firstLine="480"/>
            </w:pPr>
            <w:r>
              <w:rPr>
                <w:rFonts w:hint="eastAsia"/>
              </w:rPr>
              <w:t>项目劳动定员</w:t>
            </w:r>
            <w:r>
              <w:t>10</w:t>
            </w:r>
            <w:r>
              <w:rPr>
                <w:rFonts w:hint="eastAsia"/>
              </w:rPr>
              <w:t>人，均不在厂区内食宿，参照《湖南省用水定额》（DB</w:t>
            </w:r>
            <w:r>
              <w:t>43/</w:t>
            </w:r>
            <w:r>
              <w:rPr>
                <w:rFonts w:hint="eastAsia"/>
              </w:rPr>
              <w:t>T</w:t>
            </w:r>
            <w:r>
              <w:t>388</w:t>
            </w:r>
            <w:r>
              <w:rPr>
                <w:rFonts w:hint="eastAsia"/>
              </w:rPr>
              <w:t>-</w:t>
            </w:r>
            <w:r>
              <w:t>2020</w:t>
            </w:r>
            <w:r>
              <w:rPr>
                <w:rFonts w:hint="eastAsia"/>
              </w:rPr>
              <w:t>），用水量取</w:t>
            </w:r>
            <w:r>
              <w:t>80</w:t>
            </w:r>
            <w:r>
              <w:rPr>
                <w:rFonts w:hint="eastAsia"/>
              </w:rPr>
              <w:t>L</w:t>
            </w:r>
            <w:r>
              <w:t>/</w:t>
            </w:r>
            <w:r>
              <w:rPr>
                <w:rFonts w:hint="eastAsia"/>
              </w:rPr>
              <w:t>人·d，则项目生活用水量约为</w:t>
            </w:r>
            <w:bookmarkStart w:id="57" w:name="_Hlk106568065"/>
            <w:r>
              <w:rPr>
                <w:rFonts w:hint="eastAsia"/>
              </w:rPr>
              <w:t>0</w:t>
            </w:r>
            <w:r>
              <w:t>.8</w:t>
            </w:r>
            <w:r>
              <w:rPr>
                <w:rFonts w:hint="eastAsia"/>
              </w:rPr>
              <w:t>m</w:t>
            </w:r>
            <w:r>
              <w:rPr>
                <w:vertAlign w:val="superscript"/>
              </w:rPr>
              <w:t>3</w:t>
            </w:r>
            <w:r>
              <w:t>/d</w:t>
            </w:r>
            <w:r>
              <w:rPr>
                <w:rFonts w:hint="eastAsia"/>
              </w:rPr>
              <w:t>，2</w:t>
            </w:r>
            <w:r>
              <w:t>40</w:t>
            </w:r>
            <w:r>
              <w:rPr>
                <w:rFonts w:hint="eastAsia"/>
              </w:rPr>
              <w:t>m</w:t>
            </w:r>
            <w:r>
              <w:rPr>
                <w:vertAlign w:val="superscript"/>
              </w:rPr>
              <w:t>3</w:t>
            </w:r>
            <w:r>
              <w:t>/a</w:t>
            </w:r>
            <w:bookmarkEnd w:id="57"/>
            <w:r>
              <w:rPr>
                <w:rFonts w:hint="eastAsia"/>
              </w:rPr>
              <w:t>。</w:t>
            </w:r>
          </w:p>
          <w:p>
            <w:pPr>
              <w:ind w:firstLine="480"/>
            </w:pPr>
            <w:r>
              <w:rPr>
                <w:rFonts w:hint="eastAsia"/>
              </w:rPr>
              <w:t>2）蜂窝煤生产用水</w:t>
            </w:r>
          </w:p>
          <w:p>
            <w:pPr>
              <w:ind w:firstLine="480"/>
              <w:rPr>
                <w:u w:val="single"/>
              </w:rPr>
            </w:pPr>
            <w:r>
              <w:rPr>
                <w:rFonts w:hint="eastAsia"/>
                <w:u w:val="single"/>
              </w:rPr>
              <w:t>根据业主提供资料，本项目煤、泥、水的添加比例约为8</w:t>
            </w:r>
            <w:r>
              <w:rPr>
                <w:u w:val="single"/>
              </w:rPr>
              <w:t>.5</w:t>
            </w:r>
            <w:r>
              <w:rPr>
                <w:rFonts w:hint="eastAsia"/>
                <w:u w:val="single"/>
              </w:rPr>
              <w:t>:</w:t>
            </w:r>
            <w:r>
              <w:rPr>
                <w:u w:val="single"/>
              </w:rPr>
              <w:t>1</w:t>
            </w:r>
            <w:r>
              <w:rPr>
                <w:rFonts w:hint="eastAsia"/>
                <w:u w:val="single"/>
              </w:rPr>
              <w:t>:</w:t>
            </w:r>
            <w:r>
              <w:rPr>
                <w:u w:val="single"/>
              </w:rPr>
              <w:t>0.5</w:t>
            </w:r>
            <w:r>
              <w:rPr>
                <w:rFonts w:hint="eastAsia"/>
                <w:u w:val="single"/>
              </w:rPr>
              <w:t>，则生产蜂窝煤用水量为</w:t>
            </w:r>
            <w:bookmarkStart w:id="58" w:name="_Hlk116156952"/>
            <w:r>
              <w:rPr>
                <w:rFonts w:hint="eastAsia"/>
                <w:u w:val="single"/>
              </w:rPr>
              <w:t>1</w:t>
            </w:r>
            <w:r>
              <w:rPr>
                <w:u w:val="single"/>
              </w:rPr>
              <w:t>.67</w:t>
            </w:r>
            <w:r>
              <w:rPr>
                <w:rFonts w:hint="eastAsia"/>
                <w:u w:val="single"/>
              </w:rPr>
              <w:t>m</w:t>
            </w:r>
            <w:r>
              <w:rPr>
                <w:u w:val="single"/>
                <w:vertAlign w:val="superscript"/>
              </w:rPr>
              <w:t>3</w:t>
            </w:r>
            <w:r>
              <w:rPr>
                <w:u w:val="single"/>
              </w:rPr>
              <w:t>/d</w:t>
            </w:r>
            <w:r>
              <w:rPr>
                <w:rFonts w:hint="eastAsia"/>
                <w:u w:val="single"/>
              </w:rPr>
              <w:t>，（5</w:t>
            </w:r>
            <w:r>
              <w:rPr>
                <w:u w:val="single"/>
              </w:rPr>
              <w:t>00</w:t>
            </w:r>
            <w:r>
              <w:rPr>
                <w:rFonts w:hint="eastAsia"/>
                <w:u w:val="single"/>
              </w:rPr>
              <w:t>m</w:t>
            </w:r>
            <w:r>
              <w:rPr>
                <w:u w:val="single"/>
                <w:vertAlign w:val="superscript"/>
              </w:rPr>
              <w:t>3</w:t>
            </w:r>
            <w:r>
              <w:rPr>
                <w:u w:val="single"/>
              </w:rPr>
              <w:t>/a</w:t>
            </w:r>
            <w:r>
              <w:rPr>
                <w:rFonts w:hint="eastAsia"/>
                <w:u w:val="single"/>
              </w:rPr>
              <w:t>）</w:t>
            </w:r>
            <w:bookmarkEnd w:id="58"/>
            <w:r>
              <w:rPr>
                <w:rFonts w:hint="eastAsia"/>
                <w:u w:val="single"/>
              </w:rPr>
              <w:t>，大部分进入产品，部分蒸发,无生产废水产生。</w:t>
            </w:r>
          </w:p>
          <w:p>
            <w:pPr>
              <w:ind w:firstLine="480"/>
            </w:pPr>
            <w:r>
              <w:rPr>
                <w:rFonts w:hint="eastAsia"/>
              </w:rPr>
              <w:t>3）湿法除尘用水</w:t>
            </w:r>
          </w:p>
          <w:p>
            <w:pPr>
              <w:ind w:firstLine="480"/>
              <w:rPr>
                <w:u w:val="single"/>
              </w:rPr>
            </w:pPr>
            <w:r>
              <w:rPr>
                <w:rFonts w:hint="eastAsia"/>
                <w:u w:val="single"/>
              </w:rPr>
              <w:t>项目在筛分和破碎工段均设置集气罩，将废气进行收集，</w:t>
            </w:r>
            <w:bookmarkStart w:id="59" w:name="_Hlk107343830"/>
            <w:r>
              <w:rPr>
                <w:rFonts w:hint="eastAsia"/>
                <w:u w:val="single"/>
              </w:rPr>
              <w:t>收集后通入循环除尘水处，集气罩收集风量为</w:t>
            </w:r>
            <w:r>
              <w:rPr>
                <w:u w:val="single"/>
              </w:rPr>
              <w:t>8000</w:t>
            </w:r>
            <w:r>
              <w:rPr>
                <w:rFonts w:hint="eastAsia"/>
                <w:u w:val="single"/>
              </w:rPr>
              <w:t>m</w:t>
            </w:r>
            <w:r>
              <w:rPr>
                <w:u w:val="single"/>
                <w:vertAlign w:val="superscript"/>
              </w:rPr>
              <w:t>3</w:t>
            </w:r>
            <w:r>
              <w:rPr>
                <w:u w:val="single"/>
              </w:rPr>
              <w:t>/h</w:t>
            </w:r>
            <w:bookmarkEnd w:id="59"/>
            <w:r>
              <w:rPr>
                <w:rFonts w:hint="eastAsia"/>
                <w:u w:val="single"/>
              </w:rPr>
              <w:t>，湿法除尘用水量约为1~</w:t>
            </w:r>
            <w:r>
              <w:rPr>
                <w:u w:val="single"/>
              </w:rPr>
              <w:t>3</w:t>
            </w:r>
            <w:r>
              <w:rPr>
                <w:rFonts w:hint="eastAsia"/>
                <w:u w:val="single"/>
              </w:rPr>
              <w:t>L</w:t>
            </w:r>
            <w:r>
              <w:rPr>
                <w:u w:val="single"/>
              </w:rPr>
              <w:t>/</w:t>
            </w:r>
            <w:r>
              <w:rPr>
                <w:rFonts w:hint="eastAsia"/>
                <w:u w:val="single"/>
              </w:rPr>
              <w:t>m</w:t>
            </w:r>
            <w:r>
              <w:rPr>
                <w:u w:val="single"/>
                <w:vertAlign w:val="superscript"/>
              </w:rPr>
              <w:t>3</w:t>
            </w:r>
            <w:r>
              <w:rPr>
                <w:rFonts w:hint="eastAsia"/>
                <w:u w:val="single"/>
              </w:rPr>
              <w:t>废气，本次环评1L</w:t>
            </w:r>
            <w:r>
              <w:rPr>
                <w:u w:val="single"/>
              </w:rPr>
              <w:t>/</w:t>
            </w:r>
            <w:r>
              <w:rPr>
                <w:rFonts w:hint="eastAsia"/>
                <w:u w:val="single"/>
              </w:rPr>
              <w:t>m</w:t>
            </w:r>
            <w:r>
              <w:rPr>
                <w:u w:val="single"/>
                <w:vertAlign w:val="superscript"/>
              </w:rPr>
              <w:t>3</w:t>
            </w:r>
            <w:r>
              <w:rPr>
                <w:rFonts w:hint="eastAsia"/>
                <w:u w:val="single"/>
              </w:rPr>
              <w:t>废气进行计算，则总用水量约为</w:t>
            </w:r>
            <w:r>
              <w:rPr>
                <w:u w:val="single"/>
              </w:rPr>
              <w:t>8</w:t>
            </w:r>
            <w:r>
              <w:rPr>
                <w:rFonts w:hint="eastAsia"/>
                <w:u w:val="single"/>
              </w:rPr>
              <w:t>m</w:t>
            </w:r>
            <w:r>
              <w:rPr>
                <w:u w:val="single"/>
                <w:vertAlign w:val="superscript"/>
              </w:rPr>
              <w:t>3</w:t>
            </w:r>
            <w:r>
              <w:rPr>
                <w:u w:val="single"/>
              </w:rPr>
              <w:t>/h</w:t>
            </w:r>
            <w:r>
              <w:rPr>
                <w:rFonts w:hint="eastAsia"/>
                <w:u w:val="single"/>
              </w:rPr>
              <w:t>，湿法除尘废水通过沉淀池沉淀后循环使用，因此仅需补充损耗水即可，水损耗量按2</w:t>
            </w:r>
            <w:r>
              <w:rPr>
                <w:u w:val="single"/>
              </w:rPr>
              <w:t>0</w:t>
            </w:r>
            <w:r>
              <w:rPr>
                <w:rFonts w:hint="eastAsia"/>
                <w:u w:val="single"/>
              </w:rPr>
              <w:t>%进行计算，则需要补充水量约为</w:t>
            </w:r>
            <w:r>
              <w:rPr>
                <w:u w:val="single"/>
              </w:rPr>
              <w:t>1.6</w:t>
            </w:r>
            <w:r>
              <w:rPr>
                <w:rFonts w:hint="eastAsia"/>
                <w:u w:val="single"/>
              </w:rPr>
              <w:t>m</w:t>
            </w:r>
            <w:r>
              <w:rPr>
                <w:u w:val="single"/>
                <w:vertAlign w:val="superscript"/>
              </w:rPr>
              <w:t>3</w:t>
            </w:r>
            <w:r>
              <w:rPr>
                <w:u w:val="single"/>
              </w:rPr>
              <w:t>/h</w:t>
            </w:r>
            <w:r>
              <w:rPr>
                <w:rFonts w:hint="eastAsia"/>
                <w:u w:val="single"/>
              </w:rPr>
              <w:t>，1</w:t>
            </w:r>
            <w:r>
              <w:rPr>
                <w:u w:val="single"/>
              </w:rPr>
              <w:t>2.8</w:t>
            </w:r>
            <w:r>
              <w:rPr>
                <w:rFonts w:hint="eastAsia"/>
                <w:u w:val="single"/>
              </w:rPr>
              <w:t>m</w:t>
            </w:r>
            <w:r>
              <w:rPr>
                <w:u w:val="single"/>
                <w:vertAlign w:val="superscript"/>
              </w:rPr>
              <w:t>3</w:t>
            </w:r>
            <w:r>
              <w:rPr>
                <w:u w:val="single"/>
              </w:rPr>
              <w:t>/d</w:t>
            </w:r>
            <w:r>
              <w:rPr>
                <w:rFonts w:hint="eastAsia"/>
                <w:u w:val="single"/>
              </w:rPr>
              <w:t>，3</w:t>
            </w:r>
            <w:r>
              <w:rPr>
                <w:u w:val="single"/>
              </w:rPr>
              <w:t>840</w:t>
            </w:r>
            <w:r>
              <w:rPr>
                <w:rFonts w:hint="eastAsia"/>
                <w:u w:val="single"/>
              </w:rPr>
              <w:t>m</w:t>
            </w:r>
            <w:r>
              <w:rPr>
                <w:u w:val="single"/>
                <w:vertAlign w:val="superscript"/>
              </w:rPr>
              <w:t>3</w:t>
            </w:r>
            <w:r>
              <w:rPr>
                <w:u w:val="single"/>
              </w:rPr>
              <w:t>/a</w:t>
            </w:r>
            <w:r>
              <w:rPr>
                <w:rFonts w:hint="eastAsia"/>
                <w:u w:val="single"/>
              </w:rPr>
              <w:t>。</w:t>
            </w:r>
          </w:p>
          <w:p>
            <w:pPr>
              <w:ind w:firstLine="480"/>
              <w:rPr>
                <w:u w:val="single"/>
              </w:rPr>
            </w:pPr>
            <w:r>
              <w:rPr>
                <w:u w:val="single"/>
              </w:rPr>
              <w:t>4</w:t>
            </w:r>
            <w:r>
              <w:rPr>
                <w:rFonts w:hint="eastAsia"/>
                <w:u w:val="single"/>
              </w:rPr>
              <w:t>）原料堆场降尘用水</w:t>
            </w:r>
          </w:p>
          <w:p>
            <w:pPr>
              <w:ind w:firstLine="480"/>
              <w:rPr>
                <w:u w:val="single"/>
              </w:rPr>
            </w:pPr>
            <w:r>
              <w:rPr>
                <w:rFonts w:hint="eastAsia"/>
                <w:u w:val="single"/>
              </w:rPr>
              <w:t>项目原料堆场占地面积约为2</w:t>
            </w:r>
            <w:r>
              <w:rPr>
                <w:u w:val="single"/>
              </w:rPr>
              <w:t>00</w:t>
            </w:r>
            <w:r>
              <w:rPr>
                <w:rFonts w:hint="eastAsia"/>
                <w:u w:val="single"/>
              </w:rPr>
              <w:t>m</w:t>
            </w:r>
            <w:r>
              <w:rPr>
                <w:u w:val="single"/>
                <w:vertAlign w:val="superscript"/>
              </w:rPr>
              <w:t>2</w:t>
            </w:r>
            <w:r>
              <w:rPr>
                <w:rFonts w:hint="eastAsia"/>
                <w:u w:val="single"/>
              </w:rPr>
              <w:t>，采用喷雾装置进行洒水降尘，在厂房顶部设置2条雾化喷淋装置，长度为5</w:t>
            </w:r>
            <w:r>
              <w:rPr>
                <w:u w:val="single"/>
              </w:rPr>
              <w:t>0</w:t>
            </w:r>
            <w:r>
              <w:rPr>
                <w:rFonts w:hint="eastAsia"/>
                <w:u w:val="single"/>
              </w:rPr>
              <w:t>m，每隔5m设置一个喷淋头（单个喷淋头喷淋水量为3</w:t>
            </w:r>
            <w:r>
              <w:rPr>
                <w:u w:val="single"/>
              </w:rPr>
              <w:t>0L</w:t>
            </w:r>
            <w:r>
              <w:rPr>
                <w:rFonts w:hint="eastAsia"/>
                <w:u w:val="single"/>
              </w:rPr>
              <w:t>/h，喷淋压力为0</w:t>
            </w:r>
            <w:r>
              <w:rPr>
                <w:u w:val="single"/>
              </w:rPr>
              <w:t>.1M</w:t>
            </w:r>
            <w:r>
              <w:rPr>
                <w:rFonts w:hint="eastAsia"/>
                <w:u w:val="single"/>
              </w:rPr>
              <w:t>pa），每条线设1</w:t>
            </w:r>
            <w:r>
              <w:rPr>
                <w:u w:val="single"/>
              </w:rPr>
              <w:t>0</w:t>
            </w:r>
            <w:r>
              <w:rPr>
                <w:rFonts w:hint="eastAsia"/>
                <w:u w:val="single"/>
              </w:rPr>
              <w:t>个，设计用水量为</w:t>
            </w:r>
            <w:r>
              <w:rPr>
                <w:u w:val="single"/>
              </w:rPr>
              <w:t>4.8</w:t>
            </w:r>
            <w:r>
              <w:rPr>
                <w:rFonts w:hint="eastAsia"/>
                <w:u w:val="single"/>
              </w:rPr>
              <w:t>m</w:t>
            </w:r>
            <w:r>
              <w:rPr>
                <w:u w:val="single"/>
                <w:vertAlign w:val="superscript"/>
              </w:rPr>
              <w:t>3</w:t>
            </w:r>
            <w:r>
              <w:rPr>
                <w:u w:val="single"/>
              </w:rPr>
              <w:t>/d</w:t>
            </w:r>
            <w:r>
              <w:rPr>
                <w:rFonts w:hint="eastAsia"/>
                <w:u w:val="single"/>
              </w:rPr>
              <w:t>，1</w:t>
            </w:r>
            <w:r>
              <w:rPr>
                <w:u w:val="single"/>
              </w:rPr>
              <w:t>440</w:t>
            </w:r>
            <w:r>
              <w:rPr>
                <w:rFonts w:hint="eastAsia"/>
                <w:u w:val="single"/>
              </w:rPr>
              <w:t>m</w:t>
            </w:r>
            <w:r>
              <w:rPr>
                <w:u w:val="single"/>
                <w:vertAlign w:val="superscript"/>
              </w:rPr>
              <w:t>3</w:t>
            </w:r>
            <w:r>
              <w:rPr>
                <w:u w:val="single"/>
              </w:rPr>
              <w:t>/a</w:t>
            </w:r>
            <w:r>
              <w:rPr>
                <w:rFonts w:hint="eastAsia"/>
                <w:u w:val="single"/>
              </w:rPr>
              <w:t>，这部分水全部蒸发或进入产品，无废水外排。</w:t>
            </w:r>
          </w:p>
          <w:p>
            <w:pPr>
              <w:ind w:firstLine="480"/>
              <w:rPr>
                <w:u w:val="single"/>
              </w:rPr>
            </w:pPr>
            <w:r>
              <w:rPr>
                <w:u w:val="single"/>
              </w:rPr>
              <w:t>5</w:t>
            </w:r>
            <w:r>
              <w:rPr>
                <w:rFonts w:hint="eastAsia"/>
                <w:u w:val="single"/>
              </w:rPr>
              <w:t>）生产线降尘用水</w:t>
            </w:r>
          </w:p>
          <w:p>
            <w:pPr>
              <w:ind w:firstLine="480"/>
              <w:rPr>
                <w:u w:val="single"/>
              </w:rPr>
            </w:pPr>
            <w:r>
              <w:rPr>
                <w:rFonts w:hint="eastAsia"/>
                <w:u w:val="single"/>
              </w:rPr>
              <w:t>为降低颗粒物排放量，项目在破碎、筛分、输送过程中均设置喷雾器向生产线进行喷雾降尘，在厂房顶部设置2条雾化喷淋装置，长度为1</w:t>
            </w:r>
            <w:r>
              <w:rPr>
                <w:u w:val="single"/>
              </w:rPr>
              <w:t>00</w:t>
            </w:r>
            <w:r>
              <w:rPr>
                <w:rFonts w:hint="eastAsia"/>
                <w:u w:val="single"/>
              </w:rPr>
              <w:t>m，每隔5m设置一个喷淋头（单个喷淋头喷淋水量为3</w:t>
            </w:r>
            <w:r>
              <w:rPr>
                <w:u w:val="single"/>
              </w:rPr>
              <w:t>0L</w:t>
            </w:r>
            <w:r>
              <w:rPr>
                <w:rFonts w:hint="eastAsia"/>
                <w:u w:val="single"/>
              </w:rPr>
              <w:t>/h，喷淋压力为0</w:t>
            </w:r>
            <w:r>
              <w:rPr>
                <w:u w:val="single"/>
              </w:rPr>
              <w:t>.1M</w:t>
            </w:r>
            <w:r>
              <w:rPr>
                <w:rFonts w:hint="eastAsia"/>
                <w:u w:val="single"/>
              </w:rPr>
              <w:t>pa），每条线设2</w:t>
            </w:r>
            <w:r>
              <w:rPr>
                <w:u w:val="single"/>
              </w:rPr>
              <w:t>0</w:t>
            </w:r>
            <w:r>
              <w:rPr>
                <w:rFonts w:hint="eastAsia"/>
                <w:u w:val="single"/>
              </w:rPr>
              <w:t>个，设计用水量为</w:t>
            </w:r>
            <w:r>
              <w:rPr>
                <w:u w:val="single"/>
              </w:rPr>
              <w:t>9.6</w:t>
            </w:r>
            <w:r>
              <w:rPr>
                <w:rFonts w:hint="eastAsia"/>
                <w:u w:val="single"/>
              </w:rPr>
              <w:t>m</w:t>
            </w:r>
            <w:r>
              <w:rPr>
                <w:u w:val="single"/>
                <w:vertAlign w:val="superscript"/>
              </w:rPr>
              <w:t>3</w:t>
            </w:r>
            <w:r>
              <w:rPr>
                <w:u w:val="single"/>
              </w:rPr>
              <w:t>/d</w:t>
            </w:r>
            <w:r>
              <w:rPr>
                <w:rFonts w:hint="eastAsia"/>
                <w:u w:val="single"/>
              </w:rPr>
              <w:t>，</w:t>
            </w:r>
            <w:r>
              <w:rPr>
                <w:u w:val="single"/>
              </w:rPr>
              <w:t>2880</w:t>
            </w:r>
            <w:r>
              <w:rPr>
                <w:rFonts w:hint="eastAsia"/>
                <w:u w:val="single"/>
              </w:rPr>
              <w:t>m</w:t>
            </w:r>
            <w:r>
              <w:rPr>
                <w:u w:val="single"/>
                <w:vertAlign w:val="superscript"/>
              </w:rPr>
              <w:t>3</w:t>
            </w:r>
            <w:r>
              <w:rPr>
                <w:u w:val="single"/>
              </w:rPr>
              <w:t>/a</w:t>
            </w:r>
            <w:r>
              <w:rPr>
                <w:rFonts w:hint="eastAsia"/>
                <w:u w:val="single"/>
              </w:rPr>
              <w:t>，这部分水全部蒸发或进入产品，无废水外排。</w:t>
            </w:r>
          </w:p>
          <w:p>
            <w:pPr>
              <w:ind w:firstLine="480"/>
              <w:rPr>
                <w:u w:val="single"/>
              </w:rPr>
            </w:pPr>
            <w:r>
              <w:rPr>
                <w:u w:val="single"/>
              </w:rPr>
              <w:t>6</w:t>
            </w:r>
            <w:r>
              <w:rPr>
                <w:rFonts w:hint="eastAsia"/>
                <w:u w:val="single"/>
              </w:rPr>
              <w:t>）产品堆场降尘用水</w:t>
            </w:r>
          </w:p>
          <w:p>
            <w:pPr>
              <w:ind w:firstLine="480"/>
              <w:rPr>
                <w:u w:val="single"/>
              </w:rPr>
            </w:pPr>
            <w:r>
              <w:rPr>
                <w:rFonts w:hint="eastAsia"/>
                <w:u w:val="single"/>
              </w:rPr>
              <w:t>项目产品堆场占地面积约为</w:t>
            </w:r>
            <w:r>
              <w:rPr>
                <w:u w:val="single"/>
              </w:rPr>
              <w:t>600</w:t>
            </w:r>
            <w:r>
              <w:rPr>
                <w:rFonts w:hint="eastAsia"/>
                <w:u w:val="single"/>
              </w:rPr>
              <w:t>m</w:t>
            </w:r>
            <w:r>
              <w:rPr>
                <w:u w:val="single"/>
                <w:vertAlign w:val="superscript"/>
              </w:rPr>
              <w:t>2</w:t>
            </w:r>
            <w:r>
              <w:rPr>
                <w:rFonts w:hint="eastAsia"/>
                <w:u w:val="single"/>
              </w:rPr>
              <w:t>，在厂房顶部设置2条雾化喷淋装置，长度为1</w:t>
            </w:r>
            <w:r>
              <w:rPr>
                <w:u w:val="single"/>
              </w:rPr>
              <w:t>00</w:t>
            </w:r>
            <w:r>
              <w:rPr>
                <w:rFonts w:hint="eastAsia"/>
                <w:u w:val="single"/>
              </w:rPr>
              <w:t>m，每隔</w:t>
            </w:r>
            <w:r>
              <w:rPr>
                <w:u w:val="single"/>
              </w:rPr>
              <w:t>10</w:t>
            </w:r>
            <w:r>
              <w:rPr>
                <w:rFonts w:hint="eastAsia"/>
                <w:u w:val="single"/>
              </w:rPr>
              <w:t>m设置一个喷淋头（单个喷淋头喷淋水量为3</w:t>
            </w:r>
            <w:r>
              <w:rPr>
                <w:u w:val="single"/>
              </w:rPr>
              <w:t>0L</w:t>
            </w:r>
            <w:r>
              <w:rPr>
                <w:rFonts w:hint="eastAsia"/>
                <w:u w:val="single"/>
              </w:rPr>
              <w:t>/h，喷淋压力为0</w:t>
            </w:r>
            <w:r>
              <w:rPr>
                <w:u w:val="single"/>
              </w:rPr>
              <w:t>.1M</w:t>
            </w:r>
            <w:r>
              <w:rPr>
                <w:rFonts w:hint="eastAsia"/>
                <w:u w:val="single"/>
              </w:rPr>
              <w:t>pa），每条线设</w:t>
            </w:r>
            <w:r>
              <w:rPr>
                <w:u w:val="single"/>
              </w:rPr>
              <w:t>10</w:t>
            </w:r>
            <w:r>
              <w:rPr>
                <w:rFonts w:hint="eastAsia"/>
                <w:u w:val="single"/>
              </w:rPr>
              <w:t>个，设计用水量为</w:t>
            </w:r>
            <w:r>
              <w:rPr>
                <w:u w:val="single"/>
              </w:rPr>
              <w:t>4.8</w:t>
            </w:r>
            <w:r>
              <w:rPr>
                <w:rFonts w:hint="eastAsia"/>
                <w:u w:val="single"/>
              </w:rPr>
              <w:t>m</w:t>
            </w:r>
            <w:r>
              <w:rPr>
                <w:u w:val="single"/>
                <w:vertAlign w:val="superscript"/>
              </w:rPr>
              <w:t>3</w:t>
            </w:r>
            <w:r>
              <w:rPr>
                <w:u w:val="single"/>
              </w:rPr>
              <w:t>/d</w:t>
            </w:r>
            <w:r>
              <w:rPr>
                <w:rFonts w:hint="eastAsia"/>
                <w:u w:val="single"/>
              </w:rPr>
              <w:t>，</w:t>
            </w:r>
            <w:r>
              <w:rPr>
                <w:u w:val="single"/>
              </w:rPr>
              <w:t>1440</w:t>
            </w:r>
            <w:r>
              <w:rPr>
                <w:rFonts w:hint="eastAsia"/>
                <w:u w:val="single"/>
              </w:rPr>
              <w:t>m</w:t>
            </w:r>
            <w:r>
              <w:rPr>
                <w:u w:val="single"/>
                <w:vertAlign w:val="superscript"/>
              </w:rPr>
              <w:t>3</w:t>
            </w:r>
            <w:r>
              <w:rPr>
                <w:u w:val="single"/>
              </w:rPr>
              <w:t>/a</w:t>
            </w:r>
            <w:r>
              <w:rPr>
                <w:rFonts w:hint="eastAsia"/>
                <w:u w:val="single"/>
              </w:rPr>
              <w:t>，这部分水全部蒸发或进入产品，无废水外排。</w:t>
            </w:r>
          </w:p>
          <w:p>
            <w:pPr>
              <w:ind w:firstLine="480"/>
            </w:pPr>
            <w:r>
              <w:t>7</w:t>
            </w:r>
            <w:r>
              <w:rPr>
                <w:rFonts w:hint="eastAsia"/>
              </w:rPr>
              <w:t>）道路降尘用水</w:t>
            </w:r>
          </w:p>
          <w:p>
            <w:pPr>
              <w:ind w:firstLine="480"/>
            </w:pPr>
            <w:r>
              <w:rPr>
                <w:rFonts w:hint="eastAsia"/>
              </w:rPr>
              <w:t>厂区内设置5m宽水泥路面道路，总长度约1</w:t>
            </w:r>
            <w:r>
              <w:t>00</w:t>
            </w:r>
            <w:r>
              <w:rPr>
                <w:rFonts w:hint="eastAsia"/>
              </w:rPr>
              <w:t>m，参照《湖南省用水定额》（DB</w:t>
            </w:r>
            <w:r>
              <w:t>43/</w:t>
            </w:r>
            <w:r>
              <w:rPr>
                <w:rFonts w:hint="eastAsia"/>
              </w:rPr>
              <w:t>T</w:t>
            </w:r>
            <w:r>
              <w:t>388</w:t>
            </w:r>
            <w:r>
              <w:rPr>
                <w:rFonts w:hint="eastAsia"/>
              </w:rPr>
              <w:t>-</w:t>
            </w:r>
            <w:r>
              <w:t>2020</w:t>
            </w:r>
            <w:r>
              <w:rPr>
                <w:rFonts w:hint="eastAsia"/>
              </w:rPr>
              <w:t>），用水量取2L</w:t>
            </w:r>
            <w:r>
              <w:t>/</w:t>
            </w:r>
            <w:r>
              <w:rPr>
                <w:rFonts w:hint="eastAsia"/>
              </w:rPr>
              <w:t>m</w:t>
            </w:r>
            <w:r>
              <w:rPr>
                <w:vertAlign w:val="superscript"/>
              </w:rPr>
              <w:t>2</w:t>
            </w:r>
            <w:r>
              <w:rPr>
                <w:rFonts w:hint="eastAsia"/>
              </w:rPr>
              <w:t>·d，则用水量约为1m</w:t>
            </w:r>
            <w:r>
              <w:rPr>
                <w:vertAlign w:val="superscript"/>
              </w:rPr>
              <w:t>3</w:t>
            </w:r>
            <w:r>
              <w:rPr>
                <w:rFonts w:hint="eastAsia"/>
              </w:rPr>
              <w:t>/</w:t>
            </w:r>
            <w:r>
              <w:t>d</w:t>
            </w:r>
            <w:r>
              <w:rPr>
                <w:rFonts w:hint="eastAsia"/>
              </w:rPr>
              <w:t>，3</w:t>
            </w:r>
            <w:r>
              <w:t>00</w:t>
            </w:r>
            <w:r>
              <w:rPr>
                <w:rFonts w:hint="eastAsia"/>
              </w:rPr>
              <w:t>m</w:t>
            </w:r>
            <w:r>
              <w:rPr>
                <w:vertAlign w:val="superscript"/>
              </w:rPr>
              <w:t>3</w:t>
            </w:r>
            <w:r>
              <w:t>/a</w:t>
            </w:r>
            <w:r>
              <w:rPr>
                <w:rFonts w:hint="eastAsia"/>
              </w:rPr>
              <w:t>，道路洒水全部蒸发损耗，无外排。</w:t>
            </w:r>
          </w:p>
          <w:p>
            <w:pPr>
              <w:ind w:firstLine="480"/>
            </w:pPr>
            <w:r>
              <w:t>8</w:t>
            </w:r>
            <w:r>
              <w:rPr>
                <w:rFonts w:hint="eastAsia"/>
              </w:rPr>
              <w:t>）车辆清洗用水</w:t>
            </w:r>
          </w:p>
          <w:p>
            <w:pPr>
              <w:ind w:firstLine="480"/>
            </w:pPr>
            <w:r>
              <w:rPr>
                <w:rFonts w:hint="eastAsia"/>
              </w:rPr>
              <w:t>运输车辆进出厂均需要进行清洗，项目采用2</w:t>
            </w:r>
            <w:r>
              <w:t>0</w:t>
            </w:r>
            <w:r>
              <w:rPr>
                <w:rFonts w:hint="eastAsia"/>
              </w:rPr>
              <w:t>t货车运输，年货车出入厂区次数为</w:t>
            </w:r>
            <w:r>
              <w:t>2020</w:t>
            </w:r>
            <w:r>
              <w:rPr>
                <w:rFonts w:hint="eastAsia"/>
              </w:rPr>
              <w:t>次（进厂、出厂分开计次），车辆清洗用水量为</w:t>
            </w:r>
            <w:r>
              <w:t>40</w:t>
            </w:r>
            <w:r>
              <w:rPr>
                <w:rFonts w:hint="eastAsia"/>
              </w:rPr>
              <w:t>L</w:t>
            </w:r>
            <w:r>
              <w:t>/</w:t>
            </w:r>
            <w:r>
              <w:rPr>
                <w:rFonts w:hint="eastAsia"/>
              </w:rPr>
              <w:t>车·次，年用水量为8</w:t>
            </w:r>
            <w:r>
              <w:t>0.8</w:t>
            </w:r>
            <w:r>
              <w:rPr>
                <w:rFonts w:hint="eastAsia"/>
              </w:rPr>
              <w:t>m</w:t>
            </w:r>
            <w:r>
              <w:rPr>
                <w:vertAlign w:val="superscript"/>
              </w:rPr>
              <w:t>3</w:t>
            </w:r>
            <w:r>
              <w:t>/a</w:t>
            </w:r>
            <w:r>
              <w:rPr>
                <w:rFonts w:hint="eastAsia"/>
              </w:rPr>
              <w:t>，车辆清洗废水经沉淀池沉淀后循环使用，水损耗按2</w:t>
            </w:r>
            <w:r>
              <w:t>0</w:t>
            </w:r>
            <w:r>
              <w:rPr>
                <w:rFonts w:hint="eastAsia"/>
              </w:rPr>
              <w:t>%进行计算，则需要补充新鲜水量为</w:t>
            </w:r>
            <w:r>
              <w:t>16.16</w:t>
            </w:r>
            <w:r>
              <w:rPr>
                <w:rFonts w:hint="eastAsia"/>
              </w:rPr>
              <w:t>m</w:t>
            </w:r>
            <w:r>
              <w:rPr>
                <w:vertAlign w:val="superscript"/>
              </w:rPr>
              <w:t>3</w:t>
            </w:r>
            <w:r>
              <w:t>/a</w:t>
            </w:r>
            <w:r>
              <w:rPr>
                <w:rFonts w:hint="eastAsia"/>
              </w:rPr>
              <w:t>，0</w:t>
            </w:r>
            <w:r>
              <w:t>.05</w:t>
            </w:r>
            <w:r>
              <w:rPr>
                <w:rFonts w:hint="eastAsia"/>
              </w:rPr>
              <w:t>m</w:t>
            </w:r>
            <w:r>
              <w:rPr>
                <w:vertAlign w:val="superscript"/>
              </w:rPr>
              <w:t>3</w:t>
            </w:r>
            <w:r>
              <w:t>/d</w:t>
            </w:r>
            <w:r>
              <w:rPr>
                <w:rFonts w:hint="eastAsia"/>
              </w:rPr>
              <w:t>。</w:t>
            </w:r>
          </w:p>
          <w:p>
            <w:pPr>
              <w:ind w:firstLine="480"/>
            </w:pPr>
            <w:r>
              <w:rPr>
                <w:rFonts w:hint="eastAsia"/>
              </w:rPr>
              <w:t>（2）</w:t>
            </w:r>
            <w:r>
              <w:t>排水</w:t>
            </w:r>
          </w:p>
          <w:p>
            <w:pPr>
              <w:ind w:firstLine="480"/>
            </w:pPr>
            <w:r>
              <w:rPr>
                <w:rFonts w:hint="eastAsia"/>
              </w:rPr>
              <w:t>本项目采用“雨、污分流”排水机制，初期雨水经过初期雨水池1（5</w:t>
            </w:r>
            <w:r>
              <w:t>0</w:t>
            </w:r>
            <w:r>
              <w:rPr>
                <w:rFonts w:hint="eastAsia"/>
              </w:rPr>
              <w:t>m</w:t>
            </w:r>
            <w:r>
              <w:rPr>
                <w:vertAlign w:val="superscript"/>
              </w:rPr>
              <w:t>3</w:t>
            </w:r>
            <w:r>
              <w:rPr>
                <w:rFonts w:hint="eastAsia"/>
              </w:rPr>
              <w:t>）及初期雨水池2（9</w:t>
            </w:r>
            <w:r>
              <w:t>0</w:t>
            </w:r>
            <w:r>
              <w:rPr>
                <w:rFonts w:hint="eastAsia"/>
              </w:rPr>
              <w:t>m</w:t>
            </w:r>
            <w:r>
              <w:rPr>
                <w:vertAlign w:val="superscript"/>
              </w:rPr>
              <w:t>3</w:t>
            </w:r>
            <w:r>
              <w:rPr>
                <w:rFonts w:hint="eastAsia"/>
              </w:rPr>
              <w:t>）收集沉淀后使用抽水机回抽用于厂区洒水降尘，后期雨水通过厂区雨水管道排入周边沟渠；项目生产过程无废水产生；车间地面只需进行扫把清扫，不进行拖把清洁等，无清洁废水产生；原料堆场、生产线、产品堆场洒水降尘全部损耗，无废水外排；湿法除尘废水经沉淀池沉淀后循环使用，不外排；生活污水经隔油池、化粪池处理后用于周边农田施肥。</w:t>
            </w:r>
          </w:p>
          <w:p>
            <w:pPr>
              <w:ind w:firstLine="480"/>
            </w:pPr>
            <w:r>
              <w:rPr>
                <w:rFonts w:hint="eastAsia"/>
              </w:rPr>
              <w:t>1）生活污水</w:t>
            </w:r>
          </w:p>
          <w:p>
            <w:pPr>
              <w:ind w:firstLine="480"/>
            </w:pPr>
            <w:r>
              <w:rPr>
                <w:rFonts w:hint="eastAsia"/>
              </w:rPr>
              <w:t>生活污水产生量按用水量的8</w:t>
            </w:r>
            <w:r>
              <w:t>0</w:t>
            </w:r>
            <w:r>
              <w:rPr>
                <w:rFonts w:hint="eastAsia"/>
              </w:rPr>
              <w:t>%进行计算，产生量约为</w:t>
            </w:r>
            <w:r>
              <w:t>0.64</w:t>
            </w:r>
            <w:r>
              <w:rPr>
                <w:rFonts w:hint="eastAsia"/>
              </w:rPr>
              <w:t>m</w:t>
            </w:r>
            <w:r>
              <w:rPr>
                <w:vertAlign w:val="superscript"/>
              </w:rPr>
              <w:t>3</w:t>
            </w:r>
            <w:r>
              <w:t>/d</w:t>
            </w:r>
            <w:r>
              <w:rPr>
                <w:rFonts w:hint="eastAsia"/>
              </w:rPr>
              <w:t>，</w:t>
            </w:r>
            <w:r>
              <w:t>192</w:t>
            </w:r>
            <w:r>
              <w:rPr>
                <w:rFonts w:hint="eastAsia"/>
              </w:rPr>
              <w:t>m</w:t>
            </w:r>
            <w:r>
              <w:rPr>
                <w:vertAlign w:val="superscript"/>
              </w:rPr>
              <w:t>3</w:t>
            </w:r>
            <w:r>
              <w:t>/</w:t>
            </w:r>
            <w:r>
              <w:rPr>
                <w:rFonts w:hint="eastAsia"/>
              </w:rPr>
              <w:t>a。生活污水经隔油池、化粪池处理后用于周边农田施肥。</w:t>
            </w:r>
          </w:p>
          <w:p>
            <w:pPr>
              <w:ind w:firstLine="480"/>
            </w:pPr>
            <w:r>
              <w:rPr>
                <w:rFonts w:hint="eastAsia"/>
              </w:rPr>
              <w:t>2）湿法除尘废水</w:t>
            </w:r>
          </w:p>
          <w:p>
            <w:pPr>
              <w:ind w:firstLine="480"/>
            </w:pPr>
            <w:r>
              <w:rPr>
                <w:rFonts w:hint="eastAsia"/>
              </w:rPr>
              <w:t>湿法除尘废水产生量约为</w:t>
            </w:r>
            <w:r>
              <w:t>51.2</w:t>
            </w:r>
            <w:r>
              <w:rPr>
                <w:rFonts w:hint="eastAsia"/>
              </w:rPr>
              <w:t>m</w:t>
            </w:r>
            <w:r>
              <w:rPr>
                <w:vertAlign w:val="superscript"/>
              </w:rPr>
              <w:t>3</w:t>
            </w:r>
            <w:r>
              <w:t>/d</w:t>
            </w:r>
            <w:r>
              <w:rPr>
                <w:rFonts w:hint="eastAsia"/>
              </w:rPr>
              <w:t>，经过沉淀池沉淀处理后循环使用，不外排。</w:t>
            </w:r>
          </w:p>
          <w:p>
            <w:pPr>
              <w:ind w:firstLine="480"/>
            </w:pPr>
            <w:r>
              <w:rPr>
                <w:rFonts w:hint="eastAsia"/>
              </w:rPr>
              <w:t>3）洗车废水</w:t>
            </w:r>
          </w:p>
          <w:p>
            <w:pPr>
              <w:ind w:firstLine="480"/>
            </w:pPr>
            <w:r>
              <w:rPr>
                <w:rFonts w:hint="eastAsia"/>
              </w:rPr>
              <w:t>项目洗车用水量约为</w:t>
            </w:r>
            <w:r>
              <w:t>80</w:t>
            </w:r>
            <w:r>
              <w:rPr>
                <w:rFonts w:hint="eastAsia"/>
              </w:rPr>
              <w:t>m</w:t>
            </w:r>
            <w:r>
              <w:rPr>
                <w:vertAlign w:val="superscript"/>
              </w:rPr>
              <w:t>3</w:t>
            </w:r>
            <w:r>
              <w:t>/a</w:t>
            </w:r>
            <w:r>
              <w:rPr>
                <w:rFonts w:hint="eastAsia"/>
              </w:rPr>
              <w:t>，损耗率约为2</w:t>
            </w:r>
            <w:r>
              <w:t>0</w:t>
            </w:r>
            <w:r>
              <w:rPr>
                <w:rFonts w:hint="eastAsia"/>
              </w:rPr>
              <w:t>%，即为1</w:t>
            </w:r>
            <w:r>
              <w:t>6</w:t>
            </w:r>
            <w:r>
              <w:rPr>
                <w:rFonts w:hint="eastAsia"/>
              </w:rPr>
              <w:t>m</w:t>
            </w:r>
            <w:r>
              <w:rPr>
                <w:vertAlign w:val="superscript"/>
              </w:rPr>
              <w:t>3</w:t>
            </w:r>
            <w:r>
              <w:t>/a</w:t>
            </w:r>
            <w:r>
              <w:rPr>
                <w:rFonts w:hint="eastAsia"/>
              </w:rPr>
              <w:t>（0</w:t>
            </w:r>
            <w:r>
              <w:t>.05</w:t>
            </w:r>
            <w:r>
              <w:rPr>
                <w:rFonts w:hint="eastAsia"/>
              </w:rPr>
              <w:t>m</w:t>
            </w:r>
            <w:r>
              <w:rPr>
                <w:vertAlign w:val="superscript"/>
              </w:rPr>
              <w:t>3</w:t>
            </w:r>
            <w:r>
              <w:t>/</w:t>
            </w:r>
            <w:r>
              <w:rPr>
                <w:rFonts w:hint="eastAsia"/>
              </w:rPr>
              <w:t>d），则废水产生量为</w:t>
            </w:r>
            <w:r>
              <w:t>64</w:t>
            </w:r>
            <w:r>
              <w:rPr>
                <w:rFonts w:hint="eastAsia"/>
              </w:rPr>
              <w:t>m</w:t>
            </w:r>
            <w:r>
              <w:rPr>
                <w:vertAlign w:val="superscript"/>
              </w:rPr>
              <w:t>3</w:t>
            </w:r>
            <w:r>
              <w:t>/a</w:t>
            </w:r>
            <w:r>
              <w:rPr>
                <w:rFonts w:hint="eastAsia"/>
              </w:rPr>
              <w:t>，废水经沉淀池沉淀处理后循环使用，不外排。</w:t>
            </w:r>
          </w:p>
          <w:p>
            <w:pPr>
              <w:ind w:firstLine="480"/>
            </w:pPr>
            <w:r>
              <w:rPr>
                <w:rFonts w:hint="eastAsia"/>
              </w:rPr>
              <w:t>项目水平衡如下：</w:t>
            </w:r>
          </w:p>
          <w:p>
            <w:pPr>
              <w:ind w:firstLine="0" w:firstLineChars="0"/>
              <w:jc w:val="center"/>
            </w:pPr>
            <w:r>
              <w:object>
                <v:shape id="_x0000_i1025" o:spt="75" type="#_x0000_t75" style="height:364.5pt;width:397.5pt;" o:ole="t" filled="f" o:preferrelative="t" stroked="f" coordsize="21600,21600">
                  <v:path/>
                  <v:fill on="f" focussize="0,0"/>
                  <v:stroke on="f" joinstyle="miter"/>
                  <v:imagedata r:id="rId13" o:title=""/>
                  <o:lock v:ext="edit" aspectratio="t"/>
                  <w10:wrap type="none"/>
                  <w10:anchorlock/>
                </v:shape>
                <o:OLEObject Type="Embed" ProgID="Visio.Drawing.15" ShapeID="_x0000_i1025" DrawAspect="Content" ObjectID="_1468075725" r:id="rId12">
                  <o:LockedField>false</o:LockedField>
                </o:OLEObject>
              </w:object>
            </w:r>
          </w:p>
          <w:p>
            <w:pPr>
              <w:pStyle w:val="31"/>
            </w:pPr>
            <w:r>
              <w:rPr>
                <w:rFonts w:hint="eastAsia"/>
              </w:rPr>
              <w:t>图2-</w:t>
            </w:r>
            <w:r>
              <w:t>1</w:t>
            </w:r>
            <w:r>
              <w:rPr>
                <w:rFonts w:hint="eastAsia"/>
              </w:rPr>
              <w:t>项目水平衡图m</w:t>
            </w:r>
            <w:r>
              <w:rPr>
                <w:vertAlign w:val="superscript"/>
              </w:rPr>
              <w:t>3</w:t>
            </w:r>
            <w:r>
              <w:rPr>
                <w:rFonts w:hint="eastAsia"/>
              </w:rPr>
              <w:t>/</w:t>
            </w:r>
            <w:r>
              <w:t>d</w:t>
            </w:r>
          </w:p>
          <w:p>
            <w:pPr>
              <w:ind w:firstLine="0" w:firstLineChars="0"/>
              <w:rPr>
                <w:u w:val="single"/>
              </w:rPr>
            </w:pPr>
            <w:r>
              <w:rPr>
                <w:rFonts w:hint="eastAsia"/>
                <w:u w:val="single"/>
              </w:rPr>
              <w:t>（</w:t>
            </w:r>
            <w:r>
              <w:rPr>
                <w:u w:val="single"/>
              </w:rPr>
              <w:t>3</w:t>
            </w:r>
            <w:r>
              <w:rPr>
                <w:rFonts w:hint="eastAsia"/>
                <w:u w:val="single"/>
              </w:rPr>
              <w:t>）厂区初期雨水收集方案</w:t>
            </w:r>
          </w:p>
          <w:p>
            <w:pPr>
              <w:ind w:firstLine="480"/>
              <w:rPr>
                <w:u w:val="single"/>
              </w:rPr>
            </w:pPr>
            <w:r>
              <w:rPr>
                <w:rFonts w:hint="eastAsia"/>
                <w:u w:val="single"/>
              </w:rPr>
              <w:t>因项目厂区地势不平，将项目厂区分为北区和南区两个初期雨水收集区，</w:t>
            </w:r>
            <w:r>
              <w:rPr>
                <w:rFonts w:hint="eastAsia"/>
                <w:color w:val="000000"/>
                <w:u w:val="single"/>
              </w:rPr>
              <w:t>厂区北侧雨水汇聚面积约为</w:t>
            </w:r>
            <w:r>
              <w:rPr>
                <w:color w:val="000000"/>
                <w:u w:val="single"/>
              </w:rPr>
              <w:t>2000</w:t>
            </w:r>
            <w:r>
              <w:rPr>
                <w:rFonts w:hint="eastAsia"/>
                <w:color w:val="000000"/>
                <w:u w:val="single"/>
              </w:rPr>
              <w:t>m</w:t>
            </w:r>
            <w:r>
              <w:rPr>
                <w:color w:val="000000"/>
                <w:u w:val="single"/>
                <w:vertAlign w:val="superscript"/>
              </w:rPr>
              <w:t>2</w:t>
            </w:r>
            <w:r>
              <w:rPr>
                <w:rFonts w:hint="eastAsia"/>
                <w:color w:val="000000"/>
                <w:u w:val="single"/>
              </w:rPr>
              <w:t>，南区约为6</w:t>
            </w:r>
            <w:r>
              <w:rPr>
                <w:color w:val="000000"/>
                <w:u w:val="single"/>
              </w:rPr>
              <w:t>900</w:t>
            </w:r>
            <w:r>
              <w:rPr>
                <w:rFonts w:hint="eastAsia"/>
                <w:color w:val="000000"/>
                <w:u w:val="single"/>
              </w:rPr>
              <w:t>m</w:t>
            </w:r>
            <w:r>
              <w:rPr>
                <w:color w:val="000000"/>
                <w:u w:val="single"/>
                <w:vertAlign w:val="superscript"/>
              </w:rPr>
              <w:t>2</w:t>
            </w:r>
            <w:r>
              <w:rPr>
                <w:rFonts w:hint="eastAsia"/>
                <w:color w:val="000000"/>
                <w:u w:val="single"/>
              </w:rPr>
              <w:t>，经计算，设计初期雨水收集池1（5</w:t>
            </w:r>
            <w:r>
              <w:rPr>
                <w:color w:val="000000"/>
                <w:u w:val="single"/>
              </w:rPr>
              <w:t>0</w:t>
            </w:r>
            <w:r>
              <w:rPr>
                <w:rFonts w:hint="eastAsia"/>
                <w:color w:val="000000"/>
                <w:u w:val="single"/>
              </w:rPr>
              <w:t>m</w:t>
            </w:r>
            <w:r>
              <w:rPr>
                <w:color w:val="000000"/>
                <w:u w:val="single"/>
                <w:vertAlign w:val="superscript"/>
              </w:rPr>
              <w:t>3</w:t>
            </w:r>
            <w:r>
              <w:rPr>
                <w:rFonts w:hint="eastAsia"/>
                <w:color w:val="000000"/>
                <w:u w:val="single"/>
              </w:rPr>
              <w:t>）及初期雨水收集池2（9</w:t>
            </w:r>
            <w:r>
              <w:rPr>
                <w:color w:val="000000"/>
                <w:u w:val="single"/>
              </w:rPr>
              <w:t>0</w:t>
            </w:r>
            <w:r>
              <w:rPr>
                <w:rFonts w:hint="eastAsia"/>
                <w:color w:val="000000"/>
                <w:u w:val="single"/>
              </w:rPr>
              <w:t>m</w:t>
            </w:r>
            <w:r>
              <w:rPr>
                <w:color w:val="000000"/>
                <w:u w:val="single"/>
                <w:vertAlign w:val="superscript"/>
              </w:rPr>
              <w:t>3</w:t>
            </w:r>
            <w:r>
              <w:rPr>
                <w:rFonts w:hint="eastAsia"/>
                <w:color w:val="000000"/>
                <w:u w:val="single"/>
              </w:rPr>
              <w:t>）分别收集南、北两区初期雨水。厂区内雨水收集沟采用明沟盖板（宽*高为1</w:t>
            </w:r>
            <w:r>
              <w:rPr>
                <w:color w:val="000000"/>
                <w:u w:val="single"/>
              </w:rPr>
              <w:t>5cm*15cm</w:t>
            </w:r>
            <w:r>
              <w:rPr>
                <w:rFonts w:hint="eastAsia"/>
                <w:color w:val="000000"/>
                <w:u w:val="single"/>
              </w:rPr>
              <w:t>），北区长度约为2</w:t>
            </w:r>
            <w:r>
              <w:rPr>
                <w:color w:val="000000"/>
                <w:u w:val="single"/>
              </w:rPr>
              <w:t>00m</w:t>
            </w:r>
            <w:r>
              <w:rPr>
                <w:rFonts w:hint="eastAsia"/>
                <w:color w:val="000000"/>
                <w:u w:val="single"/>
              </w:rPr>
              <w:t>，南区长度约为3</w:t>
            </w:r>
            <w:r>
              <w:rPr>
                <w:color w:val="000000"/>
                <w:u w:val="single"/>
              </w:rPr>
              <w:t>00m</w:t>
            </w:r>
            <w:r>
              <w:rPr>
                <w:rFonts w:hint="eastAsia"/>
                <w:color w:val="000000"/>
                <w:u w:val="single"/>
              </w:rPr>
              <w:t>，中部长度约为5</w:t>
            </w:r>
            <w:r>
              <w:rPr>
                <w:color w:val="000000"/>
                <w:u w:val="single"/>
              </w:rPr>
              <w:t>0m</w:t>
            </w:r>
            <w:r>
              <w:rPr>
                <w:rFonts w:hint="eastAsia"/>
                <w:color w:val="000000"/>
                <w:u w:val="single"/>
              </w:rPr>
              <w:t>，沟内均使用砖块加混凝土铺设。</w:t>
            </w:r>
          </w:p>
          <w:p>
            <w:pPr>
              <w:ind w:firstLine="0" w:firstLineChars="0"/>
            </w:pPr>
            <w:r>
              <w:rPr>
                <w:rFonts w:hint="eastAsia"/>
              </w:rPr>
              <w:t>（4）供电工程</w:t>
            </w:r>
          </w:p>
          <w:p>
            <w:pPr>
              <w:ind w:firstLine="480"/>
            </w:pPr>
            <w:r>
              <w:rPr>
                <w:rFonts w:hint="eastAsia"/>
              </w:rPr>
              <w:t>依托市政电网供电，厂区内设置单独配电箱。</w:t>
            </w:r>
          </w:p>
          <w:p>
            <w:pPr>
              <w:ind w:firstLine="0" w:firstLineChars="0"/>
            </w:pPr>
            <w:r>
              <w:rPr>
                <w:rFonts w:hint="eastAsia"/>
              </w:rPr>
              <w:t>（</w:t>
            </w:r>
            <w:r>
              <w:t>5</w:t>
            </w:r>
            <w:r>
              <w:rPr>
                <w:rFonts w:hint="eastAsia"/>
              </w:rPr>
              <w:t>）、总平面布置</w:t>
            </w:r>
          </w:p>
          <w:p>
            <w:pPr>
              <w:ind w:firstLine="480"/>
              <w:rPr>
                <w:rFonts w:cs="Times New Roman"/>
                <w:szCs w:val="24"/>
              </w:rPr>
            </w:pPr>
            <w:r>
              <w:rPr>
                <w:rFonts w:hint="eastAsia"/>
              </w:rPr>
              <w:t>项目占地面积为</w:t>
            </w:r>
            <w:r>
              <w:rPr>
                <w:rFonts w:cs="Times New Roman"/>
                <w:szCs w:val="24"/>
              </w:rPr>
              <w:t>8896.45m</w:t>
            </w:r>
            <w:r>
              <w:rPr>
                <w:rFonts w:cs="Times New Roman"/>
                <w:szCs w:val="24"/>
                <w:vertAlign w:val="superscript"/>
              </w:rPr>
              <w:t>2</w:t>
            </w:r>
            <w:r>
              <w:rPr>
                <w:rFonts w:hint="eastAsia" w:cs="Times New Roman"/>
                <w:szCs w:val="24"/>
              </w:rPr>
              <w:t>，厂区建筑根据平面总体布局原则，并结合场地现状进行总平面布置。</w:t>
            </w:r>
          </w:p>
          <w:p>
            <w:pPr>
              <w:ind w:firstLine="480"/>
              <w:rPr>
                <w:color w:val="FF0000"/>
              </w:rPr>
            </w:pPr>
            <w:r>
              <w:rPr>
                <w:rFonts w:hint="eastAsia" w:cs="Times New Roman"/>
                <w:szCs w:val="24"/>
              </w:rPr>
              <w:t>入口位于车间东南侧，原料堆场位于生产厂房西北侧隔壁，中间为砖混结构隔开，生产厂房内主要布设破碎及筛分生产线、蜂窝煤生产线，成品堆场</w:t>
            </w:r>
            <w:r>
              <w:rPr>
                <w:rFonts w:hint="eastAsia"/>
              </w:rPr>
              <w:t>位于厂房西南侧，占地约6</w:t>
            </w:r>
            <w:r>
              <w:t>00</w:t>
            </w:r>
            <w:r>
              <w:rPr>
                <w:rFonts w:hint="eastAsia"/>
              </w:rPr>
              <w:t>m</w:t>
            </w:r>
            <w:r>
              <w:rPr>
                <w:vertAlign w:val="superscript"/>
              </w:rPr>
              <w:t>2</w:t>
            </w:r>
            <w:r>
              <w:rPr>
                <w:rFonts w:hint="eastAsia" w:cs="Times New Roman"/>
                <w:szCs w:val="24"/>
              </w:rPr>
              <w:t>，且车间内各设备按照工艺流程进行布置，使生产过程更加顺畅，节约时间，提高效率；项目原料堆场和成品堆场的布设有利于生产时原料的输送及成品的外运。因此，本项目布置合理。总平布置图见附图2。周边环境现状见附图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452" w:type="dxa"/>
            <w:vAlign w:val="center"/>
          </w:tcPr>
          <w:p>
            <w:pPr>
              <w:adjustRightInd w:val="0"/>
              <w:snapToGrid w:val="0"/>
              <w:spacing w:line="240" w:lineRule="auto"/>
              <w:ind w:firstLine="0" w:firstLineChars="0"/>
              <w:jc w:val="center"/>
              <w:rPr>
                <w:rFonts w:cs="Times New Roman"/>
                <w:kern w:val="0"/>
                <w:szCs w:val="21"/>
              </w:rPr>
            </w:pPr>
            <w:r>
              <w:rPr>
                <w:rFonts w:hint="eastAsia" w:cs="Times New Roman"/>
                <w:kern w:val="0"/>
                <w:szCs w:val="21"/>
              </w:rPr>
              <w:t>工艺流程和产排污环节</w:t>
            </w:r>
          </w:p>
        </w:tc>
        <w:tc>
          <w:tcPr>
            <w:tcW w:w="8070" w:type="dxa"/>
            <w:vAlign w:val="center"/>
          </w:tcPr>
          <w:p>
            <w:pPr>
              <w:pStyle w:val="4"/>
            </w:pPr>
            <w:bookmarkStart w:id="60" w:name="_Toc106531333"/>
            <w:bookmarkStart w:id="61" w:name="_Toc107415657"/>
            <w:bookmarkStart w:id="62" w:name="_Toc107343382"/>
            <w:bookmarkStart w:id="63" w:name="_Toc107343568"/>
            <w:bookmarkStart w:id="64" w:name="_Toc107409303"/>
            <w:bookmarkStart w:id="65" w:name="_Toc116339912"/>
            <w:r>
              <w:rPr>
                <w:rFonts w:hint="eastAsia"/>
              </w:rPr>
              <w:t>1、运营期工艺流程图</w:t>
            </w:r>
            <w:bookmarkEnd w:id="60"/>
            <w:bookmarkEnd w:id="61"/>
            <w:bookmarkEnd w:id="62"/>
            <w:bookmarkEnd w:id="63"/>
            <w:bookmarkEnd w:id="64"/>
            <w:bookmarkEnd w:id="65"/>
          </w:p>
          <w:p>
            <w:pPr>
              <w:spacing w:line="240" w:lineRule="auto"/>
              <w:ind w:firstLine="0" w:firstLineChars="0"/>
              <w:jc w:val="center"/>
            </w:pPr>
            <w:r>
              <w:object>
                <v:shape id="_x0000_i1026" o:spt="75" type="#_x0000_t75" style="height:357.75pt;width:312.75pt;" o:ole="t" filled="f" o:preferrelative="t" stroked="f" coordsize="21600,21600">
                  <v:path/>
                  <v:fill on="f" focussize="0,0"/>
                  <v:stroke on="f" joinstyle="miter"/>
                  <v:imagedata r:id="rId15" o:title=""/>
                  <o:lock v:ext="edit" aspectratio="t"/>
                  <w10:wrap type="none"/>
                  <w10:anchorlock/>
                </v:shape>
                <o:OLEObject Type="Embed" ProgID="Visio.Drawing.15" ShapeID="_x0000_i1026" DrawAspect="Content" ObjectID="_1468075726" r:id="rId14">
                  <o:LockedField>false</o:LockedField>
                </o:OLEObject>
              </w:object>
            </w:r>
          </w:p>
          <w:p>
            <w:pPr>
              <w:spacing w:line="240" w:lineRule="auto"/>
              <w:ind w:firstLine="0" w:firstLineChars="0"/>
              <w:jc w:val="center"/>
            </w:pPr>
          </w:p>
          <w:p>
            <w:pPr>
              <w:spacing w:line="240" w:lineRule="auto"/>
              <w:ind w:firstLine="0" w:firstLineChars="0"/>
              <w:jc w:val="center"/>
            </w:pPr>
            <w:r>
              <w:object>
                <v:shape id="_x0000_i1027" o:spt="75" type="#_x0000_t75" style="height:68.25pt;width:372.75pt;" o:ole="t" filled="f" o:preferrelative="t" stroked="f" coordsize="21600,21600">
                  <v:path/>
                  <v:fill on="f" focussize="0,0"/>
                  <v:stroke on="f" joinstyle="miter"/>
                  <v:imagedata r:id="rId17" o:title=""/>
                  <o:lock v:ext="edit" aspectratio="t"/>
                  <w10:wrap type="none"/>
                  <w10:anchorlock/>
                </v:shape>
                <o:OLEObject Type="Embed" ProgID="Visio.Drawing.15" ShapeID="_x0000_i1027" DrawAspect="Content" ObjectID="_1468075727" r:id="rId16">
                  <o:LockedField>false</o:LockedField>
                </o:OLEObject>
              </w:object>
            </w:r>
          </w:p>
          <w:p>
            <w:pPr>
              <w:pStyle w:val="31"/>
            </w:pPr>
            <w:r>
              <w:rPr>
                <w:rFonts w:hint="eastAsia"/>
              </w:rPr>
              <w:t>图2</w:t>
            </w:r>
            <w:r>
              <w:t>-2</w:t>
            </w:r>
            <w:r>
              <w:rPr>
                <w:rFonts w:hint="eastAsia"/>
              </w:rPr>
              <w:t>运营期破碎生产线及蜂窝煤成型工艺流程及产污环节图</w:t>
            </w:r>
          </w:p>
          <w:p>
            <w:pPr>
              <w:ind w:firstLine="0" w:firstLineChars="0"/>
              <w:rPr>
                <w:rFonts w:cs="Times New Roman"/>
              </w:rPr>
            </w:pPr>
            <w:r>
              <w:rPr>
                <w:rFonts w:hint="eastAsia" w:cs="Times New Roman"/>
              </w:rPr>
              <w:t>主要生产工艺流程说明如下：</w:t>
            </w:r>
          </w:p>
          <w:p>
            <w:pPr>
              <w:ind w:firstLine="480"/>
            </w:pPr>
            <w:r>
              <w:rPr>
                <w:rFonts w:hint="eastAsia"/>
              </w:rPr>
              <w:t>1）下料：运输车辆将煤运输进厂放至原料堆场。</w:t>
            </w:r>
          </w:p>
          <w:p>
            <w:pPr>
              <w:ind w:firstLine="480"/>
            </w:pPr>
            <w:r>
              <w:rPr>
                <w:rFonts w:hint="eastAsia"/>
              </w:rPr>
              <w:t>2）初筛：用铲车铲至输送带上，采用人工挑选方式，将废石挑出。</w:t>
            </w:r>
          </w:p>
          <w:p>
            <w:pPr>
              <w:ind w:firstLine="480"/>
            </w:pPr>
            <w:r>
              <w:rPr>
                <w:rFonts w:hint="eastAsia"/>
              </w:rPr>
              <w:t>3）破碎：电动机驱动皮带和皮带轮，通过偏心轴使动颚上下运动，当动颚上升时肘板和动颚间夹角变大，从而推动动颚板向定颚板接近，与此同时物料被压碎或碾、搓达到破碎目的；当动颚下行时，肘板与动颚间夹角变小，动颚板在拉杆、弹簧的作用下离开定颚板，此已破碎物料从破碎腔下口排出，随着电动机连续转动而破碎机动颚作周期性的压碎和排泄物料，实现批量生产。</w:t>
            </w:r>
          </w:p>
          <w:p>
            <w:pPr>
              <w:ind w:firstLine="480"/>
            </w:pPr>
            <w:r>
              <w:rPr>
                <w:rFonts w:hint="eastAsia"/>
              </w:rPr>
              <w:t>4）振动筛：将颗粒大小不同的碎散物料群,多次通过均匀布孔的单层或多层筛面,分成若干不同级别的过程成为筛分。大于筛孔的颗粒留在筛面上,称为该筛面的筛上物,小于筛孔的颗粒透过筛孔,称为该筛面的筛下物。通过振动筛将破碎后的碎石按粒径粉尘3种不同粒径的产品，分别通过3个输送皮带输送至产品堆场。</w:t>
            </w:r>
          </w:p>
          <w:p>
            <w:pPr>
              <w:ind w:firstLine="480"/>
              <w:rPr>
                <w:rFonts w:cs="Times New Roman"/>
              </w:rPr>
            </w:pPr>
            <w:r>
              <w:rPr>
                <w:rFonts w:hint="eastAsia" w:cs="Times New Roman"/>
              </w:rPr>
              <w:t>5）人工回运：对于破碎不彻底的大煤块，采取人工搬运送回破碎工序；</w:t>
            </w:r>
          </w:p>
          <w:p>
            <w:pPr>
              <w:ind w:firstLine="480"/>
              <w:rPr>
                <w:rFonts w:cs="Times New Roman"/>
              </w:rPr>
            </w:pPr>
            <w:r>
              <w:rPr>
                <w:rFonts w:hint="eastAsia" w:cs="Times New Roman"/>
              </w:rPr>
              <w:t>6）搅拌：将煤、泥以及加入的水配好比例后经料斗进入搅拌机中，此工序由于加入了一定量的水，且泥本身含水，因此此工序产生少量粉尘及设备噪声；</w:t>
            </w:r>
          </w:p>
          <w:p>
            <w:pPr>
              <w:ind w:firstLine="480"/>
              <w:rPr>
                <w:rFonts w:cs="Times New Roman"/>
              </w:rPr>
            </w:pPr>
            <w:r>
              <w:rPr>
                <w:rFonts w:hint="eastAsia" w:cs="Times New Roman"/>
              </w:rPr>
              <w:t>7）成型：搅拌完成后的辅料输送至蜂窝煤成型机中，通过成型设备压制成蜂窝煤成品；此工序有粉尘、水蒸气、噪声产生。</w:t>
            </w:r>
          </w:p>
          <w:p>
            <w:pPr>
              <w:ind w:firstLine="480"/>
              <w:rPr>
                <w:rFonts w:cs="Times New Roman"/>
                <w:u w:val="single"/>
              </w:rPr>
            </w:pPr>
            <w:r>
              <w:rPr>
                <w:rFonts w:hint="eastAsia" w:cs="Times New Roman"/>
              </w:rPr>
              <w:t>8）运输：</w:t>
            </w:r>
            <w:r>
              <w:rPr>
                <w:rFonts w:hint="eastAsia" w:cs="Times New Roman"/>
                <w:u w:val="single"/>
              </w:rPr>
              <w:t>蜂窝煤成品直接由车辆运走，不在厂区贮存。</w:t>
            </w:r>
          </w:p>
          <w:p>
            <w:pPr>
              <w:ind w:firstLine="480"/>
              <w:rPr>
                <w:rFonts w:cs="Times New Roman"/>
                <w:u w:val="single"/>
              </w:rPr>
            </w:pPr>
            <w:r>
              <w:rPr>
                <w:rFonts w:hint="eastAsia" w:cs="Times New Roman"/>
                <w:u w:val="single"/>
              </w:rPr>
              <w:t>据业主介绍，其生产的蜂窝煤每个直径1</w:t>
            </w:r>
            <w:r>
              <w:rPr>
                <w:rFonts w:cs="Times New Roman"/>
                <w:u w:val="single"/>
              </w:rPr>
              <w:t>2</w:t>
            </w:r>
            <w:r>
              <w:rPr>
                <w:rFonts w:hint="eastAsia" w:cs="Times New Roman"/>
                <w:u w:val="single"/>
              </w:rPr>
              <w:t>cm，重1</w:t>
            </w:r>
            <w:r>
              <w:rPr>
                <w:rFonts w:cs="Times New Roman"/>
                <w:u w:val="single"/>
              </w:rPr>
              <w:t>KG</w:t>
            </w:r>
            <w:r>
              <w:rPr>
                <w:rFonts w:hint="eastAsia" w:cs="Times New Roman"/>
                <w:u w:val="single"/>
              </w:rPr>
              <w:t>，预计年产1</w:t>
            </w:r>
            <w:r>
              <w:rPr>
                <w:rFonts w:cs="Times New Roman"/>
                <w:u w:val="single"/>
              </w:rPr>
              <w:t>0000</w:t>
            </w:r>
            <w:r>
              <w:rPr>
                <w:rFonts w:hint="eastAsia" w:cs="Times New Roman"/>
                <w:u w:val="single"/>
              </w:rPr>
              <w:t>t，即1</w:t>
            </w:r>
            <w:r>
              <w:rPr>
                <w:rFonts w:cs="Times New Roman"/>
                <w:u w:val="single"/>
              </w:rPr>
              <w:t>0000000</w:t>
            </w:r>
            <w:r>
              <w:rPr>
                <w:rFonts w:hint="eastAsia" w:cs="Times New Roman"/>
                <w:u w:val="single"/>
              </w:rPr>
              <w:t>个蜂窝煤，查询蜂窝煤成型机型号及业主介绍，蜂窝煤成型机最大产量约为6</w:t>
            </w:r>
            <w:r>
              <w:rPr>
                <w:rFonts w:cs="Times New Roman"/>
                <w:u w:val="single"/>
              </w:rPr>
              <w:t>500</w:t>
            </w:r>
            <w:r>
              <w:rPr>
                <w:rFonts w:hint="eastAsia" w:cs="Times New Roman"/>
                <w:u w:val="single"/>
              </w:rPr>
              <w:t>个每台、每天，总共6台，最大产量为1</w:t>
            </w:r>
            <w:r>
              <w:rPr>
                <w:rFonts w:cs="Times New Roman"/>
                <w:u w:val="single"/>
              </w:rPr>
              <w:t>1700000</w:t>
            </w:r>
            <w:r>
              <w:rPr>
                <w:rFonts w:hint="eastAsia" w:cs="Times New Roman"/>
                <w:u w:val="single"/>
              </w:rPr>
              <w:t>个/年（3</w:t>
            </w:r>
            <w:r>
              <w:rPr>
                <w:rFonts w:cs="Times New Roman"/>
                <w:u w:val="single"/>
              </w:rPr>
              <w:t>9000</w:t>
            </w:r>
            <w:r>
              <w:rPr>
                <w:rFonts w:hint="eastAsia" w:cs="Times New Roman"/>
                <w:u w:val="single"/>
              </w:rPr>
              <w:t>个/天），可以达到其产能。</w:t>
            </w:r>
          </w:p>
          <w:p>
            <w:pPr>
              <w:pStyle w:val="31"/>
            </w:pPr>
            <w:r>
              <w:rPr>
                <w:rFonts w:hint="eastAsia"/>
              </w:rPr>
              <w:t>表2</w:t>
            </w:r>
            <w:r>
              <w:t>-6</w:t>
            </w:r>
            <w:r>
              <w:rPr>
                <w:rFonts w:hint="eastAsia"/>
              </w:rPr>
              <w:t>项目产污情况一览表</w:t>
            </w:r>
          </w:p>
          <w:tbl>
            <w:tblPr>
              <w:tblStyle w:val="17"/>
              <w:tblW w:w="783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445"/>
              <w:gridCol w:w="1025"/>
              <w:gridCol w:w="1434"/>
              <w:gridCol w:w="2259"/>
              <w:gridCol w:w="9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747" w:type="dxa"/>
                  <w:vAlign w:val="center"/>
                </w:tcPr>
                <w:p>
                  <w:pPr>
                    <w:pStyle w:val="37"/>
                    <w:rPr>
                      <w:u w:val="none"/>
                    </w:rPr>
                  </w:pPr>
                  <w:bookmarkStart w:id="66" w:name="_Hlk106477801"/>
                  <w:r>
                    <w:rPr>
                      <w:rFonts w:hint="eastAsia"/>
                      <w:u w:val="none"/>
                    </w:rPr>
                    <w:t>类别</w:t>
                  </w:r>
                </w:p>
              </w:tc>
              <w:tc>
                <w:tcPr>
                  <w:tcW w:w="1445" w:type="dxa"/>
                  <w:vAlign w:val="center"/>
                </w:tcPr>
                <w:p>
                  <w:pPr>
                    <w:pStyle w:val="37"/>
                    <w:rPr>
                      <w:u w:val="none"/>
                    </w:rPr>
                  </w:pPr>
                  <w:r>
                    <w:rPr>
                      <w:rFonts w:hint="eastAsia"/>
                      <w:u w:val="none"/>
                    </w:rPr>
                    <w:t>产生工序</w:t>
                  </w:r>
                </w:p>
              </w:tc>
              <w:tc>
                <w:tcPr>
                  <w:tcW w:w="1025" w:type="dxa"/>
                  <w:vAlign w:val="center"/>
                </w:tcPr>
                <w:p>
                  <w:pPr>
                    <w:pStyle w:val="37"/>
                    <w:rPr>
                      <w:u w:val="none"/>
                    </w:rPr>
                  </w:pPr>
                  <w:r>
                    <w:rPr>
                      <w:rFonts w:hint="eastAsia"/>
                      <w:u w:val="none"/>
                    </w:rPr>
                    <w:t>排放特性/性质</w:t>
                  </w:r>
                </w:p>
              </w:tc>
              <w:tc>
                <w:tcPr>
                  <w:tcW w:w="1434" w:type="dxa"/>
                  <w:vAlign w:val="center"/>
                </w:tcPr>
                <w:p>
                  <w:pPr>
                    <w:pStyle w:val="37"/>
                    <w:rPr>
                      <w:u w:val="none"/>
                    </w:rPr>
                  </w:pPr>
                  <w:r>
                    <w:rPr>
                      <w:rFonts w:hint="eastAsia"/>
                      <w:u w:val="none"/>
                    </w:rPr>
                    <w:t>污染因子</w:t>
                  </w:r>
                </w:p>
              </w:tc>
              <w:tc>
                <w:tcPr>
                  <w:tcW w:w="2259" w:type="dxa"/>
                  <w:vAlign w:val="center"/>
                </w:tcPr>
                <w:p>
                  <w:pPr>
                    <w:pStyle w:val="37"/>
                    <w:rPr>
                      <w:u w:val="none"/>
                    </w:rPr>
                  </w:pPr>
                  <w:r>
                    <w:rPr>
                      <w:rFonts w:hint="eastAsia"/>
                      <w:u w:val="none"/>
                    </w:rPr>
                    <w:t>防治措施</w:t>
                  </w:r>
                </w:p>
              </w:tc>
              <w:tc>
                <w:tcPr>
                  <w:tcW w:w="924" w:type="dxa"/>
                  <w:vAlign w:val="center"/>
                </w:tcPr>
                <w:p>
                  <w:pPr>
                    <w:pStyle w:val="37"/>
                    <w:rPr>
                      <w:u w:val="none"/>
                    </w:rPr>
                  </w:pPr>
                  <w:r>
                    <w:rPr>
                      <w:rFonts w:hint="eastAsia"/>
                      <w:u w:val="none"/>
                    </w:rPr>
                    <w:t>预期效果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747" w:type="dxa"/>
                  <w:vMerge w:val="restart"/>
                  <w:vAlign w:val="center"/>
                </w:tcPr>
                <w:p>
                  <w:pPr>
                    <w:pStyle w:val="37"/>
                    <w:rPr>
                      <w:u w:val="none"/>
                    </w:rPr>
                  </w:pPr>
                  <w:r>
                    <w:rPr>
                      <w:rFonts w:hint="eastAsia"/>
                      <w:u w:val="none"/>
                    </w:rPr>
                    <w:t>废气</w:t>
                  </w:r>
                </w:p>
              </w:tc>
              <w:tc>
                <w:tcPr>
                  <w:tcW w:w="1445" w:type="dxa"/>
                  <w:vAlign w:val="center"/>
                </w:tcPr>
                <w:p>
                  <w:pPr>
                    <w:pStyle w:val="37"/>
                    <w:rPr>
                      <w:u w:val="none"/>
                    </w:rPr>
                  </w:pPr>
                  <w:r>
                    <w:rPr>
                      <w:rFonts w:hint="eastAsia"/>
                      <w:u w:val="none"/>
                    </w:rPr>
                    <w:t>原料卸料</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颗粒物</w:t>
                  </w:r>
                </w:p>
              </w:tc>
              <w:tc>
                <w:tcPr>
                  <w:tcW w:w="2259" w:type="dxa"/>
                  <w:vAlign w:val="center"/>
                </w:tcPr>
                <w:p>
                  <w:pPr>
                    <w:pStyle w:val="37"/>
                    <w:rPr>
                      <w:u w:val="none"/>
                    </w:rPr>
                  </w:pPr>
                  <w:r>
                    <w:rPr>
                      <w:rFonts w:hint="eastAsia"/>
                      <w:u w:val="none"/>
                    </w:rPr>
                    <w:t>洒水</w:t>
                  </w:r>
                </w:p>
              </w:tc>
              <w:tc>
                <w:tcPr>
                  <w:tcW w:w="924" w:type="dxa"/>
                  <w:vAlign w:val="center"/>
                </w:tcPr>
                <w:p>
                  <w:pPr>
                    <w:pStyle w:val="37"/>
                    <w:rPr>
                      <w:u w:val="none"/>
                    </w:rPr>
                  </w:pPr>
                  <w:r>
                    <w:rPr>
                      <w:rFonts w:hint="eastAsia"/>
                      <w:u w:val="none"/>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堆场</w:t>
                  </w:r>
                </w:p>
              </w:tc>
              <w:tc>
                <w:tcPr>
                  <w:tcW w:w="1025" w:type="dxa"/>
                  <w:vAlign w:val="center"/>
                </w:tcPr>
                <w:p>
                  <w:pPr>
                    <w:pStyle w:val="37"/>
                    <w:rPr>
                      <w:u w:val="none"/>
                    </w:rPr>
                  </w:pPr>
                  <w:r>
                    <w:rPr>
                      <w:rFonts w:hint="eastAsia"/>
                      <w:u w:val="none"/>
                    </w:rPr>
                    <w:t>连续</w:t>
                  </w:r>
                </w:p>
              </w:tc>
              <w:tc>
                <w:tcPr>
                  <w:tcW w:w="1434" w:type="dxa"/>
                  <w:vAlign w:val="center"/>
                </w:tcPr>
                <w:p>
                  <w:pPr>
                    <w:pStyle w:val="37"/>
                    <w:rPr>
                      <w:u w:val="none"/>
                    </w:rPr>
                  </w:pPr>
                  <w:r>
                    <w:rPr>
                      <w:rFonts w:hint="eastAsia"/>
                      <w:u w:val="none"/>
                    </w:rPr>
                    <w:t>颗粒物</w:t>
                  </w:r>
                </w:p>
              </w:tc>
              <w:tc>
                <w:tcPr>
                  <w:tcW w:w="2259" w:type="dxa"/>
                  <w:vAlign w:val="center"/>
                </w:tcPr>
                <w:p>
                  <w:pPr>
                    <w:pStyle w:val="37"/>
                    <w:rPr>
                      <w:u w:val="none"/>
                    </w:rPr>
                  </w:pPr>
                  <w:r>
                    <w:rPr>
                      <w:rFonts w:hint="eastAsia"/>
                      <w:u w:val="none"/>
                    </w:rPr>
                    <w:t>封闭车间+雾化喷淋、洒水</w:t>
                  </w:r>
                </w:p>
              </w:tc>
              <w:tc>
                <w:tcPr>
                  <w:tcW w:w="924" w:type="dxa"/>
                  <w:vAlign w:val="center"/>
                </w:tcPr>
                <w:p>
                  <w:pPr>
                    <w:pStyle w:val="37"/>
                    <w:rPr>
                      <w:u w:val="none"/>
                    </w:rPr>
                  </w:pPr>
                  <w:r>
                    <w:rPr>
                      <w:rFonts w:hint="eastAsia"/>
                      <w:u w:val="none"/>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下料</w:t>
                  </w:r>
                </w:p>
              </w:tc>
              <w:tc>
                <w:tcPr>
                  <w:tcW w:w="1025" w:type="dxa"/>
                  <w:vAlign w:val="center"/>
                </w:tcPr>
                <w:p>
                  <w:pPr>
                    <w:pStyle w:val="37"/>
                    <w:rPr>
                      <w:u w:val="none"/>
                    </w:rPr>
                  </w:pPr>
                  <w:r>
                    <w:rPr>
                      <w:rFonts w:hint="eastAsia"/>
                      <w:u w:val="none"/>
                    </w:rPr>
                    <w:t>连续</w:t>
                  </w:r>
                </w:p>
              </w:tc>
              <w:tc>
                <w:tcPr>
                  <w:tcW w:w="1434" w:type="dxa"/>
                  <w:vAlign w:val="center"/>
                </w:tcPr>
                <w:p>
                  <w:pPr>
                    <w:pStyle w:val="37"/>
                    <w:rPr>
                      <w:u w:val="none"/>
                    </w:rPr>
                  </w:pPr>
                  <w:r>
                    <w:rPr>
                      <w:rFonts w:hint="eastAsia"/>
                      <w:u w:val="none"/>
                    </w:rPr>
                    <w:t>颗粒物</w:t>
                  </w:r>
                </w:p>
              </w:tc>
              <w:tc>
                <w:tcPr>
                  <w:tcW w:w="2259" w:type="dxa"/>
                  <w:vAlign w:val="center"/>
                </w:tcPr>
                <w:p>
                  <w:pPr>
                    <w:pStyle w:val="37"/>
                    <w:rPr>
                      <w:u w:val="none"/>
                    </w:rPr>
                  </w:pPr>
                  <w:r>
                    <w:rPr>
                      <w:rFonts w:hint="eastAsia"/>
                      <w:u w:val="none"/>
                    </w:rPr>
                    <w:t>封闭车间+雾化喷淋</w:t>
                  </w:r>
                </w:p>
              </w:tc>
              <w:tc>
                <w:tcPr>
                  <w:tcW w:w="924" w:type="dxa"/>
                  <w:vAlign w:val="center"/>
                </w:tcPr>
                <w:p>
                  <w:pPr>
                    <w:pStyle w:val="37"/>
                    <w:rPr>
                      <w:u w:val="none"/>
                    </w:rPr>
                  </w:pPr>
                  <w:r>
                    <w:rPr>
                      <w:rFonts w:hint="eastAsia"/>
                      <w:u w:val="none"/>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破碎筛分工序</w:t>
                  </w:r>
                </w:p>
              </w:tc>
              <w:tc>
                <w:tcPr>
                  <w:tcW w:w="1025" w:type="dxa"/>
                  <w:vAlign w:val="center"/>
                </w:tcPr>
                <w:p>
                  <w:pPr>
                    <w:pStyle w:val="37"/>
                    <w:rPr>
                      <w:u w:val="none"/>
                    </w:rPr>
                  </w:pPr>
                  <w:r>
                    <w:rPr>
                      <w:rFonts w:hint="eastAsia"/>
                      <w:u w:val="none"/>
                    </w:rPr>
                    <w:t>连续</w:t>
                  </w:r>
                </w:p>
              </w:tc>
              <w:tc>
                <w:tcPr>
                  <w:tcW w:w="1434" w:type="dxa"/>
                  <w:vAlign w:val="center"/>
                </w:tcPr>
                <w:p>
                  <w:pPr>
                    <w:pStyle w:val="37"/>
                    <w:rPr>
                      <w:u w:val="none"/>
                    </w:rPr>
                  </w:pPr>
                  <w:r>
                    <w:rPr>
                      <w:rFonts w:hint="eastAsia"/>
                      <w:u w:val="none"/>
                    </w:rPr>
                    <w:t>颗粒物</w:t>
                  </w:r>
                </w:p>
              </w:tc>
              <w:tc>
                <w:tcPr>
                  <w:tcW w:w="2259" w:type="dxa"/>
                  <w:vAlign w:val="center"/>
                </w:tcPr>
                <w:p>
                  <w:pPr>
                    <w:pStyle w:val="37"/>
                    <w:rPr>
                      <w:u w:val="none"/>
                    </w:rPr>
                  </w:pPr>
                  <w:r>
                    <w:rPr>
                      <w:rFonts w:hint="eastAsia"/>
                      <w:u w:val="none"/>
                    </w:rPr>
                    <w:t>封闭车间+湿法破碎+雾化喷淋+集气罩+湿法除尘+</w:t>
                  </w:r>
                  <w:r>
                    <w:rPr>
                      <w:u w:val="none"/>
                    </w:rPr>
                    <w:t>15</w:t>
                  </w:r>
                  <w:r>
                    <w:rPr>
                      <w:rFonts w:hint="eastAsia"/>
                      <w:u w:val="none"/>
                    </w:rPr>
                    <w:t>m排气筒；</w:t>
                  </w:r>
                </w:p>
              </w:tc>
              <w:tc>
                <w:tcPr>
                  <w:tcW w:w="924" w:type="dxa"/>
                  <w:vAlign w:val="center"/>
                </w:tcPr>
                <w:p>
                  <w:pPr>
                    <w:pStyle w:val="37"/>
                    <w:rPr>
                      <w:u w:val="none"/>
                    </w:rPr>
                  </w:pPr>
                  <w:r>
                    <w:rPr>
                      <w:rFonts w:hint="eastAsia"/>
                      <w:u w:val="none"/>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运输车辆</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颗粒物</w:t>
                  </w:r>
                </w:p>
              </w:tc>
              <w:tc>
                <w:tcPr>
                  <w:tcW w:w="2259" w:type="dxa"/>
                  <w:vAlign w:val="center"/>
                </w:tcPr>
                <w:p>
                  <w:pPr>
                    <w:pStyle w:val="37"/>
                    <w:rPr>
                      <w:u w:val="none"/>
                    </w:rPr>
                  </w:pPr>
                  <w:r>
                    <w:rPr>
                      <w:rFonts w:hint="eastAsia"/>
                      <w:u w:val="none"/>
                    </w:rPr>
                    <w:t>清洗车辆轮胎、篷布遮盖</w:t>
                  </w:r>
                </w:p>
              </w:tc>
              <w:tc>
                <w:tcPr>
                  <w:tcW w:w="924" w:type="dxa"/>
                  <w:vAlign w:val="center"/>
                </w:tcPr>
                <w:p>
                  <w:pPr>
                    <w:pStyle w:val="37"/>
                    <w:rPr>
                      <w:u w:val="none"/>
                    </w:rPr>
                  </w:pPr>
                  <w:r>
                    <w:rPr>
                      <w:rFonts w:hint="eastAsia"/>
                      <w:u w:val="none"/>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747" w:type="dxa"/>
                  <w:vMerge w:val="restart"/>
                  <w:vAlign w:val="center"/>
                </w:tcPr>
                <w:p>
                  <w:pPr>
                    <w:pStyle w:val="37"/>
                    <w:rPr>
                      <w:u w:val="none"/>
                    </w:rPr>
                  </w:pPr>
                  <w:r>
                    <w:rPr>
                      <w:rFonts w:hint="eastAsia"/>
                      <w:u w:val="none"/>
                    </w:rPr>
                    <w:t>废水</w:t>
                  </w:r>
                </w:p>
              </w:tc>
              <w:tc>
                <w:tcPr>
                  <w:tcW w:w="1445" w:type="dxa"/>
                  <w:vAlign w:val="center"/>
                </w:tcPr>
                <w:p>
                  <w:pPr>
                    <w:pStyle w:val="37"/>
                    <w:rPr>
                      <w:u w:val="none"/>
                    </w:rPr>
                  </w:pPr>
                  <w:r>
                    <w:rPr>
                      <w:rFonts w:hint="eastAsia"/>
                      <w:u w:val="none"/>
                    </w:rPr>
                    <w:t>生活污水</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p</w:t>
                  </w:r>
                  <w:r>
                    <w:rPr>
                      <w:u w:val="none"/>
                    </w:rPr>
                    <w:t>H</w:t>
                  </w:r>
                  <w:r>
                    <w:rPr>
                      <w:rFonts w:hint="eastAsia"/>
                      <w:u w:val="none"/>
                    </w:rPr>
                    <w:t>值、悬浮物、C</w:t>
                  </w:r>
                  <w:r>
                    <w:rPr>
                      <w:u w:val="none"/>
                    </w:rPr>
                    <w:t>OD</w:t>
                  </w:r>
                  <w:r>
                    <w:rPr>
                      <w:u w:val="none"/>
                      <w:vertAlign w:val="subscript"/>
                    </w:rPr>
                    <w:t>C</w:t>
                  </w:r>
                  <w:r>
                    <w:rPr>
                      <w:rFonts w:hint="eastAsia"/>
                      <w:u w:val="none"/>
                      <w:vertAlign w:val="subscript"/>
                    </w:rPr>
                    <w:t>r</w:t>
                  </w:r>
                  <w:r>
                    <w:rPr>
                      <w:rFonts w:hint="eastAsia"/>
                      <w:u w:val="none"/>
                    </w:rPr>
                    <w:t>、B</w:t>
                  </w:r>
                  <w:r>
                    <w:rPr>
                      <w:u w:val="none"/>
                    </w:rPr>
                    <w:t>OD</w:t>
                  </w:r>
                  <w:r>
                    <w:rPr>
                      <w:u w:val="none"/>
                      <w:vertAlign w:val="subscript"/>
                    </w:rPr>
                    <w:t>5</w:t>
                  </w:r>
                  <w:r>
                    <w:rPr>
                      <w:rFonts w:hint="eastAsia"/>
                      <w:u w:val="none"/>
                    </w:rPr>
                    <w:t>、S</w:t>
                  </w:r>
                  <w:r>
                    <w:rPr>
                      <w:u w:val="none"/>
                    </w:rPr>
                    <w:t>S</w:t>
                  </w:r>
                  <w:r>
                    <w:rPr>
                      <w:rFonts w:hint="eastAsia"/>
                      <w:u w:val="none"/>
                    </w:rPr>
                    <w:t>、N</w:t>
                  </w:r>
                  <w:r>
                    <w:rPr>
                      <w:u w:val="none"/>
                    </w:rPr>
                    <w:t>H</w:t>
                  </w:r>
                  <w:r>
                    <w:rPr>
                      <w:u w:val="none"/>
                      <w:vertAlign w:val="subscript"/>
                    </w:rPr>
                    <w:t>3</w:t>
                  </w:r>
                  <w:r>
                    <w:rPr>
                      <w:u w:val="none"/>
                    </w:rPr>
                    <w:t>-N</w:t>
                  </w:r>
                  <w:r>
                    <w:rPr>
                      <w:rFonts w:hint="eastAsia"/>
                      <w:u w:val="none"/>
                    </w:rPr>
                    <w:t>、总磷等</w:t>
                  </w:r>
                </w:p>
              </w:tc>
              <w:tc>
                <w:tcPr>
                  <w:tcW w:w="2259" w:type="dxa"/>
                  <w:vAlign w:val="center"/>
                </w:tcPr>
                <w:p>
                  <w:pPr>
                    <w:pStyle w:val="37"/>
                    <w:rPr>
                      <w:u w:val="none"/>
                    </w:rPr>
                  </w:pPr>
                  <w:r>
                    <w:rPr>
                      <w:rFonts w:hint="eastAsia"/>
                      <w:u w:val="none"/>
                    </w:rPr>
                    <w:t>经三级化粪池处理后用于周边农田浇灌</w:t>
                  </w:r>
                </w:p>
              </w:tc>
              <w:tc>
                <w:tcPr>
                  <w:tcW w:w="924" w:type="dxa"/>
                  <w:vAlign w:val="center"/>
                </w:tcPr>
                <w:p>
                  <w:pPr>
                    <w:pStyle w:val="37"/>
                    <w:rPr>
                      <w:u w:val="none"/>
                    </w:rPr>
                  </w:pPr>
                  <w:r>
                    <w:rPr>
                      <w:rFonts w:hint="eastAsia"/>
                      <w:u w:val="none"/>
                    </w:rPr>
                    <w:t>零排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湿法除尘废水</w:t>
                  </w:r>
                </w:p>
              </w:tc>
              <w:tc>
                <w:tcPr>
                  <w:tcW w:w="1025" w:type="dxa"/>
                  <w:vAlign w:val="center"/>
                </w:tcPr>
                <w:p>
                  <w:pPr>
                    <w:pStyle w:val="37"/>
                    <w:rPr>
                      <w:u w:val="none"/>
                    </w:rPr>
                  </w:pPr>
                  <w:r>
                    <w:rPr>
                      <w:rFonts w:hint="eastAsia"/>
                      <w:u w:val="none"/>
                    </w:rPr>
                    <w:t>连续</w:t>
                  </w:r>
                </w:p>
              </w:tc>
              <w:tc>
                <w:tcPr>
                  <w:tcW w:w="1434" w:type="dxa"/>
                  <w:vAlign w:val="center"/>
                </w:tcPr>
                <w:p>
                  <w:pPr>
                    <w:pStyle w:val="37"/>
                    <w:rPr>
                      <w:u w:val="none"/>
                    </w:rPr>
                  </w:pPr>
                  <w:r>
                    <w:rPr>
                      <w:rFonts w:hint="eastAsia"/>
                      <w:u w:val="none"/>
                    </w:rPr>
                    <w:t>S</w:t>
                  </w:r>
                  <w:r>
                    <w:rPr>
                      <w:u w:val="none"/>
                    </w:rPr>
                    <w:t>S</w:t>
                  </w:r>
                </w:p>
              </w:tc>
              <w:tc>
                <w:tcPr>
                  <w:tcW w:w="2259" w:type="dxa"/>
                  <w:vAlign w:val="center"/>
                </w:tcPr>
                <w:p>
                  <w:pPr>
                    <w:pStyle w:val="37"/>
                    <w:rPr>
                      <w:u w:val="none"/>
                    </w:rPr>
                  </w:pPr>
                  <w:r>
                    <w:rPr>
                      <w:rFonts w:hint="eastAsia"/>
                      <w:u w:val="none"/>
                    </w:rPr>
                    <w:t>经三级沉淀池沉淀后循环使用</w:t>
                  </w:r>
                </w:p>
              </w:tc>
              <w:tc>
                <w:tcPr>
                  <w:tcW w:w="924" w:type="dxa"/>
                  <w:vAlign w:val="center"/>
                </w:tcPr>
                <w:p>
                  <w:pPr>
                    <w:pStyle w:val="37"/>
                    <w:rPr>
                      <w:u w:val="none"/>
                    </w:rPr>
                  </w:pPr>
                  <w:r>
                    <w:rPr>
                      <w:rFonts w:hint="eastAsia"/>
                      <w:u w:val="none"/>
                    </w:rPr>
                    <w:t>零排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洗车废水</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S</w:t>
                  </w:r>
                  <w:r>
                    <w:rPr>
                      <w:u w:val="none"/>
                    </w:rPr>
                    <w:t>S</w:t>
                  </w:r>
                </w:p>
              </w:tc>
              <w:tc>
                <w:tcPr>
                  <w:tcW w:w="2259" w:type="dxa"/>
                  <w:vAlign w:val="center"/>
                </w:tcPr>
                <w:p>
                  <w:pPr>
                    <w:pStyle w:val="37"/>
                    <w:rPr>
                      <w:u w:val="none"/>
                    </w:rPr>
                  </w:pPr>
                  <w:r>
                    <w:rPr>
                      <w:rFonts w:hint="eastAsia"/>
                      <w:u w:val="none"/>
                    </w:rPr>
                    <w:t>经三级沉淀池沉淀后循环使用</w:t>
                  </w:r>
                </w:p>
              </w:tc>
              <w:tc>
                <w:tcPr>
                  <w:tcW w:w="924" w:type="dxa"/>
                  <w:vAlign w:val="center"/>
                </w:tcPr>
                <w:p>
                  <w:pPr>
                    <w:pStyle w:val="37"/>
                    <w:rPr>
                      <w:u w:val="none"/>
                    </w:rPr>
                  </w:pPr>
                  <w:r>
                    <w:rPr>
                      <w:rFonts w:hint="eastAsia"/>
                      <w:u w:val="none"/>
                    </w:rPr>
                    <w:t>零排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13"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初期雨水</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S</w:t>
                  </w:r>
                  <w:r>
                    <w:rPr>
                      <w:u w:val="none"/>
                    </w:rPr>
                    <w:t>S</w:t>
                  </w:r>
                </w:p>
              </w:tc>
              <w:tc>
                <w:tcPr>
                  <w:tcW w:w="2259" w:type="dxa"/>
                  <w:vAlign w:val="center"/>
                </w:tcPr>
                <w:p>
                  <w:pPr>
                    <w:pStyle w:val="37"/>
                    <w:rPr>
                      <w:u w:val="none"/>
                    </w:rPr>
                  </w:pPr>
                  <w:r>
                    <w:rPr>
                      <w:rFonts w:hint="eastAsia"/>
                      <w:u w:val="none"/>
                    </w:rPr>
                    <w:t>经雨水收集池收集沉淀后回用于雾化喷淋</w:t>
                  </w:r>
                </w:p>
              </w:tc>
              <w:tc>
                <w:tcPr>
                  <w:tcW w:w="924" w:type="dxa"/>
                  <w:vAlign w:val="center"/>
                </w:tcPr>
                <w:p>
                  <w:pPr>
                    <w:pStyle w:val="37"/>
                    <w:rPr>
                      <w:u w:val="none"/>
                    </w:rPr>
                  </w:pPr>
                  <w:r>
                    <w:rPr>
                      <w:rFonts w:hint="eastAsia"/>
                      <w:u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47" w:type="dxa"/>
                  <w:vAlign w:val="center"/>
                </w:tcPr>
                <w:p>
                  <w:pPr>
                    <w:pStyle w:val="37"/>
                    <w:rPr>
                      <w:u w:val="none"/>
                    </w:rPr>
                  </w:pPr>
                  <w:r>
                    <w:rPr>
                      <w:rFonts w:hint="eastAsia"/>
                      <w:u w:val="none"/>
                    </w:rPr>
                    <w:t>噪声</w:t>
                  </w:r>
                </w:p>
              </w:tc>
              <w:tc>
                <w:tcPr>
                  <w:tcW w:w="1445" w:type="dxa"/>
                  <w:vAlign w:val="center"/>
                </w:tcPr>
                <w:p>
                  <w:pPr>
                    <w:pStyle w:val="37"/>
                    <w:rPr>
                      <w:u w:val="none"/>
                    </w:rPr>
                  </w:pPr>
                  <w:r>
                    <w:rPr>
                      <w:rFonts w:hint="eastAsia"/>
                      <w:u w:val="none"/>
                    </w:rPr>
                    <w:t>破碎机、筛分机、蜂窝煤成型机等</w:t>
                  </w:r>
                </w:p>
              </w:tc>
              <w:tc>
                <w:tcPr>
                  <w:tcW w:w="1025" w:type="dxa"/>
                  <w:vAlign w:val="center"/>
                </w:tcPr>
                <w:p>
                  <w:pPr>
                    <w:pStyle w:val="37"/>
                    <w:rPr>
                      <w:u w:val="none"/>
                    </w:rPr>
                  </w:pPr>
                  <w:r>
                    <w:rPr>
                      <w:rFonts w:hint="eastAsia"/>
                      <w:u w:val="none"/>
                    </w:rPr>
                    <w:t>连续</w:t>
                  </w:r>
                </w:p>
              </w:tc>
              <w:tc>
                <w:tcPr>
                  <w:tcW w:w="1434" w:type="dxa"/>
                  <w:vAlign w:val="center"/>
                </w:tcPr>
                <w:p>
                  <w:pPr>
                    <w:pStyle w:val="37"/>
                    <w:rPr>
                      <w:u w:val="none"/>
                    </w:rPr>
                  </w:pPr>
                  <w:r>
                    <w:rPr>
                      <w:rFonts w:hint="eastAsia"/>
                      <w:u w:val="none"/>
                    </w:rPr>
                    <w:t>设备产生的机械噪声</w:t>
                  </w:r>
                </w:p>
              </w:tc>
              <w:tc>
                <w:tcPr>
                  <w:tcW w:w="2259" w:type="dxa"/>
                  <w:vAlign w:val="center"/>
                </w:tcPr>
                <w:p>
                  <w:pPr>
                    <w:pStyle w:val="37"/>
                    <w:rPr>
                      <w:u w:val="none"/>
                    </w:rPr>
                  </w:pPr>
                  <w:r>
                    <w:rPr>
                      <w:rFonts w:hint="eastAsia"/>
                      <w:u w:val="none"/>
                    </w:rPr>
                    <w:t>封闭车间隔声、低噪设备、距离衰减等措施</w:t>
                  </w:r>
                </w:p>
              </w:tc>
              <w:tc>
                <w:tcPr>
                  <w:tcW w:w="924" w:type="dxa"/>
                  <w:vAlign w:val="center"/>
                </w:tcPr>
                <w:p>
                  <w:pPr>
                    <w:pStyle w:val="37"/>
                    <w:rPr>
                      <w:u w:val="none"/>
                    </w:rPr>
                  </w:pPr>
                  <w:r>
                    <w:rPr>
                      <w:rFonts w:hint="eastAsia"/>
                      <w:u w:val="none"/>
                    </w:rPr>
                    <w:t>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47" w:type="dxa"/>
                  <w:vMerge w:val="restart"/>
                  <w:vAlign w:val="center"/>
                </w:tcPr>
                <w:p>
                  <w:pPr>
                    <w:pStyle w:val="37"/>
                    <w:rPr>
                      <w:u w:val="none"/>
                    </w:rPr>
                  </w:pPr>
                  <w:r>
                    <w:rPr>
                      <w:rFonts w:hint="eastAsia"/>
                      <w:u w:val="none"/>
                    </w:rPr>
                    <w:t>固废</w:t>
                  </w:r>
                </w:p>
              </w:tc>
              <w:tc>
                <w:tcPr>
                  <w:tcW w:w="1445" w:type="dxa"/>
                  <w:vAlign w:val="center"/>
                </w:tcPr>
                <w:p>
                  <w:pPr>
                    <w:pStyle w:val="37"/>
                    <w:rPr>
                      <w:u w:val="none"/>
                    </w:rPr>
                  </w:pPr>
                  <w:r>
                    <w:rPr>
                      <w:rFonts w:hint="eastAsia"/>
                      <w:u w:val="none"/>
                    </w:rPr>
                    <w:t>初筛</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废石</w:t>
                  </w:r>
                </w:p>
              </w:tc>
              <w:tc>
                <w:tcPr>
                  <w:tcW w:w="2259" w:type="dxa"/>
                  <w:vAlign w:val="center"/>
                </w:tcPr>
                <w:p>
                  <w:pPr>
                    <w:pStyle w:val="37"/>
                    <w:rPr>
                      <w:u w:val="none"/>
                    </w:rPr>
                  </w:pPr>
                  <w:r>
                    <w:rPr>
                      <w:rFonts w:hint="eastAsia"/>
                      <w:u w:val="none"/>
                    </w:rPr>
                    <w:t>暂存于一般固废暂存间，定期外售水泥厂综合利用</w:t>
                  </w:r>
                </w:p>
              </w:tc>
              <w:tc>
                <w:tcPr>
                  <w:tcW w:w="924" w:type="dxa"/>
                  <w:vAlign w:val="center"/>
                </w:tcPr>
                <w:p>
                  <w:pPr>
                    <w:pStyle w:val="37"/>
                    <w:rPr>
                      <w:u w:val="none"/>
                    </w:rPr>
                  </w:pPr>
                  <w:r>
                    <w:rPr>
                      <w:rFonts w:hint="eastAsia"/>
                      <w:u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机械维修</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废机油等</w:t>
                  </w:r>
                </w:p>
              </w:tc>
              <w:tc>
                <w:tcPr>
                  <w:tcW w:w="2259" w:type="dxa"/>
                  <w:vAlign w:val="center"/>
                </w:tcPr>
                <w:p>
                  <w:pPr>
                    <w:pStyle w:val="37"/>
                    <w:rPr>
                      <w:u w:val="none"/>
                    </w:rPr>
                  </w:pPr>
                  <w:r>
                    <w:rPr>
                      <w:rFonts w:hint="eastAsia"/>
                      <w:u w:val="none"/>
                    </w:rPr>
                    <w:t>暂存于危险废物暂存间，定期委托有资质的单位收集处理</w:t>
                  </w:r>
                </w:p>
              </w:tc>
              <w:tc>
                <w:tcPr>
                  <w:tcW w:w="924" w:type="dxa"/>
                  <w:vAlign w:val="center"/>
                </w:tcPr>
                <w:p>
                  <w:pPr>
                    <w:pStyle w:val="37"/>
                    <w:rPr>
                      <w:u w:val="none"/>
                    </w:rPr>
                  </w:pPr>
                  <w:r>
                    <w:rPr>
                      <w:rFonts w:hint="eastAsia"/>
                      <w:u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沉淀池</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沉渣</w:t>
                  </w:r>
                </w:p>
              </w:tc>
              <w:tc>
                <w:tcPr>
                  <w:tcW w:w="2259" w:type="dxa"/>
                  <w:vAlign w:val="center"/>
                </w:tcPr>
                <w:p>
                  <w:pPr>
                    <w:pStyle w:val="37"/>
                    <w:rPr>
                      <w:u w:val="none"/>
                    </w:rPr>
                  </w:pPr>
                  <w:r>
                    <w:rPr>
                      <w:rFonts w:hint="eastAsia"/>
                      <w:u w:val="none"/>
                    </w:rPr>
                    <w:t>压滤后暂存于一般固废暂存间，定期外售水泥厂综合利用</w:t>
                  </w:r>
                </w:p>
              </w:tc>
              <w:tc>
                <w:tcPr>
                  <w:tcW w:w="924" w:type="dxa"/>
                  <w:vAlign w:val="center"/>
                </w:tcPr>
                <w:p>
                  <w:pPr>
                    <w:pStyle w:val="37"/>
                    <w:rPr>
                      <w:u w:val="none"/>
                    </w:rPr>
                  </w:pPr>
                  <w:r>
                    <w:rPr>
                      <w:rFonts w:hint="eastAsia"/>
                      <w:u w:val="none"/>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7" w:type="dxa"/>
                  <w:vMerge w:val="continue"/>
                  <w:vAlign w:val="center"/>
                </w:tcPr>
                <w:p>
                  <w:pPr>
                    <w:pStyle w:val="37"/>
                    <w:rPr>
                      <w:u w:val="none"/>
                    </w:rPr>
                  </w:pPr>
                </w:p>
              </w:tc>
              <w:tc>
                <w:tcPr>
                  <w:tcW w:w="1445" w:type="dxa"/>
                  <w:vAlign w:val="center"/>
                </w:tcPr>
                <w:p>
                  <w:pPr>
                    <w:pStyle w:val="37"/>
                    <w:rPr>
                      <w:u w:val="none"/>
                    </w:rPr>
                  </w:pPr>
                  <w:r>
                    <w:rPr>
                      <w:rFonts w:hint="eastAsia"/>
                      <w:u w:val="none"/>
                    </w:rPr>
                    <w:t>办公、生活</w:t>
                  </w:r>
                </w:p>
              </w:tc>
              <w:tc>
                <w:tcPr>
                  <w:tcW w:w="1025" w:type="dxa"/>
                  <w:vAlign w:val="center"/>
                </w:tcPr>
                <w:p>
                  <w:pPr>
                    <w:pStyle w:val="37"/>
                    <w:rPr>
                      <w:u w:val="none"/>
                    </w:rPr>
                  </w:pPr>
                  <w:r>
                    <w:rPr>
                      <w:rFonts w:hint="eastAsia"/>
                      <w:u w:val="none"/>
                    </w:rPr>
                    <w:t>间歇</w:t>
                  </w:r>
                </w:p>
              </w:tc>
              <w:tc>
                <w:tcPr>
                  <w:tcW w:w="1434" w:type="dxa"/>
                  <w:vAlign w:val="center"/>
                </w:tcPr>
                <w:p>
                  <w:pPr>
                    <w:pStyle w:val="37"/>
                    <w:rPr>
                      <w:u w:val="none"/>
                    </w:rPr>
                  </w:pPr>
                  <w:r>
                    <w:rPr>
                      <w:rFonts w:hint="eastAsia"/>
                      <w:u w:val="none"/>
                    </w:rPr>
                    <w:t>生活垃圾</w:t>
                  </w:r>
                </w:p>
              </w:tc>
              <w:tc>
                <w:tcPr>
                  <w:tcW w:w="2259" w:type="dxa"/>
                  <w:vAlign w:val="center"/>
                </w:tcPr>
                <w:p>
                  <w:pPr>
                    <w:pStyle w:val="37"/>
                    <w:rPr>
                      <w:u w:val="none"/>
                    </w:rPr>
                  </w:pPr>
                  <w:r>
                    <w:rPr>
                      <w:rFonts w:hint="eastAsia"/>
                      <w:u w:val="none"/>
                    </w:rPr>
                    <w:t>委托环卫部门清运处理</w:t>
                  </w:r>
                </w:p>
              </w:tc>
              <w:tc>
                <w:tcPr>
                  <w:tcW w:w="924" w:type="dxa"/>
                  <w:vAlign w:val="center"/>
                </w:tcPr>
                <w:p>
                  <w:pPr>
                    <w:pStyle w:val="37"/>
                    <w:rPr>
                      <w:u w:val="none"/>
                    </w:rPr>
                  </w:pPr>
                  <w:r>
                    <w:rPr>
                      <w:rFonts w:hint="eastAsia"/>
                      <w:u w:val="none"/>
                    </w:rPr>
                    <w:t>不外排</w:t>
                  </w:r>
                </w:p>
              </w:tc>
            </w:tr>
            <w:bookmarkEnd w:id="66"/>
          </w:tbl>
          <w:p>
            <w:pPr>
              <w:pStyle w:val="4"/>
            </w:pPr>
            <w:bookmarkStart w:id="67" w:name="_Toc107409304"/>
            <w:bookmarkStart w:id="68" w:name="_Toc107415658"/>
            <w:bookmarkStart w:id="69" w:name="_Toc107343569"/>
            <w:bookmarkStart w:id="70" w:name="_Toc106531334"/>
            <w:bookmarkStart w:id="71" w:name="_Toc107343383"/>
            <w:bookmarkStart w:id="72" w:name="_Toc116339913"/>
            <w:r>
              <w:t>2</w:t>
            </w:r>
            <w:r>
              <w:rPr>
                <w:rFonts w:hint="eastAsia"/>
              </w:rPr>
              <w:t>、物料平衡：</w:t>
            </w:r>
            <w:bookmarkEnd w:id="67"/>
            <w:bookmarkEnd w:id="68"/>
            <w:bookmarkEnd w:id="69"/>
            <w:bookmarkEnd w:id="70"/>
            <w:bookmarkEnd w:id="71"/>
            <w:bookmarkEnd w:id="72"/>
          </w:p>
          <w:p>
            <w:pPr>
              <w:ind w:firstLine="480"/>
              <w:rPr>
                <w:rFonts w:cs="Times New Roman"/>
              </w:rPr>
            </w:pPr>
            <w:r>
              <w:rPr>
                <w:rFonts w:hint="eastAsia" w:cs="Times New Roman"/>
              </w:rPr>
              <w:t>项目年处理2万吨煤炭。本项目物料平衡表见表2</w:t>
            </w:r>
            <w:r>
              <w:rPr>
                <w:rFonts w:cs="Times New Roman"/>
              </w:rPr>
              <w:t>-2</w:t>
            </w:r>
            <w:r>
              <w:rPr>
                <w:rFonts w:hint="eastAsia" w:cs="Times New Roman"/>
              </w:rPr>
              <w:t>：</w:t>
            </w:r>
          </w:p>
          <w:p>
            <w:pPr>
              <w:pStyle w:val="31"/>
            </w:pPr>
            <w:r>
              <w:rPr>
                <w:rFonts w:hint="eastAsia"/>
              </w:rPr>
              <w:t>表2</w:t>
            </w:r>
            <w:r>
              <w:t>-7</w:t>
            </w:r>
            <w:r>
              <w:rPr>
                <w:rFonts w:hint="eastAsia"/>
              </w:rPr>
              <w:t>生产过程中的物料平衡一览表</w:t>
            </w:r>
          </w:p>
          <w:tbl>
            <w:tblPr>
              <w:tblStyle w:val="18"/>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1713"/>
              <w:gridCol w:w="2205"/>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656" w:type="dxa"/>
                  <w:gridSpan w:val="2"/>
                  <w:vAlign w:val="center"/>
                </w:tcPr>
                <w:p>
                  <w:pPr>
                    <w:pStyle w:val="37"/>
                    <w:jc w:val="center"/>
                    <w:rPr>
                      <w:u w:val="none"/>
                    </w:rPr>
                  </w:pPr>
                  <w:r>
                    <w:rPr>
                      <w:rFonts w:hint="eastAsia"/>
                      <w:u w:val="none"/>
                    </w:rPr>
                    <w:t>投入</w:t>
                  </w:r>
                </w:p>
              </w:tc>
              <w:tc>
                <w:tcPr>
                  <w:tcW w:w="4183" w:type="dxa"/>
                  <w:gridSpan w:val="2"/>
                  <w:vAlign w:val="center"/>
                </w:tcPr>
                <w:p>
                  <w:pPr>
                    <w:pStyle w:val="37"/>
                    <w:jc w:val="center"/>
                    <w:rPr>
                      <w:u w:val="none"/>
                    </w:rPr>
                  </w:pPr>
                  <w:r>
                    <w:rPr>
                      <w:rFonts w:hint="eastAsia"/>
                      <w:u w:val="none"/>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3" w:type="dxa"/>
                  <w:vAlign w:val="center"/>
                </w:tcPr>
                <w:p>
                  <w:pPr>
                    <w:pStyle w:val="37"/>
                    <w:jc w:val="center"/>
                    <w:rPr>
                      <w:u w:val="none"/>
                    </w:rPr>
                  </w:pPr>
                  <w:r>
                    <w:rPr>
                      <w:rFonts w:hint="eastAsia"/>
                      <w:u w:val="none"/>
                    </w:rPr>
                    <w:t>原料</w:t>
                  </w:r>
                </w:p>
              </w:tc>
              <w:tc>
                <w:tcPr>
                  <w:tcW w:w="1713" w:type="dxa"/>
                  <w:vAlign w:val="center"/>
                </w:tcPr>
                <w:p>
                  <w:pPr>
                    <w:pStyle w:val="37"/>
                    <w:jc w:val="center"/>
                    <w:rPr>
                      <w:u w:val="none"/>
                    </w:rPr>
                  </w:pPr>
                  <w:r>
                    <w:rPr>
                      <w:rFonts w:hint="eastAsia"/>
                      <w:u w:val="none"/>
                    </w:rPr>
                    <w:t>使用量</w:t>
                  </w:r>
                </w:p>
              </w:tc>
              <w:tc>
                <w:tcPr>
                  <w:tcW w:w="2205" w:type="dxa"/>
                  <w:vAlign w:val="center"/>
                </w:tcPr>
                <w:p>
                  <w:pPr>
                    <w:pStyle w:val="37"/>
                    <w:jc w:val="center"/>
                    <w:rPr>
                      <w:u w:val="none"/>
                    </w:rPr>
                  </w:pPr>
                  <w:r>
                    <w:rPr>
                      <w:rFonts w:hint="eastAsia"/>
                      <w:u w:val="none"/>
                    </w:rPr>
                    <w:t>产出物</w:t>
                  </w:r>
                </w:p>
              </w:tc>
              <w:tc>
                <w:tcPr>
                  <w:tcW w:w="1978" w:type="dxa"/>
                  <w:vAlign w:val="center"/>
                </w:tcPr>
                <w:p>
                  <w:pPr>
                    <w:pStyle w:val="37"/>
                    <w:jc w:val="center"/>
                    <w:rPr>
                      <w:u w:val="none"/>
                    </w:rPr>
                  </w:pPr>
                  <w:r>
                    <w:rPr>
                      <w:rFonts w:hint="eastAsia"/>
                      <w:u w:val="none"/>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3" w:type="dxa"/>
                  <w:vAlign w:val="center"/>
                </w:tcPr>
                <w:p>
                  <w:pPr>
                    <w:pStyle w:val="37"/>
                    <w:jc w:val="center"/>
                    <w:rPr>
                      <w:u w:val="none"/>
                    </w:rPr>
                  </w:pPr>
                  <w:r>
                    <w:rPr>
                      <w:rFonts w:hint="eastAsia"/>
                      <w:u w:val="none"/>
                    </w:rPr>
                    <w:t>煤</w:t>
                  </w:r>
                </w:p>
              </w:tc>
              <w:tc>
                <w:tcPr>
                  <w:tcW w:w="1713" w:type="dxa"/>
                  <w:vAlign w:val="center"/>
                </w:tcPr>
                <w:p>
                  <w:pPr>
                    <w:pStyle w:val="37"/>
                    <w:jc w:val="center"/>
                    <w:rPr>
                      <w:u w:val="none"/>
                    </w:rPr>
                  </w:pPr>
                  <w:r>
                    <w:rPr>
                      <w:u w:val="none"/>
                    </w:rPr>
                    <w:t>20203</w:t>
                  </w:r>
                  <w:r>
                    <w:rPr>
                      <w:rFonts w:hint="eastAsia"/>
                      <w:u w:val="none"/>
                    </w:rPr>
                    <w:t>t/a</w:t>
                  </w:r>
                </w:p>
              </w:tc>
              <w:tc>
                <w:tcPr>
                  <w:tcW w:w="2205" w:type="dxa"/>
                  <w:vAlign w:val="center"/>
                </w:tcPr>
                <w:p>
                  <w:pPr>
                    <w:pStyle w:val="37"/>
                    <w:jc w:val="center"/>
                    <w:rPr>
                      <w:u w:val="none"/>
                    </w:rPr>
                  </w:pPr>
                  <w:r>
                    <w:rPr>
                      <w:rFonts w:hint="eastAsia"/>
                      <w:u w:val="none"/>
                    </w:rPr>
                    <w:t>煤块（5</w:t>
                  </w:r>
                  <w:r>
                    <w:rPr>
                      <w:u w:val="none"/>
                    </w:rPr>
                    <w:t>-8</w:t>
                  </w:r>
                  <w:r>
                    <w:rPr>
                      <w:rFonts w:hint="eastAsia"/>
                      <w:u w:val="none"/>
                    </w:rPr>
                    <w:t>）</w:t>
                  </w:r>
                </w:p>
              </w:tc>
              <w:tc>
                <w:tcPr>
                  <w:tcW w:w="1978" w:type="dxa"/>
                  <w:vAlign w:val="center"/>
                </w:tcPr>
                <w:p>
                  <w:pPr>
                    <w:pStyle w:val="37"/>
                    <w:jc w:val="center"/>
                    <w:rPr>
                      <w:u w:val="none"/>
                    </w:rPr>
                  </w:pPr>
                  <w:r>
                    <w:rPr>
                      <w:u w:val="none"/>
                    </w:rPr>
                    <w:t>5750</w:t>
                  </w:r>
                  <w:r>
                    <w:rPr>
                      <w:rFonts w:hint="eastAsia"/>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3" w:type="dxa"/>
                  <w:vAlign w:val="center"/>
                </w:tcPr>
                <w:p>
                  <w:pPr>
                    <w:pStyle w:val="37"/>
                    <w:jc w:val="center"/>
                    <w:rPr>
                      <w:u w:val="none"/>
                    </w:rPr>
                  </w:pPr>
                  <w:r>
                    <w:rPr>
                      <w:rFonts w:hint="eastAsia"/>
                      <w:u w:val="none"/>
                    </w:rPr>
                    <w:t>泥巴</w:t>
                  </w:r>
                </w:p>
              </w:tc>
              <w:tc>
                <w:tcPr>
                  <w:tcW w:w="1713" w:type="dxa"/>
                  <w:vAlign w:val="center"/>
                </w:tcPr>
                <w:p>
                  <w:pPr>
                    <w:pStyle w:val="37"/>
                    <w:jc w:val="center"/>
                    <w:rPr>
                      <w:u w:val="none"/>
                    </w:rPr>
                  </w:pPr>
                  <w:r>
                    <w:rPr>
                      <w:rFonts w:hint="eastAsia"/>
                      <w:u w:val="none"/>
                    </w:rPr>
                    <w:t>1</w:t>
                  </w:r>
                  <w:r>
                    <w:rPr>
                      <w:u w:val="none"/>
                    </w:rPr>
                    <w:t>000</w:t>
                  </w:r>
                  <w:r>
                    <w:rPr>
                      <w:rFonts w:hint="eastAsia"/>
                      <w:u w:val="none"/>
                    </w:rPr>
                    <w:t>t/a</w:t>
                  </w:r>
                </w:p>
              </w:tc>
              <w:tc>
                <w:tcPr>
                  <w:tcW w:w="2205" w:type="dxa"/>
                  <w:vAlign w:val="center"/>
                </w:tcPr>
                <w:p>
                  <w:pPr>
                    <w:pStyle w:val="37"/>
                    <w:jc w:val="center"/>
                    <w:rPr>
                      <w:u w:val="none"/>
                    </w:rPr>
                  </w:pPr>
                  <w:r>
                    <w:rPr>
                      <w:rFonts w:hint="eastAsia"/>
                      <w:u w:val="none"/>
                    </w:rPr>
                    <w:t>煤块（8</w:t>
                  </w:r>
                  <w:r>
                    <w:rPr>
                      <w:u w:val="none"/>
                    </w:rPr>
                    <w:t>-12</w:t>
                  </w:r>
                  <w:r>
                    <w:rPr>
                      <w:rFonts w:hint="eastAsia"/>
                      <w:u w:val="none"/>
                    </w:rPr>
                    <w:t>）</w:t>
                  </w:r>
                </w:p>
              </w:tc>
              <w:tc>
                <w:tcPr>
                  <w:tcW w:w="1978" w:type="dxa"/>
                  <w:vAlign w:val="center"/>
                </w:tcPr>
                <w:p>
                  <w:pPr>
                    <w:pStyle w:val="37"/>
                    <w:jc w:val="center"/>
                    <w:rPr>
                      <w:u w:val="none"/>
                    </w:rPr>
                  </w:pPr>
                  <w:r>
                    <w:rPr>
                      <w:u w:val="none"/>
                    </w:rPr>
                    <w:t>5750</w:t>
                  </w:r>
                  <w:r>
                    <w:rPr>
                      <w:rFonts w:hint="eastAsia"/>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43" w:type="dxa"/>
                  <w:vAlign w:val="center"/>
                </w:tcPr>
                <w:p>
                  <w:pPr>
                    <w:pStyle w:val="37"/>
                    <w:jc w:val="center"/>
                    <w:rPr>
                      <w:u w:val="none"/>
                    </w:rPr>
                  </w:pPr>
                  <w:r>
                    <w:rPr>
                      <w:rFonts w:hint="eastAsia"/>
                      <w:u w:val="none"/>
                    </w:rPr>
                    <w:t>水</w:t>
                  </w:r>
                </w:p>
              </w:tc>
              <w:tc>
                <w:tcPr>
                  <w:tcW w:w="1713" w:type="dxa"/>
                  <w:vAlign w:val="center"/>
                </w:tcPr>
                <w:p>
                  <w:pPr>
                    <w:pStyle w:val="37"/>
                    <w:jc w:val="center"/>
                    <w:rPr>
                      <w:u w:val="none"/>
                    </w:rPr>
                  </w:pPr>
                  <w:r>
                    <w:rPr>
                      <w:rFonts w:hint="eastAsia"/>
                      <w:u w:val="none"/>
                    </w:rPr>
                    <w:t>5</w:t>
                  </w:r>
                  <w:r>
                    <w:rPr>
                      <w:u w:val="none"/>
                    </w:rPr>
                    <w:t>00</w:t>
                  </w:r>
                  <w:r>
                    <w:rPr>
                      <w:rFonts w:hint="eastAsia"/>
                      <w:u w:val="none"/>
                    </w:rPr>
                    <w:t>t/a</w:t>
                  </w:r>
                </w:p>
              </w:tc>
              <w:tc>
                <w:tcPr>
                  <w:tcW w:w="2205" w:type="dxa"/>
                  <w:vAlign w:val="center"/>
                </w:tcPr>
                <w:p>
                  <w:pPr>
                    <w:pStyle w:val="37"/>
                    <w:jc w:val="center"/>
                    <w:rPr>
                      <w:u w:val="none"/>
                    </w:rPr>
                  </w:pPr>
                  <w:r>
                    <w:rPr>
                      <w:rFonts w:hint="eastAsia"/>
                      <w:u w:val="none"/>
                    </w:rPr>
                    <w:t>蜂窝煤</w:t>
                  </w:r>
                </w:p>
              </w:tc>
              <w:tc>
                <w:tcPr>
                  <w:tcW w:w="1978" w:type="dxa"/>
                  <w:vAlign w:val="center"/>
                </w:tcPr>
                <w:p>
                  <w:pPr>
                    <w:pStyle w:val="37"/>
                    <w:jc w:val="center"/>
                    <w:rPr>
                      <w:u w:val="none"/>
                    </w:rPr>
                  </w:pPr>
                  <w:r>
                    <w:rPr>
                      <w:u w:val="none"/>
                    </w:rPr>
                    <w:t>10000</w:t>
                  </w:r>
                  <w:r>
                    <w:rPr>
                      <w:rFonts w:hint="eastAsia"/>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pStyle w:val="37"/>
                    <w:jc w:val="center"/>
                    <w:rPr>
                      <w:u w:val="none"/>
                    </w:rPr>
                  </w:pPr>
                </w:p>
              </w:tc>
              <w:tc>
                <w:tcPr>
                  <w:tcW w:w="1713" w:type="dxa"/>
                  <w:vAlign w:val="center"/>
                </w:tcPr>
                <w:p>
                  <w:pPr>
                    <w:pStyle w:val="37"/>
                    <w:jc w:val="center"/>
                    <w:rPr>
                      <w:u w:val="none"/>
                    </w:rPr>
                  </w:pPr>
                </w:p>
              </w:tc>
              <w:tc>
                <w:tcPr>
                  <w:tcW w:w="2205" w:type="dxa"/>
                  <w:vAlign w:val="center"/>
                </w:tcPr>
                <w:p>
                  <w:pPr>
                    <w:pStyle w:val="37"/>
                    <w:jc w:val="center"/>
                    <w:rPr>
                      <w:u w:val="none"/>
                    </w:rPr>
                  </w:pPr>
                  <w:r>
                    <w:rPr>
                      <w:rFonts w:hint="eastAsia"/>
                      <w:u w:val="none"/>
                    </w:rPr>
                    <w:t>颗粒物</w:t>
                  </w:r>
                </w:p>
              </w:tc>
              <w:tc>
                <w:tcPr>
                  <w:tcW w:w="1978" w:type="dxa"/>
                  <w:vAlign w:val="center"/>
                </w:tcPr>
                <w:p>
                  <w:pPr>
                    <w:pStyle w:val="37"/>
                    <w:jc w:val="center"/>
                    <w:rPr>
                      <w:u w:val="none"/>
                    </w:rPr>
                  </w:pPr>
                  <w:r>
                    <w:rPr>
                      <w:u w:val="none"/>
                    </w:rPr>
                    <w:t>1.13</w:t>
                  </w:r>
                  <w:r>
                    <w:rPr>
                      <w:rFonts w:hint="eastAsia"/>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pStyle w:val="37"/>
                    <w:jc w:val="center"/>
                    <w:rPr>
                      <w:u w:val="none"/>
                    </w:rPr>
                  </w:pPr>
                </w:p>
              </w:tc>
              <w:tc>
                <w:tcPr>
                  <w:tcW w:w="1713" w:type="dxa"/>
                  <w:vAlign w:val="center"/>
                </w:tcPr>
                <w:p>
                  <w:pPr>
                    <w:pStyle w:val="37"/>
                    <w:jc w:val="center"/>
                    <w:rPr>
                      <w:u w:val="none"/>
                    </w:rPr>
                  </w:pPr>
                </w:p>
              </w:tc>
              <w:tc>
                <w:tcPr>
                  <w:tcW w:w="2205" w:type="dxa"/>
                  <w:vAlign w:val="center"/>
                </w:tcPr>
                <w:p>
                  <w:pPr>
                    <w:pStyle w:val="37"/>
                    <w:jc w:val="center"/>
                    <w:rPr>
                      <w:u w:val="none"/>
                    </w:rPr>
                  </w:pPr>
                  <w:r>
                    <w:rPr>
                      <w:rFonts w:hint="eastAsia"/>
                      <w:u w:val="none"/>
                    </w:rPr>
                    <w:t>废石</w:t>
                  </w:r>
                </w:p>
              </w:tc>
              <w:tc>
                <w:tcPr>
                  <w:tcW w:w="1978" w:type="dxa"/>
                  <w:vAlign w:val="center"/>
                </w:tcPr>
                <w:p>
                  <w:pPr>
                    <w:pStyle w:val="37"/>
                    <w:jc w:val="center"/>
                    <w:rPr>
                      <w:u w:val="none"/>
                    </w:rPr>
                  </w:pPr>
                  <w:r>
                    <w:rPr>
                      <w:u w:val="none"/>
                    </w:rPr>
                    <w:t>200.88</w:t>
                  </w:r>
                  <w:r>
                    <w:rPr>
                      <w:rFonts w:hint="eastAsia"/>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pStyle w:val="37"/>
                    <w:jc w:val="center"/>
                    <w:rPr>
                      <w:u w:val="none"/>
                    </w:rPr>
                  </w:pPr>
                </w:p>
              </w:tc>
              <w:tc>
                <w:tcPr>
                  <w:tcW w:w="1713" w:type="dxa"/>
                  <w:vAlign w:val="center"/>
                </w:tcPr>
                <w:p>
                  <w:pPr>
                    <w:pStyle w:val="37"/>
                    <w:jc w:val="center"/>
                    <w:rPr>
                      <w:u w:val="none"/>
                    </w:rPr>
                  </w:pPr>
                </w:p>
              </w:tc>
              <w:tc>
                <w:tcPr>
                  <w:tcW w:w="2205" w:type="dxa"/>
                  <w:vAlign w:val="center"/>
                </w:tcPr>
                <w:p>
                  <w:pPr>
                    <w:pStyle w:val="37"/>
                    <w:jc w:val="center"/>
                    <w:rPr>
                      <w:u w:val="none"/>
                    </w:rPr>
                  </w:pPr>
                  <w:r>
                    <w:rPr>
                      <w:rFonts w:hint="eastAsia"/>
                      <w:u w:val="none"/>
                    </w:rPr>
                    <w:t>湿法除尘沉淀池沉渣（不考虑水分）</w:t>
                  </w:r>
                </w:p>
              </w:tc>
              <w:tc>
                <w:tcPr>
                  <w:tcW w:w="1978" w:type="dxa"/>
                  <w:vAlign w:val="center"/>
                </w:tcPr>
                <w:p>
                  <w:pPr>
                    <w:pStyle w:val="37"/>
                    <w:jc w:val="center"/>
                    <w:rPr>
                      <w:u w:val="none"/>
                    </w:rPr>
                  </w:pPr>
                  <w:r>
                    <w:rPr>
                      <w:u w:val="none"/>
                    </w:rPr>
                    <w:t>0.99</w:t>
                  </w:r>
                  <w:r>
                    <w:rPr>
                      <w:rFonts w:hint="eastAsia"/>
                      <w:u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3" w:type="dxa"/>
                  <w:vAlign w:val="center"/>
                </w:tcPr>
                <w:p>
                  <w:pPr>
                    <w:pStyle w:val="37"/>
                    <w:jc w:val="center"/>
                    <w:rPr>
                      <w:u w:val="none"/>
                    </w:rPr>
                  </w:pPr>
                  <w:r>
                    <w:rPr>
                      <w:rFonts w:hint="eastAsia"/>
                      <w:u w:val="none"/>
                    </w:rPr>
                    <w:t>合计</w:t>
                  </w:r>
                </w:p>
              </w:tc>
              <w:tc>
                <w:tcPr>
                  <w:tcW w:w="1713" w:type="dxa"/>
                  <w:vAlign w:val="center"/>
                </w:tcPr>
                <w:p>
                  <w:pPr>
                    <w:pStyle w:val="37"/>
                    <w:jc w:val="center"/>
                    <w:rPr>
                      <w:u w:val="none"/>
                    </w:rPr>
                  </w:pPr>
                  <w:r>
                    <w:rPr>
                      <w:u w:val="none"/>
                    </w:rPr>
                    <w:t>21,703</w:t>
                  </w:r>
                  <w:r>
                    <w:rPr>
                      <w:rFonts w:hint="eastAsia"/>
                      <w:u w:val="none"/>
                    </w:rPr>
                    <w:t>t/a</w:t>
                  </w:r>
                </w:p>
              </w:tc>
              <w:tc>
                <w:tcPr>
                  <w:tcW w:w="2205" w:type="dxa"/>
                  <w:vAlign w:val="center"/>
                </w:tcPr>
                <w:p>
                  <w:pPr>
                    <w:pStyle w:val="37"/>
                    <w:jc w:val="center"/>
                    <w:rPr>
                      <w:u w:val="none"/>
                    </w:rPr>
                  </w:pPr>
                  <w:r>
                    <w:rPr>
                      <w:rFonts w:hint="eastAsia"/>
                      <w:u w:val="none"/>
                    </w:rPr>
                    <w:t>合计</w:t>
                  </w:r>
                </w:p>
              </w:tc>
              <w:tc>
                <w:tcPr>
                  <w:tcW w:w="1978" w:type="dxa"/>
                  <w:vAlign w:val="center"/>
                </w:tcPr>
                <w:p>
                  <w:pPr>
                    <w:pStyle w:val="37"/>
                    <w:jc w:val="center"/>
                    <w:rPr>
                      <w:u w:val="none"/>
                    </w:rPr>
                  </w:pPr>
                  <w:r>
                    <w:rPr>
                      <w:u w:val="none"/>
                    </w:rPr>
                    <w:t>21,703t/</w:t>
                  </w:r>
                  <w:r>
                    <w:rPr>
                      <w:rFonts w:hint="eastAsia"/>
                      <w:u w:val="none"/>
                    </w:rPr>
                    <w:t>a</w:t>
                  </w:r>
                </w:p>
              </w:tc>
            </w:tr>
          </w:tbl>
          <w:p>
            <w:pPr>
              <w:ind w:firstLine="480"/>
              <w:rPr>
                <w:rFonts w:cs="Times New Roma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19" w:hRule="atLeast"/>
          <w:jc w:val="center"/>
        </w:trPr>
        <w:tc>
          <w:tcPr>
            <w:tcW w:w="452" w:type="dxa"/>
            <w:vAlign w:val="center"/>
          </w:tcPr>
          <w:p>
            <w:pPr>
              <w:adjustRightInd w:val="0"/>
              <w:snapToGrid w:val="0"/>
              <w:spacing w:line="240" w:lineRule="auto"/>
              <w:ind w:firstLine="0" w:firstLineChars="0"/>
              <w:jc w:val="center"/>
              <w:rPr>
                <w:rFonts w:cs="Times New Roman"/>
                <w:kern w:val="0"/>
                <w:szCs w:val="21"/>
              </w:rPr>
            </w:pPr>
            <w:r>
              <w:rPr>
                <w:rFonts w:hint="eastAsia" w:cs="Times New Roman"/>
                <w:kern w:val="0"/>
                <w:szCs w:val="21"/>
              </w:rPr>
              <w:t>与项目有关的原有环境污染问题</w:t>
            </w:r>
          </w:p>
        </w:tc>
        <w:tc>
          <w:tcPr>
            <w:tcW w:w="8070" w:type="dxa"/>
            <w:vAlign w:val="center"/>
          </w:tcPr>
          <w:p>
            <w:pPr>
              <w:ind w:firstLine="480"/>
            </w:pPr>
            <w:r>
              <w:rPr>
                <w:rFonts w:hint="eastAsia"/>
              </w:rPr>
              <w:t>根据现场踏勘，本项目现已停运，但项目存在部分环境问题需整改后方可投入运营，具体如下：</w:t>
            </w:r>
          </w:p>
          <w:p>
            <w:pPr>
              <w:pStyle w:val="31"/>
            </w:pPr>
            <w:r>
              <w:rPr>
                <w:rFonts w:hint="eastAsia"/>
              </w:rPr>
              <w:t>表2</w:t>
            </w:r>
            <w:r>
              <w:t>-8</w:t>
            </w:r>
            <w:r>
              <w:rPr>
                <w:rFonts w:hint="eastAsia"/>
              </w:rPr>
              <w:t>项目存在环境问题及拟采取整改措施</w:t>
            </w:r>
          </w:p>
          <w:tbl>
            <w:tblPr>
              <w:tblStyle w:val="18"/>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860"/>
              <w:gridCol w:w="2549"/>
              <w:gridCol w:w="3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68" w:type="dxa"/>
                  <w:vAlign w:val="center"/>
                </w:tcPr>
                <w:p>
                  <w:pPr>
                    <w:pStyle w:val="37"/>
                  </w:pPr>
                  <w:r>
                    <w:rPr>
                      <w:rFonts w:hint="eastAsia"/>
                    </w:rPr>
                    <w:t>序号</w:t>
                  </w:r>
                </w:p>
              </w:tc>
              <w:tc>
                <w:tcPr>
                  <w:tcW w:w="860" w:type="dxa"/>
                  <w:vAlign w:val="center"/>
                </w:tcPr>
                <w:p>
                  <w:pPr>
                    <w:pStyle w:val="37"/>
                  </w:pPr>
                  <w:r>
                    <w:rPr>
                      <w:rFonts w:hint="eastAsia"/>
                    </w:rPr>
                    <w:t>类别</w:t>
                  </w:r>
                </w:p>
              </w:tc>
              <w:tc>
                <w:tcPr>
                  <w:tcW w:w="2549" w:type="dxa"/>
                  <w:vAlign w:val="center"/>
                </w:tcPr>
                <w:p>
                  <w:pPr>
                    <w:pStyle w:val="37"/>
                  </w:pPr>
                  <w:r>
                    <w:rPr>
                      <w:rFonts w:hint="eastAsia"/>
                    </w:rPr>
                    <w:t>问题</w:t>
                  </w:r>
                </w:p>
              </w:tc>
              <w:tc>
                <w:tcPr>
                  <w:tcW w:w="3767" w:type="dxa"/>
                  <w:vAlign w:val="center"/>
                </w:tcPr>
                <w:p>
                  <w:pPr>
                    <w:pStyle w:val="37"/>
                  </w:pPr>
                  <w:r>
                    <w:rPr>
                      <w:rFonts w:hint="eastAsia"/>
                    </w:rPr>
                    <w:t>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668" w:type="dxa"/>
                  <w:vMerge w:val="restart"/>
                  <w:vAlign w:val="center"/>
                </w:tcPr>
                <w:p>
                  <w:pPr>
                    <w:pStyle w:val="37"/>
                  </w:pPr>
                  <w:r>
                    <w:rPr>
                      <w:rFonts w:hint="eastAsia"/>
                    </w:rPr>
                    <w:t>1</w:t>
                  </w:r>
                </w:p>
              </w:tc>
              <w:tc>
                <w:tcPr>
                  <w:tcW w:w="860" w:type="dxa"/>
                  <w:vMerge w:val="restart"/>
                  <w:vAlign w:val="center"/>
                </w:tcPr>
                <w:p>
                  <w:pPr>
                    <w:pStyle w:val="37"/>
                  </w:pPr>
                  <w:r>
                    <w:rPr>
                      <w:rFonts w:hint="eastAsia"/>
                    </w:rPr>
                    <w:t>废水</w:t>
                  </w:r>
                </w:p>
              </w:tc>
              <w:tc>
                <w:tcPr>
                  <w:tcW w:w="2549" w:type="dxa"/>
                  <w:vAlign w:val="center"/>
                </w:tcPr>
                <w:p>
                  <w:pPr>
                    <w:pStyle w:val="37"/>
                  </w:pPr>
                  <w:r>
                    <w:rPr>
                      <w:rFonts w:hint="eastAsia"/>
                    </w:rPr>
                    <w:t>企业未落实雨、污分流措施，全厂区排水管网不完善</w:t>
                  </w:r>
                </w:p>
              </w:tc>
              <w:tc>
                <w:tcPr>
                  <w:tcW w:w="3767" w:type="dxa"/>
                  <w:vAlign w:val="center"/>
                </w:tcPr>
                <w:p>
                  <w:pPr>
                    <w:pStyle w:val="37"/>
                  </w:pPr>
                  <w:r>
                    <w:rPr>
                      <w:rFonts w:hint="eastAsia"/>
                    </w:rPr>
                    <w:t>按要求建设雨、污分流管道，完善全厂区排水管网（明沟盖板），分区收集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668" w:type="dxa"/>
                  <w:vMerge w:val="continue"/>
                  <w:vAlign w:val="center"/>
                </w:tcPr>
                <w:p>
                  <w:pPr>
                    <w:pStyle w:val="37"/>
                  </w:pPr>
                </w:p>
              </w:tc>
              <w:tc>
                <w:tcPr>
                  <w:tcW w:w="860" w:type="dxa"/>
                  <w:vMerge w:val="continue"/>
                  <w:vAlign w:val="center"/>
                </w:tcPr>
                <w:p>
                  <w:pPr>
                    <w:pStyle w:val="37"/>
                  </w:pPr>
                </w:p>
              </w:tc>
              <w:tc>
                <w:tcPr>
                  <w:tcW w:w="2549" w:type="dxa"/>
                  <w:vAlign w:val="center"/>
                </w:tcPr>
                <w:p>
                  <w:pPr>
                    <w:pStyle w:val="37"/>
                  </w:pPr>
                  <w:r>
                    <w:rPr>
                      <w:rFonts w:hint="eastAsia"/>
                    </w:rPr>
                    <w:t>厂区雨水未收集，直接排放至铁水，对铁水水质造成污染</w:t>
                  </w:r>
                </w:p>
              </w:tc>
              <w:tc>
                <w:tcPr>
                  <w:tcW w:w="3767" w:type="dxa"/>
                  <w:vAlign w:val="center"/>
                </w:tcPr>
                <w:p>
                  <w:pPr>
                    <w:pStyle w:val="37"/>
                  </w:pPr>
                  <w:r>
                    <w:rPr>
                      <w:rFonts w:hint="eastAsia"/>
                    </w:rPr>
                    <w:t>完善全厂区雨水收集管网，建设初期雨水收集池1（5</w:t>
                  </w:r>
                  <w:r>
                    <w:t>0</w:t>
                  </w:r>
                  <w:r>
                    <w:rPr>
                      <w:rFonts w:hint="eastAsia"/>
                    </w:rPr>
                    <w:t>m</w:t>
                  </w:r>
                  <w:r>
                    <w:rPr>
                      <w:vertAlign w:val="superscript"/>
                    </w:rPr>
                    <w:t>3</w:t>
                  </w:r>
                  <w:r>
                    <w:rPr>
                      <w:rFonts w:hint="eastAsia"/>
                    </w:rPr>
                    <w:t>）和初期雨水收集池</w:t>
                  </w:r>
                  <w:r>
                    <w:t>2</w:t>
                  </w:r>
                  <w:r>
                    <w:rPr>
                      <w:rFonts w:hint="eastAsia"/>
                    </w:rPr>
                    <w:t>（</w:t>
                  </w:r>
                  <w:r>
                    <w:t>90</w:t>
                  </w:r>
                  <w:r>
                    <w:rPr>
                      <w:rFonts w:hint="eastAsia"/>
                    </w:rPr>
                    <w:t>m</w:t>
                  </w:r>
                  <w:r>
                    <w:rPr>
                      <w:vertAlign w:val="superscript"/>
                    </w:rPr>
                    <w:t>3</w:t>
                  </w:r>
                  <w:r>
                    <w:rPr>
                      <w:rFonts w:hint="eastAsia"/>
                    </w:rPr>
                    <w:t>），收集后回用于降尘及车辆清洗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668" w:type="dxa"/>
                  <w:vMerge w:val="continue"/>
                  <w:vAlign w:val="center"/>
                </w:tcPr>
                <w:p>
                  <w:pPr>
                    <w:pStyle w:val="37"/>
                  </w:pPr>
                </w:p>
              </w:tc>
              <w:tc>
                <w:tcPr>
                  <w:tcW w:w="860" w:type="dxa"/>
                  <w:vMerge w:val="continue"/>
                  <w:vAlign w:val="center"/>
                </w:tcPr>
                <w:p>
                  <w:pPr>
                    <w:pStyle w:val="37"/>
                  </w:pPr>
                </w:p>
              </w:tc>
              <w:tc>
                <w:tcPr>
                  <w:tcW w:w="2549" w:type="dxa"/>
                  <w:vAlign w:val="center"/>
                </w:tcPr>
                <w:p>
                  <w:pPr>
                    <w:pStyle w:val="37"/>
                  </w:pPr>
                  <w:r>
                    <w:rPr>
                      <w:rFonts w:hint="eastAsia"/>
                    </w:rPr>
                    <w:t>现有企业车辆进出厂清洗设备及洗车废水收集处理设施不完善</w:t>
                  </w:r>
                </w:p>
              </w:tc>
              <w:tc>
                <w:tcPr>
                  <w:tcW w:w="3767" w:type="dxa"/>
                  <w:vAlign w:val="center"/>
                </w:tcPr>
                <w:p>
                  <w:pPr>
                    <w:pStyle w:val="37"/>
                  </w:pPr>
                  <w:r>
                    <w:rPr>
                      <w:rFonts w:hint="eastAsia"/>
                    </w:rPr>
                    <w:t>完善车辆进出厂清洗装置，洗车废水经收集后汇集至三级沉淀池（</w:t>
                  </w:r>
                  <w:r>
                    <w:t>5</w:t>
                  </w:r>
                  <w:r>
                    <w:rPr>
                      <w:rFonts w:hint="eastAsia"/>
                    </w:rPr>
                    <w:t>m</w:t>
                  </w:r>
                  <w:r>
                    <w:rPr>
                      <w:rFonts w:hint="eastAsia"/>
                      <w:vertAlign w:val="superscript"/>
                    </w:rPr>
                    <w:t>3</w:t>
                  </w:r>
                  <w:r>
                    <w:rPr>
                      <w:rFonts w:hint="eastAsia"/>
                    </w:rPr>
                    <w:t>）沉淀后循环使用，不外排；对厂区内进行分区防渗处理；沉淀池应定期清理，清理出的沉渣压滤后外售给水泥厂综合使用。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6" w:hRule="atLeast"/>
              </w:trPr>
              <w:tc>
                <w:tcPr>
                  <w:tcW w:w="668" w:type="dxa"/>
                  <w:vMerge w:val="continue"/>
                  <w:vAlign w:val="center"/>
                </w:tcPr>
                <w:p>
                  <w:pPr>
                    <w:pStyle w:val="37"/>
                  </w:pPr>
                </w:p>
              </w:tc>
              <w:tc>
                <w:tcPr>
                  <w:tcW w:w="860" w:type="dxa"/>
                  <w:vMerge w:val="continue"/>
                  <w:vAlign w:val="center"/>
                </w:tcPr>
                <w:p>
                  <w:pPr>
                    <w:pStyle w:val="37"/>
                  </w:pPr>
                </w:p>
              </w:tc>
              <w:tc>
                <w:tcPr>
                  <w:tcW w:w="2549" w:type="dxa"/>
                  <w:vAlign w:val="center"/>
                </w:tcPr>
                <w:p>
                  <w:pPr>
                    <w:pStyle w:val="37"/>
                  </w:pPr>
                  <w:r>
                    <w:rPr>
                      <w:rFonts w:hint="eastAsia"/>
                    </w:rPr>
                    <w:t>生活污水雨季无储存方式</w:t>
                  </w:r>
                </w:p>
              </w:tc>
              <w:tc>
                <w:tcPr>
                  <w:tcW w:w="3767" w:type="dxa"/>
                  <w:vAlign w:val="center"/>
                </w:tcPr>
                <w:p>
                  <w:pPr>
                    <w:pStyle w:val="37"/>
                  </w:pPr>
                  <w:r>
                    <w:rPr>
                      <w:rFonts w:hint="eastAsia"/>
                    </w:rPr>
                    <w:t>建设生活污水雨季贮存池（2</w:t>
                  </w:r>
                  <w:r>
                    <w:t>0</w:t>
                  </w:r>
                  <w:r>
                    <w:rPr>
                      <w:rFonts w:hint="eastAsia"/>
                    </w:rPr>
                    <w:t>m</w:t>
                  </w:r>
                  <w:r>
                    <w:rPr>
                      <w:rFonts w:hint="eastAsia"/>
                      <w:vertAlign w:val="superscript"/>
                    </w:rPr>
                    <w:t>3</w:t>
                  </w:r>
                  <w:r>
                    <w:rPr>
                      <w:rFonts w:hint="eastAsia"/>
                    </w:rPr>
                    <w:t>），用于贮存雨季生活污水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 w:hRule="atLeast"/>
              </w:trPr>
              <w:tc>
                <w:tcPr>
                  <w:tcW w:w="668" w:type="dxa"/>
                  <w:vMerge w:val="restart"/>
                  <w:vAlign w:val="center"/>
                </w:tcPr>
                <w:p>
                  <w:pPr>
                    <w:pStyle w:val="37"/>
                  </w:pPr>
                  <w:r>
                    <w:rPr>
                      <w:rFonts w:hint="eastAsia"/>
                    </w:rPr>
                    <w:t>2</w:t>
                  </w:r>
                </w:p>
              </w:tc>
              <w:tc>
                <w:tcPr>
                  <w:tcW w:w="860" w:type="dxa"/>
                  <w:vMerge w:val="restart"/>
                  <w:vAlign w:val="center"/>
                </w:tcPr>
                <w:p>
                  <w:pPr>
                    <w:pStyle w:val="37"/>
                  </w:pPr>
                  <w:r>
                    <w:rPr>
                      <w:rFonts w:hint="eastAsia"/>
                    </w:rPr>
                    <w:t>废气</w:t>
                  </w:r>
                </w:p>
                <w:p>
                  <w:pPr>
                    <w:pStyle w:val="37"/>
                  </w:pPr>
                </w:p>
              </w:tc>
              <w:tc>
                <w:tcPr>
                  <w:tcW w:w="2549" w:type="dxa"/>
                  <w:vAlign w:val="center"/>
                </w:tcPr>
                <w:p>
                  <w:pPr>
                    <w:pStyle w:val="37"/>
                  </w:pPr>
                  <w:r>
                    <w:rPr>
                      <w:rFonts w:hint="eastAsia"/>
                    </w:rPr>
                    <w:t>加工车间、堆场未封闭，颗粒物无组织排放较多</w:t>
                  </w:r>
                </w:p>
              </w:tc>
              <w:tc>
                <w:tcPr>
                  <w:tcW w:w="3767" w:type="dxa"/>
                  <w:vAlign w:val="center"/>
                </w:tcPr>
                <w:p>
                  <w:pPr>
                    <w:pStyle w:val="37"/>
                  </w:pPr>
                  <w:r>
                    <w:rPr>
                      <w:rFonts w:hint="eastAsia"/>
                    </w:rPr>
                    <w:t>建设单位应封闭生产车间，对原料堆场、成品堆场、加工区安装雾化喷淋头，采取雾化喷淋、洒水降尘措施，减少无组织粉尘的排放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trPr>
              <w:tc>
                <w:tcPr>
                  <w:tcW w:w="668" w:type="dxa"/>
                  <w:vMerge w:val="continue"/>
                  <w:vAlign w:val="center"/>
                </w:tcPr>
                <w:p>
                  <w:pPr>
                    <w:pStyle w:val="37"/>
                  </w:pPr>
                </w:p>
              </w:tc>
              <w:tc>
                <w:tcPr>
                  <w:tcW w:w="860" w:type="dxa"/>
                  <w:vMerge w:val="continue"/>
                  <w:vAlign w:val="center"/>
                </w:tcPr>
                <w:p>
                  <w:pPr>
                    <w:pStyle w:val="37"/>
                  </w:pPr>
                </w:p>
              </w:tc>
              <w:tc>
                <w:tcPr>
                  <w:tcW w:w="2549" w:type="dxa"/>
                  <w:vAlign w:val="center"/>
                </w:tcPr>
                <w:p>
                  <w:pPr>
                    <w:pStyle w:val="37"/>
                  </w:pPr>
                  <w:r>
                    <w:rPr>
                      <w:rFonts w:hint="eastAsia"/>
                    </w:rPr>
                    <w:t>筛分破碎工序未设置废气收集装置</w:t>
                  </w:r>
                </w:p>
              </w:tc>
              <w:tc>
                <w:tcPr>
                  <w:tcW w:w="3767" w:type="dxa"/>
                  <w:vAlign w:val="center"/>
                </w:tcPr>
                <w:p>
                  <w:pPr>
                    <w:pStyle w:val="37"/>
                  </w:pPr>
                  <w:r>
                    <w:rPr>
                      <w:rFonts w:hint="eastAsia"/>
                    </w:rPr>
                    <w:t>建设封闭车间+破碎+集气罩+湿法除尘+</w:t>
                  </w:r>
                  <w:r>
                    <w:t>15</w:t>
                  </w:r>
                  <w:r>
                    <w:rPr>
                      <w:rFonts w:hint="eastAsia"/>
                    </w:rPr>
                    <w:t>m排气筒的处理系统；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trPr>
              <w:tc>
                <w:tcPr>
                  <w:tcW w:w="668" w:type="dxa"/>
                  <w:vMerge w:val="restart"/>
                  <w:tcBorders>
                    <w:bottom w:val="single" w:color="auto" w:sz="4" w:space="0"/>
                  </w:tcBorders>
                  <w:vAlign w:val="center"/>
                </w:tcPr>
                <w:p>
                  <w:pPr>
                    <w:pStyle w:val="37"/>
                  </w:pPr>
                  <w:r>
                    <w:rPr>
                      <w:rFonts w:hint="eastAsia"/>
                    </w:rPr>
                    <w:t>3</w:t>
                  </w:r>
                </w:p>
              </w:tc>
              <w:tc>
                <w:tcPr>
                  <w:tcW w:w="860" w:type="dxa"/>
                  <w:vMerge w:val="restart"/>
                  <w:tcBorders>
                    <w:bottom w:val="single" w:color="auto" w:sz="4" w:space="0"/>
                  </w:tcBorders>
                  <w:vAlign w:val="center"/>
                </w:tcPr>
                <w:p>
                  <w:pPr>
                    <w:pStyle w:val="37"/>
                  </w:pPr>
                  <w:r>
                    <w:rPr>
                      <w:rFonts w:hint="eastAsia"/>
                    </w:rPr>
                    <w:t>固体废物</w:t>
                  </w:r>
                </w:p>
              </w:tc>
              <w:tc>
                <w:tcPr>
                  <w:tcW w:w="2549" w:type="dxa"/>
                  <w:tcBorders>
                    <w:bottom w:val="single" w:color="auto" w:sz="4" w:space="0"/>
                  </w:tcBorders>
                  <w:vAlign w:val="center"/>
                </w:tcPr>
                <w:p>
                  <w:pPr>
                    <w:pStyle w:val="37"/>
                  </w:pPr>
                  <w:r>
                    <w:rPr>
                      <w:rFonts w:hint="eastAsia"/>
                    </w:rPr>
                    <w:t>企业未建设一般固废暂存间，一般固废随意堆放</w:t>
                  </w:r>
                </w:p>
              </w:tc>
              <w:tc>
                <w:tcPr>
                  <w:tcW w:w="3767" w:type="dxa"/>
                  <w:tcBorders>
                    <w:bottom w:val="single" w:color="auto" w:sz="4" w:space="0"/>
                  </w:tcBorders>
                  <w:vAlign w:val="center"/>
                </w:tcPr>
                <w:p>
                  <w:pPr>
                    <w:pStyle w:val="37"/>
                  </w:pPr>
                  <w:r>
                    <w:rPr>
                      <w:rFonts w:hint="eastAsia"/>
                    </w:rPr>
                    <w:t>建设一般固废暂存间，按规定严格管理一般固废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668" w:type="dxa"/>
                  <w:vMerge w:val="continue"/>
                  <w:vAlign w:val="center"/>
                </w:tcPr>
                <w:p>
                  <w:pPr>
                    <w:pStyle w:val="37"/>
                  </w:pPr>
                </w:p>
              </w:tc>
              <w:tc>
                <w:tcPr>
                  <w:tcW w:w="860" w:type="dxa"/>
                  <w:vMerge w:val="continue"/>
                  <w:vAlign w:val="center"/>
                </w:tcPr>
                <w:p>
                  <w:pPr>
                    <w:pStyle w:val="37"/>
                  </w:pPr>
                </w:p>
              </w:tc>
              <w:tc>
                <w:tcPr>
                  <w:tcW w:w="2549" w:type="dxa"/>
                  <w:vAlign w:val="center"/>
                </w:tcPr>
                <w:p>
                  <w:pPr>
                    <w:pStyle w:val="37"/>
                  </w:pPr>
                  <w:r>
                    <w:rPr>
                      <w:rFonts w:hint="eastAsia"/>
                    </w:rPr>
                    <w:t>企业未设置危险废物暂存间，危险废物未按规定处理</w:t>
                  </w:r>
                </w:p>
              </w:tc>
              <w:tc>
                <w:tcPr>
                  <w:tcW w:w="3767" w:type="dxa"/>
                  <w:vAlign w:val="center"/>
                </w:tcPr>
                <w:p>
                  <w:pPr>
                    <w:pStyle w:val="37"/>
                  </w:pPr>
                  <w:r>
                    <w:rPr>
                      <w:rFonts w:hint="eastAsia"/>
                    </w:rPr>
                    <w:t>建设危废暂存间，按规定严格管理危废，定期委托有资质的单位收集处理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668" w:type="dxa"/>
                  <w:vMerge w:val="restart"/>
                  <w:vAlign w:val="center"/>
                </w:tcPr>
                <w:p>
                  <w:pPr>
                    <w:pStyle w:val="37"/>
                  </w:pPr>
                  <w:r>
                    <w:rPr>
                      <w:rFonts w:hint="eastAsia"/>
                    </w:rPr>
                    <w:t>4</w:t>
                  </w:r>
                </w:p>
              </w:tc>
              <w:tc>
                <w:tcPr>
                  <w:tcW w:w="860" w:type="dxa"/>
                  <w:vMerge w:val="restart"/>
                  <w:vAlign w:val="center"/>
                </w:tcPr>
                <w:p>
                  <w:pPr>
                    <w:pStyle w:val="37"/>
                  </w:pPr>
                  <w:r>
                    <w:rPr>
                      <w:rFonts w:hint="eastAsia"/>
                    </w:rPr>
                    <w:t>土壤、地下水环境保护</w:t>
                  </w:r>
                </w:p>
              </w:tc>
              <w:tc>
                <w:tcPr>
                  <w:tcW w:w="2549" w:type="dxa"/>
                  <w:vAlign w:val="center"/>
                </w:tcPr>
                <w:p>
                  <w:pPr>
                    <w:pStyle w:val="37"/>
                  </w:pPr>
                  <w:r>
                    <w:rPr>
                      <w:rFonts w:hint="eastAsia"/>
                    </w:rPr>
                    <w:t>厂区内部分区域地面未硬化，未分区防渗</w:t>
                  </w:r>
                </w:p>
              </w:tc>
              <w:tc>
                <w:tcPr>
                  <w:tcW w:w="3767" w:type="dxa"/>
                  <w:vAlign w:val="center"/>
                </w:tcPr>
                <w:p>
                  <w:pPr>
                    <w:pStyle w:val="37"/>
                  </w:pPr>
                  <w:r>
                    <w:rPr>
                      <w:rFonts w:hint="eastAsia"/>
                    </w:rPr>
                    <w:t>全厂区按要求分区防渗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668" w:type="dxa"/>
                  <w:vMerge w:val="continue"/>
                  <w:vAlign w:val="center"/>
                </w:tcPr>
                <w:p>
                  <w:pPr>
                    <w:pStyle w:val="37"/>
                  </w:pPr>
                </w:p>
              </w:tc>
              <w:tc>
                <w:tcPr>
                  <w:tcW w:w="860" w:type="dxa"/>
                  <w:vMerge w:val="continue"/>
                  <w:vAlign w:val="center"/>
                </w:tcPr>
                <w:p>
                  <w:pPr>
                    <w:pStyle w:val="37"/>
                  </w:pPr>
                </w:p>
              </w:tc>
              <w:tc>
                <w:tcPr>
                  <w:tcW w:w="2549" w:type="dxa"/>
                  <w:vAlign w:val="center"/>
                </w:tcPr>
                <w:p>
                  <w:pPr>
                    <w:pStyle w:val="37"/>
                  </w:pPr>
                  <w:r>
                    <w:rPr>
                      <w:rFonts w:hint="eastAsia"/>
                    </w:rPr>
                    <w:t>厂区地面及生产车间地面存在大量煤灰及砂石，容易污染周边环境</w:t>
                  </w:r>
                </w:p>
              </w:tc>
              <w:tc>
                <w:tcPr>
                  <w:tcW w:w="3767" w:type="dxa"/>
                  <w:vAlign w:val="center"/>
                </w:tcPr>
                <w:p>
                  <w:pPr>
                    <w:pStyle w:val="37"/>
                  </w:pPr>
                  <w:r>
                    <w:rPr>
                      <w:rFonts w:hint="eastAsia"/>
                    </w:rPr>
                    <w:t>清扫收集后外售给当地水泥厂</w:t>
                  </w:r>
                </w:p>
              </w:tc>
            </w:tr>
          </w:tbl>
          <w:p>
            <w:pPr>
              <w:ind w:firstLine="480"/>
            </w:pPr>
          </w:p>
        </w:tc>
      </w:tr>
    </w:tbl>
    <w:p>
      <w:pPr>
        <w:ind w:firstLine="480"/>
        <w:rPr>
          <w:rFonts w:cs="Times New Roman"/>
        </w:rPr>
        <w:sectPr>
          <w:pgSz w:w="11906" w:h="16838"/>
          <w:pgMar w:top="1440" w:right="1800" w:bottom="1440" w:left="1800" w:header="851" w:footer="992" w:gutter="0"/>
          <w:cols w:space="425" w:num="1"/>
          <w:docGrid w:type="lines" w:linePitch="312" w:charSpace="0"/>
        </w:sectPr>
      </w:pPr>
    </w:p>
    <w:p>
      <w:pPr>
        <w:pStyle w:val="2"/>
      </w:pPr>
      <w:bookmarkStart w:id="73" w:name="_Toc7376"/>
      <w:r>
        <w:t>三、生态环境现状、保护目标及评价标准</w:t>
      </w:r>
      <w:bookmarkEnd w:id="73"/>
    </w:p>
    <w:tbl>
      <w:tblPr>
        <w:tblStyle w:val="18"/>
        <w:tblW w:w="91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2" w:hRule="atLeast"/>
        </w:trPr>
        <w:tc>
          <w:tcPr>
            <w:tcW w:w="456" w:type="dxa"/>
          </w:tcPr>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p>
          <w:p>
            <w:pPr>
              <w:adjustRightInd w:val="0"/>
              <w:snapToGrid w:val="0"/>
              <w:spacing w:line="240" w:lineRule="auto"/>
              <w:ind w:firstLine="0" w:firstLineChars="0"/>
              <w:jc w:val="center"/>
              <w:rPr>
                <w:rFonts w:cs="Times New Roman"/>
                <w:kern w:val="0"/>
                <w:szCs w:val="21"/>
              </w:rPr>
            </w:pPr>
            <w:r>
              <w:rPr>
                <w:rFonts w:cs="Times New Roman"/>
                <w:kern w:val="0"/>
                <w:szCs w:val="21"/>
              </w:rPr>
              <w:t>区域环境质量现状</w:t>
            </w:r>
          </w:p>
        </w:tc>
        <w:tc>
          <w:tcPr>
            <w:tcW w:w="8706" w:type="dxa"/>
          </w:tcPr>
          <w:p>
            <w:pPr>
              <w:pStyle w:val="4"/>
              <w:rPr>
                <w:rFonts w:cs="Times New Roman"/>
              </w:rPr>
            </w:pPr>
            <w:bookmarkStart w:id="74" w:name="_Toc107415660"/>
            <w:bookmarkStart w:id="75" w:name="_Toc107409306"/>
            <w:bookmarkStart w:id="76" w:name="_Toc116339915"/>
            <w:bookmarkStart w:id="77" w:name="_Toc106531336"/>
            <w:bookmarkStart w:id="78" w:name="_Toc107343385"/>
            <w:bookmarkStart w:id="79" w:name="_Toc107343571"/>
            <w:r>
              <w:rPr>
                <w:rFonts w:cs="Times New Roman"/>
              </w:rPr>
              <w:t>1、大气环境质量现状</w:t>
            </w:r>
            <w:bookmarkEnd w:id="74"/>
            <w:bookmarkEnd w:id="75"/>
            <w:bookmarkEnd w:id="76"/>
            <w:bookmarkEnd w:id="77"/>
            <w:bookmarkEnd w:id="78"/>
            <w:bookmarkEnd w:id="79"/>
          </w:p>
          <w:p>
            <w:pPr>
              <w:ind w:firstLine="199" w:firstLineChars="83"/>
              <w:rPr>
                <w:rFonts w:cs="Times New Roman"/>
              </w:rPr>
            </w:pPr>
            <w:r>
              <w:rPr>
                <w:rFonts w:cs="Times New Roman"/>
              </w:rPr>
              <w:t>（1）达标区判定</w:t>
            </w:r>
          </w:p>
          <w:p>
            <w:pPr>
              <w:ind w:firstLine="480"/>
              <w:rPr>
                <w:rFonts w:cs="Times New Roman"/>
              </w:rPr>
            </w:pPr>
            <w:r>
              <w:rPr>
                <w:rFonts w:cs="Times New Roman"/>
              </w:rPr>
              <w:t>本项目位于二类环境空气功能区，执行《环境空气质量标准》（GB3095-2012）及其2018年修改单中的二级标准。为了解本区域环境空气质量现状，本报告引用2020年攸县环境监测站对攸县的常规监测区域年报数据，监测点位于攸县县城城关区，详见表3-1。</w:t>
            </w:r>
          </w:p>
          <w:p>
            <w:pPr>
              <w:pStyle w:val="31"/>
              <w:rPr>
                <w:rFonts w:cs="Times New Roman"/>
                <w:sz w:val="18"/>
                <w:szCs w:val="18"/>
              </w:rPr>
            </w:pPr>
            <w:r>
              <w:rPr>
                <w:rFonts w:cs="Times New Roman"/>
              </w:rPr>
              <w:t>表3-1  2020年度株洲市攸县环境空气监测结果统计</w:t>
            </w:r>
          </w:p>
          <w:tbl>
            <w:tblPr>
              <w:tblStyle w:val="17"/>
              <w:tblW w:w="847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962"/>
              <w:gridCol w:w="3744"/>
              <w:gridCol w:w="963"/>
              <w:gridCol w:w="963"/>
              <w:gridCol w:w="795"/>
              <w:gridCol w:w="104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Align w:val="center"/>
                </w:tcPr>
                <w:p>
                  <w:pPr>
                    <w:pStyle w:val="37"/>
                    <w:rPr>
                      <w:rFonts w:cs="Times New Roman"/>
                      <w:u w:val="none"/>
                    </w:rPr>
                  </w:pPr>
                  <w:r>
                    <w:rPr>
                      <w:rFonts w:cs="Times New Roman"/>
                      <w:u w:val="none"/>
                    </w:rPr>
                    <w:t>污染物</w:t>
                  </w:r>
                </w:p>
              </w:tc>
              <w:tc>
                <w:tcPr>
                  <w:tcW w:w="3744" w:type="dxa"/>
                  <w:vAlign w:val="center"/>
                </w:tcPr>
                <w:p>
                  <w:pPr>
                    <w:pStyle w:val="37"/>
                    <w:rPr>
                      <w:rFonts w:cs="Times New Roman"/>
                      <w:u w:val="none"/>
                    </w:rPr>
                  </w:pPr>
                  <w:r>
                    <w:rPr>
                      <w:rFonts w:cs="Times New Roman"/>
                      <w:u w:val="none"/>
                    </w:rPr>
                    <w:t>年平均指标</w:t>
                  </w:r>
                </w:p>
              </w:tc>
              <w:tc>
                <w:tcPr>
                  <w:tcW w:w="963" w:type="dxa"/>
                  <w:vAlign w:val="center"/>
                </w:tcPr>
                <w:p>
                  <w:pPr>
                    <w:pStyle w:val="37"/>
                    <w:rPr>
                      <w:rFonts w:cs="Times New Roman"/>
                      <w:u w:val="none"/>
                    </w:rPr>
                  </w:pPr>
                  <w:r>
                    <w:rPr>
                      <w:rFonts w:cs="Times New Roman"/>
                      <w:u w:val="none"/>
                    </w:rPr>
                    <w:t>浓度值</w:t>
                  </w:r>
                </w:p>
                <w:p>
                  <w:pPr>
                    <w:pStyle w:val="37"/>
                    <w:rPr>
                      <w:rFonts w:cs="Times New Roman"/>
                      <w:u w:val="none"/>
                    </w:rPr>
                  </w:pPr>
                  <w:r>
                    <w:rPr>
                      <w:rFonts w:cs="Times New Roman"/>
                      <w:u w:val="none"/>
                    </w:rPr>
                    <w:t>ug/m</w:t>
                  </w:r>
                  <w:r>
                    <w:rPr>
                      <w:rFonts w:cs="Times New Roman"/>
                      <w:u w:val="none"/>
                      <w:vertAlign w:val="superscript"/>
                    </w:rPr>
                    <w:t>3</w:t>
                  </w:r>
                </w:p>
              </w:tc>
              <w:tc>
                <w:tcPr>
                  <w:tcW w:w="963" w:type="dxa"/>
                  <w:vAlign w:val="center"/>
                </w:tcPr>
                <w:p>
                  <w:pPr>
                    <w:pStyle w:val="37"/>
                    <w:rPr>
                      <w:rFonts w:cs="Times New Roman"/>
                      <w:u w:val="none"/>
                    </w:rPr>
                  </w:pPr>
                  <w:r>
                    <w:rPr>
                      <w:rFonts w:cs="Times New Roman"/>
                      <w:u w:val="none"/>
                    </w:rPr>
                    <w:t>标准值</w:t>
                  </w:r>
                </w:p>
                <w:p>
                  <w:pPr>
                    <w:pStyle w:val="37"/>
                    <w:rPr>
                      <w:rFonts w:cs="Times New Roman"/>
                      <w:u w:val="none"/>
                    </w:rPr>
                  </w:pPr>
                  <w:r>
                    <w:rPr>
                      <w:rFonts w:cs="Times New Roman"/>
                      <w:u w:val="none"/>
                    </w:rPr>
                    <w:t>ug/m</w:t>
                  </w:r>
                  <w:r>
                    <w:rPr>
                      <w:rFonts w:cs="Times New Roman"/>
                      <w:u w:val="none"/>
                      <w:vertAlign w:val="superscript"/>
                    </w:rPr>
                    <w:t>3</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占标率</w:t>
                  </w:r>
                </w:p>
                <w:p>
                  <w:pPr>
                    <w:pStyle w:val="37"/>
                    <w:rPr>
                      <w:rFonts w:cs="Times New Roman"/>
                      <w:u w:val="none"/>
                    </w:rPr>
                  </w:pPr>
                  <w:r>
                    <w:rPr>
                      <w:rFonts w:cs="Times New Roman"/>
                      <w:u w:val="none"/>
                    </w:rPr>
                    <w:t>%</w:t>
                  </w:r>
                </w:p>
              </w:tc>
              <w:tc>
                <w:tcPr>
                  <w:tcW w:w="1047" w:type="dxa"/>
                  <w:tcMar>
                    <w:top w:w="15" w:type="dxa"/>
                    <w:left w:w="15" w:type="dxa"/>
                    <w:bottom w:w="0" w:type="dxa"/>
                    <w:right w:w="15" w:type="dxa"/>
                  </w:tcMar>
                  <w:vAlign w:val="center"/>
                </w:tcPr>
                <w:p>
                  <w:pPr>
                    <w:pStyle w:val="37"/>
                    <w:rPr>
                      <w:rFonts w:cs="Times New Roman"/>
                      <w:u w:val="none"/>
                    </w:rPr>
                  </w:pPr>
                  <w:r>
                    <w:rPr>
                      <w:rFonts w:cs="Times New Roman"/>
                      <w:u w:val="none"/>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restart"/>
                  <w:vAlign w:val="center"/>
                </w:tcPr>
                <w:p>
                  <w:pPr>
                    <w:pStyle w:val="37"/>
                    <w:rPr>
                      <w:rFonts w:cs="Times New Roman"/>
                      <w:u w:val="none"/>
                    </w:rPr>
                  </w:pPr>
                  <w:r>
                    <w:rPr>
                      <w:rFonts w:cs="Times New Roman"/>
                      <w:u w:val="none"/>
                    </w:rPr>
                    <w:t>SO</w:t>
                  </w:r>
                  <w:r>
                    <w:rPr>
                      <w:rFonts w:cs="Times New Roman"/>
                      <w:u w:val="none"/>
                      <w:vertAlign w:val="subscript"/>
                    </w:rPr>
                    <w:t>2</w:t>
                  </w:r>
                </w:p>
              </w:tc>
              <w:tc>
                <w:tcPr>
                  <w:tcW w:w="3744" w:type="dxa"/>
                  <w:vAlign w:val="center"/>
                </w:tcPr>
                <w:p>
                  <w:pPr>
                    <w:pStyle w:val="37"/>
                    <w:rPr>
                      <w:rFonts w:cs="Times New Roman"/>
                      <w:u w:val="none"/>
                    </w:rPr>
                  </w:pPr>
                  <w:r>
                    <w:rPr>
                      <w:rFonts w:cs="Times New Roman"/>
                      <w:u w:val="none"/>
                    </w:rPr>
                    <w:t>年平均质量浓度</w:t>
                  </w:r>
                </w:p>
              </w:tc>
              <w:tc>
                <w:tcPr>
                  <w:tcW w:w="963" w:type="dxa"/>
                  <w:vAlign w:val="center"/>
                </w:tcPr>
                <w:p>
                  <w:pPr>
                    <w:pStyle w:val="37"/>
                    <w:rPr>
                      <w:rFonts w:cs="Times New Roman"/>
                      <w:u w:val="none"/>
                    </w:rPr>
                  </w:pPr>
                  <w:r>
                    <w:rPr>
                      <w:rFonts w:cs="Times New Roman"/>
                      <w:u w:val="none"/>
                    </w:rPr>
                    <w:t>9</w:t>
                  </w:r>
                </w:p>
              </w:tc>
              <w:tc>
                <w:tcPr>
                  <w:tcW w:w="963" w:type="dxa"/>
                  <w:vAlign w:val="center"/>
                </w:tcPr>
                <w:p>
                  <w:pPr>
                    <w:pStyle w:val="37"/>
                    <w:rPr>
                      <w:rFonts w:cs="Times New Roman"/>
                      <w:u w:val="none"/>
                    </w:rPr>
                  </w:pPr>
                  <w:r>
                    <w:rPr>
                      <w:rFonts w:cs="Times New Roman"/>
                      <w:u w:val="none"/>
                    </w:rPr>
                    <w:t>60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15.0</w:t>
                  </w:r>
                </w:p>
              </w:tc>
              <w:tc>
                <w:tcPr>
                  <w:tcW w:w="1047" w:type="dxa"/>
                  <w:tcMar>
                    <w:top w:w="15" w:type="dxa"/>
                    <w:left w:w="15" w:type="dxa"/>
                    <w:bottom w:w="0" w:type="dxa"/>
                    <w:right w:w="15" w:type="dxa"/>
                  </w:tcMar>
                  <w:vAlign w:val="cente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continue"/>
                  <w:vAlign w:val="center"/>
                </w:tcPr>
                <w:p>
                  <w:pPr>
                    <w:pStyle w:val="37"/>
                    <w:rPr>
                      <w:rFonts w:cs="Times New Roman"/>
                      <w:u w:val="none"/>
                    </w:rPr>
                  </w:pPr>
                </w:p>
              </w:tc>
              <w:tc>
                <w:tcPr>
                  <w:tcW w:w="3744" w:type="dxa"/>
                  <w:vAlign w:val="center"/>
                </w:tcPr>
                <w:p>
                  <w:pPr>
                    <w:pStyle w:val="37"/>
                    <w:rPr>
                      <w:rFonts w:cs="Times New Roman"/>
                      <w:u w:val="none"/>
                    </w:rPr>
                  </w:pPr>
                  <w:r>
                    <w:rPr>
                      <w:rFonts w:cs="Times New Roman"/>
                      <w:u w:val="none"/>
                    </w:rPr>
                    <w:t>24小时年平均第98百分位数</w:t>
                  </w:r>
                </w:p>
              </w:tc>
              <w:tc>
                <w:tcPr>
                  <w:tcW w:w="963" w:type="dxa"/>
                  <w:vAlign w:val="center"/>
                </w:tcPr>
                <w:p>
                  <w:pPr>
                    <w:pStyle w:val="37"/>
                    <w:rPr>
                      <w:rFonts w:cs="Times New Roman"/>
                      <w:u w:val="none"/>
                    </w:rPr>
                  </w:pPr>
                  <w:r>
                    <w:rPr>
                      <w:rFonts w:cs="Times New Roman"/>
                      <w:u w:val="none"/>
                    </w:rPr>
                    <w:t>25</w:t>
                  </w:r>
                </w:p>
              </w:tc>
              <w:tc>
                <w:tcPr>
                  <w:tcW w:w="963" w:type="dxa"/>
                  <w:vAlign w:val="center"/>
                </w:tcPr>
                <w:p>
                  <w:pPr>
                    <w:pStyle w:val="37"/>
                    <w:rPr>
                      <w:rFonts w:cs="Times New Roman"/>
                      <w:u w:val="none"/>
                    </w:rPr>
                  </w:pPr>
                  <w:r>
                    <w:rPr>
                      <w:rFonts w:cs="Times New Roman"/>
                      <w:u w:val="none"/>
                    </w:rPr>
                    <w:t>150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16.7</w:t>
                  </w:r>
                </w:p>
              </w:tc>
              <w:tc>
                <w:tcPr>
                  <w:tcW w:w="1047" w:type="dxa"/>
                  <w:tcMar>
                    <w:top w:w="15" w:type="dxa"/>
                    <w:left w:w="15" w:type="dxa"/>
                    <w:bottom w:w="0" w:type="dxa"/>
                    <w:right w:w="15" w:type="dxa"/>
                  </w:tcMa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restart"/>
                  <w:vAlign w:val="center"/>
                </w:tcPr>
                <w:p>
                  <w:pPr>
                    <w:pStyle w:val="37"/>
                    <w:rPr>
                      <w:rFonts w:cs="Times New Roman"/>
                      <w:u w:val="none"/>
                    </w:rPr>
                  </w:pPr>
                  <w:r>
                    <w:rPr>
                      <w:rFonts w:cs="Times New Roman"/>
                      <w:u w:val="none"/>
                    </w:rPr>
                    <w:t>NO</w:t>
                  </w:r>
                  <w:r>
                    <w:rPr>
                      <w:rFonts w:cs="Times New Roman"/>
                      <w:u w:val="none"/>
                      <w:vertAlign w:val="subscript"/>
                    </w:rPr>
                    <w:t>2</w:t>
                  </w:r>
                </w:p>
              </w:tc>
              <w:tc>
                <w:tcPr>
                  <w:tcW w:w="3744" w:type="dxa"/>
                  <w:vAlign w:val="center"/>
                </w:tcPr>
                <w:p>
                  <w:pPr>
                    <w:pStyle w:val="37"/>
                    <w:rPr>
                      <w:rFonts w:cs="Times New Roman"/>
                      <w:u w:val="none"/>
                    </w:rPr>
                  </w:pPr>
                  <w:r>
                    <w:rPr>
                      <w:rFonts w:cs="Times New Roman"/>
                      <w:u w:val="none"/>
                    </w:rPr>
                    <w:t>年平均质量浓度</w:t>
                  </w:r>
                </w:p>
              </w:tc>
              <w:tc>
                <w:tcPr>
                  <w:tcW w:w="963" w:type="dxa"/>
                  <w:vAlign w:val="center"/>
                </w:tcPr>
                <w:p>
                  <w:pPr>
                    <w:pStyle w:val="37"/>
                    <w:rPr>
                      <w:rFonts w:cs="Times New Roman"/>
                      <w:u w:val="none"/>
                    </w:rPr>
                  </w:pPr>
                  <w:r>
                    <w:rPr>
                      <w:rFonts w:cs="Times New Roman"/>
                      <w:u w:val="none"/>
                    </w:rPr>
                    <w:t>18</w:t>
                  </w:r>
                </w:p>
              </w:tc>
              <w:tc>
                <w:tcPr>
                  <w:tcW w:w="963" w:type="dxa"/>
                  <w:vAlign w:val="center"/>
                </w:tcPr>
                <w:p>
                  <w:pPr>
                    <w:pStyle w:val="37"/>
                    <w:rPr>
                      <w:rFonts w:cs="Times New Roman"/>
                      <w:u w:val="none"/>
                    </w:rPr>
                  </w:pPr>
                  <w:r>
                    <w:rPr>
                      <w:rFonts w:cs="Times New Roman"/>
                      <w:u w:val="none"/>
                    </w:rPr>
                    <w:t>40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45.0</w:t>
                  </w:r>
                </w:p>
              </w:tc>
              <w:tc>
                <w:tcPr>
                  <w:tcW w:w="1047" w:type="dxa"/>
                  <w:tcMar>
                    <w:top w:w="15" w:type="dxa"/>
                    <w:left w:w="15" w:type="dxa"/>
                    <w:bottom w:w="0" w:type="dxa"/>
                    <w:right w:w="15" w:type="dxa"/>
                  </w:tcMa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continue"/>
                  <w:vAlign w:val="center"/>
                </w:tcPr>
                <w:p>
                  <w:pPr>
                    <w:pStyle w:val="37"/>
                    <w:rPr>
                      <w:rFonts w:cs="Times New Roman"/>
                      <w:u w:val="none"/>
                    </w:rPr>
                  </w:pPr>
                </w:p>
              </w:tc>
              <w:tc>
                <w:tcPr>
                  <w:tcW w:w="3744" w:type="dxa"/>
                  <w:vAlign w:val="center"/>
                </w:tcPr>
                <w:p>
                  <w:pPr>
                    <w:pStyle w:val="37"/>
                    <w:rPr>
                      <w:rFonts w:cs="Times New Roman"/>
                      <w:u w:val="none"/>
                    </w:rPr>
                  </w:pPr>
                  <w:r>
                    <w:rPr>
                      <w:rFonts w:cs="Times New Roman"/>
                      <w:u w:val="none"/>
                    </w:rPr>
                    <w:t>24小时年平均第98百分位数</w:t>
                  </w:r>
                </w:p>
              </w:tc>
              <w:tc>
                <w:tcPr>
                  <w:tcW w:w="963" w:type="dxa"/>
                  <w:vAlign w:val="center"/>
                </w:tcPr>
                <w:p>
                  <w:pPr>
                    <w:pStyle w:val="37"/>
                    <w:rPr>
                      <w:rFonts w:cs="Times New Roman"/>
                      <w:u w:val="none"/>
                    </w:rPr>
                  </w:pPr>
                  <w:r>
                    <w:rPr>
                      <w:rFonts w:cs="Times New Roman"/>
                      <w:u w:val="none"/>
                    </w:rPr>
                    <w:t>50</w:t>
                  </w:r>
                </w:p>
              </w:tc>
              <w:tc>
                <w:tcPr>
                  <w:tcW w:w="963" w:type="dxa"/>
                  <w:vAlign w:val="center"/>
                </w:tcPr>
                <w:p>
                  <w:pPr>
                    <w:pStyle w:val="37"/>
                    <w:rPr>
                      <w:rFonts w:cs="Times New Roman"/>
                      <w:u w:val="none"/>
                    </w:rPr>
                  </w:pPr>
                  <w:r>
                    <w:rPr>
                      <w:rFonts w:cs="Times New Roman"/>
                      <w:u w:val="none"/>
                    </w:rPr>
                    <w:t>80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62.5</w:t>
                  </w:r>
                </w:p>
              </w:tc>
              <w:tc>
                <w:tcPr>
                  <w:tcW w:w="1047" w:type="dxa"/>
                  <w:tcMar>
                    <w:top w:w="15" w:type="dxa"/>
                    <w:left w:w="15" w:type="dxa"/>
                    <w:bottom w:w="0" w:type="dxa"/>
                    <w:right w:w="15" w:type="dxa"/>
                  </w:tcMa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restart"/>
                  <w:vAlign w:val="center"/>
                </w:tcPr>
                <w:p>
                  <w:pPr>
                    <w:pStyle w:val="37"/>
                    <w:rPr>
                      <w:rFonts w:cs="Times New Roman"/>
                      <w:u w:val="none"/>
                    </w:rPr>
                  </w:pPr>
                  <w:r>
                    <w:rPr>
                      <w:rFonts w:cs="Times New Roman"/>
                      <w:u w:val="none"/>
                    </w:rPr>
                    <w:t>PM</w:t>
                  </w:r>
                  <w:r>
                    <w:rPr>
                      <w:rFonts w:cs="Times New Roman"/>
                      <w:u w:val="none"/>
                      <w:vertAlign w:val="subscript"/>
                    </w:rPr>
                    <w:t>10</w:t>
                  </w:r>
                </w:p>
              </w:tc>
              <w:tc>
                <w:tcPr>
                  <w:tcW w:w="3744" w:type="dxa"/>
                  <w:vAlign w:val="center"/>
                </w:tcPr>
                <w:p>
                  <w:pPr>
                    <w:pStyle w:val="37"/>
                    <w:rPr>
                      <w:rFonts w:cs="Times New Roman"/>
                      <w:u w:val="none"/>
                    </w:rPr>
                  </w:pPr>
                  <w:r>
                    <w:rPr>
                      <w:rFonts w:cs="Times New Roman"/>
                      <w:u w:val="none"/>
                    </w:rPr>
                    <w:t>年平均质量浓度</w:t>
                  </w:r>
                </w:p>
              </w:tc>
              <w:tc>
                <w:tcPr>
                  <w:tcW w:w="963" w:type="dxa"/>
                  <w:vAlign w:val="center"/>
                </w:tcPr>
                <w:p>
                  <w:pPr>
                    <w:pStyle w:val="37"/>
                    <w:rPr>
                      <w:rFonts w:cs="Times New Roman"/>
                      <w:u w:val="none"/>
                    </w:rPr>
                  </w:pPr>
                  <w:r>
                    <w:rPr>
                      <w:rFonts w:cs="Times New Roman"/>
                      <w:u w:val="none"/>
                    </w:rPr>
                    <w:t>54</w:t>
                  </w:r>
                </w:p>
              </w:tc>
              <w:tc>
                <w:tcPr>
                  <w:tcW w:w="963" w:type="dxa"/>
                  <w:vAlign w:val="center"/>
                </w:tcPr>
                <w:p>
                  <w:pPr>
                    <w:pStyle w:val="37"/>
                    <w:rPr>
                      <w:rFonts w:cs="Times New Roman"/>
                      <w:u w:val="none"/>
                    </w:rPr>
                  </w:pPr>
                  <w:r>
                    <w:rPr>
                      <w:rFonts w:cs="Times New Roman"/>
                      <w:u w:val="none"/>
                    </w:rPr>
                    <w:t>70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77.1</w:t>
                  </w:r>
                </w:p>
              </w:tc>
              <w:tc>
                <w:tcPr>
                  <w:tcW w:w="1047" w:type="dxa"/>
                  <w:tcMar>
                    <w:top w:w="15" w:type="dxa"/>
                    <w:left w:w="15" w:type="dxa"/>
                    <w:bottom w:w="0" w:type="dxa"/>
                    <w:right w:w="15" w:type="dxa"/>
                  </w:tcMa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continue"/>
                  <w:vAlign w:val="center"/>
                </w:tcPr>
                <w:p>
                  <w:pPr>
                    <w:pStyle w:val="37"/>
                    <w:rPr>
                      <w:rFonts w:cs="Times New Roman"/>
                      <w:u w:val="none"/>
                    </w:rPr>
                  </w:pPr>
                </w:p>
              </w:tc>
              <w:tc>
                <w:tcPr>
                  <w:tcW w:w="3744" w:type="dxa"/>
                  <w:vAlign w:val="center"/>
                </w:tcPr>
                <w:p>
                  <w:pPr>
                    <w:pStyle w:val="37"/>
                    <w:rPr>
                      <w:rFonts w:cs="Times New Roman"/>
                      <w:u w:val="none"/>
                    </w:rPr>
                  </w:pPr>
                  <w:r>
                    <w:rPr>
                      <w:rFonts w:cs="Times New Roman"/>
                      <w:u w:val="none"/>
                    </w:rPr>
                    <w:t>24小时年平均第95百分位数</w:t>
                  </w:r>
                </w:p>
              </w:tc>
              <w:tc>
                <w:tcPr>
                  <w:tcW w:w="963" w:type="dxa"/>
                  <w:vAlign w:val="center"/>
                </w:tcPr>
                <w:p>
                  <w:pPr>
                    <w:pStyle w:val="37"/>
                    <w:rPr>
                      <w:rFonts w:cs="Times New Roman"/>
                      <w:u w:val="none"/>
                    </w:rPr>
                  </w:pPr>
                  <w:r>
                    <w:rPr>
                      <w:rFonts w:cs="Times New Roman"/>
                      <w:u w:val="none"/>
                    </w:rPr>
                    <w:t>115</w:t>
                  </w:r>
                </w:p>
              </w:tc>
              <w:tc>
                <w:tcPr>
                  <w:tcW w:w="963" w:type="dxa"/>
                  <w:vAlign w:val="center"/>
                </w:tcPr>
                <w:p>
                  <w:pPr>
                    <w:pStyle w:val="37"/>
                    <w:rPr>
                      <w:rFonts w:cs="Times New Roman"/>
                      <w:u w:val="none"/>
                    </w:rPr>
                  </w:pPr>
                  <w:r>
                    <w:rPr>
                      <w:rFonts w:cs="Times New Roman"/>
                      <w:u w:val="none"/>
                    </w:rPr>
                    <w:t>150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76.7</w:t>
                  </w:r>
                </w:p>
              </w:tc>
              <w:tc>
                <w:tcPr>
                  <w:tcW w:w="1047" w:type="dxa"/>
                  <w:tcMar>
                    <w:top w:w="15" w:type="dxa"/>
                    <w:left w:w="15" w:type="dxa"/>
                    <w:bottom w:w="0" w:type="dxa"/>
                    <w:right w:w="15" w:type="dxa"/>
                  </w:tcMa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restart"/>
                  <w:vAlign w:val="center"/>
                </w:tcPr>
                <w:p>
                  <w:pPr>
                    <w:pStyle w:val="37"/>
                    <w:rPr>
                      <w:rFonts w:cs="Times New Roman"/>
                      <w:u w:val="none"/>
                    </w:rPr>
                  </w:pPr>
                  <w:r>
                    <w:rPr>
                      <w:rFonts w:cs="Times New Roman"/>
                      <w:u w:val="none"/>
                    </w:rPr>
                    <w:t>PM</w:t>
                  </w:r>
                  <w:r>
                    <w:rPr>
                      <w:rFonts w:cs="Times New Roman"/>
                      <w:u w:val="none"/>
                      <w:vertAlign w:val="subscript"/>
                    </w:rPr>
                    <w:t>2.5</w:t>
                  </w:r>
                </w:p>
              </w:tc>
              <w:tc>
                <w:tcPr>
                  <w:tcW w:w="3744" w:type="dxa"/>
                  <w:vAlign w:val="center"/>
                </w:tcPr>
                <w:p>
                  <w:pPr>
                    <w:pStyle w:val="37"/>
                    <w:rPr>
                      <w:rFonts w:cs="Times New Roman"/>
                      <w:u w:val="none"/>
                    </w:rPr>
                  </w:pPr>
                  <w:r>
                    <w:rPr>
                      <w:rFonts w:cs="Times New Roman"/>
                      <w:u w:val="none"/>
                    </w:rPr>
                    <w:t>年平均质量浓度</w:t>
                  </w:r>
                </w:p>
              </w:tc>
              <w:tc>
                <w:tcPr>
                  <w:tcW w:w="963" w:type="dxa"/>
                  <w:vAlign w:val="center"/>
                </w:tcPr>
                <w:p>
                  <w:pPr>
                    <w:pStyle w:val="37"/>
                    <w:rPr>
                      <w:rFonts w:cs="Times New Roman"/>
                      <w:u w:val="none"/>
                    </w:rPr>
                  </w:pPr>
                  <w:r>
                    <w:rPr>
                      <w:rFonts w:cs="Times New Roman"/>
                      <w:u w:val="none"/>
                    </w:rPr>
                    <w:t>30</w:t>
                  </w:r>
                </w:p>
              </w:tc>
              <w:tc>
                <w:tcPr>
                  <w:tcW w:w="963" w:type="dxa"/>
                  <w:vAlign w:val="center"/>
                </w:tcPr>
                <w:p>
                  <w:pPr>
                    <w:pStyle w:val="37"/>
                    <w:rPr>
                      <w:rFonts w:cs="Times New Roman"/>
                      <w:u w:val="none"/>
                    </w:rPr>
                  </w:pPr>
                  <w:r>
                    <w:rPr>
                      <w:rFonts w:cs="Times New Roman"/>
                      <w:u w:val="none"/>
                    </w:rPr>
                    <w:t>35</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85.7</w:t>
                  </w:r>
                </w:p>
              </w:tc>
              <w:tc>
                <w:tcPr>
                  <w:tcW w:w="1047" w:type="dxa"/>
                  <w:tcMar>
                    <w:top w:w="15" w:type="dxa"/>
                    <w:left w:w="15" w:type="dxa"/>
                    <w:bottom w:w="0" w:type="dxa"/>
                    <w:right w:w="15" w:type="dxa"/>
                  </w:tcMa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Merge w:val="continue"/>
                  <w:vAlign w:val="center"/>
                </w:tcPr>
                <w:p>
                  <w:pPr>
                    <w:pStyle w:val="37"/>
                    <w:rPr>
                      <w:rFonts w:cs="Times New Roman"/>
                      <w:u w:val="none"/>
                    </w:rPr>
                  </w:pPr>
                </w:p>
              </w:tc>
              <w:tc>
                <w:tcPr>
                  <w:tcW w:w="3744" w:type="dxa"/>
                  <w:vAlign w:val="center"/>
                </w:tcPr>
                <w:p>
                  <w:pPr>
                    <w:pStyle w:val="37"/>
                    <w:rPr>
                      <w:rFonts w:cs="Times New Roman"/>
                      <w:u w:val="none"/>
                    </w:rPr>
                  </w:pPr>
                  <w:r>
                    <w:rPr>
                      <w:rFonts w:cs="Times New Roman"/>
                      <w:u w:val="none"/>
                    </w:rPr>
                    <w:t>24小时年平均第95百分位数</w:t>
                  </w:r>
                </w:p>
              </w:tc>
              <w:tc>
                <w:tcPr>
                  <w:tcW w:w="963" w:type="dxa"/>
                  <w:vAlign w:val="center"/>
                </w:tcPr>
                <w:p>
                  <w:pPr>
                    <w:pStyle w:val="37"/>
                    <w:rPr>
                      <w:rFonts w:cs="Times New Roman"/>
                      <w:u w:val="none"/>
                    </w:rPr>
                  </w:pPr>
                  <w:r>
                    <w:rPr>
                      <w:rFonts w:cs="Times New Roman"/>
                      <w:u w:val="none"/>
                    </w:rPr>
                    <w:t>72</w:t>
                  </w:r>
                </w:p>
              </w:tc>
              <w:tc>
                <w:tcPr>
                  <w:tcW w:w="963" w:type="dxa"/>
                  <w:vAlign w:val="center"/>
                </w:tcPr>
                <w:p>
                  <w:pPr>
                    <w:pStyle w:val="37"/>
                    <w:rPr>
                      <w:rFonts w:cs="Times New Roman"/>
                      <w:u w:val="none"/>
                    </w:rPr>
                  </w:pPr>
                  <w:r>
                    <w:rPr>
                      <w:rFonts w:cs="Times New Roman"/>
                      <w:u w:val="none"/>
                    </w:rPr>
                    <w:t>75</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96.0</w:t>
                  </w:r>
                </w:p>
              </w:tc>
              <w:tc>
                <w:tcPr>
                  <w:tcW w:w="1047" w:type="dxa"/>
                  <w:tcMar>
                    <w:top w:w="15" w:type="dxa"/>
                    <w:left w:w="15" w:type="dxa"/>
                    <w:bottom w:w="0" w:type="dxa"/>
                    <w:right w:w="15" w:type="dxa"/>
                  </w:tcMa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Align w:val="center"/>
                </w:tcPr>
                <w:p>
                  <w:pPr>
                    <w:pStyle w:val="37"/>
                    <w:rPr>
                      <w:rFonts w:cs="Times New Roman"/>
                      <w:u w:val="none"/>
                    </w:rPr>
                  </w:pPr>
                  <w:r>
                    <w:rPr>
                      <w:rFonts w:cs="Times New Roman"/>
                      <w:u w:val="none"/>
                    </w:rPr>
                    <w:t>CO</w:t>
                  </w:r>
                </w:p>
              </w:tc>
              <w:tc>
                <w:tcPr>
                  <w:tcW w:w="3744" w:type="dxa"/>
                  <w:vAlign w:val="center"/>
                </w:tcPr>
                <w:p>
                  <w:pPr>
                    <w:pStyle w:val="37"/>
                    <w:rPr>
                      <w:rFonts w:cs="Times New Roman"/>
                      <w:u w:val="none"/>
                    </w:rPr>
                  </w:pPr>
                  <w:r>
                    <w:rPr>
                      <w:rFonts w:cs="Times New Roman"/>
                      <w:u w:val="none"/>
                    </w:rPr>
                    <w:t>百分制95位数日平均质量浓度</w:t>
                  </w:r>
                </w:p>
              </w:tc>
              <w:tc>
                <w:tcPr>
                  <w:tcW w:w="963" w:type="dxa"/>
                  <w:vAlign w:val="center"/>
                </w:tcPr>
                <w:p>
                  <w:pPr>
                    <w:pStyle w:val="37"/>
                    <w:rPr>
                      <w:rFonts w:cs="Times New Roman"/>
                      <w:u w:val="none"/>
                    </w:rPr>
                  </w:pPr>
                  <w:r>
                    <w:rPr>
                      <w:rFonts w:cs="Times New Roman"/>
                      <w:u w:val="none"/>
                    </w:rPr>
                    <w:t>1400</w:t>
                  </w:r>
                </w:p>
              </w:tc>
              <w:tc>
                <w:tcPr>
                  <w:tcW w:w="963" w:type="dxa"/>
                  <w:vAlign w:val="center"/>
                </w:tcPr>
                <w:p>
                  <w:pPr>
                    <w:pStyle w:val="37"/>
                    <w:rPr>
                      <w:rFonts w:cs="Times New Roman"/>
                      <w:u w:val="none"/>
                    </w:rPr>
                  </w:pPr>
                  <w:r>
                    <w:rPr>
                      <w:rFonts w:cs="Times New Roman"/>
                      <w:u w:val="none"/>
                    </w:rPr>
                    <w:t>4000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35.0</w:t>
                  </w:r>
                </w:p>
              </w:tc>
              <w:tc>
                <w:tcPr>
                  <w:tcW w:w="1047" w:type="dxa"/>
                  <w:tcMar>
                    <w:top w:w="15" w:type="dxa"/>
                    <w:left w:w="15" w:type="dxa"/>
                    <w:bottom w:w="0" w:type="dxa"/>
                    <w:right w:w="15" w:type="dxa"/>
                  </w:tcMar>
                  <w:vAlign w:val="center"/>
                </w:tcPr>
                <w:p>
                  <w:pPr>
                    <w:pStyle w:val="37"/>
                    <w:rPr>
                      <w:rFonts w:cs="Times New Roman"/>
                      <w:u w:val="none"/>
                    </w:rPr>
                  </w:pPr>
                  <w:r>
                    <w:rPr>
                      <w:rFonts w:cs="Times New Roman"/>
                      <w:u w:val="none"/>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69" w:hRule="atLeast"/>
                <w:jc w:val="center"/>
              </w:trPr>
              <w:tc>
                <w:tcPr>
                  <w:tcW w:w="962" w:type="dxa"/>
                  <w:vAlign w:val="center"/>
                </w:tcPr>
                <w:p>
                  <w:pPr>
                    <w:pStyle w:val="37"/>
                    <w:rPr>
                      <w:rFonts w:cs="Times New Roman"/>
                      <w:u w:val="none"/>
                    </w:rPr>
                  </w:pPr>
                  <w:r>
                    <w:rPr>
                      <w:rFonts w:cs="Times New Roman"/>
                      <w:u w:val="none"/>
                    </w:rPr>
                    <w:t>O</w:t>
                  </w:r>
                  <w:r>
                    <w:rPr>
                      <w:rFonts w:cs="Times New Roman"/>
                      <w:u w:val="none"/>
                      <w:vertAlign w:val="subscript"/>
                    </w:rPr>
                    <w:t>3</w:t>
                  </w:r>
                </w:p>
              </w:tc>
              <w:tc>
                <w:tcPr>
                  <w:tcW w:w="3744" w:type="dxa"/>
                  <w:vAlign w:val="center"/>
                </w:tcPr>
                <w:p>
                  <w:pPr>
                    <w:pStyle w:val="37"/>
                    <w:rPr>
                      <w:rFonts w:cs="Times New Roman"/>
                      <w:u w:val="none"/>
                    </w:rPr>
                  </w:pPr>
                  <w:r>
                    <w:rPr>
                      <w:rFonts w:cs="Times New Roman"/>
                      <w:u w:val="none"/>
                    </w:rPr>
                    <w:t>百分之90位数8h平均治理浓度</w:t>
                  </w:r>
                </w:p>
              </w:tc>
              <w:tc>
                <w:tcPr>
                  <w:tcW w:w="963" w:type="dxa"/>
                  <w:vAlign w:val="center"/>
                </w:tcPr>
                <w:p>
                  <w:pPr>
                    <w:pStyle w:val="37"/>
                    <w:rPr>
                      <w:rFonts w:cs="Times New Roman"/>
                      <w:u w:val="none"/>
                    </w:rPr>
                  </w:pPr>
                  <w:r>
                    <w:rPr>
                      <w:rFonts w:cs="Times New Roman"/>
                      <w:u w:val="none"/>
                    </w:rPr>
                    <w:t>112</w:t>
                  </w:r>
                </w:p>
              </w:tc>
              <w:tc>
                <w:tcPr>
                  <w:tcW w:w="963" w:type="dxa"/>
                  <w:vAlign w:val="center"/>
                </w:tcPr>
                <w:p>
                  <w:pPr>
                    <w:pStyle w:val="37"/>
                    <w:rPr>
                      <w:rFonts w:cs="Times New Roman"/>
                      <w:u w:val="none"/>
                    </w:rPr>
                  </w:pPr>
                  <w:r>
                    <w:rPr>
                      <w:rFonts w:cs="Times New Roman"/>
                      <w:u w:val="none"/>
                    </w:rPr>
                    <w:t>160</w:t>
                  </w:r>
                </w:p>
              </w:tc>
              <w:tc>
                <w:tcPr>
                  <w:tcW w:w="795" w:type="dxa"/>
                  <w:tcMar>
                    <w:top w:w="15" w:type="dxa"/>
                    <w:left w:w="15" w:type="dxa"/>
                    <w:bottom w:w="0" w:type="dxa"/>
                    <w:right w:w="15" w:type="dxa"/>
                  </w:tcMar>
                  <w:vAlign w:val="center"/>
                </w:tcPr>
                <w:p>
                  <w:pPr>
                    <w:pStyle w:val="37"/>
                    <w:rPr>
                      <w:rFonts w:cs="Times New Roman"/>
                      <w:u w:val="none"/>
                    </w:rPr>
                  </w:pPr>
                  <w:r>
                    <w:rPr>
                      <w:rFonts w:cs="Times New Roman"/>
                      <w:u w:val="none"/>
                    </w:rPr>
                    <w:t>70.0</w:t>
                  </w:r>
                </w:p>
              </w:tc>
              <w:tc>
                <w:tcPr>
                  <w:tcW w:w="1047" w:type="dxa"/>
                  <w:tcMar>
                    <w:top w:w="15" w:type="dxa"/>
                    <w:left w:w="15" w:type="dxa"/>
                    <w:bottom w:w="0" w:type="dxa"/>
                    <w:right w:w="15" w:type="dxa"/>
                  </w:tcMar>
                  <w:vAlign w:val="center"/>
                </w:tcPr>
                <w:p>
                  <w:pPr>
                    <w:pStyle w:val="37"/>
                    <w:rPr>
                      <w:rFonts w:cs="Times New Roman"/>
                      <w:u w:val="none"/>
                    </w:rPr>
                  </w:pPr>
                  <w:r>
                    <w:rPr>
                      <w:rFonts w:cs="Times New Roman"/>
                      <w:u w:val="none"/>
                    </w:rPr>
                    <w:t>达标</w:t>
                  </w:r>
                </w:p>
              </w:tc>
            </w:tr>
          </w:tbl>
          <w:p>
            <w:pPr>
              <w:ind w:firstLine="480"/>
              <w:rPr>
                <w:rFonts w:cs="Times New Roman"/>
              </w:rPr>
            </w:pPr>
            <w:r>
              <w:rPr>
                <w:rFonts w:cs="Times New Roman"/>
              </w:rPr>
              <w:t>2020年株洲市攸县环境空气中SO</w:t>
            </w:r>
            <w:r>
              <w:rPr>
                <w:rFonts w:cs="Times New Roman"/>
                <w:vertAlign w:val="subscript"/>
              </w:rPr>
              <w:t>2</w:t>
            </w:r>
            <w:r>
              <w:rPr>
                <w:rFonts w:cs="Times New Roman"/>
              </w:rPr>
              <w:t>、NO</w:t>
            </w:r>
            <w:r>
              <w:rPr>
                <w:rFonts w:cs="Times New Roman"/>
                <w:vertAlign w:val="subscript"/>
              </w:rPr>
              <w:t>2</w:t>
            </w:r>
            <w:r>
              <w:rPr>
                <w:rFonts w:cs="Times New Roman"/>
              </w:rPr>
              <w:t>、PM</w:t>
            </w:r>
            <w:r>
              <w:rPr>
                <w:rFonts w:cs="Times New Roman"/>
                <w:vertAlign w:val="subscript"/>
              </w:rPr>
              <w:t>10</w:t>
            </w:r>
            <w:r>
              <w:rPr>
                <w:rFonts w:cs="Times New Roman"/>
              </w:rPr>
              <w:t>、PM</w:t>
            </w:r>
            <w:r>
              <w:rPr>
                <w:rFonts w:cs="Times New Roman"/>
                <w:vertAlign w:val="subscript"/>
              </w:rPr>
              <w:t>2.5</w:t>
            </w:r>
            <w:r>
              <w:rPr>
                <w:rFonts w:cs="Times New Roman"/>
              </w:rPr>
              <w:t>、CO、O</w:t>
            </w:r>
            <w:r>
              <w:rPr>
                <w:rFonts w:cs="Times New Roman"/>
                <w:vertAlign w:val="subscript"/>
              </w:rPr>
              <w:t>3</w:t>
            </w:r>
            <w:r>
              <w:rPr>
                <w:rFonts w:cs="Times New Roman"/>
              </w:rPr>
              <w:t>各评价指标均达到《环境空气质量标准》（GB3095-1996）二级标准，2020年度株洲市攸县属于环境空气达标区。</w:t>
            </w:r>
          </w:p>
          <w:p>
            <w:pPr>
              <w:ind w:firstLine="199" w:firstLineChars="83"/>
              <w:rPr>
                <w:rFonts w:cs="Times New Roman"/>
              </w:rPr>
            </w:pPr>
            <w:r>
              <w:rPr>
                <w:rFonts w:cs="Times New Roman"/>
              </w:rPr>
              <w:t>（2）补充监测</w:t>
            </w:r>
          </w:p>
          <w:p>
            <w:pPr>
              <w:ind w:firstLine="480"/>
              <w:rPr>
                <w:rFonts w:cs="Times New Roman"/>
              </w:rPr>
            </w:pPr>
            <w:r>
              <w:rPr>
                <w:rFonts w:cs="Times New Roman"/>
              </w:rPr>
              <w:t>为了解本项目其他污染物的环境质量现状，本次委托湖南精科检测有限公司对项目区域环境质量现状进行了监测，具体如下：</w:t>
            </w:r>
          </w:p>
          <w:p>
            <w:pPr>
              <w:ind w:firstLine="480"/>
              <w:rPr>
                <w:rFonts w:cs="Times New Roman"/>
              </w:rPr>
            </w:pPr>
            <w:r>
              <w:rPr>
                <w:rFonts w:cs="Times New Roman"/>
              </w:rPr>
              <w:t>1）监测点位：</w:t>
            </w:r>
          </w:p>
          <w:p>
            <w:pPr>
              <w:ind w:firstLine="720" w:firstLineChars="300"/>
              <w:rPr>
                <w:rFonts w:cs="Times New Roman"/>
              </w:rPr>
            </w:pPr>
            <w:r>
              <w:rPr>
                <w:rFonts w:cs="Times New Roman"/>
              </w:rPr>
              <w:t>G</w:t>
            </w:r>
            <w:r>
              <w:rPr>
                <w:rFonts w:cs="Times New Roman"/>
                <w:vertAlign w:val="subscript"/>
              </w:rPr>
              <w:t>1</w:t>
            </w:r>
            <w:r>
              <w:rPr>
                <w:rFonts w:cs="Times New Roman"/>
              </w:rPr>
              <w:t>厂界上风向；</w:t>
            </w:r>
          </w:p>
          <w:p>
            <w:pPr>
              <w:ind w:firstLine="720" w:firstLineChars="300"/>
              <w:rPr>
                <w:rFonts w:cs="Times New Roman"/>
                <w:szCs w:val="24"/>
              </w:rPr>
            </w:pPr>
            <w:r>
              <w:rPr>
                <w:rFonts w:cs="Times New Roman"/>
                <w:szCs w:val="24"/>
              </w:rPr>
              <w:t>G</w:t>
            </w:r>
            <w:r>
              <w:rPr>
                <w:rFonts w:cs="Times New Roman"/>
                <w:szCs w:val="24"/>
                <w:vertAlign w:val="subscript"/>
              </w:rPr>
              <w:t>2</w:t>
            </w:r>
            <w:r>
              <w:rPr>
                <w:rFonts w:cs="Times New Roman"/>
                <w:szCs w:val="24"/>
              </w:rPr>
              <w:t>厂界下风向（正）；</w:t>
            </w:r>
          </w:p>
          <w:p>
            <w:pPr>
              <w:ind w:firstLine="720" w:firstLineChars="300"/>
              <w:rPr>
                <w:rFonts w:cs="Times New Roman"/>
                <w:szCs w:val="24"/>
              </w:rPr>
            </w:pPr>
            <w:r>
              <w:rPr>
                <w:rFonts w:cs="Times New Roman"/>
                <w:szCs w:val="24"/>
              </w:rPr>
              <w:t>G</w:t>
            </w:r>
            <w:r>
              <w:rPr>
                <w:rFonts w:cs="Times New Roman"/>
                <w:szCs w:val="24"/>
                <w:vertAlign w:val="subscript"/>
              </w:rPr>
              <w:t>3</w:t>
            </w:r>
            <w:r>
              <w:rPr>
                <w:rFonts w:cs="Times New Roman"/>
                <w:szCs w:val="24"/>
              </w:rPr>
              <w:t>厂界下风向（偏左）；</w:t>
            </w:r>
          </w:p>
          <w:p>
            <w:pPr>
              <w:ind w:firstLine="720" w:firstLineChars="300"/>
              <w:rPr>
                <w:rFonts w:cs="Times New Roman"/>
                <w:szCs w:val="24"/>
              </w:rPr>
            </w:pPr>
            <w:r>
              <w:rPr>
                <w:rFonts w:cs="Times New Roman"/>
                <w:szCs w:val="24"/>
              </w:rPr>
              <w:t>G</w:t>
            </w:r>
            <w:r>
              <w:rPr>
                <w:rFonts w:cs="Times New Roman"/>
                <w:szCs w:val="24"/>
                <w:vertAlign w:val="subscript"/>
              </w:rPr>
              <w:t>4</w:t>
            </w:r>
            <w:r>
              <w:rPr>
                <w:rFonts w:cs="Times New Roman"/>
                <w:szCs w:val="24"/>
              </w:rPr>
              <w:t>厂界下风向（偏右）；</w:t>
            </w:r>
          </w:p>
          <w:p>
            <w:pPr>
              <w:ind w:firstLine="720" w:firstLineChars="300"/>
              <w:rPr>
                <w:rFonts w:cs="Times New Roman"/>
                <w:szCs w:val="24"/>
              </w:rPr>
            </w:pPr>
            <w:r>
              <w:rPr>
                <w:rFonts w:cs="Times New Roman"/>
                <w:szCs w:val="24"/>
              </w:rPr>
              <w:t>G</w:t>
            </w:r>
            <w:r>
              <w:rPr>
                <w:rFonts w:cs="Times New Roman"/>
                <w:szCs w:val="24"/>
                <w:vertAlign w:val="subscript"/>
              </w:rPr>
              <w:t>5</w:t>
            </w:r>
            <w:r>
              <w:rPr>
                <w:rFonts w:cs="Times New Roman"/>
                <w:szCs w:val="24"/>
              </w:rPr>
              <w:t>厂界下风向居民点；</w:t>
            </w:r>
          </w:p>
          <w:p>
            <w:pPr>
              <w:ind w:firstLine="480"/>
              <w:rPr>
                <w:rFonts w:cs="Times New Roman"/>
              </w:rPr>
            </w:pPr>
            <w:r>
              <w:rPr>
                <w:rFonts w:cs="Times New Roman"/>
              </w:rPr>
              <w:t>2）监测因子：颗粒物、总悬浮颗粒物；</w:t>
            </w:r>
          </w:p>
          <w:p>
            <w:pPr>
              <w:ind w:firstLine="480"/>
              <w:rPr>
                <w:rFonts w:cs="Times New Roman"/>
              </w:rPr>
            </w:pPr>
            <w:r>
              <w:rPr>
                <w:rFonts w:cs="Times New Roman"/>
              </w:rPr>
              <w:t>3）监测频次：连续监测3天</w:t>
            </w:r>
          </w:p>
          <w:p>
            <w:pPr>
              <w:ind w:firstLine="480"/>
              <w:rPr>
                <w:rFonts w:cs="Times New Roman"/>
              </w:rPr>
            </w:pPr>
            <w:r>
              <w:rPr>
                <w:rFonts w:cs="Times New Roman"/>
              </w:rPr>
              <w:t>4）监测时间：2022.4.27~2022.4.29</w:t>
            </w:r>
          </w:p>
          <w:p>
            <w:pPr>
              <w:ind w:firstLine="480"/>
              <w:rPr>
                <w:rFonts w:cs="Times New Roman"/>
              </w:rPr>
            </w:pPr>
            <w:r>
              <w:rPr>
                <w:rFonts w:cs="Times New Roman"/>
              </w:rPr>
              <w:t>5）监测结果及评价：详见表3-2。</w:t>
            </w:r>
          </w:p>
          <w:p>
            <w:pPr>
              <w:pStyle w:val="31"/>
              <w:rPr>
                <w:rFonts w:cs="Times New Roman"/>
              </w:rPr>
            </w:pPr>
            <w:r>
              <w:rPr>
                <w:rFonts w:cs="Times New Roman"/>
              </w:rPr>
              <w:t>表3-2补充监测结果及评价表</w:t>
            </w:r>
          </w:p>
          <w:tbl>
            <w:tblPr>
              <w:tblStyle w:val="17"/>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1567"/>
              <w:gridCol w:w="1499"/>
              <w:gridCol w:w="1877"/>
              <w:gridCol w:w="1199"/>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shd w:val="clear" w:color="auto" w:fill="auto"/>
                  <w:vAlign w:val="center"/>
                </w:tcPr>
                <w:p>
                  <w:pPr>
                    <w:pStyle w:val="37"/>
                    <w:rPr>
                      <w:rFonts w:cs="Times New Roman"/>
                      <w:u w:val="none"/>
                    </w:rPr>
                  </w:pPr>
                  <w:r>
                    <w:rPr>
                      <w:rFonts w:cs="Times New Roman"/>
                      <w:u w:val="none"/>
                    </w:rPr>
                    <w:t>监测点位</w:t>
                  </w:r>
                </w:p>
              </w:tc>
              <w:tc>
                <w:tcPr>
                  <w:tcW w:w="1567" w:type="dxa"/>
                  <w:shd w:val="clear" w:color="auto" w:fill="auto"/>
                  <w:vAlign w:val="center"/>
                </w:tcPr>
                <w:p>
                  <w:pPr>
                    <w:pStyle w:val="37"/>
                    <w:rPr>
                      <w:rFonts w:cs="Times New Roman"/>
                      <w:u w:val="none"/>
                    </w:rPr>
                  </w:pPr>
                  <w:r>
                    <w:rPr>
                      <w:rFonts w:cs="Times New Roman"/>
                      <w:u w:val="none"/>
                    </w:rPr>
                    <w:t>污染因子</w:t>
                  </w:r>
                </w:p>
              </w:tc>
              <w:tc>
                <w:tcPr>
                  <w:tcW w:w="1499" w:type="dxa"/>
                  <w:shd w:val="clear" w:color="auto" w:fill="auto"/>
                  <w:vAlign w:val="center"/>
                </w:tcPr>
                <w:p>
                  <w:pPr>
                    <w:pStyle w:val="37"/>
                    <w:rPr>
                      <w:rFonts w:cs="Times New Roman"/>
                      <w:u w:val="none"/>
                    </w:rPr>
                  </w:pPr>
                  <w:r>
                    <w:rPr>
                      <w:rFonts w:cs="Times New Roman"/>
                      <w:u w:val="none"/>
                    </w:rPr>
                    <w:t>监测结果mg/m</w:t>
                  </w:r>
                  <w:r>
                    <w:rPr>
                      <w:rFonts w:cs="Times New Roman"/>
                      <w:u w:val="none"/>
                      <w:vertAlign w:val="superscript"/>
                    </w:rPr>
                    <w:t>3</w:t>
                  </w:r>
                </w:p>
              </w:tc>
              <w:tc>
                <w:tcPr>
                  <w:tcW w:w="1877" w:type="dxa"/>
                  <w:shd w:val="clear" w:color="auto" w:fill="auto"/>
                  <w:vAlign w:val="center"/>
                </w:tcPr>
                <w:p>
                  <w:pPr>
                    <w:pStyle w:val="37"/>
                    <w:rPr>
                      <w:rFonts w:cs="Times New Roman"/>
                      <w:u w:val="none"/>
                    </w:rPr>
                  </w:pPr>
                  <w:r>
                    <w:rPr>
                      <w:rFonts w:cs="Times New Roman"/>
                      <w:u w:val="none"/>
                    </w:rPr>
                    <w:t>执行标准mg/m</w:t>
                  </w:r>
                  <w:r>
                    <w:rPr>
                      <w:rFonts w:cs="Times New Roman"/>
                      <w:u w:val="none"/>
                      <w:vertAlign w:val="superscript"/>
                    </w:rPr>
                    <w:t>3</w:t>
                  </w:r>
                </w:p>
              </w:tc>
              <w:tc>
                <w:tcPr>
                  <w:tcW w:w="1199" w:type="dxa"/>
                  <w:shd w:val="clear" w:color="auto" w:fill="auto"/>
                  <w:vAlign w:val="center"/>
                </w:tcPr>
                <w:p>
                  <w:pPr>
                    <w:pStyle w:val="37"/>
                    <w:rPr>
                      <w:rFonts w:cs="Times New Roman"/>
                      <w:u w:val="none"/>
                    </w:rPr>
                  </w:pPr>
                  <w:r>
                    <w:rPr>
                      <w:rFonts w:cs="Times New Roman"/>
                      <w:u w:val="none"/>
                    </w:rPr>
                    <w:t>占标率%</w:t>
                  </w:r>
                </w:p>
              </w:tc>
              <w:tc>
                <w:tcPr>
                  <w:tcW w:w="1148" w:type="dxa"/>
                  <w:shd w:val="clear" w:color="auto" w:fill="auto"/>
                </w:tcPr>
                <w:p>
                  <w:pPr>
                    <w:pStyle w:val="37"/>
                    <w:rPr>
                      <w:rFonts w:cs="Times New Roman"/>
                      <w:u w:val="none"/>
                    </w:rPr>
                  </w:pPr>
                  <w:r>
                    <w:rPr>
                      <w:rFonts w:cs="Times New Roman"/>
                      <w:u w:val="none"/>
                    </w:rPr>
                    <w:t>超标率%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shd w:val="clear" w:color="auto" w:fill="auto"/>
                  <w:vAlign w:val="center"/>
                </w:tcPr>
                <w:p>
                  <w:pPr>
                    <w:pStyle w:val="37"/>
                    <w:rPr>
                      <w:rFonts w:cs="Times New Roman"/>
                      <w:u w:val="none"/>
                    </w:rPr>
                  </w:pPr>
                  <w:r>
                    <w:rPr>
                      <w:rFonts w:cs="Times New Roman"/>
                      <w:u w:val="none"/>
                    </w:rPr>
                    <w:t>G</w:t>
                  </w:r>
                  <w:r>
                    <w:rPr>
                      <w:rFonts w:cs="Times New Roman"/>
                      <w:u w:val="none"/>
                      <w:vertAlign w:val="subscript"/>
                    </w:rPr>
                    <w:t>1</w:t>
                  </w:r>
                </w:p>
              </w:tc>
              <w:tc>
                <w:tcPr>
                  <w:tcW w:w="1567" w:type="dxa"/>
                  <w:shd w:val="clear" w:color="auto" w:fill="auto"/>
                  <w:vAlign w:val="center"/>
                </w:tcPr>
                <w:p>
                  <w:pPr>
                    <w:pStyle w:val="37"/>
                    <w:rPr>
                      <w:rFonts w:cs="Times New Roman"/>
                      <w:u w:val="none"/>
                    </w:rPr>
                  </w:pPr>
                  <w:r>
                    <w:rPr>
                      <w:rFonts w:cs="Times New Roman"/>
                      <w:u w:val="none"/>
                    </w:rPr>
                    <w:t>颗粒物</w:t>
                  </w:r>
                </w:p>
              </w:tc>
              <w:tc>
                <w:tcPr>
                  <w:tcW w:w="1499" w:type="dxa"/>
                  <w:shd w:val="clear" w:color="auto" w:fill="auto"/>
                  <w:vAlign w:val="center"/>
                </w:tcPr>
                <w:p>
                  <w:pPr>
                    <w:pStyle w:val="37"/>
                    <w:rPr>
                      <w:rFonts w:cs="Times New Roman"/>
                      <w:u w:val="none"/>
                    </w:rPr>
                  </w:pPr>
                  <w:r>
                    <w:rPr>
                      <w:rFonts w:cs="Times New Roman"/>
                      <w:u w:val="none"/>
                    </w:rPr>
                    <w:t>0.142~0.198</w:t>
                  </w:r>
                </w:p>
              </w:tc>
              <w:tc>
                <w:tcPr>
                  <w:tcW w:w="1877" w:type="dxa"/>
                  <w:shd w:val="clear" w:color="auto" w:fill="auto"/>
                  <w:vAlign w:val="center"/>
                </w:tcPr>
                <w:p>
                  <w:pPr>
                    <w:pStyle w:val="37"/>
                    <w:rPr>
                      <w:rFonts w:cs="Times New Roman"/>
                      <w:u w:val="none"/>
                    </w:rPr>
                  </w:pPr>
                  <w:r>
                    <w:rPr>
                      <w:rFonts w:cs="Times New Roman"/>
                      <w:u w:val="none"/>
                    </w:rPr>
                    <w:t>1.0</w:t>
                  </w:r>
                </w:p>
              </w:tc>
              <w:tc>
                <w:tcPr>
                  <w:tcW w:w="1199" w:type="dxa"/>
                  <w:shd w:val="clear" w:color="auto" w:fill="auto"/>
                  <w:vAlign w:val="center"/>
                </w:tcPr>
                <w:p>
                  <w:pPr>
                    <w:pStyle w:val="37"/>
                    <w:rPr>
                      <w:rFonts w:cs="Times New Roman"/>
                      <w:u w:val="none"/>
                    </w:rPr>
                  </w:pPr>
                  <w:r>
                    <w:rPr>
                      <w:rFonts w:cs="Times New Roman"/>
                      <w:u w:val="none"/>
                    </w:rPr>
                    <w:t>14.2~19.8</w:t>
                  </w:r>
                </w:p>
              </w:tc>
              <w:tc>
                <w:tcPr>
                  <w:tcW w:w="1148" w:type="dxa"/>
                  <w:shd w:val="clear" w:color="auto" w:fill="auto"/>
                </w:tcPr>
                <w:p>
                  <w:pPr>
                    <w:pStyle w:val="37"/>
                    <w:rPr>
                      <w:rFonts w:cs="Times New Roman"/>
                      <w:u w:val="none"/>
                    </w:rPr>
                  </w:pPr>
                  <w:r>
                    <w:rPr>
                      <w:rFonts w:cs="Times New Roman"/>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shd w:val="clear" w:color="auto" w:fill="auto"/>
                  <w:vAlign w:val="center"/>
                </w:tcPr>
                <w:p>
                  <w:pPr>
                    <w:pStyle w:val="37"/>
                    <w:rPr>
                      <w:rFonts w:cs="Times New Roman"/>
                      <w:u w:val="none"/>
                    </w:rPr>
                  </w:pPr>
                  <w:r>
                    <w:rPr>
                      <w:rFonts w:cs="Times New Roman"/>
                      <w:u w:val="none"/>
                    </w:rPr>
                    <w:t>G</w:t>
                  </w:r>
                  <w:r>
                    <w:rPr>
                      <w:rFonts w:cs="Times New Roman"/>
                      <w:u w:val="none"/>
                      <w:vertAlign w:val="subscript"/>
                    </w:rPr>
                    <w:t>2</w:t>
                  </w:r>
                </w:p>
              </w:tc>
              <w:tc>
                <w:tcPr>
                  <w:tcW w:w="1567" w:type="dxa"/>
                  <w:shd w:val="clear" w:color="auto" w:fill="auto"/>
                  <w:vAlign w:val="center"/>
                </w:tcPr>
                <w:p>
                  <w:pPr>
                    <w:pStyle w:val="37"/>
                    <w:rPr>
                      <w:rFonts w:cs="Times New Roman"/>
                      <w:u w:val="none"/>
                    </w:rPr>
                  </w:pPr>
                  <w:r>
                    <w:rPr>
                      <w:rFonts w:cs="Times New Roman"/>
                      <w:u w:val="none"/>
                    </w:rPr>
                    <w:t>颗粒物</w:t>
                  </w:r>
                </w:p>
              </w:tc>
              <w:tc>
                <w:tcPr>
                  <w:tcW w:w="1499" w:type="dxa"/>
                  <w:shd w:val="clear" w:color="auto" w:fill="auto"/>
                  <w:vAlign w:val="center"/>
                </w:tcPr>
                <w:p>
                  <w:pPr>
                    <w:pStyle w:val="37"/>
                    <w:rPr>
                      <w:rFonts w:cs="Times New Roman"/>
                      <w:u w:val="none"/>
                    </w:rPr>
                  </w:pPr>
                  <w:r>
                    <w:rPr>
                      <w:rFonts w:cs="Times New Roman"/>
                      <w:u w:val="none"/>
                    </w:rPr>
                    <w:t>0.284~0.391</w:t>
                  </w:r>
                </w:p>
              </w:tc>
              <w:tc>
                <w:tcPr>
                  <w:tcW w:w="1877" w:type="dxa"/>
                  <w:shd w:val="clear" w:color="auto" w:fill="auto"/>
                  <w:vAlign w:val="center"/>
                </w:tcPr>
                <w:p>
                  <w:pPr>
                    <w:pStyle w:val="37"/>
                    <w:rPr>
                      <w:rFonts w:cs="Times New Roman"/>
                      <w:u w:val="none"/>
                    </w:rPr>
                  </w:pPr>
                  <w:r>
                    <w:rPr>
                      <w:rFonts w:cs="Times New Roman"/>
                      <w:u w:val="none"/>
                    </w:rPr>
                    <w:t>1.0</w:t>
                  </w:r>
                </w:p>
              </w:tc>
              <w:tc>
                <w:tcPr>
                  <w:tcW w:w="1199" w:type="dxa"/>
                  <w:shd w:val="clear" w:color="auto" w:fill="auto"/>
                  <w:vAlign w:val="center"/>
                </w:tcPr>
                <w:p>
                  <w:pPr>
                    <w:pStyle w:val="37"/>
                    <w:rPr>
                      <w:rFonts w:cs="Times New Roman"/>
                      <w:u w:val="none"/>
                    </w:rPr>
                  </w:pPr>
                  <w:r>
                    <w:rPr>
                      <w:rFonts w:cs="Times New Roman"/>
                      <w:u w:val="none"/>
                    </w:rPr>
                    <w:t>28.4~39.1</w:t>
                  </w:r>
                </w:p>
              </w:tc>
              <w:tc>
                <w:tcPr>
                  <w:tcW w:w="1148" w:type="dxa"/>
                  <w:shd w:val="clear" w:color="auto" w:fill="auto"/>
                </w:tcPr>
                <w:p>
                  <w:pPr>
                    <w:pStyle w:val="37"/>
                    <w:rPr>
                      <w:rFonts w:cs="Times New Roman"/>
                      <w:u w:val="none"/>
                    </w:rPr>
                  </w:pPr>
                  <w:r>
                    <w:rPr>
                      <w:rFonts w:cs="Times New Roman"/>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shd w:val="clear" w:color="auto" w:fill="auto"/>
                  <w:vAlign w:val="center"/>
                </w:tcPr>
                <w:p>
                  <w:pPr>
                    <w:pStyle w:val="37"/>
                    <w:rPr>
                      <w:rFonts w:cs="Times New Roman"/>
                      <w:u w:val="none"/>
                    </w:rPr>
                  </w:pPr>
                  <w:r>
                    <w:rPr>
                      <w:rFonts w:cs="Times New Roman"/>
                      <w:u w:val="none"/>
                    </w:rPr>
                    <w:t>G</w:t>
                  </w:r>
                  <w:r>
                    <w:rPr>
                      <w:rFonts w:cs="Times New Roman"/>
                      <w:u w:val="none"/>
                      <w:vertAlign w:val="subscript"/>
                    </w:rPr>
                    <w:t>3</w:t>
                  </w:r>
                </w:p>
              </w:tc>
              <w:tc>
                <w:tcPr>
                  <w:tcW w:w="1567" w:type="dxa"/>
                  <w:shd w:val="clear" w:color="auto" w:fill="auto"/>
                  <w:vAlign w:val="center"/>
                </w:tcPr>
                <w:p>
                  <w:pPr>
                    <w:pStyle w:val="37"/>
                    <w:rPr>
                      <w:rFonts w:cs="Times New Roman"/>
                      <w:u w:val="none"/>
                    </w:rPr>
                  </w:pPr>
                  <w:r>
                    <w:rPr>
                      <w:rFonts w:cs="Times New Roman"/>
                      <w:u w:val="none"/>
                    </w:rPr>
                    <w:t>颗粒物</w:t>
                  </w:r>
                </w:p>
              </w:tc>
              <w:tc>
                <w:tcPr>
                  <w:tcW w:w="1499" w:type="dxa"/>
                  <w:shd w:val="clear" w:color="auto" w:fill="auto"/>
                  <w:vAlign w:val="center"/>
                </w:tcPr>
                <w:p>
                  <w:pPr>
                    <w:pStyle w:val="37"/>
                    <w:rPr>
                      <w:rFonts w:cs="Times New Roman"/>
                      <w:u w:val="none"/>
                    </w:rPr>
                  </w:pPr>
                  <w:r>
                    <w:rPr>
                      <w:rFonts w:cs="Times New Roman"/>
                      <w:u w:val="none"/>
                    </w:rPr>
                    <w:t>0.249~0.357</w:t>
                  </w:r>
                </w:p>
              </w:tc>
              <w:tc>
                <w:tcPr>
                  <w:tcW w:w="1877" w:type="dxa"/>
                  <w:shd w:val="clear" w:color="auto" w:fill="auto"/>
                  <w:vAlign w:val="center"/>
                </w:tcPr>
                <w:p>
                  <w:pPr>
                    <w:pStyle w:val="37"/>
                    <w:rPr>
                      <w:rFonts w:cs="Times New Roman"/>
                      <w:u w:val="none"/>
                    </w:rPr>
                  </w:pPr>
                  <w:r>
                    <w:rPr>
                      <w:rFonts w:cs="Times New Roman"/>
                      <w:u w:val="none"/>
                    </w:rPr>
                    <w:t>1.0</w:t>
                  </w:r>
                </w:p>
              </w:tc>
              <w:tc>
                <w:tcPr>
                  <w:tcW w:w="1199" w:type="dxa"/>
                  <w:shd w:val="clear" w:color="auto" w:fill="auto"/>
                  <w:vAlign w:val="center"/>
                </w:tcPr>
                <w:p>
                  <w:pPr>
                    <w:pStyle w:val="37"/>
                    <w:rPr>
                      <w:rFonts w:cs="Times New Roman"/>
                      <w:u w:val="none"/>
                    </w:rPr>
                  </w:pPr>
                  <w:r>
                    <w:rPr>
                      <w:rFonts w:cs="Times New Roman"/>
                      <w:u w:val="none"/>
                    </w:rPr>
                    <w:t>24.9~35.7</w:t>
                  </w:r>
                </w:p>
              </w:tc>
              <w:tc>
                <w:tcPr>
                  <w:tcW w:w="1148" w:type="dxa"/>
                  <w:shd w:val="clear" w:color="auto" w:fill="auto"/>
                </w:tcPr>
                <w:p>
                  <w:pPr>
                    <w:pStyle w:val="37"/>
                    <w:rPr>
                      <w:rFonts w:cs="Times New Roman"/>
                      <w:u w:val="none"/>
                    </w:rPr>
                  </w:pPr>
                  <w:r>
                    <w:rPr>
                      <w:rFonts w:cs="Times New Roman"/>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shd w:val="clear" w:color="auto" w:fill="auto"/>
                  <w:vAlign w:val="center"/>
                </w:tcPr>
                <w:p>
                  <w:pPr>
                    <w:pStyle w:val="37"/>
                    <w:rPr>
                      <w:rFonts w:cs="Times New Roman"/>
                      <w:u w:val="none"/>
                    </w:rPr>
                  </w:pPr>
                  <w:r>
                    <w:rPr>
                      <w:rFonts w:cs="Times New Roman"/>
                      <w:u w:val="none"/>
                    </w:rPr>
                    <w:t>G</w:t>
                  </w:r>
                  <w:r>
                    <w:rPr>
                      <w:rFonts w:cs="Times New Roman"/>
                      <w:u w:val="none"/>
                      <w:vertAlign w:val="subscript"/>
                    </w:rPr>
                    <w:t>4</w:t>
                  </w:r>
                </w:p>
              </w:tc>
              <w:tc>
                <w:tcPr>
                  <w:tcW w:w="1567" w:type="dxa"/>
                  <w:shd w:val="clear" w:color="auto" w:fill="auto"/>
                  <w:vAlign w:val="center"/>
                </w:tcPr>
                <w:p>
                  <w:pPr>
                    <w:pStyle w:val="37"/>
                    <w:rPr>
                      <w:rFonts w:cs="Times New Roman"/>
                      <w:u w:val="none"/>
                    </w:rPr>
                  </w:pPr>
                  <w:r>
                    <w:rPr>
                      <w:rFonts w:cs="Times New Roman"/>
                      <w:u w:val="none"/>
                    </w:rPr>
                    <w:t>颗粒物</w:t>
                  </w:r>
                </w:p>
              </w:tc>
              <w:tc>
                <w:tcPr>
                  <w:tcW w:w="1499" w:type="dxa"/>
                  <w:shd w:val="clear" w:color="auto" w:fill="auto"/>
                  <w:vAlign w:val="center"/>
                </w:tcPr>
                <w:p>
                  <w:pPr>
                    <w:pStyle w:val="37"/>
                    <w:rPr>
                      <w:rFonts w:cs="Times New Roman"/>
                      <w:u w:val="none"/>
                    </w:rPr>
                  </w:pPr>
                  <w:r>
                    <w:rPr>
                      <w:rFonts w:cs="Times New Roman"/>
                      <w:u w:val="none"/>
                    </w:rPr>
                    <w:t>0.267~0.375</w:t>
                  </w:r>
                </w:p>
              </w:tc>
              <w:tc>
                <w:tcPr>
                  <w:tcW w:w="1877" w:type="dxa"/>
                  <w:shd w:val="clear" w:color="auto" w:fill="auto"/>
                  <w:vAlign w:val="center"/>
                </w:tcPr>
                <w:p>
                  <w:pPr>
                    <w:pStyle w:val="37"/>
                    <w:rPr>
                      <w:rFonts w:cs="Times New Roman"/>
                      <w:u w:val="none"/>
                    </w:rPr>
                  </w:pPr>
                  <w:r>
                    <w:rPr>
                      <w:rFonts w:cs="Times New Roman"/>
                      <w:u w:val="none"/>
                    </w:rPr>
                    <w:t>1.0</w:t>
                  </w:r>
                </w:p>
              </w:tc>
              <w:tc>
                <w:tcPr>
                  <w:tcW w:w="1199" w:type="dxa"/>
                  <w:shd w:val="clear" w:color="auto" w:fill="auto"/>
                  <w:vAlign w:val="center"/>
                </w:tcPr>
                <w:p>
                  <w:pPr>
                    <w:pStyle w:val="37"/>
                    <w:rPr>
                      <w:rFonts w:cs="Times New Roman"/>
                      <w:u w:val="none"/>
                    </w:rPr>
                  </w:pPr>
                  <w:r>
                    <w:rPr>
                      <w:rFonts w:cs="Times New Roman"/>
                      <w:u w:val="none"/>
                    </w:rPr>
                    <w:t>26.7~37.5</w:t>
                  </w:r>
                </w:p>
              </w:tc>
              <w:tc>
                <w:tcPr>
                  <w:tcW w:w="1148" w:type="dxa"/>
                  <w:shd w:val="clear" w:color="auto" w:fill="auto"/>
                </w:tcPr>
                <w:p>
                  <w:pPr>
                    <w:pStyle w:val="37"/>
                    <w:rPr>
                      <w:rFonts w:cs="Times New Roman"/>
                      <w:u w:val="none"/>
                    </w:rPr>
                  </w:pPr>
                  <w:r>
                    <w:rPr>
                      <w:rFonts w:cs="Times New Roman"/>
                      <w:u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0" w:type="dxa"/>
                  <w:shd w:val="clear" w:color="auto" w:fill="auto"/>
                  <w:vAlign w:val="center"/>
                </w:tcPr>
                <w:p>
                  <w:pPr>
                    <w:pStyle w:val="37"/>
                    <w:rPr>
                      <w:rFonts w:cs="Times New Roman"/>
                      <w:u w:val="none"/>
                    </w:rPr>
                  </w:pPr>
                  <w:r>
                    <w:rPr>
                      <w:rFonts w:cs="Times New Roman"/>
                      <w:u w:val="none"/>
                    </w:rPr>
                    <w:t>G</w:t>
                  </w:r>
                  <w:r>
                    <w:rPr>
                      <w:rFonts w:cs="Times New Roman"/>
                      <w:u w:val="none"/>
                      <w:vertAlign w:val="subscript"/>
                    </w:rPr>
                    <w:t>5</w:t>
                  </w:r>
                </w:p>
              </w:tc>
              <w:tc>
                <w:tcPr>
                  <w:tcW w:w="1567" w:type="dxa"/>
                  <w:shd w:val="clear" w:color="auto" w:fill="auto"/>
                  <w:vAlign w:val="center"/>
                </w:tcPr>
                <w:p>
                  <w:pPr>
                    <w:pStyle w:val="37"/>
                    <w:rPr>
                      <w:rFonts w:cs="Times New Roman"/>
                      <w:u w:val="none"/>
                    </w:rPr>
                  </w:pPr>
                  <w:r>
                    <w:rPr>
                      <w:rFonts w:cs="Times New Roman"/>
                      <w:u w:val="none"/>
                    </w:rPr>
                    <w:t>总悬浮颗粒物</w:t>
                  </w:r>
                </w:p>
              </w:tc>
              <w:tc>
                <w:tcPr>
                  <w:tcW w:w="1499" w:type="dxa"/>
                  <w:shd w:val="clear" w:color="auto" w:fill="auto"/>
                  <w:vAlign w:val="center"/>
                </w:tcPr>
                <w:p>
                  <w:pPr>
                    <w:pStyle w:val="37"/>
                    <w:rPr>
                      <w:rFonts w:cs="Times New Roman"/>
                      <w:u w:val="none"/>
                    </w:rPr>
                  </w:pPr>
                  <w:r>
                    <w:rPr>
                      <w:rFonts w:cs="Times New Roman"/>
                      <w:u w:val="none"/>
                    </w:rPr>
                    <w:t>0.107~0.134</w:t>
                  </w:r>
                </w:p>
              </w:tc>
              <w:tc>
                <w:tcPr>
                  <w:tcW w:w="1877" w:type="dxa"/>
                  <w:shd w:val="clear" w:color="auto" w:fill="auto"/>
                  <w:vAlign w:val="center"/>
                </w:tcPr>
                <w:p>
                  <w:pPr>
                    <w:pStyle w:val="37"/>
                    <w:rPr>
                      <w:rFonts w:cs="Times New Roman"/>
                      <w:u w:val="none"/>
                    </w:rPr>
                  </w:pPr>
                  <w:r>
                    <w:rPr>
                      <w:rFonts w:cs="Times New Roman"/>
                      <w:u w:val="none"/>
                    </w:rPr>
                    <w:t>0.3</w:t>
                  </w:r>
                </w:p>
              </w:tc>
              <w:tc>
                <w:tcPr>
                  <w:tcW w:w="1199" w:type="dxa"/>
                  <w:shd w:val="clear" w:color="auto" w:fill="auto"/>
                  <w:vAlign w:val="center"/>
                </w:tcPr>
                <w:p>
                  <w:pPr>
                    <w:pStyle w:val="37"/>
                    <w:rPr>
                      <w:rFonts w:cs="Times New Roman"/>
                      <w:u w:val="none"/>
                    </w:rPr>
                  </w:pPr>
                  <w:r>
                    <w:rPr>
                      <w:rFonts w:cs="Times New Roman"/>
                      <w:u w:val="none"/>
                    </w:rPr>
                    <w:t>35.7~44.7</w:t>
                  </w:r>
                </w:p>
              </w:tc>
              <w:tc>
                <w:tcPr>
                  <w:tcW w:w="1148" w:type="dxa"/>
                  <w:shd w:val="clear" w:color="auto" w:fill="auto"/>
                </w:tcPr>
                <w:p>
                  <w:pPr>
                    <w:pStyle w:val="37"/>
                    <w:rPr>
                      <w:rFonts w:cs="Times New Roman"/>
                      <w:u w:val="none"/>
                    </w:rPr>
                  </w:pPr>
                  <w:r>
                    <w:rPr>
                      <w:rFonts w:cs="Times New Roman"/>
                      <w:u w:val="none"/>
                    </w:rPr>
                    <w:t>0</w:t>
                  </w:r>
                </w:p>
              </w:tc>
            </w:tr>
          </w:tbl>
          <w:p>
            <w:pPr>
              <w:ind w:firstLine="480"/>
              <w:rPr>
                <w:rFonts w:cs="Times New Roman"/>
              </w:rPr>
            </w:pPr>
            <w:r>
              <w:rPr>
                <w:rFonts w:cs="Times New Roman"/>
              </w:rPr>
              <w:t>根据上表监测结果统计分析可知，本项目周边总悬浮颗粒物能够满足《环境空气质量标准》（GB3095-2012）表2中二级浓度限值要求。</w:t>
            </w:r>
          </w:p>
          <w:p>
            <w:pPr>
              <w:pStyle w:val="4"/>
              <w:rPr>
                <w:rFonts w:cs="Times New Roman"/>
              </w:rPr>
            </w:pPr>
            <w:bookmarkStart w:id="80" w:name="_Toc107343386"/>
            <w:bookmarkStart w:id="81" w:name="_Toc107343572"/>
            <w:bookmarkStart w:id="82" w:name="_Toc107415661"/>
            <w:bookmarkStart w:id="83" w:name="_Toc107409307"/>
            <w:bookmarkStart w:id="84" w:name="_Toc116339916"/>
            <w:r>
              <w:rPr>
                <w:rFonts w:cs="Times New Roman"/>
              </w:rPr>
              <w:t>2、地表水环境质量现状</w:t>
            </w:r>
            <w:bookmarkEnd w:id="80"/>
            <w:bookmarkEnd w:id="81"/>
            <w:bookmarkEnd w:id="82"/>
            <w:bookmarkEnd w:id="83"/>
            <w:bookmarkEnd w:id="84"/>
          </w:p>
          <w:p>
            <w:pPr>
              <w:ind w:firstLine="480"/>
              <w:rPr>
                <w:rFonts w:cs="Times New Roman"/>
              </w:rPr>
            </w:pPr>
            <w:r>
              <w:rPr>
                <w:rFonts w:cs="Times New Roman"/>
              </w:rPr>
              <w:t>为了解本项目所在区域环境质量现状，本次调查收集了2020年株洲市环境监测站对铁水杨泗断面（距离本项目雨水排口13.3km处）的地表水环境质量现状监测数据，监测结果详见表3-3。</w:t>
            </w:r>
          </w:p>
          <w:p>
            <w:pPr>
              <w:pStyle w:val="31"/>
              <w:rPr>
                <w:rFonts w:cs="Times New Roman"/>
              </w:rPr>
            </w:pPr>
            <w:r>
              <w:rPr>
                <w:rFonts w:cs="Times New Roman"/>
              </w:rPr>
              <w:t>表3-3铁水杨泗断面2020年水质监测结果</w:t>
            </w:r>
            <w:r>
              <w:rPr>
                <w:rFonts w:cs="Times New Roman"/>
                <w:sz w:val="21"/>
                <w:szCs w:val="20"/>
              </w:rPr>
              <w:t>单位:mg/L(pH无量纲)</w:t>
            </w:r>
          </w:p>
          <w:tbl>
            <w:tblPr>
              <w:tblStyle w:val="18"/>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072"/>
              <w:gridCol w:w="1072"/>
              <w:gridCol w:w="1072"/>
              <w:gridCol w:w="1072"/>
              <w:gridCol w:w="1072"/>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5" w:type="dxa"/>
                  <w:gridSpan w:val="2"/>
                  <w:vAlign w:val="center"/>
                </w:tcPr>
                <w:p>
                  <w:pPr>
                    <w:pStyle w:val="37"/>
                    <w:rPr>
                      <w:rFonts w:cs="Times New Roman"/>
                      <w:u w:val="none"/>
                    </w:rPr>
                  </w:pPr>
                  <w:r>
                    <w:rPr>
                      <w:rFonts w:cs="Times New Roman"/>
                      <w:u w:val="none"/>
                    </w:rPr>
                    <w:t>点位名称</w:t>
                  </w:r>
                </w:p>
              </w:tc>
              <w:tc>
                <w:tcPr>
                  <w:tcW w:w="1072" w:type="dxa"/>
                  <w:vAlign w:val="center"/>
                </w:tcPr>
                <w:p>
                  <w:pPr>
                    <w:pStyle w:val="37"/>
                    <w:rPr>
                      <w:rFonts w:cs="Times New Roman"/>
                      <w:u w:val="none"/>
                    </w:rPr>
                  </w:pPr>
                  <w:r>
                    <w:rPr>
                      <w:rFonts w:cs="Times New Roman"/>
                      <w:u w:val="none"/>
                    </w:rPr>
                    <w:t>pH值</w:t>
                  </w:r>
                </w:p>
              </w:tc>
              <w:tc>
                <w:tcPr>
                  <w:tcW w:w="1072" w:type="dxa"/>
                  <w:vAlign w:val="center"/>
                </w:tcPr>
                <w:p>
                  <w:pPr>
                    <w:pStyle w:val="37"/>
                    <w:rPr>
                      <w:rFonts w:cs="Times New Roman"/>
                      <w:u w:val="none"/>
                    </w:rPr>
                  </w:pPr>
                  <w:r>
                    <w:rPr>
                      <w:rFonts w:cs="Times New Roman"/>
                      <w:u w:val="none"/>
                    </w:rPr>
                    <w:t>COD</w:t>
                  </w:r>
                </w:p>
              </w:tc>
              <w:tc>
                <w:tcPr>
                  <w:tcW w:w="1072" w:type="dxa"/>
                  <w:vAlign w:val="center"/>
                </w:tcPr>
                <w:p>
                  <w:pPr>
                    <w:pStyle w:val="37"/>
                    <w:rPr>
                      <w:rFonts w:cs="Times New Roman"/>
                      <w:u w:val="none"/>
                    </w:rPr>
                  </w:pPr>
                  <w:r>
                    <w:rPr>
                      <w:rFonts w:cs="Times New Roman"/>
                      <w:u w:val="none"/>
                    </w:rPr>
                    <w:t>BOD</w:t>
                  </w:r>
                  <w:r>
                    <w:rPr>
                      <w:rFonts w:cs="Times New Roman"/>
                      <w:u w:val="none"/>
                      <w:vertAlign w:val="subscript"/>
                    </w:rPr>
                    <w:t>5</w:t>
                  </w:r>
                </w:p>
              </w:tc>
              <w:tc>
                <w:tcPr>
                  <w:tcW w:w="1072" w:type="dxa"/>
                  <w:vAlign w:val="center"/>
                </w:tcPr>
                <w:p>
                  <w:pPr>
                    <w:pStyle w:val="37"/>
                    <w:rPr>
                      <w:rFonts w:cs="Times New Roman"/>
                      <w:u w:val="none"/>
                    </w:rPr>
                  </w:pPr>
                  <w:r>
                    <w:rPr>
                      <w:rFonts w:cs="Times New Roman"/>
                      <w:u w:val="none"/>
                    </w:rPr>
                    <w:t>氨氮</w:t>
                  </w:r>
                </w:p>
              </w:tc>
              <w:tc>
                <w:tcPr>
                  <w:tcW w:w="2047" w:type="dxa"/>
                  <w:vAlign w:val="center"/>
                </w:tcPr>
                <w:p>
                  <w:pPr>
                    <w:pStyle w:val="37"/>
                    <w:rPr>
                      <w:rFonts w:cs="Times New Roman"/>
                      <w:u w:val="none"/>
                    </w:rPr>
                  </w:pPr>
                  <w:r>
                    <w:rPr>
                      <w:rFonts w:cs="Times New Roman"/>
                      <w:u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3" w:type="dxa"/>
                  <w:vMerge w:val="restart"/>
                  <w:vAlign w:val="center"/>
                </w:tcPr>
                <w:p>
                  <w:pPr>
                    <w:pStyle w:val="37"/>
                    <w:rPr>
                      <w:rFonts w:cs="Times New Roman"/>
                      <w:u w:val="none"/>
                    </w:rPr>
                  </w:pPr>
                  <w:r>
                    <w:rPr>
                      <w:rFonts w:cs="Times New Roman"/>
                      <w:u w:val="none"/>
                    </w:rPr>
                    <w:t>杨泗右</w:t>
                  </w:r>
                </w:p>
              </w:tc>
              <w:tc>
                <w:tcPr>
                  <w:tcW w:w="1072" w:type="dxa"/>
                  <w:vAlign w:val="center"/>
                </w:tcPr>
                <w:p>
                  <w:pPr>
                    <w:pStyle w:val="37"/>
                    <w:rPr>
                      <w:rFonts w:cs="Times New Roman"/>
                      <w:u w:val="none"/>
                    </w:rPr>
                  </w:pPr>
                  <w:r>
                    <w:rPr>
                      <w:rFonts w:cs="Times New Roman"/>
                      <w:u w:val="none"/>
                    </w:rPr>
                    <w:t>最大值</w:t>
                  </w:r>
                </w:p>
              </w:tc>
              <w:tc>
                <w:tcPr>
                  <w:tcW w:w="1072" w:type="dxa"/>
                  <w:vAlign w:val="center"/>
                </w:tcPr>
                <w:p>
                  <w:pPr>
                    <w:pStyle w:val="37"/>
                    <w:rPr>
                      <w:rFonts w:cs="Times New Roman"/>
                      <w:u w:val="none"/>
                    </w:rPr>
                  </w:pPr>
                  <w:r>
                    <w:rPr>
                      <w:rFonts w:cs="Times New Roman"/>
                      <w:u w:val="none"/>
                    </w:rPr>
                    <w:t>7.79</w:t>
                  </w:r>
                </w:p>
              </w:tc>
              <w:tc>
                <w:tcPr>
                  <w:tcW w:w="1072" w:type="dxa"/>
                  <w:vAlign w:val="center"/>
                </w:tcPr>
                <w:p>
                  <w:pPr>
                    <w:pStyle w:val="37"/>
                    <w:rPr>
                      <w:rFonts w:cs="Times New Roman"/>
                      <w:u w:val="none"/>
                    </w:rPr>
                  </w:pPr>
                  <w:r>
                    <w:rPr>
                      <w:rFonts w:cs="Times New Roman"/>
                      <w:u w:val="none"/>
                    </w:rPr>
                    <w:t>22</w:t>
                  </w:r>
                </w:p>
              </w:tc>
              <w:tc>
                <w:tcPr>
                  <w:tcW w:w="1072" w:type="dxa"/>
                  <w:vAlign w:val="center"/>
                </w:tcPr>
                <w:p>
                  <w:pPr>
                    <w:pStyle w:val="37"/>
                    <w:rPr>
                      <w:rFonts w:cs="Times New Roman"/>
                      <w:u w:val="none"/>
                    </w:rPr>
                  </w:pPr>
                  <w:r>
                    <w:rPr>
                      <w:rFonts w:cs="Times New Roman"/>
                      <w:u w:val="none"/>
                    </w:rPr>
                    <w:t>2</w:t>
                  </w:r>
                </w:p>
              </w:tc>
              <w:tc>
                <w:tcPr>
                  <w:tcW w:w="1072" w:type="dxa"/>
                  <w:vAlign w:val="center"/>
                </w:tcPr>
                <w:p>
                  <w:pPr>
                    <w:pStyle w:val="37"/>
                    <w:rPr>
                      <w:rFonts w:cs="Times New Roman"/>
                      <w:u w:val="none"/>
                    </w:rPr>
                  </w:pPr>
                  <w:r>
                    <w:rPr>
                      <w:rFonts w:cs="Times New Roman"/>
                      <w:u w:val="none"/>
                    </w:rPr>
                    <w:t>2.178</w:t>
                  </w:r>
                </w:p>
              </w:tc>
              <w:tc>
                <w:tcPr>
                  <w:tcW w:w="2047" w:type="dxa"/>
                  <w:vAlign w:val="center"/>
                </w:tcPr>
                <w:p>
                  <w:pPr>
                    <w:pStyle w:val="37"/>
                    <w:rPr>
                      <w:rFonts w:cs="Times New Roman"/>
                      <w:u w:val="none"/>
                    </w:rPr>
                  </w:pPr>
                  <w:r>
                    <w:rPr>
                      <w:rFonts w:cs="Times New Roman"/>
                      <w:u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3" w:type="dxa"/>
                  <w:vMerge w:val="continue"/>
                  <w:vAlign w:val="center"/>
                </w:tcPr>
                <w:p>
                  <w:pPr>
                    <w:pStyle w:val="37"/>
                    <w:rPr>
                      <w:rFonts w:cs="Times New Roman"/>
                      <w:u w:val="none"/>
                    </w:rPr>
                  </w:pPr>
                </w:p>
              </w:tc>
              <w:tc>
                <w:tcPr>
                  <w:tcW w:w="1072" w:type="dxa"/>
                  <w:vAlign w:val="center"/>
                </w:tcPr>
                <w:p>
                  <w:pPr>
                    <w:pStyle w:val="37"/>
                    <w:rPr>
                      <w:rFonts w:cs="Times New Roman"/>
                      <w:u w:val="none"/>
                    </w:rPr>
                  </w:pPr>
                  <w:r>
                    <w:rPr>
                      <w:rFonts w:cs="Times New Roman"/>
                      <w:u w:val="none"/>
                    </w:rPr>
                    <w:t>最小值</w:t>
                  </w:r>
                </w:p>
              </w:tc>
              <w:tc>
                <w:tcPr>
                  <w:tcW w:w="1072" w:type="dxa"/>
                  <w:vAlign w:val="center"/>
                </w:tcPr>
                <w:p>
                  <w:pPr>
                    <w:pStyle w:val="37"/>
                    <w:rPr>
                      <w:rFonts w:cs="Times New Roman"/>
                      <w:u w:val="none"/>
                    </w:rPr>
                  </w:pPr>
                  <w:r>
                    <w:rPr>
                      <w:rFonts w:cs="Times New Roman"/>
                      <w:u w:val="none"/>
                    </w:rPr>
                    <w:t>7.25</w:t>
                  </w:r>
                </w:p>
              </w:tc>
              <w:tc>
                <w:tcPr>
                  <w:tcW w:w="1072" w:type="dxa"/>
                  <w:vAlign w:val="center"/>
                </w:tcPr>
                <w:p>
                  <w:pPr>
                    <w:pStyle w:val="37"/>
                    <w:rPr>
                      <w:rFonts w:cs="Times New Roman"/>
                      <w:u w:val="none"/>
                    </w:rPr>
                  </w:pPr>
                  <w:r>
                    <w:rPr>
                      <w:rFonts w:cs="Times New Roman"/>
                      <w:u w:val="none"/>
                    </w:rPr>
                    <w:t>10</w:t>
                  </w:r>
                </w:p>
              </w:tc>
              <w:tc>
                <w:tcPr>
                  <w:tcW w:w="1072" w:type="dxa"/>
                  <w:vAlign w:val="center"/>
                </w:tcPr>
                <w:p>
                  <w:pPr>
                    <w:pStyle w:val="37"/>
                    <w:rPr>
                      <w:rFonts w:cs="Times New Roman"/>
                      <w:u w:val="none"/>
                    </w:rPr>
                  </w:pPr>
                  <w:r>
                    <w:rPr>
                      <w:rFonts w:cs="Times New Roman"/>
                      <w:u w:val="none"/>
                    </w:rPr>
                    <w:t>0.8</w:t>
                  </w:r>
                </w:p>
              </w:tc>
              <w:tc>
                <w:tcPr>
                  <w:tcW w:w="1072" w:type="dxa"/>
                  <w:vAlign w:val="center"/>
                </w:tcPr>
                <w:p>
                  <w:pPr>
                    <w:pStyle w:val="37"/>
                    <w:rPr>
                      <w:rFonts w:cs="Times New Roman"/>
                      <w:u w:val="none"/>
                    </w:rPr>
                  </w:pPr>
                  <w:r>
                    <w:rPr>
                      <w:rFonts w:cs="Times New Roman"/>
                      <w:u w:val="none"/>
                    </w:rPr>
                    <w:t>0.19</w:t>
                  </w:r>
                </w:p>
              </w:tc>
              <w:tc>
                <w:tcPr>
                  <w:tcW w:w="2047" w:type="dxa"/>
                  <w:vAlign w:val="center"/>
                </w:tcPr>
                <w:p>
                  <w:pPr>
                    <w:pStyle w:val="37"/>
                    <w:rPr>
                      <w:rFonts w:cs="Times New Roman"/>
                      <w:u w:val="none"/>
                    </w:rPr>
                  </w:pPr>
                  <w:r>
                    <w:rPr>
                      <w:rFonts w:cs="Times New Roman"/>
                      <w:u w:val="none"/>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73" w:type="dxa"/>
                  <w:vMerge w:val="continue"/>
                  <w:vAlign w:val="center"/>
                </w:tcPr>
                <w:p>
                  <w:pPr>
                    <w:pStyle w:val="37"/>
                    <w:rPr>
                      <w:rFonts w:cs="Times New Roman"/>
                      <w:u w:val="none"/>
                    </w:rPr>
                  </w:pPr>
                </w:p>
              </w:tc>
              <w:tc>
                <w:tcPr>
                  <w:tcW w:w="1072" w:type="dxa"/>
                  <w:vAlign w:val="center"/>
                </w:tcPr>
                <w:p>
                  <w:pPr>
                    <w:pStyle w:val="37"/>
                    <w:rPr>
                      <w:rFonts w:cs="Times New Roman"/>
                      <w:u w:val="none"/>
                    </w:rPr>
                  </w:pPr>
                  <w:r>
                    <w:rPr>
                      <w:rFonts w:cs="Times New Roman"/>
                      <w:u w:val="none"/>
                    </w:rPr>
                    <w:t>平均值</w:t>
                  </w:r>
                </w:p>
              </w:tc>
              <w:tc>
                <w:tcPr>
                  <w:tcW w:w="1072" w:type="dxa"/>
                  <w:vAlign w:val="center"/>
                </w:tcPr>
                <w:p>
                  <w:pPr>
                    <w:pStyle w:val="37"/>
                    <w:rPr>
                      <w:rFonts w:cs="Times New Roman"/>
                      <w:u w:val="none"/>
                    </w:rPr>
                  </w:pPr>
                  <w:r>
                    <w:rPr>
                      <w:rFonts w:cs="Times New Roman"/>
                      <w:u w:val="none"/>
                    </w:rPr>
                    <w:t>7.52</w:t>
                  </w:r>
                </w:p>
              </w:tc>
              <w:tc>
                <w:tcPr>
                  <w:tcW w:w="1072" w:type="dxa"/>
                  <w:vAlign w:val="center"/>
                </w:tcPr>
                <w:p>
                  <w:pPr>
                    <w:pStyle w:val="37"/>
                    <w:rPr>
                      <w:rFonts w:cs="Times New Roman"/>
                      <w:u w:val="none"/>
                    </w:rPr>
                  </w:pPr>
                  <w:r>
                    <w:rPr>
                      <w:rFonts w:cs="Times New Roman"/>
                      <w:u w:val="none"/>
                    </w:rPr>
                    <w:t>13.83</w:t>
                  </w:r>
                </w:p>
              </w:tc>
              <w:tc>
                <w:tcPr>
                  <w:tcW w:w="1072" w:type="dxa"/>
                  <w:vAlign w:val="center"/>
                </w:tcPr>
                <w:p>
                  <w:pPr>
                    <w:pStyle w:val="37"/>
                    <w:rPr>
                      <w:rFonts w:cs="Times New Roman"/>
                      <w:u w:val="none"/>
                    </w:rPr>
                  </w:pPr>
                  <w:r>
                    <w:rPr>
                      <w:rFonts w:cs="Times New Roman"/>
                      <w:u w:val="none"/>
                    </w:rPr>
                    <w:t>1.43</w:t>
                  </w:r>
                </w:p>
              </w:tc>
              <w:tc>
                <w:tcPr>
                  <w:tcW w:w="1072" w:type="dxa"/>
                  <w:vAlign w:val="center"/>
                </w:tcPr>
                <w:p>
                  <w:pPr>
                    <w:pStyle w:val="37"/>
                    <w:rPr>
                      <w:rFonts w:cs="Times New Roman"/>
                      <w:u w:val="none"/>
                    </w:rPr>
                  </w:pPr>
                  <w:r>
                    <w:rPr>
                      <w:rFonts w:cs="Times New Roman"/>
                      <w:u w:val="none"/>
                    </w:rPr>
                    <w:t>0.48</w:t>
                  </w:r>
                </w:p>
              </w:tc>
              <w:tc>
                <w:tcPr>
                  <w:tcW w:w="2047" w:type="dxa"/>
                  <w:vAlign w:val="center"/>
                </w:tcPr>
                <w:p>
                  <w:pPr>
                    <w:pStyle w:val="37"/>
                    <w:rPr>
                      <w:rFonts w:cs="Times New Roman"/>
                      <w:u w:val="none"/>
                    </w:rPr>
                  </w:pPr>
                  <w:r>
                    <w:rPr>
                      <w:rFonts w:cs="Times New Roman"/>
                      <w:u w:val="none"/>
                    </w:rPr>
                    <w:t>0.005L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5" w:type="dxa"/>
                  <w:gridSpan w:val="2"/>
                  <w:vAlign w:val="center"/>
                </w:tcPr>
                <w:p>
                  <w:pPr>
                    <w:pStyle w:val="37"/>
                    <w:rPr>
                      <w:rFonts w:cs="Times New Roman"/>
                      <w:u w:val="none"/>
                    </w:rPr>
                  </w:pPr>
                  <w:r>
                    <w:rPr>
                      <w:rFonts w:cs="Times New Roman"/>
                      <w:u w:val="none"/>
                    </w:rPr>
                    <w:t>是否超标</w:t>
                  </w:r>
                </w:p>
              </w:tc>
              <w:tc>
                <w:tcPr>
                  <w:tcW w:w="1072" w:type="dxa"/>
                  <w:vAlign w:val="center"/>
                </w:tcPr>
                <w:p>
                  <w:pPr>
                    <w:pStyle w:val="37"/>
                    <w:rPr>
                      <w:rFonts w:cs="Times New Roman"/>
                      <w:u w:val="none"/>
                    </w:rPr>
                  </w:pPr>
                  <w:r>
                    <w:rPr>
                      <w:rFonts w:cs="Times New Roman"/>
                      <w:u w:val="none"/>
                    </w:rPr>
                    <w:t>否</w:t>
                  </w:r>
                </w:p>
              </w:tc>
              <w:tc>
                <w:tcPr>
                  <w:tcW w:w="1072" w:type="dxa"/>
                  <w:vAlign w:val="center"/>
                </w:tcPr>
                <w:p>
                  <w:pPr>
                    <w:pStyle w:val="37"/>
                    <w:rPr>
                      <w:rFonts w:cs="Times New Roman"/>
                      <w:u w:val="none"/>
                    </w:rPr>
                  </w:pPr>
                  <w:r>
                    <w:rPr>
                      <w:rFonts w:cs="Times New Roman"/>
                      <w:u w:val="none"/>
                    </w:rPr>
                    <w:t>否</w:t>
                  </w:r>
                </w:p>
              </w:tc>
              <w:tc>
                <w:tcPr>
                  <w:tcW w:w="1072" w:type="dxa"/>
                  <w:vAlign w:val="center"/>
                </w:tcPr>
                <w:p>
                  <w:pPr>
                    <w:pStyle w:val="37"/>
                    <w:rPr>
                      <w:rFonts w:cs="Times New Roman"/>
                      <w:u w:val="none"/>
                    </w:rPr>
                  </w:pPr>
                  <w:r>
                    <w:rPr>
                      <w:rFonts w:cs="Times New Roman"/>
                      <w:u w:val="none"/>
                    </w:rPr>
                    <w:t>否</w:t>
                  </w:r>
                </w:p>
              </w:tc>
              <w:tc>
                <w:tcPr>
                  <w:tcW w:w="1072" w:type="dxa"/>
                  <w:vAlign w:val="center"/>
                </w:tcPr>
                <w:p>
                  <w:pPr>
                    <w:pStyle w:val="37"/>
                    <w:rPr>
                      <w:rFonts w:cs="Times New Roman"/>
                      <w:u w:val="none"/>
                    </w:rPr>
                  </w:pPr>
                  <w:r>
                    <w:rPr>
                      <w:rFonts w:cs="Times New Roman"/>
                      <w:u w:val="none"/>
                    </w:rPr>
                    <w:t>否</w:t>
                  </w:r>
                </w:p>
              </w:tc>
              <w:tc>
                <w:tcPr>
                  <w:tcW w:w="2047" w:type="dxa"/>
                  <w:vAlign w:val="center"/>
                </w:tcPr>
                <w:p>
                  <w:pPr>
                    <w:pStyle w:val="37"/>
                    <w:rPr>
                      <w:rFonts w:cs="Times New Roman"/>
                      <w:u w:val="none"/>
                    </w:rPr>
                  </w:pPr>
                  <w:r>
                    <w:rPr>
                      <w:rFonts w:cs="Times New Roman"/>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45" w:type="dxa"/>
                  <w:gridSpan w:val="2"/>
                  <w:vAlign w:val="center"/>
                </w:tcPr>
                <w:p>
                  <w:pPr>
                    <w:pStyle w:val="37"/>
                    <w:rPr>
                      <w:rFonts w:cs="Times New Roman"/>
                      <w:u w:val="none"/>
                    </w:rPr>
                  </w:pPr>
                  <w:r>
                    <w:rPr>
                      <w:rFonts w:cs="Times New Roman"/>
                      <w:u w:val="none"/>
                    </w:rPr>
                    <w:t>地表水II类标准</w:t>
                  </w:r>
                </w:p>
              </w:tc>
              <w:tc>
                <w:tcPr>
                  <w:tcW w:w="1072" w:type="dxa"/>
                  <w:vAlign w:val="center"/>
                </w:tcPr>
                <w:p>
                  <w:pPr>
                    <w:pStyle w:val="37"/>
                    <w:rPr>
                      <w:rFonts w:cs="Times New Roman"/>
                      <w:u w:val="none"/>
                    </w:rPr>
                  </w:pPr>
                  <w:r>
                    <w:rPr>
                      <w:rFonts w:cs="Times New Roman"/>
                      <w:u w:val="none"/>
                    </w:rPr>
                    <w:t>6—9</w:t>
                  </w:r>
                </w:p>
              </w:tc>
              <w:tc>
                <w:tcPr>
                  <w:tcW w:w="1072" w:type="dxa"/>
                  <w:vAlign w:val="center"/>
                </w:tcPr>
                <w:p>
                  <w:pPr>
                    <w:pStyle w:val="37"/>
                    <w:rPr>
                      <w:rFonts w:cs="Times New Roman"/>
                      <w:u w:val="none"/>
                    </w:rPr>
                  </w:pPr>
                  <w:r>
                    <w:rPr>
                      <w:rFonts w:cs="Times New Roman"/>
                      <w:u w:val="none"/>
                    </w:rPr>
                    <w:t>≤15</w:t>
                  </w:r>
                </w:p>
              </w:tc>
              <w:tc>
                <w:tcPr>
                  <w:tcW w:w="1072" w:type="dxa"/>
                  <w:vAlign w:val="center"/>
                </w:tcPr>
                <w:p>
                  <w:pPr>
                    <w:pStyle w:val="37"/>
                    <w:rPr>
                      <w:rFonts w:cs="Times New Roman"/>
                      <w:u w:val="none"/>
                    </w:rPr>
                  </w:pPr>
                  <w:r>
                    <w:rPr>
                      <w:rFonts w:cs="Times New Roman"/>
                      <w:u w:val="none"/>
                    </w:rPr>
                    <w:t>≤3</w:t>
                  </w:r>
                </w:p>
              </w:tc>
              <w:tc>
                <w:tcPr>
                  <w:tcW w:w="1072" w:type="dxa"/>
                  <w:vAlign w:val="center"/>
                </w:tcPr>
                <w:p>
                  <w:pPr>
                    <w:pStyle w:val="37"/>
                    <w:rPr>
                      <w:rFonts w:cs="Times New Roman"/>
                      <w:u w:val="none"/>
                    </w:rPr>
                  </w:pPr>
                  <w:r>
                    <w:rPr>
                      <w:rFonts w:cs="Times New Roman"/>
                      <w:u w:val="none"/>
                    </w:rPr>
                    <w:t>≤0.5</w:t>
                  </w:r>
                </w:p>
              </w:tc>
              <w:tc>
                <w:tcPr>
                  <w:tcW w:w="2047" w:type="dxa"/>
                  <w:vAlign w:val="center"/>
                </w:tcPr>
                <w:p>
                  <w:pPr>
                    <w:pStyle w:val="37"/>
                    <w:rPr>
                      <w:rFonts w:cs="Times New Roman"/>
                      <w:u w:val="none"/>
                    </w:rPr>
                  </w:pPr>
                  <w:r>
                    <w:rPr>
                      <w:rFonts w:cs="Times New Roman"/>
                      <w:u w:val="none"/>
                    </w:rPr>
                    <w:t>≤0.05</w:t>
                  </w:r>
                </w:p>
              </w:tc>
            </w:tr>
          </w:tbl>
          <w:p>
            <w:pPr>
              <w:ind w:firstLine="480"/>
              <w:rPr>
                <w:rFonts w:cs="Times New Roman"/>
              </w:rPr>
            </w:pPr>
            <w:r>
              <w:rPr>
                <w:rFonts w:cs="Times New Roman"/>
              </w:rPr>
              <w:t>根据常规监测统计结果可知，项目所在区域主要地表水体——铁水的水环境质量满足《地表水环境质量标准》（GB3838-2002）Ⅲ类标准要求。</w:t>
            </w:r>
            <w:bookmarkStart w:id="85" w:name="_Toc106531337"/>
          </w:p>
          <w:p>
            <w:pPr>
              <w:pStyle w:val="4"/>
              <w:rPr>
                <w:rFonts w:cs="Times New Roman"/>
              </w:rPr>
            </w:pPr>
            <w:bookmarkStart w:id="86" w:name="_Toc107415662"/>
            <w:bookmarkStart w:id="87" w:name="_Toc107343573"/>
            <w:bookmarkStart w:id="88" w:name="_Toc107343387"/>
            <w:bookmarkStart w:id="89" w:name="_Toc107409308"/>
            <w:bookmarkStart w:id="90" w:name="_Toc116339917"/>
            <w:r>
              <w:rPr>
                <w:rFonts w:cs="Times New Roman"/>
              </w:rPr>
              <w:t>3、声环境质量现状调查与评价</w:t>
            </w:r>
            <w:bookmarkEnd w:id="85"/>
            <w:bookmarkEnd w:id="86"/>
            <w:bookmarkEnd w:id="87"/>
            <w:bookmarkEnd w:id="88"/>
            <w:bookmarkEnd w:id="89"/>
            <w:bookmarkEnd w:id="90"/>
          </w:p>
          <w:p>
            <w:pPr>
              <w:ind w:firstLine="480"/>
              <w:rPr>
                <w:rFonts w:cs="Times New Roman"/>
              </w:rPr>
            </w:pPr>
            <w:r>
              <w:rPr>
                <w:rFonts w:cs="Times New Roman"/>
              </w:rPr>
              <w:t>本评价委托湖南精科检测有限公司于2022年4月27日至28日对本项目厂界四周的声环境质量进行监测，监测点位示意见附图3，监测结果见表3-4。</w:t>
            </w:r>
          </w:p>
          <w:p>
            <w:pPr>
              <w:pStyle w:val="31"/>
              <w:rPr>
                <w:rFonts w:cs="Times New Roman"/>
              </w:rPr>
            </w:pPr>
          </w:p>
          <w:p>
            <w:pPr>
              <w:pStyle w:val="31"/>
              <w:rPr>
                <w:rFonts w:cs="Times New Roman"/>
              </w:rPr>
            </w:pPr>
          </w:p>
          <w:p>
            <w:pPr>
              <w:pStyle w:val="31"/>
              <w:rPr>
                <w:rFonts w:cs="Times New Roman"/>
              </w:rPr>
            </w:pPr>
          </w:p>
          <w:p>
            <w:pPr>
              <w:pStyle w:val="31"/>
              <w:rPr>
                <w:rFonts w:cs="Times New Roman"/>
              </w:rPr>
            </w:pPr>
          </w:p>
          <w:p>
            <w:pPr>
              <w:pStyle w:val="31"/>
              <w:rPr>
                <w:rFonts w:cs="Times New Roman"/>
              </w:rPr>
            </w:pPr>
            <w:r>
              <w:rPr>
                <w:rFonts w:cs="Times New Roman"/>
              </w:rPr>
              <w:t>表3-4噪声现状监测极值表单位：dB(A)</w:t>
            </w:r>
          </w:p>
          <w:tbl>
            <w:tblPr>
              <w:tblStyle w:val="17"/>
              <w:tblW w:w="8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460"/>
              <w:gridCol w:w="1362"/>
              <w:gridCol w:w="1165"/>
              <w:gridCol w:w="1347"/>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860" w:type="dxa"/>
                  <w:vMerge w:val="restart"/>
                  <w:vAlign w:val="center"/>
                </w:tcPr>
                <w:p>
                  <w:pPr>
                    <w:pStyle w:val="37"/>
                    <w:jc w:val="center"/>
                    <w:rPr>
                      <w:rFonts w:cs="Times New Roman"/>
                      <w:u w:val="none"/>
                    </w:rPr>
                  </w:pPr>
                  <w:r>
                    <w:rPr>
                      <w:rFonts w:cs="Times New Roman"/>
                      <w:u w:val="none"/>
                    </w:rPr>
                    <w:t>检测点位</w:t>
                  </w:r>
                </w:p>
              </w:tc>
              <w:tc>
                <w:tcPr>
                  <w:tcW w:w="1460" w:type="dxa"/>
                  <w:vMerge w:val="restart"/>
                  <w:vAlign w:val="center"/>
                </w:tcPr>
                <w:p>
                  <w:pPr>
                    <w:pStyle w:val="37"/>
                    <w:jc w:val="center"/>
                    <w:rPr>
                      <w:rFonts w:cs="Times New Roman"/>
                      <w:u w:val="none"/>
                    </w:rPr>
                  </w:pPr>
                  <w:r>
                    <w:rPr>
                      <w:rFonts w:cs="Times New Roman"/>
                      <w:u w:val="none"/>
                    </w:rPr>
                    <w:t>检测日期</w:t>
                  </w:r>
                </w:p>
              </w:tc>
              <w:tc>
                <w:tcPr>
                  <w:tcW w:w="2527" w:type="dxa"/>
                  <w:gridSpan w:val="2"/>
                  <w:vAlign w:val="center"/>
                </w:tcPr>
                <w:p>
                  <w:pPr>
                    <w:pStyle w:val="37"/>
                    <w:jc w:val="center"/>
                    <w:rPr>
                      <w:rFonts w:cs="Times New Roman"/>
                      <w:u w:val="none"/>
                    </w:rPr>
                  </w:pPr>
                  <w:r>
                    <w:rPr>
                      <w:rFonts w:cs="Times New Roman"/>
                      <w:u w:val="none"/>
                    </w:rPr>
                    <w:t>检测结果Leq[dB(A)]</w:t>
                  </w:r>
                </w:p>
              </w:tc>
              <w:tc>
                <w:tcPr>
                  <w:tcW w:w="2633" w:type="dxa"/>
                  <w:gridSpan w:val="2"/>
                  <w:vAlign w:val="center"/>
                </w:tcPr>
                <w:p>
                  <w:pPr>
                    <w:pStyle w:val="37"/>
                    <w:jc w:val="center"/>
                    <w:rPr>
                      <w:rFonts w:cs="Times New Roman"/>
                      <w:u w:val="none"/>
                    </w:rPr>
                  </w:pPr>
                  <w:r>
                    <w:rPr>
                      <w:rFonts w:cs="Times New Roman"/>
                      <w:u w:val="none"/>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1860" w:type="dxa"/>
                  <w:vMerge w:val="continue"/>
                  <w:vAlign w:val="center"/>
                </w:tcPr>
                <w:p>
                  <w:pPr>
                    <w:pStyle w:val="37"/>
                    <w:jc w:val="center"/>
                    <w:rPr>
                      <w:rFonts w:cs="Times New Roman"/>
                      <w:u w:val="none"/>
                    </w:rPr>
                  </w:pPr>
                </w:p>
              </w:tc>
              <w:tc>
                <w:tcPr>
                  <w:tcW w:w="1460" w:type="dxa"/>
                  <w:vMerge w:val="continue"/>
                  <w:vAlign w:val="center"/>
                </w:tcPr>
                <w:p>
                  <w:pPr>
                    <w:pStyle w:val="37"/>
                    <w:jc w:val="center"/>
                    <w:rPr>
                      <w:rFonts w:cs="Times New Roman"/>
                      <w:u w:val="none"/>
                    </w:rPr>
                  </w:pPr>
                </w:p>
              </w:tc>
              <w:tc>
                <w:tcPr>
                  <w:tcW w:w="1362" w:type="dxa"/>
                  <w:vAlign w:val="center"/>
                </w:tcPr>
                <w:p>
                  <w:pPr>
                    <w:pStyle w:val="37"/>
                    <w:jc w:val="center"/>
                    <w:rPr>
                      <w:rFonts w:cs="Times New Roman"/>
                      <w:u w:val="none"/>
                    </w:rPr>
                  </w:pPr>
                  <w:r>
                    <w:rPr>
                      <w:rFonts w:cs="Times New Roman"/>
                      <w:u w:val="none"/>
                    </w:rPr>
                    <w:t>昼间</w:t>
                  </w:r>
                </w:p>
              </w:tc>
              <w:tc>
                <w:tcPr>
                  <w:tcW w:w="1165" w:type="dxa"/>
                  <w:vAlign w:val="center"/>
                </w:tcPr>
                <w:p>
                  <w:pPr>
                    <w:pStyle w:val="37"/>
                    <w:jc w:val="center"/>
                    <w:rPr>
                      <w:rFonts w:cs="Times New Roman"/>
                      <w:u w:val="none"/>
                    </w:rPr>
                  </w:pPr>
                  <w:r>
                    <w:rPr>
                      <w:rFonts w:cs="Times New Roman"/>
                      <w:u w:val="none"/>
                    </w:rPr>
                    <w:t>夜间</w:t>
                  </w:r>
                </w:p>
              </w:tc>
              <w:tc>
                <w:tcPr>
                  <w:tcW w:w="1347" w:type="dxa"/>
                  <w:vAlign w:val="center"/>
                </w:tcPr>
                <w:p>
                  <w:pPr>
                    <w:pStyle w:val="37"/>
                    <w:jc w:val="center"/>
                    <w:rPr>
                      <w:rFonts w:cs="Times New Roman"/>
                      <w:u w:val="none"/>
                    </w:rPr>
                  </w:pPr>
                  <w:r>
                    <w:rPr>
                      <w:rFonts w:cs="Times New Roman"/>
                      <w:u w:val="none"/>
                    </w:rPr>
                    <w:t>昼间</w:t>
                  </w:r>
                </w:p>
              </w:tc>
              <w:tc>
                <w:tcPr>
                  <w:tcW w:w="1286" w:type="dxa"/>
                  <w:vAlign w:val="center"/>
                </w:tcPr>
                <w:p>
                  <w:pPr>
                    <w:pStyle w:val="37"/>
                    <w:jc w:val="center"/>
                    <w:rPr>
                      <w:rFonts w:cs="Times New Roman"/>
                      <w:u w:val="none"/>
                    </w:rPr>
                  </w:pPr>
                  <w:r>
                    <w:rPr>
                      <w:rFonts w:cs="Times New Roman"/>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restart"/>
                  <w:vAlign w:val="center"/>
                </w:tcPr>
                <w:p>
                  <w:pPr>
                    <w:pStyle w:val="37"/>
                    <w:jc w:val="center"/>
                    <w:rPr>
                      <w:rFonts w:cs="Times New Roman"/>
                      <w:kern w:val="21"/>
                      <w:u w:val="none"/>
                    </w:rPr>
                  </w:pPr>
                  <w:r>
                    <w:rPr>
                      <w:rFonts w:cs="Times New Roman"/>
                      <w:u w:val="none"/>
                    </w:rPr>
                    <w:t>N</w:t>
                  </w:r>
                  <w:r>
                    <w:rPr>
                      <w:rFonts w:cs="Times New Roman"/>
                      <w:u w:val="none"/>
                      <w:vertAlign w:val="subscript"/>
                    </w:rPr>
                    <w:t>1</w:t>
                  </w:r>
                  <w:r>
                    <w:rPr>
                      <w:rFonts w:cs="Times New Roman"/>
                      <w:u w:val="none"/>
                    </w:rPr>
                    <w:t>厂界东侧外1m处</w:t>
                  </w:r>
                </w:p>
              </w:tc>
              <w:tc>
                <w:tcPr>
                  <w:tcW w:w="1460" w:type="dxa"/>
                  <w:vAlign w:val="center"/>
                </w:tcPr>
                <w:p>
                  <w:pPr>
                    <w:pStyle w:val="37"/>
                    <w:jc w:val="center"/>
                    <w:rPr>
                      <w:rFonts w:cs="Times New Roman"/>
                      <w:bCs/>
                      <w:u w:val="none"/>
                    </w:rPr>
                  </w:pPr>
                  <w:r>
                    <w:rPr>
                      <w:rFonts w:cs="Times New Roman"/>
                      <w:u w:val="none"/>
                      <w:lang w:bidi="ar"/>
                    </w:rPr>
                    <w:t>2022.4.27</w:t>
                  </w:r>
                </w:p>
              </w:tc>
              <w:tc>
                <w:tcPr>
                  <w:tcW w:w="1362" w:type="dxa"/>
                  <w:vAlign w:val="center"/>
                </w:tcPr>
                <w:p>
                  <w:pPr>
                    <w:pStyle w:val="37"/>
                    <w:jc w:val="center"/>
                    <w:rPr>
                      <w:rFonts w:cs="Times New Roman"/>
                      <w:u w:val="none"/>
                      <w:lang w:bidi="ar"/>
                    </w:rPr>
                  </w:pPr>
                  <w:r>
                    <w:rPr>
                      <w:rFonts w:cs="Times New Roman"/>
                      <w:u w:val="none"/>
                      <w:lang w:bidi="ar"/>
                    </w:rPr>
                    <w:t>55.3</w:t>
                  </w:r>
                </w:p>
              </w:tc>
              <w:tc>
                <w:tcPr>
                  <w:tcW w:w="1165" w:type="dxa"/>
                  <w:vAlign w:val="center"/>
                </w:tcPr>
                <w:p>
                  <w:pPr>
                    <w:pStyle w:val="37"/>
                    <w:jc w:val="center"/>
                    <w:rPr>
                      <w:rFonts w:cs="Times New Roman"/>
                      <w:u w:val="none"/>
                      <w:lang w:bidi="ar"/>
                    </w:rPr>
                  </w:pPr>
                  <w:r>
                    <w:rPr>
                      <w:rFonts w:cs="Times New Roman"/>
                      <w:u w:val="none"/>
                      <w:lang w:bidi="ar"/>
                    </w:rPr>
                    <w:t>44.7</w:t>
                  </w:r>
                </w:p>
              </w:tc>
              <w:tc>
                <w:tcPr>
                  <w:tcW w:w="1347" w:type="dxa"/>
                  <w:vMerge w:val="restart"/>
                  <w:vAlign w:val="center"/>
                </w:tcPr>
                <w:p>
                  <w:pPr>
                    <w:pStyle w:val="37"/>
                    <w:jc w:val="center"/>
                    <w:rPr>
                      <w:rFonts w:cs="Times New Roman"/>
                      <w:u w:val="none"/>
                    </w:rPr>
                  </w:pPr>
                  <w:r>
                    <w:rPr>
                      <w:rFonts w:cs="Times New Roman"/>
                      <w:u w:val="none"/>
                    </w:rPr>
                    <w:t>60</w:t>
                  </w:r>
                </w:p>
                <w:p>
                  <w:pPr>
                    <w:pStyle w:val="37"/>
                    <w:jc w:val="center"/>
                    <w:rPr>
                      <w:rFonts w:cs="Times New Roman"/>
                      <w:u w:val="none"/>
                    </w:rPr>
                  </w:pPr>
                </w:p>
              </w:tc>
              <w:tc>
                <w:tcPr>
                  <w:tcW w:w="1286" w:type="dxa"/>
                  <w:vMerge w:val="restart"/>
                  <w:vAlign w:val="center"/>
                </w:tcPr>
                <w:p>
                  <w:pPr>
                    <w:pStyle w:val="37"/>
                    <w:jc w:val="center"/>
                    <w:rPr>
                      <w:rFonts w:cs="Times New Roman"/>
                      <w:u w:val="none"/>
                    </w:rPr>
                  </w:pPr>
                  <w:r>
                    <w:rPr>
                      <w:rFonts w:cs="Times New Roman"/>
                      <w:u w:val="none"/>
                    </w:rPr>
                    <w:t>50</w:t>
                  </w:r>
                </w:p>
                <w:p>
                  <w:pPr>
                    <w:pStyle w:val="54"/>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continue"/>
                  <w:vAlign w:val="center"/>
                </w:tcPr>
                <w:p>
                  <w:pPr>
                    <w:pStyle w:val="37"/>
                    <w:jc w:val="center"/>
                    <w:rPr>
                      <w:rFonts w:cs="Times New Roman"/>
                      <w:u w:val="none"/>
                    </w:rPr>
                  </w:pPr>
                </w:p>
              </w:tc>
              <w:tc>
                <w:tcPr>
                  <w:tcW w:w="1460" w:type="dxa"/>
                  <w:vAlign w:val="center"/>
                </w:tcPr>
                <w:p>
                  <w:pPr>
                    <w:pStyle w:val="37"/>
                    <w:jc w:val="center"/>
                    <w:rPr>
                      <w:rFonts w:cs="Times New Roman"/>
                      <w:bCs/>
                      <w:u w:val="none"/>
                      <w:lang w:bidi="ar"/>
                    </w:rPr>
                  </w:pPr>
                  <w:r>
                    <w:rPr>
                      <w:rFonts w:cs="Times New Roman"/>
                      <w:u w:val="none"/>
                      <w:lang w:bidi="ar"/>
                    </w:rPr>
                    <w:t>2022.4.28</w:t>
                  </w:r>
                </w:p>
              </w:tc>
              <w:tc>
                <w:tcPr>
                  <w:tcW w:w="1362" w:type="dxa"/>
                  <w:vAlign w:val="center"/>
                </w:tcPr>
                <w:p>
                  <w:pPr>
                    <w:pStyle w:val="37"/>
                    <w:jc w:val="center"/>
                    <w:rPr>
                      <w:rFonts w:cs="Times New Roman"/>
                      <w:u w:val="none"/>
                      <w:lang w:bidi="ar"/>
                    </w:rPr>
                  </w:pPr>
                  <w:r>
                    <w:rPr>
                      <w:rFonts w:cs="Times New Roman"/>
                      <w:u w:val="none"/>
                      <w:lang w:bidi="ar"/>
                    </w:rPr>
                    <w:t>54.5</w:t>
                  </w:r>
                </w:p>
              </w:tc>
              <w:tc>
                <w:tcPr>
                  <w:tcW w:w="1165" w:type="dxa"/>
                  <w:vAlign w:val="center"/>
                </w:tcPr>
                <w:p>
                  <w:pPr>
                    <w:pStyle w:val="37"/>
                    <w:jc w:val="center"/>
                    <w:rPr>
                      <w:rFonts w:cs="Times New Roman"/>
                      <w:u w:val="none"/>
                      <w:lang w:bidi="ar"/>
                    </w:rPr>
                  </w:pPr>
                  <w:r>
                    <w:rPr>
                      <w:rFonts w:cs="Times New Roman"/>
                      <w:u w:val="none"/>
                      <w:lang w:bidi="ar"/>
                    </w:rPr>
                    <w:t>45.0</w:t>
                  </w:r>
                </w:p>
              </w:tc>
              <w:tc>
                <w:tcPr>
                  <w:tcW w:w="1347" w:type="dxa"/>
                  <w:vMerge w:val="continue"/>
                  <w:vAlign w:val="center"/>
                </w:tcPr>
                <w:p>
                  <w:pPr>
                    <w:pStyle w:val="54"/>
                    <w:rPr>
                      <w:rFonts w:ascii="Times New Roman" w:hAnsi="Times New Roman" w:cs="Times New Roman"/>
                      <w:bCs/>
                    </w:rPr>
                  </w:pPr>
                </w:p>
              </w:tc>
              <w:tc>
                <w:tcPr>
                  <w:tcW w:w="1286" w:type="dxa"/>
                  <w:vMerge w:val="continue"/>
                  <w:vAlign w:val="center"/>
                </w:tcPr>
                <w:p>
                  <w:pPr>
                    <w:pStyle w:val="54"/>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restart"/>
                  <w:vAlign w:val="center"/>
                </w:tcPr>
                <w:p>
                  <w:pPr>
                    <w:pStyle w:val="37"/>
                    <w:jc w:val="center"/>
                    <w:rPr>
                      <w:rFonts w:cs="Times New Roman"/>
                      <w:u w:val="none"/>
                    </w:rPr>
                  </w:pPr>
                  <w:r>
                    <w:rPr>
                      <w:rFonts w:cs="Times New Roman"/>
                      <w:u w:val="none"/>
                    </w:rPr>
                    <w:t>N</w:t>
                  </w:r>
                  <w:r>
                    <w:rPr>
                      <w:rFonts w:cs="Times New Roman"/>
                      <w:u w:val="none"/>
                      <w:vertAlign w:val="subscript"/>
                    </w:rPr>
                    <w:t>2</w:t>
                  </w:r>
                  <w:r>
                    <w:rPr>
                      <w:rFonts w:cs="Times New Roman"/>
                      <w:u w:val="none"/>
                    </w:rPr>
                    <w:t>厂界南侧外1m处</w:t>
                  </w:r>
                </w:p>
              </w:tc>
              <w:tc>
                <w:tcPr>
                  <w:tcW w:w="1460" w:type="dxa"/>
                  <w:vAlign w:val="center"/>
                </w:tcPr>
                <w:p>
                  <w:pPr>
                    <w:pStyle w:val="37"/>
                    <w:jc w:val="center"/>
                    <w:rPr>
                      <w:rFonts w:cs="Times New Roman"/>
                      <w:bCs/>
                      <w:u w:val="none"/>
                    </w:rPr>
                  </w:pPr>
                  <w:r>
                    <w:rPr>
                      <w:rFonts w:cs="Times New Roman"/>
                      <w:u w:val="none"/>
                      <w:lang w:bidi="ar"/>
                    </w:rPr>
                    <w:t>2022.4.27</w:t>
                  </w:r>
                </w:p>
              </w:tc>
              <w:tc>
                <w:tcPr>
                  <w:tcW w:w="1362" w:type="dxa"/>
                  <w:vAlign w:val="center"/>
                </w:tcPr>
                <w:p>
                  <w:pPr>
                    <w:pStyle w:val="37"/>
                    <w:jc w:val="center"/>
                    <w:rPr>
                      <w:rFonts w:cs="Times New Roman"/>
                      <w:u w:val="none"/>
                      <w:lang w:bidi="ar"/>
                    </w:rPr>
                  </w:pPr>
                  <w:r>
                    <w:rPr>
                      <w:rFonts w:cs="Times New Roman"/>
                      <w:u w:val="none"/>
                      <w:lang w:bidi="ar"/>
                    </w:rPr>
                    <w:t>57.4</w:t>
                  </w:r>
                </w:p>
              </w:tc>
              <w:tc>
                <w:tcPr>
                  <w:tcW w:w="1165" w:type="dxa"/>
                  <w:vAlign w:val="center"/>
                </w:tcPr>
                <w:p>
                  <w:pPr>
                    <w:pStyle w:val="37"/>
                    <w:jc w:val="center"/>
                    <w:rPr>
                      <w:rFonts w:cs="Times New Roman"/>
                      <w:u w:val="none"/>
                      <w:lang w:bidi="ar"/>
                    </w:rPr>
                  </w:pPr>
                  <w:r>
                    <w:rPr>
                      <w:rFonts w:cs="Times New Roman"/>
                      <w:u w:val="none"/>
                      <w:lang w:bidi="ar"/>
                    </w:rPr>
                    <w:t>47.7</w:t>
                  </w:r>
                </w:p>
              </w:tc>
              <w:tc>
                <w:tcPr>
                  <w:tcW w:w="1347" w:type="dxa"/>
                  <w:vMerge w:val="continue"/>
                  <w:vAlign w:val="center"/>
                </w:tcPr>
                <w:p>
                  <w:pPr>
                    <w:pStyle w:val="54"/>
                    <w:rPr>
                      <w:rFonts w:ascii="Times New Roman" w:hAnsi="Times New Roman" w:cs="Times New Roman"/>
                    </w:rPr>
                  </w:pPr>
                </w:p>
              </w:tc>
              <w:tc>
                <w:tcPr>
                  <w:tcW w:w="1286" w:type="dxa"/>
                  <w:vMerge w:val="continue"/>
                  <w:vAlign w:val="center"/>
                </w:tcPr>
                <w:p>
                  <w:pPr>
                    <w:pStyle w:val="54"/>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continue"/>
                  <w:vAlign w:val="center"/>
                </w:tcPr>
                <w:p>
                  <w:pPr>
                    <w:pStyle w:val="37"/>
                    <w:jc w:val="center"/>
                    <w:rPr>
                      <w:rFonts w:cs="Times New Roman"/>
                      <w:u w:val="none"/>
                    </w:rPr>
                  </w:pPr>
                </w:p>
              </w:tc>
              <w:tc>
                <w:tcPr>
                  <w:tcW w:w="1460" w:type="dxa"/>
                  <w:vAlign w:val="center"/>
                </w:tcPr>
                <w:p>
                  <w:pPr>
                    <w:pStyle w:val="37"/>
                    <w:jc w:val="center"/>
                    <w:rPr>
                      <w:rFonts w:cs="Times New Roman"/>
                      <w:bCs/>
                      <w:u w:val="none"/>
                      <w:lang w:bidi="ar"/>
                    </w:rPr>
                  </w:pPr>
                  <w:r>
                    <w:rPr>
                      <w:rFonts w:cs="Times New Roman"/>
                      <w:u w:val="none"/>
                      <w:lang w:bidi="ar"/>
                    </w:rPr>
                    <w:t>2022.4.28</w:t>
                  </w:r>
                </w:p>
              </w:tc>
              <w:tc>
                <w:tcPr>
                  <w:tcW w:w="1362" w:type="dxa"/>
                  <w:vAlign w:val="center"/>
                </w:tcPr>
                <w:p>
                  <w:pPr>
                    <w:pStyle w:val="37"/>
                    <w:jc w:val="center"/>
                    <w:rPr>
                      <w:rFonts w:cs="Times New Roman"/>
                      <w:u w:val="none"/>
                      <w:lang w:bidi="ar"/>
                    </w:rPr>
                  </w:pPr>
                  <w:r>
                    <w:rPr>
                      <w:rFonts w:cs="Times New Roman"/>
                      <w:u w:val="none"/>
                      <w:lang w:bidi="ar"/>
                    </w:rPr>
                    <w:t>57.0</w:t>
                  </w:r>
                </w:p>
              </w:tc>
              <w:tc>
                <w:tcPr>
                  <w:tcW w:w="1165" w:type="dxa"/>
                  <w:vAlign w:val="center"/>
                </w:tcPr>
                <w:p>
                  <w:pPr>
                    <w:pStyle w:val="37"/>
                    <w:jc w:val="center"/>
                    <w:rPr>
                      <w:rFonts w:cs="Times New Roman"/>
                      <w:u w:val="none"/>
                      <w:lang w:bidi="ar"/>
                    </w:rPr>
                  </w:pPr>
                  <w:r>
                    <w:rPr>
                      <w:rFonts w:cs="Times New Roman"/>
                      <w:u w:val="none"/>
                      <w:lang w:bidi="ar"/>
                    </w:rPr>
                    <w:t>47.4</w:t>
                  </w:r>
                </w:p>
              </w:tc>
              <w:tc>
                <w:tcPr>
                  <w:tcW w:w="1347" w:type="dxa"/>
                  <w:vMerge w:val="continue"/>
                  <w:vAlign w:val="center"/>
                </w:tcPr>
                <w:p>
                  <w:pPr>
                    <w:pStyle w:val="54"/>
                    <w:rPr>
                      <w:rFonts w:ascii="Times New Roman" w:hAnsi="Times New Roman" w:cs="Times New Roman"/>
                    </w:rPr>
                  </w:pPr>
                </w:p>
              </w:tc>
              <w:tc>
                <w:tcPr>
                  <w:tcW w:w="1286" w:type="dxa"/>
                  <w:vMerge w:val="continue"/>
                  <w:vAlign w:val="center"/>
                </w:tcPr>
                <w:p>
                  <w:pPr>
                    <w:pStyle w:val="54"/>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restart"/>
                  <w:vAlign w:val="center"/>
                </w:tcPr>
                <w:p>
                  <w:pPr>
                    <w:pStyle w:val="37"/>
                    <w:jc w:val="center"/>
                    <w:rPr>
                      <w:rFonts w:cs="Times New Roman"/>
                      <w:kern w:val="21"/>
                      <w:u w:val="none"/>
                    </w:rPr>
                  </w:pPr>
                  <w:r>
                    <w:rPr>
                      <w:rFonts w:cs="Times New Roman"/>
                      <w:u w:val="none"/>
                    </w:rPr>
                    <w:t>N</w:t>
                  </w:r>
                  <w:r>
                    <w:rPr>
                      <w:rFonts w:cs="Times New Roman"/>
                      <w:u w:val="none"/>
                      <w:vertAlign w:val="subscript"/>
                    </w:rPr>
                    <w:t>3</w:t>
                  </w:r>
                  <w:r>
                    <w:rPr>
                      <w:rFonts w:cs="Times New Roman"/>
                      <w:u w:val="none"/>
                    </w:rPr>
                    <w:t>厂界西侧外1m处</w:t>
                  </w:r>
                </w:p>
              </w:tc>
              <w:tc>
                <w:tcPr>
                  <w:tcW w:w="1460" w:type="dxa"/>
                  <w:vAlign w:val="center"/>
                </w:tcPr>
                <w:p>
                  <w:pPr>
                    <w:pStyle w:val="37"/>
                    <w:jc w:val="center"/>
                    <w:rPr>
                      <w:rFonts w:cs="Times New Roman"/>
                      <w:bCs/>
                      <w:u w:val="none"/>
                    </w:rPr>
                  </w:pPr>
                  <w:r>
                    <w:rPr>
                      <w:rFonts w:cs="Times New Roman"/>
                      <w:u w:val="none"/>
                      <w:lang w:bidi="ar"/>
                    </w:rPr>
                    <w:t>2022.4.27</w:t>
                  </w:r>
                </w:p>
              </w:tc>
              <w:tc>
                <w:tcPr>
                  <w:tcW w:w="1362" w:type="dxa"/>
                  <w:vAlign w:val="center"/>
                </w:tcPr>
                <w:p>
                  <w:pPr>
                    <w:pStyle w:val="37"/>
                    <w:jc w:val="center"/>
                    <w:rPr>
                      <w:rFonts w:cs="Times New Roman"/>
                      <w:u w:val="none"/>
                      <w:lang w:bidi="ar"/>
                    </w:rPr>
                  </w:pPr>
                  <w:r>
                    <w:rPr>
                      <w:rFonts w:cs="Times New Roman"/>
                      <w:u w:val="none"/>
                      <w:lang w:bidi="ar"/>
                    </w:rPr>
                    <w:t>56.0</w:t>
                  </w:r>
                </w:p>
              </w:tc>
              <w:tc>
                <w:tcPr>
                  <w:tcW w:w="1165" w:type="dxa"/>
                  <w:vAlign w:val="center"/>
                </w:tcPr>
                <w:p>
                  <w:pPr>
                    <w:pStyle w:val="37"/>
                    <w:jc w:val="center"/>
                    <w:rPr>
                      <w:rFonts w:cs="Times New Roman"/>
                      <w:u w:val="none"/>
                      <w:lang w:bidi="ar"/>
                    </w:rPr>
                  </w:pPr>
                  <w:r>
                    <w:rPr>
                      <w:rFonts w:cs="Times New Roman"/>
                      <w:u w:val="none"/>
                      <w:lang w:bidi="ar"/>
                    </w:rPr>
                    <w:t>46.0</w:t>
                  </w:r>
                </w:p>
              </w:tc>
              <w:tc>
                <w:tcPr>
                  <w:tcW w:w="1347" w:type="dxa"/>
                  <w:vMerge w:val="continue"/>
                  <w:vAlign w:val="center"/>
                </w:tcPr>
                <w:p>
                  <w:pPr>
                    <w:pStyle w:val="54"/>
                    <w:rPr>
                      <w:rFonts w:ascii="Times New Roman" w:hAnsi="Times New Roman" w:cs="Times New Roman"/>
                    </w:rPr>
                  </w:pPr>
                </w:p>
              </w:tc>
              <w:tc>
                <w:tcPr>
                  <w:tcW w:w="1286" w:type="dxa"/>
                  <w:vMerge w:val="continue"/>
                  <w:vAlign w:val="center"/>
                </w:tcPr>
                <w:p>
                  <w:pPr>
                    <w:pStyle w:val="54"/>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continue"/>
                  <w:vAlign w:val="center"/>
                </w:tcPr>
                <w:p>
                  <w:pPr>
                    <w:pStyle w:val="37"/>
                    <w:jc w:val="center"/>
                    <w:rPr>
                      <w:rFonts w:cs="Times New Roman"/>
                      <w:u w:val="none"/>
                    </w:rPr>
                  </w:pPr>
                </w:p>
              </w:tc>
              <w:tc>
                <w:tcPr>
                  <w:tcW w:w="1460" w:type="dxa"/>
                  <w:vAlign w:val="center"/>
                </w:tcPr>
                <w:p>
                  <w:pPr>
                    <w:pStyle w:val="37"/>
                    <w:jc w:val="center"/>
                    <w:rPr>
                      <w:rFonts w:cs="Times New Roman"/>
                      <w:bCs/>
                      <w:u w:val="none"/>
                      <w:lang w:bidi="ar"/>
                    </w:rPr>
                  </w:pPr>
                  <w:r>
                    <w:rPr>
                      <w:rFonts w:cs="Times New Roman"/>
                      <w:u w:val="none"/>
                      <w:lang w:bidi="ar"/>
                    </w:rPr>
                    <w:t>2022.4.28</w:t>
                  </w:r>
                </w:p>
              </w:tc>
              <w:tc>
                <w:tcPr>
                  <w:tcW w:w="1362" w:type="dxa"/>
                  <w:vAlign w:val="center"/>
                </w:tcPr>
                <w:p>
                  <w:pPr>
                    <w:pStyle w:val="37"/>
                    <w:jc w:val="center"/>
                    <w:rPr>
                      <w:rFonts w:cs="Times New Roman"/>
                      <w:u w:val="none"/>
                      <w:lang w:bidi="ar"/>
                    </w:rPr>
                  </w:pPr>
                  <w:r>
                    <w:rPr>
                      <w:rFonts w:cs="Times New Roman"/>
                      <w:u w:val="none"/>
                      <w:lang w:bidi="ar"/>
                    </w:rPr>
                    <w:t>56.2</w:t>
                  </w:r>
                </w:p>
              </w:tc>
              <w:tc>
                <w:tcPr>
                  <w:tcW w:w="1165" w:type="dxa"/>
                  <w:vAlign w:val="center"/>
                </w:tcPr>
                <w:p>
                  <w:pPr>
                    <w:pStyle w:val="37"/>
                    <w:jc w:val="center"/>
                    <w:rPr>
                      <w:rFonts w:cs="Times New Roman"/>
                      <w:u w:val="none"/>
                      <w:lang w:bidi="ar"/>
                    </w:rPr>
                  </w:pPr>
                  <w:r>
                    <w:rPr>
                      <w:rFonts w:cs="Times New Roman"/>
                      <w:u w:val="none"/>
                      <w:lang w:bidi="ar"/>
                    </w:rPr>
                    <w:t>46.5</w:t>
                  </w:r>
                </w:p>
              </w:tc>
              <w:tc>
                <w:tcPr>
                  <w:tcW w:w="1347" w:type="dxa"/>
                  <w:vMerge w:val="continue"/>
                  <w:vAlign w:val="center"/>
                </w:tcPr>
                <w:p>
                  <w:pPr>
                    <w:pStyle w:val="54"/>
                    <w:rPr>
                      <w:rFonts w:ascii="Times New Roman" w:hAnsi="Times New Roman" w:cs="Times New Roman"/>
                    </w:rPr>
                  </w:pPr>
                </w:p>
              </w:tc>
              <w:tc>
                <w:tcPr>
                  <w:tcW w:w="1286" w:type="dxa"/>
                  <w:vMerge w:val="continue"/>
                  <w:vAlign w:val="center"/>
                </w:tcPr>
                <w:p>
                  <w:pPr>
                    <w:pStyle w:val="54"/>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restart"/>
                  <w:vAlign w:val="center"/>
                </w:tcPr>
                <w:p>
                  <w:pPr>
                    <w:pStyle w:val="37"/>
                    <w:jc w:val="center"/>
                    <w:rPr>
                      <w:rFonts w:cs="Times New Roman"/>
                      <w:u w:val="none"/>
                    </w:rPr>
                  </w:pPr>
                  <w:r>
                    <w:rPr>
                      <w:rFonts w:cs="Times New Roman"/>
                      <w:u w:val="none"/>
                    </w:rPr>
                    <w:t>N</w:t>
                  </w:r>
                  <w:r>
                    <w:rPr>
                      <w:rFonts w:cs="Times New Roman"/>
                      <w:u w:val="none"/>
                      <w:vertAlign w:val="subscript"/>
                    </w:rPr>
                    <w:t>4</w:t>
                  </w:r>
                  <w:r>
                    <w:rPr>
                      <w:rFonts w:cs="Times New Roman"/>
                      <w:u w:val="none"/>
                    </w:rPr>
                    <w:t>厂界北侧外1m处</w:t>
                  </w:r>
                </w:p>
              </w:tc>
              <w:tc>
                <w:tcPr>
                  <w:tcW w:w="1460" w:type="dxa"/>
                  <w:vAlign w:val="center"/>
                </w:tcPr>
                <w:p>
                  <w:pPr>
                    <w:pStyle w:val="37"/>
                    <w:jc w:val="center"/>
                    <w:rPr>
                      <w:rFonts w:cs="Times New Roman"/>
                      <w:bCs/>
                      <w:u w:val="none"/>
                    </w:rPr>
                  </w:pPr>
                  <w:r>
                    <w:rPr>
                      <w:rFonts w:cs="Times New Roman"/>
                      <w:u w:val="none"/>
                      <w:lang w:bidi="ar"/>
                    </w:rPr>
                    <w:t>2022.4.27</w:t>
                  </w:r>
                </w:p>
              </w:tc>
              <w:tc>
                <w:tcPr>
                  <w:tcW w:w="1362" w:type="dxa"/>
                  <w:vAlign w:val="center"/>
                </w:tcPr>
                <w:p>
                  <w:pPr>
                    <w:pStyle w:val="37"/>
                    <w:jc w:val="center"/>
                    <w:rPr>
                      <w:rFonts w:cs="Times New Roman"/>
                      <w:u w:val="none"/>
                      <w:lang w:bidi="ar"/>
                    </w:rPr>
                  </w:pPr>
                  <w:r>
                    <w:rPr>
                      <w:rFonts w:cs="Times New Roman"/>
                      <w:u w:val="none"/>
                      <w:lang w:bidi="ar"/>
                    </w:rPr>
                    <w:t>56.6</w:t>
                  </w:r>
                </w:p>
              </w:tc>
              <w:tc>
                <w:tcPr>
                  <w:tcW w:w="1165" w:type="dxa"/>
                  <w:vAlign w:val="center"/>
                </w:tcPr>
                <w:p>
                  <w:pPr>
                    <w:pStyle w:val="37"/>
                    <w:jc w:val="center"/>
                    <w:rPr>
                      <w:rFonts w:cs="Times New Roman"/>
                      <w:u w:val="none"/>
                      <w:lang w:bidi="ar"/>
                    </w:rPr>
                  </w:pPr>
                  <w:r>
                    <w:rPr>
                      <w:rFonts w:cs="Times New Roman"/>
                      <w:u w:val="none"/>
                      <w:lang w:bidi="ar"/>
                    </w:rPr>
                    <w:t>46.2</w:t>
                  </w:r>
                </w:p>
              </w:tc>
              <w:tc>
                <w:tcPr>
                  <w:tcW w:w="1347" w:type="dxa"/>
                  <w:vMerge w:val="continue"/>
                  <w:vAlign w:val="center"/>
                </w:tcPr>
                <w:p>
                  <w:pPr>
                    <w:pStyle w:val="54"/>
                    <w:rPr>
                      <w:rFonts w:ascii="Times New Roman" w:hAnsi="Times New Roman" w:cs="Times New Roman"/>
                    </w:rPr>
                  </w:pPr>
                </w:p>
              </w:tc>
              <w:tc>
                <w:tcPr>
                  <w:tcW w:w="1286" w:type="dxa"/>
                  <w:vMerge w:val="continue"/>
                  <w:vAlign w:val="center"/>
                </w:tcPr>
                <w:p>
                  <w:pPr>
                    <w:pStyle w:val="54"/>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continue"/>
                  <w:vAlign w:val="center"/>
                </w:tcPr>
                <w:p>
                  <w:pPr>
                    <w:pStyle w:val="37"/>
                    <w:jc w:val="center"/>
                    <w:rPr>
                      <w:rFonts w:cs="Times New Roman"/>
                      <w:u w:val="none"/>
                    </w:rPr>
                  </w:pPr>
                </w:p>
              </w:tc>
              <w:tc>
                <w:tcPr>
                  <w:tcW w:w="1460" w:type="dxa"/>
                  <w:vAlign w:val="center"/>
                </w:tcPr>
                <w:p>
                  <w:pPr>
                    <w:pStyle w:val="37"/>
                    <w:jc w:val="center"/>
                    <w:rPr>
                      <w:rFonts w:cs="Times New Roman"/>
                      <w:bCs/>
                      <w:u w:val="none"/>
                      <w:lang w:bidi="ar"/>
                    </w:rPr>
                  </w:pPr>
                  <w:r>
                    <w:rPr>
                      <w:rFonts w:cs="Times New Roman"/>
                      <w:u w:val="none"/>
                      <w:lang w:bidi="ar"/>
                    </w:rPr>
                    <w:t>2022.4.28</w:t>
                  </w:r>
                </w:p>
              </w:tc>
              <w:tc>
                <w:tcPr>
                  <w:tcW w:w="1362" w:type="dxa"/>
                  <w:vAlign w:val="center"/>
                </w:tcPr>
                <w:p>
                  <w:pPr>
                    <w:pStyle w:val="37"/>
                    <w:jc w:val="center"/>
                    <w:rPr>
                      <w:rFonts w:cs="Times New Roman"/>
                      <w:u w:val="none"/>
                      <w:lang w:bidi="ar"/>
                    </w:rPr>
                  </w:pPr>
                  <w:r>
                    <w:rPr>
                      <w:rFonts w:cs="Times New Roman"/>
                      <w:u w:val="none"/>
                      <w:lang w:bidi="ar"/>
                    </w:rPr>
                    <w:t>56.5</w:t>
                  </w:r>
                </w:p>
              </w:tc>
              <w:tc>
                <w:tcPr>
                  <w:tcW w:w="1165" w:type="dxa"/>
                  <w:vAlign w:val="center"/>
                </w:tcPr>
                <w:p>
                  <w:pPr>
                    <w:pStyle w:val="37"/>
                    <w:jc w:val="center"/>
                    <w:rPr>
                      <w:rFonts w:cs="Times New Roman"/>
                      <w:u w:val="none"/>
                      <w:lang w:bidi="ar"/>
                    </w:rPr>
                  </w:pPr>
                  <w:r>
                    <w:rPr>
                      <w:rFonts w:cs="Times New Roman"/>
                      <w:u w:val="none"/>
                      <w:lang w:bidi="ar"/>
                    </w:rPr>
                    <w:t>45.7</w:t>
                  </w:r>
                </w:p>
              </w:tc>
              <w:tc>
                <w:tcPr>
                  <w:tcW w:w="1347" w:type="dxa"/>
                  <w:vMerge w:val="continue"/>
                  <w:vAlign w:val="center"/>
                </w:tcPr>
                <w:p>
                  <w:pPr>
                    <w:pStyle w:val="54"/>
                    <w:rPr>
                      <w:rFonts w:ascii="Times New Roman" w:hAnsi="Times New Roman" w:cs="Times New Roman"/>
                    </w:rPr>
                  </w:pPr>
                </w:p>
              </w:tc>
              <w:tc>
                <w:tcPr>
                  <w:tcW w:w="1286" w:type="dxa"/>
                  <w:vMerge w:val="continue"/>
                  <w:vAlign w:val="center"/>
                </w:tcPr>
                <w:p>
                  <w:pPr>
                    <w:pStyle w:val="54"/>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restart"/>
                  <w:vAlign w:val="center"/>
                </w:tcPr>
                <w:p>
                  <w:pPr>
                    <w:pStyle w:val="54"/>
                    <w:rPr>
                      <w:rFonts w:ascii="Times New Roman" w:hAnsi="Times New Roman" w:cs="Times New Roman"/>
                      <w:kern w:val="21"/>
                      <w:szCs w:val="21"/>
                    </w:rPr>
                  </w:pPr>
                  <w:r>
                    <w:rPr>
                      <w:rFonts w:ascii="Times New Roman" w:hAnsi="Times New Roman" w:cs="Times New Roman"/>
                      <w:szCs w:val="21"/>
                    </w:rPr>
                    <w:t>N</w:t>
                  </w:r>
                  <w:r>
                    <w:rPr>
                      <w:rFonts w:ascii="Times New Roman" w:hAnsi="Times New Roman" w:cs="Times New Roman"/>
                      <w:szCs w:val="21"/>
                      <w:vertAlign w:val="subscript"/>
                    </w:rPr>
                    <w:t>5</w:t>
                  </w:r>
                  <w:r>
                    <w:rPr>
                      <w:rFonts w:ascii="Times New Roman" w:hAnsi="Times New Roman" w:cs="Times New Roman"/>
                      <w:szCs w:val="21"/>
                    </w:rPr>
                    <w:t>厂界东侧5m处敏感点</w:t>
                  </w:r>
                </w:p>
              </w:tc>
              <w:tc>
                <w:tcPr>
                  <w:tcW w:w="1460" w:type="dxa"/>
                  <w:vAlign w:val="center"/>
                </w:tcPr>
                <w:p>
                  <w:pPr>
                    <w:widowControl/>
                    <w:ind w:firstLine="300" w:firstLineChars="150"/>
                    <w:jc w:val="center"/>
                    <w:textAlignment w:val="center"/>
                    <w:rPr>
                      <w:rFonts w:cs="Times New Roman"/>
                      <w:bCs/>
                      <w:sz w:val="21"/>
                      <w:szCs w:val="21"/>
                    </w:rPr>
                  </w:pPr>
                  <w:r>
                    <w:rPr>
                      <w:rFonts w:cs="Times New Roman"/>
                      <w:color w:val="000000"/>
                      <w:spacing w:val="-5"/>
                      <w:kern w:val="0"/>
                      <w:sz w:val="21"/>
                      <w:szCs w:val="21"/>
                      <w:lang w:bidi="ar"/>
                    </w:rPr>
                    <w:t>2022.4.27</w:t>
                  </w:r>
                </w:p>
              </w:tc>
              <w:tc>
                <w:tcPr>
                  <w:tcW w:w="1362" w:type="dxa"/>
                  <w:vAlign w:val="center"/>
                </w:tcPr>
                <w:p>
                  <w:pPr>
                    <w:widowControl/>
                    <w:ind w:firstLine="410"/>
                    <w:jc w:val="center"/>
                    <w:textAlignment w:val="center"/>
                    <w:rPr>
                      <w:rFonts w:cs="Times New Roman"/>
                      <w:color w:val="000000"/>
                      <w:spacing w:val="-5"/>
                      <w:kern w:val="0"/>
                      <w:sz w:val="21"/>
                      <w:szCs w:val="21"/>
                      <w:lang w:bidi="ar"/>
                    </w:rPr>
                  </w:pPr>
                  <w:r>
                    <w:rPr>
                      <w:rFonts w:cs="Times New Roman"/>
                      <w:color w:val="000000"/>
                      <w:spacing w:val="-5"/>
                      <w:kern w:val="0"/>
                      <w:sz w:val="21"/>
                      <w:szCs w:val="21"/>
                      <w:lang w:bidi="ar"/>
                    </w:rPr>
                    <w:t>55.7</w:t>
                  </w:r>
                </w:p>
              </w:tc>
              <w:tc>
                <w:tcPr>
                  <w:tcW w:w="1165" w:type="dxa"/>
                  <w:vAlign w:val="center"/>
                </w:tcPr>
                <w:p>
                  <w:pPr>
                    <w:widowControl/>
                    <w:ind w:firstLine="300" w:firstLineChars="150"/>
                    <w:jc w:val="center"/>
                    <w:textAlignment w:val="center"/>
                    <w:rPr>
                      <w:rFonts w:cs="Times New Roman"/>
                      <w:color w:val="000000"/>
                      <w:spacing w:val="-5"/>
                      <w:kern w:val="0"/>
                      <w:sz w:val="21"/>
                      <w:szCs w:val="21"/>
                      <w:lang w:bidi="ar"/>
                    </w:rPr>
                  </w:pPr>
                  <w:r>
                    <w:rPr>
                      <w:rFonts w:cs="Times New Roman"/>
                      <w:color w:val="000000"/>
                      <w:spacing w:val="-5"/>
                      <w:kern w:val="0"/>
                      <w:sz w:val="21"/>
                      <w:szCs w:val="21"/>
                      <w:lang w:bidi="ar"/>
                    </w:rPr>
                    <w:t>43.3</w:t>
                  </w:r>
                </w:p>
              </w:tc>
              <w:tc>
                <w:tcPr>
                  <w:tcW w:w="1347" w:type="dxa"/>
                  <w:vMerge w:val="continue"/>
                  <w:vAlign w:val="center"/>
                </w:tcPr>
                <w:p>
                  <w:pPr>
                    <w:pStyle w:val="54"/>
                    <w:rPr>
                      <w:rFonts w:ascii="Times New Roman" w:hAnsi="Times New Roman" w:cs="Times New Roman"/>
                      <w:b/>
                      <w:bCs/>
                      <w:szCs w:val="21"/>
                    </w:rPr>
                  </w:pPr>
                </w:p>
              </w:tc>
              <w:tc>
                <w:tcPr>
                  <w:tcW w:w="1286" w:type="dxa"/>
                  <w:vMerge w:val="continue"/>
                  <w:vAlign w:val="center"/>
                </w:tcPr>
                <w:p>
                  <w:pPr>
                    <w:pStyle w:val="54"/>
                    <w:rPr>
                      <w:rFonts w:ascii="Times New Roman" w:hAnsi="Times New Roman"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60" w:type="dxa"/>
                  <w:vMerge w:val="continue"/>
                  <w:vAlign w:val="center"/>
                </w:tcPr>
                <w:p>
                  <w:pPr>
                    <w:pStyle w:val="54"/>
                    <w:rPr>
                      <w:rFonts w:ascii="Times New Roman" w:hAnsi="Times New Roman" w:cs="Times New Roman"/>
                      <w:szCs w:val="21"/>
                    </w:rPr>
                  </w:pPr>
                </w:p>
              </w:tc>
              <w:tc>
                <w:tcPr>
                  <w:tcW w:w="1460" w:type="dxa"/>
                  <w:vAlign w:val="center"/>
                </w:tcPr>
                <w:p>
                  <w:pPr>
                    <w:widowControl/>
                    <w:ind w:firstLine="300" w:firstLineChars="150"/>
                    <w:jc w:val="center"/>
                    <w:textAlignment w:val="center"/>
                    <w:rPr>
                      <w:rFonts w:cs="Times New Roman"/>
                      <w:bCs/>
                      <w:sz w:val="21"/>
                      <w:szCs w:val="21"/>
                    </w:rPr>
                  </w:pPr>
                  <w:r>
                    <w:rPr>
                      <w:rFonts w:cs="Times New Roman"/>
                      <w:color w:val="000000"/>
                      <w:spacing w:val="-5"/>
                      <w:kern w:val="0"/>
                      <w:sz w:val="21"/>
                      <w:szCs w:val="21"/>
                      <w:lang w:bidi="ar"/>
                    </w:rPr>
                    <w:t>2022.4.28</w:t>
                  </w:r>
                </w:p>
              </w:tc>
              <w:tc>
                <w:tcPr>
                  <w:tcW w:w="1362" w:type="dxa"/>
                  <w:vAlign w:val="center"/>
                </w:tcPr>
                <w:p>
                  <w:pPr>
                    <w:widowControl/>
                    <w:ind w:firstLine="410"/>
                    <w:jc w:val="center"/>
                    <w:textAlignment w:val="center"/>
                    <w:rPr>
                      <w:rFonts w:cs="Times New Roman"/>
                      <w:color w:val="000000"/>
                      <w:spacing w:val="-5"/>
                      <w:kern w:val="0"/>
                      <w:sz w:val="21"/>
                      <w:szCs w:val="21"/>
                      <w:lang w:bidi="ar"/>
                    </w:rPr>
                  </w:pPr>
                  <w:r>
                    <w:rPr>
                      <w:rFonts w:cs="Times New Roman"/>
                      <w:color w:val="000000"/>
                      <w:spacing w:val="-5"/>
                      <w:kern w:val="0"/>
                      <w:sz w:val="21"/>
                      <w:szCs w:val="21"/>
                      <w:lang w:bidi="ar"/>
                    </w:rPr>
                    <w:t>55.1</w:t>
                  </w:r>
                </w:p>
              </w:tc>
              <w:tc>
                <w:tcPr>
                  <w:tcW w:w="1165" w:type="dxa"/>
                  <w:vAlign w:val="center"/>
                </w:tcPr>
                <w:p>
                  <w:pPr>
                    <w:widowControl/>
                    <w:ind w:firstLine="300" w:firstLineChars="150"/>
                    <w:jc w:val="center"/>
                    <w:textAlignment w:val="center"/>
                    <w:rPr>
                      <w:rFonts w:cs="Times New Roman"/>
                      <w:color w:val="000000"/>
                      <w:spacing w:val="-5"/>
                      <w:kern w:val="0"/>
                      <w:sz w:val="21"/>
                      <w:szCs w:val="21"/>
                      <w:lang w:bidi="ar"/>
                    </w:rPr>
                  </w:pPr>
                  <w:r>
                    <w:rPr>
                      <w:rFonts w:cs="Times New Roman"/>
                      <w:color w:val="000000"/>
                      <w:spacing w:val="-5"/>
                      <w:kern w:val="0"/>
                      <w:sz w:val="21"/>
                      <w:szCs w:val="21"/>
                      <w:lang w:bidi="ar"/>
                    </w:rPr>
                    <w:t>42.8</w:t>
                  </w:r>
                </w:p>
              </w:tc>
              <w:tc>
                <w:tcPr>
                  <w:tcW w:w="1347" w:type="dxa"/>
                  <w:vMerge w:val="continue"/>
                  <w:vAlign w:val="center"/>
                </w:tcPr>
                <w:p>
                  <w:pPr>
                    <w:pStyle w:val="54"/>
                    <w:rPr>
                      <w:rFonts w:ascii="Times New Roman" w:hAnsi="Times New Roman" w:cs="Times New Roman"/>
                      <w:szCs w:val="21"/>
                    </w:rPr>
                  </w:pPr>
                </w:p>
              </w:tc>
              <w:tc>
                <w:tcPr>
                  <w:tcW w:w="1286" w:type="dxa"/>
                  <w:vMerge w:val="continue"/>
                  <w:vAlign w:val="center"/>
                </w:tcPr>
                <w:p>
                  <w:pPr>
                    <w:pStyle w:val="54"/>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8480" w:type="dxa"/>
                  <w:gridSpan w:val="6"/>
                  <w:vAlign w:val="center"/>
                </w:tcPr>
                <w:p>
                  <w:pPr>
                    <w:pStyle w:val="54"/>
                    <w:rPr>
                      <w:rFonts w:ascii="Times New Roman" w:hAnsi="Times New Roman" w:cs="Times New Roman"/>
                      <w:kern w:val="21"/>
                      <w:szCs w:val="21"/>
                    </w:rPr>
                  </w:pPr>
                  <w:r>
                    <w:rPr>
                      <w:rFonts w:ascii="Times New Roman" w:hAnsi="Times New Roman" w:cs="Times New Roman"/>
                    </w:rPr>
                    <w:t>注：标准参考《声环境质量标准》（GB3096-2008）表1中2类标准。</w:t>
                  </w:r>
                </w:p>
              </w:tc>
            </w:tr>
          </w:tbl>
          <w:p>
            <w:pPr>
              <w:ind w:firstLine="480"/>
              <w:rPr>
                <w:rFonts w:cs="Times New Roman"/>
              </w:rPr>
            </w:pPr>
            <w:r>
              <w:rPr>
                <w:rFonts w:cs="Times New Roman"/>
              </w:rPr>
              <w:t>根据监测结果，厂界和敏感点各测点昼夜间噪声监测值均符合《声环境质量标准》（GB3096-2008）2类标准值。</w:t>
            </w:r>
          </w:p>
          <w:p>
            <w:pPr>
              <w:pStyle w:val="4"/>
              <w:rPr>
                <w:rFonts w:cs="Times New Roman"/>
              </w:rPr>
            </w:pPr>
            <w:bookmarkStart w:id="91" w:name="_Toc107343574"/>
            <w:bookmarkStart w:id="92" w:name="_Toc116339918"/>
            <w:bookmarkStart w:id="93" w:name="_Toc107343388"/>
            <w:bookmarkStart w:id="94" w:name="_Toc106531338"/>
            <w:bookmarkStart w:id="95" w:name="_Toc107415663"/>
            <w:bookmarkStart w:id="96" w:name="_Toc107409309"/>
            <w:r>
              <w:rPr>
                <w:rFonts w:cs="Times New Roman"/>
              </w:rPr>
              <w:t>3、项目区域生态环境质量现状</w:t>
            </w:r>
            <w:bookmarkEnd w:id="91"/>
            <w:bookmarkEnd w:id="92"/>
            <w:bookmarkEnd w:id="93"/>
            <w:bookmarkEnd w:id="94"/>
            <w:bookmarkEnd w:id="95"/>
            <w:bookmarkEnd w:id="96"/>
          </w:p>
          <w:p>
            <w:pPr>
              <w:ind w:firstLine="480"/>
              <w:rPr>
                <w:rFonts w:cs="Times New Roman"/>
              </w:rPr>
            </w:pPr>
            <w:r>
              <w:rPr>
                <w:rFonts w:cs="Times New Roman"/>
              </w:rPr>
              <w:t>项目所在区域植被覆盖率较高，地表植物主要为灌木及农作物。区域人员活动较少，野生动物主要有蛇类、田鼠、蜥蜴、青蛙、壁虎、麻雀等；铁水中水生鱼类资源主要有草鱼、鲤鱼、鲫鱼、鲢鱼等。</w:t>
            </w:r>
          </w:p>
          <w:p>
            <w:pPr>
              <w:ind w:firstLine="480"/>
              <w:rPr>
                <w:rFonts w:cs="Times New Roman"/>
              </w:rPr>
            </w:pPr>
            <w:r>
              <w:rPr>
                <w:rFonts w:cs="Times New Roman"/>
              </w:rPr>
              <w:t>区域内未发现珍稀动植物物种，无珍稀濒危物种、名木古树和其它需重点保护的动植物物种。</w:t>
            </w:r>
          </w:p>
          <w:p>
            <w:pPr>
              <w:pStyle w:val="4"/>
              <w:rPr>
                <w:rFonts w:cs="Times New Roman"/>
              </w:rPr>
            </w:pPr>
            <w:bookmarkStart w:id="97" w:name="_Toc116339919"/>
            <w:r>
              <w:rPr>
                <w:rFonts w:cs="Times New Roman"/>
              </w:rPr>
              <w:t>4、地下水和土壤环境质量现状</w:t>
            </w:r>
            <w:bookmarkEnd w:id="97"/>
          </w:p>
          <w:p>
            <w:pPr>
              <w:ind w:firstLine="480"/>
              <w:rPr>
                <w:rFonts w:cs="Times New Roman"/>
              </w:rPr>
            </w:pPr>
            <w:r>
              <w:rPr>
                <w:rFonts w:cs="Times New Roman"/>
              </w:rPr>
              <w:t>本项目不排放工业废水，不产生生产废水，项目生产过程无废水产生；车间地面只需进行扫把清扫，不进行拖把清洁等，无清洁废水产生；生活污水经化粪池处理后用于周边农田施肥；洗车废水经三级沉淀池沉淀后循环使用；沉淀池做防渗处理，不对地下水和土壤环境造成污染，不开展地下水和土壤环境质量现状调查。</w:t>
            </w:r>
          </w:p>
          <w:p>
            <w:pPr>
              <w:ind w:firstLine="480"/>
              <w:rPr>
                <w:rFonts w:cs="Times New Roman"/>
              </w:rPr>
            </w:pPr>
          </w:p>
          <w:p>
            <w:pPr>
              <w:ind w:firstLine="0" w:firstLineChars="0"/>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5" w:hRule="atLeast"/>
        </w:trPr>
        <w:tc>
          <w:tcPr>
            <w:tcW w:w="456" w:type="dxa"/>
          </w:tcPr>
          <w:p>
            <w:pPr>
              <w:adjustRightInd w:val="0"/>
              <w:snapToGrid w:val="0"/>
              <w:spacing w:line="240" w:lineRule="auto"/>
              <w:ind w:firstLine="0" w:firstLineChars="0"/>
              <w:jc w:val="center"/>
              <w:rPr>
                <w:rFonts w:cs="Times New Roman"/>
                <w:kern w:val="0"/>
                <w:szCs w:val="21"/>
              </w:rPr>
            </w:pPr>
            <w:r>
              <w:rPr>
                <w:rFonts w:cs="Times New Roman"/>
                <w:kern w:val="0"/>
                <w:szCs w:val="21"/>
              </w:rPr>
              <w:t>环境保护目标</w:t>
            </w:r>
          </w:p>
        </w:tc>
        <w:tc>
          <w:tcPr>
            <w:tcW w:w="8706" w:type="dxa"/>
          </w:tcPr>
          <w:p>
            <w:pPr>
              <w:pStyle w:val="4"/>
              <w:rPr>
                <w:rFonts w:cs="Times New Roman"/>
              </w:rPr>
            </w:pPr>
            <w:bookmarkStart w:id="98" w:name="_Toc106531339"/>
            <w:bookmarkStart w:id="99" w:name="_Toc107415664"/>
            <w:bookmarkStart w:id="100" w:name="_Toc107409310"/>
            <w:bookmarkStart w:id="101" w:name="_Toc116339920"/>
            <w:bookmarkStart w:id="102" w:name="_Toc107343575"/>
            <w:bookmarkStart w:id="103" w:name="_Toc107343389"/>
            <w:r>
              <w:rPr>
                <w:rFonts w:cs="Times New Roman"/>
              </w:rPr>
              <w:t>1、大气环境</w:t>
            </w:r>
            <w:bookmarkEnd w:id="98"/>
            <w:bookmarkEnd w:id="99"/>
            <w:bookmarkEnd w:id="100"/>
            <w:bookmarkEnd w:id="101"/>
            <w:bookmarkEnd w:id="102"/>
            <w:bookmarkEnd w:id="103"/>
          </w:p>
          <w:p>
            <w:pPr>
              <w:ind w:firstLine="480"/>
              <w:rPr>
                <w:rFonts w:cs="Times New Roman"/>
              </w:rPr>
            </w:pPr>
            <w:r>
              <w:rPr>
                <w:rFonts w:cs="Times New Roman"/>
              </w:rPr>
              <w:t>本项目大气环境保护目标见表3-5。</w:t>
            </w:r>
          </w:p>
          <w:p>
            <w:pPr>
              <w:pStyle w:val="31"/>
              <w:rPr>
                <w:rFonts w:cs="Times New Roman"/>
              </w:rPr>
            </w:pPr>
            <w:r>
              <w:rPr>
                <w:rFonts w:cs="Times New Roman"/>
              </w:rPr>
              <w:t>表3-5大气环境保护目标</w:t>
            </w:r>
          </w:p>
          <w:tbl>
            <w:tblPr>
              <w:tblStyle w:val="18"/>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538"/>
              <w:gridCol w:w="785"/>
              <w:gridCol w:w="862"/>
              <w:gridCol w:w="1777"/>
              <w:gridCol w:w="1121"/>
              <w:gridCol w:w="704"/>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1989" w:type="dxa"/>
                  <w:vMerge w:val="restart"/>
                  <w:vAlign w:val="center"/>
                </w:tcPr>
                <w:p>
                  <w:pPr>
                    <w:pStyle w:val="37"/>
                    <w:jc w:val="center"/>
                    <w:rPr>
                      <w:rFonts w:cs="Times New Roman"/>
                      <w:u w:val="none"/>
                    </w:rPr>
                  </w:pPr>
                  <w:r>
                    <w:rPr>
                      <w:rFonts w:cs="Times New Roman"/>
                      <w:u w:val="none"/>
                    </w:rPr>
                    <w:t>名称</w:t>
                  </w:r>
                </w:p>
              </w:tc>
              <w:tc>
                <w:tcPr>
                  <w:tcW w:w="1323" w:type="dxa"/>
                  <w:gridSpan w:val="2"/>
                  <w:vAlign w:val="center"/>
                </w:tcPr>
                <w:p>
                  <w:pPr>
                    <w:pStyle w:val="37"/>
                    <w:jc w:val="center"/>
                    <w:rPr>
                      <w:rFonts w:cs="Times New Roman"/>
                      <w:u w:val="none"/>
                    </w:rPr>
                  </w:pPr>
                  <w:r>
                    <w:rPr>
                      <w:rFonts w:cs="Times New Roman"/>
                      <w:u w:val="none"/>
                    </w:rPr>
                    <w:t>坐标/m</w:t>
                  </w:r>
                </w:p>
              </w:tc>
              <w:tc>
                <w:tcPr>
                  <w:tcW w:w="862" w:type="dxa"/>
                  <w:vMerge w:val="restart"/>
                  <w:vAlign w:val="center"/>
                </w:tcPr>
                <w:p>
                  <w:pPr>
                    <w:pStyle w:val="37"/>
                    <w:jc w:val="center"/>
                    <w:rPr>
                      <w:rFonts w:cs="Times New Roman"/>
                      <w:u w:val="none"/>
                    </w:rPr>
                  </w:pPr>
                  <w:r>
                    <w:rPr>
                      <w:rFonts w:cs="Times New Roman"/>
                      <w:u w:val="none"/>
                    </w:rPr>
                    <w:t>保护</w:t>
                  </w:r>
                </w:p>
                <w:p>
                  <w:pPr>
                    <w:pStyle w:val="37"/>
                    <w:jc w:val="center"/>
                    <w:rPr>
                      <w:rFonts w:cs="Times New Roman"/>
                      <w:u w:val="none"/>
                    </w:rPr>
                  </w:pPr>
                  <w:r>
                    <w:rPr>
                      <w:rFonts w:cs="Times New Roman"/>
                      <w:u w:val="none"/>
                    </w:rPr>
                    <w:t>对象</w:t>
                  </w:r>
                </w:p>
              </w:tc>
              <w:tc>
                <w:tcPr>
                  <w:tcW w:w="1777" w:type="dxa"/>
                  <w:vMerge w:val="restart"/>
                  <w:vAlign w:val="center"/>
                </w:tcPr>
                <w:p>
                  <w:pPr>
                    <w:pStyle w:val="37"/>
                    <w:jc w:val="center"/>
                    <w:rPr>
                      <w:rFonts w:cs="Times New Roman"/>
                      <w:u w:val="none"/>
                    </w:rPr>
                  </w:pPr>
                  <w:r>
                    <w:rPr>
                      <w:rFonts w:cs="Times New Roman"/>
                      <w:u w:val="none"/>
                    </w:rPr>
                    <w:t>保护内容</w:t>
                  </w:r>
                </w:p>
              </w:tc>
              <w:tc>
                <w:tcPr>
                  <w:tcW w:w="1121" w:type="dxa"/>
                  <w:vMerge w:val="restart"/>
                  <w:vAlign w:val="center"/>
                </w:tcPr>
                <w:p>
                  <w:pPr>
                    <w:pStyle w:val="37"/>
                    <w:jc w:val="center"/>
                    <w:rPr>
                      <w:rFonts w:cs="Times New Roman"/>
                      <w:u w:val="none"/>
                    </w:rPr>
                  </w:pPr>
                  <w:r>
                    <w:rPr>
                      <w:rFonts w:cs="Times New Roman"/>
                      <w:u w:val="none"/>
                    </w:rPr>
                    <w:t>环境功能区</w:t>
                  </w:r>
                </w:p>
              </w:tc>
              <w:tc>
                <w:tcPr>
                  <w:tcW w:w="704" w:type="dxa"/>
                  <w:vMerge w:val="restart"/>
                  <w:vAlign w:val="center"/>
                </w:tcPr>
                <w:p>
                  <w:pPr>
                    <w:pStyle w:val="37"/>
                    <w:jc w:val="center"/>
                    <w:rPr>
                      <w:rFonts w:cs="Times New Roman"/>
                      <w:u w:val="none"/>
                    </w:rPr>
                  </w:pPr>
                  <w:r>
                    <w:rPr>
                      <w:rFonts w:cs="Times New Roman"/>
                      <w:u w:val="none"/>
                    </w:rPr>
                    <w:t>相对项目厂界方位</w:t>
                  </w:r>
                </w:p>
              </w:tc>
              <w:tc>
                <w:tcPr>
                  <w:tcW w:w="704" w:type="dxa"/>
                  <w:vMerge w:val="restart"/>
                  <w:vAlign w:val="center"/>
                </w:tcPr>
                <w:p>
                  <w:pPr>
                    <w:pStyle w:val="37"/>
                    <w:jc w:val="center"/>
                    <w:rPr>
                      <w:rFonts w:cs="Times New Roman"/>
                      <w:u w:val="none"/>
                    </w:rPr>
                  </w:pPr>
                  <w:r>
                    <w:rPr>
                      <w:rFonts w:cs="Times New Roman"/>
                      <w:u w:val="none"/>
                    </w:rPr>
                    <w:t>相对项目厂界距离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1989" w:type="dxa"/>
                  <w:vMerge w:val="continue"/>
                  <w:vAlign w:val="center"/>
                </w:tcPr>
                <w:p>
                  <w:pPr>
                    <w:pStyle w:val="37"/>
                    <w:jc w:val="center"/>
                    <w:rPr>
                      <w:rFonts w:cs="Times New Roman"/>
                      <w:u w:val="none"/>
                    </w:rPr>
                  </w:pPr>
                </w:p>
              </w:tc>
              <w:tc>
                <w:tcPr>
                  <w:tcW w:w="538" w:type="dxa"/>
                  <w:vAlign w:val="center"/>
                </w:tcPr>
                <w:p>
                  <w:pPr>
                    <w:pStyle w:val="37"/>
                    <w:jc w:val="center"/>
                    <w:rPr>
                      <w:rFonts w:cs="Times New Roman"/>
                      <w:u w:val="none"/>
                    </w:rPr>
                  </w:pPr>
                  <w:r>
                    <w:rPr>
                      <w:rFonts w:cs="Times New Roman"/>
                      <w:u w:val="none"/>
                    </w:rPr>
                    <w:t>X</w:t>
                  </w:r>
                </w:p>
              </w:tc>
              <w:tc>
                <w:tcPr>
                  <w:tcW w:w="785" w:type="dxa"/>
                  <w:vAlign w:val="center"/>
                </w:tcPr>
                <w:p>
                  <w:pPr>
                    <w:pStyle w:val="37"/>
                    <w:jc w:val="center"/>
                    <w:rPr>
                      <w:rFonts w:cs="Times New Roman"/>
                      <w:u w:val="none"/>
                    </w:rPr>
                  </w:pPr>
                  <w:r>
                    <w:rPr>
                      <w:rFonts w:cs="Times New Roman"/>
                      <w:u w:val="none"/>
                    </w:rPr>
                    <w:t>Y</w:t>
                  </w:r>
                </w:p>
              </w:tc>
              <w:tc>
                <w:tcPr>
                  <w:tcW w:w="862" w:type="dxa"/>
                  <w:vMerge w:val="continue"/>
                  <w:vAlign w:val="center"/>
                </w:tcPr>
                <w:p>
                  <w:pPr>
                    <w:pStyle w:val="37"/>
                    <w:jc w:val="center"/>
                    <w:rPr>
                      <w:rFonts w:cs="Times New Roman"/>
                      <w:u w:val="none"/>
                    </w:rPr>
                  </w:pPr>
                </w:p>
              </w:tc>
              <w:tc>
                <w:tcPr>
                  <w:tcW w:w="1777" w:type="dxa"/>
                  <w:vMerge w:val="continue"/>
                  <w:vAlign w:val="center"/>
                </w:tcPr>
                <w:p>
                  <w:pPr>
                    <w:pStyle w:val="37"/>
                    <w:jc w:val="center"/>
                    <w:rPr>
                      <w:rFonts w:cs="Times New Roman"/>
                      <w:u w:val="none"/>
                    </w:rPr>
                  </w:pPr>
                </w:p>
              </w:tc>
              <w:tc>
                <w:tcPr>
                  <w:tcW w:w="1121" w:type="dxa"/>
                  <w:vMerge w:val="continue"/>
                  <w:vAlign w:val="center"/>
                </w:tcPr>
                <w:p>
                  <w:pPr>
                    <w:pStyle w:val="37"/>
                    <w:jc w:val="center"/>
                    <w:rPr>
                      <w:rFonts w:cs="Times New Roman"/>
                      <w:u w:val="none"/>
                    </w:rPr>
                  </w:pPr>
                </w:p>
              </w:tc>
              <w:tc>
                <w:tcPr>
                  <w:tcW w:w="704" w:type="dxa"/>
                  <w:vMerge w:val="continue"/>
                  <w:vAlign w:val="center"/>
                </w:tcPr>
                <w:p>
                  <w:pPr>
                    <w:pStyle w:val="37"/>
                    <w:jc w:val="center"/>
                    <w:rPr>
                      <w:rFonts w:cs="Times New Roman"/>
                      <w:u w:val="none"/>
                    </w:rPr>
                  </w:pPr>
                </w:p>
              </w:tc>
              <w:tc>
                <w:tcPr>
                  <w:tcW w:w="704" w:type="dxa"/>
                  <w:vMerge w:val="continue"/>
                  <w:vAlign w:val="center"/>
                </w:tcPr>
                <w:p>
                  <w:pPr>
                    <w:pStyle w:val="37"/>
                    <w:jc w:val="center"/>
                    <w:rPr>
                      <w:rFonts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9" w:type="dxa"/>
                  <w:vAlign w:val="center"/>
                </w:tcPr>
                <w:p>
                  <w:pPr>
                    <w:pStyle w:val="37"/>
                    <w:jc w:val="center"/>
                    <w:rPr>
                      <w:rFonts w:cs="Times New Roman"/>
                      <w:u w:val="none"/>
                    </w:rPr>
                  </w:pPr>
                  <w:r>
                    <w:rPr>
                      <w:rFonts w:cs="Times New Roman"/>
                      <w:u w:val="none"/>
                    </w:rPr>
                    <w:t>宁家坪社区散户1</w:t>
                  </w:r>
                </w:p>
              </w:tc>
              <w:tc>
                <w:tcPr>
                  <w:tcW w:w="538" w:type="dxa"/>
                  <w:vAlign w:val="center"/>
                </w:tcPr>
                <w:p>
                  <w:pPr>
                    <w:pStyle w:val="37"/>
                    <w:jc w:val="center"/>
                    <w:rPr>
                      <w:rFonts w:cs="Times New Roman"/>
                      <w:u w:val="none"/>
                    </w:rPr>
                  </w:pPr>
                  <w:r>
                    <w:rPr>
                      <w:rFonts w:cs="Times New Roman"/>
                      <w:u w:val="none"/>
                    </w:rPr>
                    <w:t>120</w:t>
                  </w:r>
                </w:p>
              </w:tc>
              <w:tc>
                <w:tcPr>
                  <w:tcW w:w="785" w:type="dxa"/>
                  <w:vAlign w:val="center"/>
                </w:tcPr>
                <w:p>
                  <w:pPr>
                    <w:pStyle w:val="37"/>
                    <w:jc w:val="center"/>
                    <w:rPr>
                      <w:rFonts w:cs="Times New Roman"/>
                      <w:u w:val="none"/>
                    </w:rPr>
                  </w:pPr>
                  <w:r>
                    <w:rPr>
                      <w:rFonts w:cs="Times New Roman"/>
                      <w:u w:val="none"/>
                    </w:rPr>
                    <w:t>70</w:t>
                  </w:r>
                </w:p>
              </w:tc>
              <w:tc>
                <w:tcPr>
                  <w:tcW w:w="862" w:type="dxa"/>
                  <w:vAlign w:val="center"/>
                </w:tcPr>
                <w:p>
                  <w:pPr>
                    <w:pStyle w:val="37"/>
                    <w:jc w:val="center"/>
                    <w:rPr>
                      <w:rFonts w:cs="Times New Roman"/>
                      <w:u w:val="none"/>
                    </w:rPr>
                  </w:pPr>
                  <w:r>
                    <w:rPr>
                      <w:rFonts w:cs="Times New Roman"/>
                      <w:u w:val="none"/>
                    </w:rPr>
                    <w:t>居民区</w:t>
                  </w:r>
                </w:p>
              </w:tc>
              <w:tc>
                <w:tcPr>
                  <w:tcW w:w="1777" w:type="dxa"/>
                  <w:vAlign w:val="center"/>
                </w:tcPr>
                <w:p>
                  <w:pPr>
                    <w:pStyle w:val="37"/>
                    <w:jc w:val="center"/>
                    <w:rPr>
                      <w:rFonts w:cs="Times New Roman"/>
                      <w:u w:val="none"/>
                    </w:rPr>
                  </w:pPr>
                  <w:r>
                    <w:rPr>
                      <w:rFonts w:cs="Times New Roman"/>
                      <w:u w:val="none"/>
                    </w:rPr>
                    <w:t>约70户，270人</w:t>
                  </w:r>
                </w:p>
              </w:tc>
              <w:tc>
                <w:tcPr>
                  <w:tcW w:w="1121" w:type="dxa"/>
                  <w:vAlign w:val="center"/>
                </w:tcPr>
                <w:p>
                  <w:pPr>
                    <w:pStyle w:val="37"/>
                    <w:jc w:val="center"/>
                    <w:rPr>
                      <w:rFonts w:cs="Times New Roman"/>
                      <w:u w:val="none"/>
                    </w:rPr>
                  </w:pPr>
                  <w:r>
                    <w:rPr>
                      <w:rFonts w:cs="Times New Roman"/>
                      <w:u w:val="none"/>
                    </w:rPr>
                    <w:t>二类</w:t>
                  </w:r>
                </w:p>
              </w:tc>
              <w:tc>
                <w:tcPr>
                  <w:tcW w:w="704" w:type="dxa"/>
                  <w:vAlign w:val="center"/>
                </w:tcPr>
                <w:p>
                  <w:pPr>
                    <w:pStyle w:val="37"/>
                    <w:jc w:val="center"/>
                    <w:rPr>
                      <w:rFonts w:cs="Times New Roman"/>
                      <w:u w:val="none"/>
                    </w:rPr>
                  </w:pPr>
                  <w:r>
                    <w:rPr>
                      <w:rFonts w:cs="Times New Roman"/>
                      <w:u w:val="none"/>
                    </w:rPr>
                    <w:t>NE</w:t>
                  </w:r>
                </w:p>
              </w:tc>
              <w:tc>
                <w:tcPr>
                  <w:tcW w:w="704" w:type="dxa"/>
                  <w:vAlign w:val="center"/>
                </w:tcPr>
                <w:p>
                  <w:pPr>
                    <w:pStyle w:val="37"/>
                    <w:jc w:val="center"/>
                    <w:rPr>
                      <w:rFonts w:cs="Times New Roman"/>
                      <w:u w:val="none"/>
                    </w:rPr>
                  </w:pPr>
                  <w:r>
                    <w:rPr>
                      <w:rFonts w:cs="Times New Roman"/>
                      <w:u w:val="none"/>
                    </w:rPr>
                    <w:t>30-500m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9" w:type="dxa"/>
                  <w:vAlign w:val="center"/>
                </w:tcPr>
                <w:p>
                  <w:pPr>
                    <w:pStyle w:val="37"/>
                    <w:jc w:val="center"/>
                    <w:rPr>
                      <w:rFonts w:cs="Times New Roman"/>
                      <w:u w:val="none"/>
                    </w:rPr>
                  </w:pPr>
                  <w:r>
                    <w:rPr>
                      <w:rFonts w:cs="Times New Roman"/>
                      <w:u w:val="none"/>
                    </w:rPr>
                    <w:t>宁家坪社区散户2</w:t>
                  </w:r>
                </w:p>
              </w:tc>
              <w:tc>
                <w:tcPr>
                  <w:tcW w:w="538" w:type="dxa"/>
                  <w:vAlign w:val="center"/>
                </w:tcPr>
                <w:p>
                  <w:pPr>
                    <w:pStyle w:val="37"/>
                    <w:jc w:val="center"/>
                    <w:rPr>
                      <w:rFonts w:cs="Times New Roman"/>
                      <w:u w:val="none"/>
                    </w:rPr>
                  </w:pPr>
                  <w:r>
                    <w:rPr>
                      <w:rFonts w:cs="Times New Roman"/>
                      <w:u w:val="none"/>
                    </w:rPr>
                    <w:t>100</w:t>
                  </w:r>
                </w:p>
              </w:tc>
              <w:tc>
                <w:tcPr>
                  <w:tcW w:w="785" w:type="dxa"/>
                  <w:vAlign w:val="center"/>
                </w:tcPr>
                <w:p>
                  <w:pPr>
                    <w:pStyle w:val="37"/>
                    <w:jc w:val="center"/>
                    <w:rPr>
                      <w:rFonts w:cs="Times New Roman"/>
                      <w:u w:val="none"/>
                    </w:rPr>
                  </w:pPr>
                  <w:r>
                    <w:rPr>
                      <w:rFonts w:cs="Times New Roman"/>
                      <w:u w:val="none"/>
                    </w:rPr>
                    <w:t>0</w:t>
                  </w:r>
                </w:p>
              </w:tc>
              <w:tc>
                <w:tcPr>
                  <w:tcW w:w="862" w:type="dxa"/>
                  <w:vAlign w:val="center"/>
                </w:tcPr>
                <w:p>
                  <w:pPr>
                    <w:pStyle w:val="37"/>
                    <w:jc w:val="center"/>
                    <w:rPr>
                      <w:rFonts w:cs="Times New Roman"/>
                      <w:u w:val="none"/>
                    </w:rPr>
                  </w:pPr>
                  <w:r>
                    <w:rPr>
                      <w:rFonts w:cs="Times New Roman"/>
                      <w:u w:val="none"/>
                    </w:rPr>
                    <w:t>居民区</w:t>
                  </w:r>
                </w:p>
              </w:tc>
              <w:tc>
                <w:tcPr>
                  <w:tcW w:w="1777" w:type="dxa"/>
                  <w:vAlign w:val="center"/>
                </w:tcPr>
                <w:p>
                  <w:pPr>
                    <w:pStyle w:val="37"/>
                    <w:jc w:val="center"/>
                    <w:rPr>
                      <w:rFonts w:cs="Times New Roman"/>
                      <w:u w:val="none"/>
                    </w:rPr>
                  </w:pPr>
                  <w:r>
                    <w:rPr>
                      <w:rFonts w:cs="Times New Roman"/>
                      <w:u w:val="none"/>
                    </w:rPr>
                    <w:t>约25户，100人</w:t>
                  </w:r>
                </w:p>
              </w:tc>
              <w:tc>
                <w:tcPr>
                  <w:tcW w:w="1121" w:type="dxa"/>
                  <w:vAlign w:val="center"/>
                </w:tcPr>
                <w:p>
                  <w:pPr>
                    <w:pStyle w:val="37"/>
                    <w:jc w:val="center"/>
                    <w:rPr>
                      <w:rFonts w:cs="Times New Roman"/>
                      <w:u w:val="none"/>
                    </w:rPr>
                  </w:pPr>
                  <w:r>
                    <w:rPr>
                      <w:rFonts w:cs="Times New Roman"/>
                      <w:u w:val="none"/>
                    </w:rPr>
                    <w:t>二类</w:t>
                  </w:r>
                </w:p>
              </w:tc>
              <w:tc>
                <w:tcPr>
                  <w:tcW w:w="704" w:type="dxa"/>
                  <w:vAlign w:val="center"/>
                </w:tcPr>
                <w:p>
                  <w:pPr>
                    <w:pStyle w:val="37"/>
                    <w:jc w:val="center"/>
                    <w:rPr>
                      <w:rFonts w:cs="Times New Roman"/>
                      <w:u w:val="none"/>
                    </w:rPr>
                  </w:pPr>
                  <w:r>
                    <w:rPr>
                      <w:rFonts w:cs="Times New Roman"/>
                      <w:u w:val="none"/>
                    </w:rPr>
                    <w:t>E</w:t>
                  </w:r>
                </w:p>
              </w:tc>
              <w:tc>
                <w:tcPr>
                  <w:tcW w:w="704" w:type="dxa"/>
                  <w:vAlign w:val="center"/>
                </w:tcPr>
                <w:p>
                  <w:pPr>
                    <w:pStyle w:val="37"/>
                    <w:jc w:val="center"/>
                    <w:rPr>
                      <w:rFonts w:cs="Times New Roman"/>
                      <w:u w:val="none"/>
                    </w:rPr>
                  </w:pPr>
                  <w:r>
                    <w:rPr>
                      <w:rFonts w:cs="Times New Roman"/>
                      <w:u w:val="none"/>
                    </w:rPr>
                    <w:t>30-500m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9" w:type="dxa"/>
                  <w:vAlign w:val="center"/>
                </w:tcPr>
                <w:p>
                  <w:pPr>
                    <w:pStyle w:val="37"/>
                    <w:jc w:val="center"/>
                    <w:rPr>
                      <w:rFonts w:cs="Times New Roman"/>
                      <w:u w:val="none"/>
                    </w:rPr>
                  </w:pPr>
                  <w:r>
                    <w:rPr>
                      <w:rFonts w:cs="Times New Roman"/>
                      <w:u w:val="none"/>
                    </w:rPr>
                    <w:t>宁家坪社区散户3</w:t>
                  </w:r>
                </w:p>
              </w:tc>
              <w:tc>
                <w:tcPr>
                  <w:tcW w:w="538" w:type="dxa"/>
                  <w:vAlign w:val="center"/>
                </w:tcPr>
                <w:p>
                  <w:pPr>
                    <w:pStyle w:val="37"/>
                    <w:jc w:val="center"/>
                    <w:rPr>
                      <w:rFonts w:cs="Times New Roman"/>
                      <w:u w:val="none"/>
                    </w:rPr>
                  </w:pPr>
                  <w:r>
                    <w:rPr>
                      <w:rFonts w:cs="Times New Roman"/>
                      <w:u w:val="none"/>
                    </w:rPr>
                    <w:t>50</w:t>
                  </w:r>
                </w:p>
              </w:tc>
              <w:tc>
                <w:tcPr>
                  <w:tcW w:w="785" w:type="dxa"/>
                  <w:vAlign w:val="center"/>
                </w:tcPr>
                <w:p>
                  <w:pPr>
                    <w:pStyle w:val="37"/>
                    <w:jc w:val="center"/>
                    <w:rPr>
                      <w:rFonts w:cs="Times New Roman"/>
                      <w:u w:val="none"/>
                    </w:rPr>
                  </w:pPr>
                  <w:r>
                    <w:rPr>
                      <w:rFonts w:cs="Times New Roman"/>
                      <w:u w:val="none"/>
                    </w:rPr>
                    <w:t>-200</w:t>
                  </w:r>
                </w:p>
              </w:tc>
              <w:tc>
                <w:tcPr>
                  <w:tcW w:w="862" w:type="dxa"/>
                  <w:vAlign w:val="center"/>
                </w:tcPr>
                <w:p>
                  <w:pPr>
                    <w:pStyle w:val="37"/>
                    <w:jc w:val="center"/>
                    <w:rPr>
                      <w:rFonts w:cs="Times New Roman"/>
                      <w:u w:val="none"/>
                    </w:rPr>
                  </w:pPr>
                  <w:r>
                    <w:rPr>
                      <w:rFonts w:cs="Times New Roman"/>
                      <w:u w:val="none"/>
                    </w:rPr>
                    <w:t>居民区</w:t>
                  </w:r>
                </w:p>
              </w:tc>
              <w:tc>
                <w:tcPr>
                  <w:tcW w:w="1777" w:type="dxa"/>
                  <w:vAlign w:val="center"/>
                </w:tcPr>
                <w:p>
                  <w:pPr>
                    <w:pStyle w:val="37"/>
                    <w:jc w:val="center"/>
                    <w:rPr>
                      <w:rFonts w:cs="Times New Roman"/>
                      <w:u w:val="none"/>
                    </w:rPr>
                  </w:pPr>
                  <w:r>
                    <w:rPr>
                      <w:rFonts w:cs="Times New Roman"/>
                      <w:u w:val="none"/>
                    </w:rPr>
                    <w:t>约17户，70人</w:t>
                  </w:r>
                </w:p>
              </w:tc>
              <w:tc>
                <w:tcPr>
                  <w:tcW w:w="1121" w:type="dxa"/>
                  <w:vAlign w:val="center"/>
                </w:tcPr>
                <w:p>
                  <w:pPr>
                    <w:pStyle w:val="37"/>
                    <w:jc w:val="center"/>
                    <w:rPr>
                      <w:rFonts w:cs="Times New Roman"/>
                      <w:u w:val="none"/>
                    </w:rPr>
                  </w:pPr>
                  <w:r>
                    <w:rPr>
                      <w:rFonts w:cs="Times New Roman"/>
                      <w:u w:val="none"/>
                    </w:rPr>
                    <w:t>二类</w:t>
                  </w:r>
                </w:p>
              </w:tc>
              <w:tc>
                <w:tcPr>
                  <w:tcW w:w="704" w:type="dxa"/>
                  <w:vAlign w:val="center"/>
                </w:tcPr>
                <w:p>
                  <w:pPr>
                    <w:pStyle w:val="37"/>
                    <w:jc w:val="center"/>
                    <w:rPr>
                      <w:rFonts w:cs="Times New Roman"/>
                      <w:u w:val="none"/>
                    </w:rPr>
                  </w:pPr>
                  <w:r>
                    <w:rPr>
                      <w:rFonts w:cs="Times New Roman"/>
                      <w:u w:val="none"/>
                    </w:rPr>
                    <w:t>S</w:t>
                  </w:r>
                </w:p>
              </w:tc>
              <w:tc>
                <w:tcPr>
                  <w:tcW w:w="704" w:type="dxa"/>
                  <w:vAlign w:val="center"/>
                </w:tcPr>
                <w:p>
                  <w:pPr>
                    <w:pStyle w:val="37"/>
                    <w:jc w:val="center"/>
                    <w:rPr>
                      <w:rFonts w:cs="Times New Roman"/>
                      <w:u w:val="none"/>
                    </w:rPr>
                  </w:pPr>
                  <w:r>
                    <w:rPr>
                      <w:rFonts w:cs="Times New Roman"/>
                      <w:u w:val="none"/>
                    </w:rPr>
                    <w:t>30-500m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80" w:type="dxa"/>
                  <w:gridSpan w:val="8"/>
                  <w:vAlign w:val="center"/>
                </w:tcPr>
                <w:p>
                  <w:pPr>
                    <w:pStyle w:val="37"/>
                    <w:jc w:val="center"/>
                    <w:rPr>
                      <w:rFonts w:cs="Times New Roman"/>
                      <w:u w:val="none"/>
                    </w:rPr>
                  </w:pPr>
                  <w:r>
                    <w:rPr>
                      <w:rFonts w:cs="Times New Roman"/>
                      <w:u w:val="none"/>
                    </w:rPr>
                    <w:t>注：以项目厂址中心为原点，正北为Y轴正方向，正东为X轴正方向建立坐标系</w:t>
                  </w:r>
                </w:p>
              </w:tc>
            </w:tr>
          </w:tbl>
          <w:p>
            <w:pPr>
              <w:pStyle w:val="4"/>
              <w:rPr>
                <w:rFonts w:cs="Times New Roman"/>
              </w:rPr>
            </w:pPr>
            <w:bookmarkStart w:id="104" w:name="_Toc116339921"/>
            <w:bookmarkStart w:id="105" w:name="_Toc107343390"/>
            <w:bookmarkStart w:id="106" w:name="_Toc106531340"/>
            <w:bookmarkStart w:id="107" w:name="_Toc107409311"/>
            <w:bookmarkStart w:id="108" w:name="_Toc107343576"/>
            <w:bookmarkStart w:id="109" w:name="_Toc107415665"/>
            <w:r>
              <w:rPr>
                <w:rFonts w:cs="Times New Roman"/>
              </w:rPr>
              <w:t>2、声环境</w:t>
            </w:r>
            <w:bookmarkEnd w:id="104"/>
            <w:bookmarkEnd w:id="105"/>
            <w:bookmarkEnd w:id="106"/>
            <w:bookmarkEnd w:id="107"/>
            <w:bookmarkEnd w:id="108"/>
            <w:bookmarkEnd w:id="109"/>
          </w:p>
          <w:p>
            <w:pPr>
              <w:pStyle w:val="31"/>
              <w:rPr>
                <w:rFonts w:cs="Times New Roman"/>
              </w:rPr>
            </w:pPr>
            <w:r>
              <w:rPr>
                <w:rFonts w:cs="Times New Roman"/>
              </w:rPr>
              <w:t>表3-6声环境保护目标</w:t>
            </w:r>
          </w:p>
          <w:tbl>
            <w:tblPr>
              <w:tblStyle w:val="18"/>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3"/>
              <w:gridCol w:w="712"/>
              <w:gridCol w:w="438"/>
              <w:gridCol w:w="858"/>
              <w:gridCol w:w="1723"/>
              <w:gridCol w:w="1292"/>
              <w:gridCol w:w="717"/>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2023" w:type="dxa"/>
                  <w:vMerge w:val="restart"/>
                  <w:vAlign w:val="center"/>
                </w:tcPr>
                <w:p>
                  <w:pPr>
                    <w:pStyle w:val="37"/>
                    <w:jc w:val="center"/>
                    <w:rPr>
                      <w:rFonts w:cs="Times New Roman"/>
                      <w:u w:val="none"/>
                    </w:rPr>
                  </w:pPr>
                  <w:r>
                    <w:rPr>
                      <w:rFonts w:cs="Times New Roman"/>
                      <w:u w:val="none"/>
                    </w:rPr>
                    <w:t>名称</w:t>
                  </w:r>
                </w:p>
              </w:tc>
              <w:tc>
                <w:tcPr>
                  <w:tcW w:w="1150" w:type="dxa"/>
                  <w:gridSpan w:val="2"/>
                  <w:vAlign w:val="center"/>
                </w:tcPr>
                <w:p>
                  <w:pPr>
                    <w:pStyle w:val="37"/>
                    <w:jc w:val="center"/>
                    <w:rPr>
                      <w:rFonts w:cs="Times New Roman"/>
                      <w:u w:val="none"/>
                    </w:rPr>
                  </w:pPr>
                  <w:r>
                    <w:rPr>
                      <w:rFonts w:cs="Times New Roman"/>
                      <w:u w:val="none"/>
                    </w:rPr>
                    <w:t>坐标/m</w:t>
                  </w:r>
                </w:p>
              </w:tc>
              <w:tc>
                <w:tcPr>
                  <w:tcW w:w="858" w:type="dxa"/>
                  <w:vMerge w:val="restart"/>
                  <w:vAlign w:val="center"/>
                </w:tcPr>
                <w:p>
                  <w:pPr>
                    <w:pStyle w:val="37"/>
                    <w:jc w:val="center"/>
                    <w:rPr>
                      <w:rFonts w:cs="Times New Roman"/>
                      <w:u w:val="none"/>
                    </w:rPr>
                  </w:pPr>
                  <w:r>
                    <w:rPr>
                      <w:rFonts w:cs="Times New Roman"/>
                      <w:u w:val="none"/>
                    </w:rPr>
                    <w:t>保护</w:t>
                  </w:r>
                </w:p>
                <w:p>
                  <w:pPr>
                    <w:pStyle w:val="37"/>
                    <w:jc w:val="center"/>
                    <w:rPr>
                      <w:rFonts w:cs="Times New Roman"/>
                      <w:u w:val="none"/>
                    </w:rPr>
                  </w:pPr>
                  <w:r>
                    <w:rPr>
                      <w:rFonts w:cs="Times New Roman"/>
                      <w:u w:val="none"/>
                    </w:rPr>
                    <w:t>对象</w:t>
                  </w:r>
                </w:p>
              </w:tc>
              <w:tc>
                <w:tcPr>
                  <w:tcW w:w="1723" w:type="dxa"/>
                  <w:vMerge w:val="restart"/>
                  <w:vAlign w:val="center"/>
                </w:tcPr>
                <w:p>
                  <w:pPr>
                    <w:pStyle w:val="37"/>
                    <w:jc w:val="center"/>
                    <w:rPr>
                      <w:rFonts w:cs="Times New Roman"/>
                      <w:u w:val="none"/>
                    </w:rPr>
                  </w:pPr>
                  <w:r>
                    <w:rPr>
                      <w:rFonts w:cs="Times New Roman"/>
                      <w:u w:val="none"/>
                    </w:rPr>
                    <w:t>保护内容</w:t>
                  </w:r>
                </w:p>
              </w:tc>
              <w:tc>
                <w:tcPr>
                  <w:tcW w:w="1292" w:type="dxa"/>
                  <w:vMerge w:val="restart"/>
                  <w:vAlign w:val="center"/>
                </w:tcPr>
                <w:p>
                  <w:pPr>
                    <w:pStyle w:val="37"/>
                    <w:jc w:val="center"/>
                    <w:rPr>
                      <w:rFonts w:cs="Times New Roman"/>
                      <w:u w:val="none"/>
                    </w:rPr>
                  </w:pPr>
                  <w:r>
                    <w:rPr>
                      <w:rFonts w:cs="Times New Roman"/>
                      <w:u w:val="none"/>
                    </w:rPr>
                    <w:t>环境功能区</w:t>
                  </w:r>
                </w:p>
              </w:tc>
              <w:tc>
                <w:tcPr>
                  <w:tcW w:w="717" w:type="dxa"/>
                  <w:vMerge w:val="restart"/>
                  <w:vAlign w:val="center"/>
                </w:tcPr>
                <w:p>
                  <w:pPr>
                    <w:pStyle w:val="37"/>
                    <w:jc w:val="center"/>
                    <w:rPr>
                      <w:rFonts w:cs="Times New Roman"/>
                      <w:u w:val="none"/>
                    </w:rPr>
                  </w:pPr>
                  <w:r>
                    <w:rPr>
                      <w:rFonts w:cs="Times New Roman"/>
                      <w:u w:val="none"/>
                    </w:rPr>
                    <w:t>相对项目厂界方位</w:t>
                  </w:r>
                </w:p>
              </w:tc>
              <w:tc>
                <w:tcPr>
                  <w:tcW w:w="717" w:type="dxa"/>
                  <w:vMerge w:val="restart"/>
                  <w:vAlign w:val="center"/>
                </w:tcPr>
                <w:p>
                  <w:pPr>
                    <w:pStyle w:val="37"/>
                    <w:jc w:val="center"/>
                    <w:rPr>
                      <w:rFonts w:cs="Times New Roman"/>
                      <w:u w:val="none"/>
                    </w:rPr>
                  </w:pPr>
                  <w:r>
                    <w:rPr>
                      <w:rFonts w:cs="Times New Roman"/>
                      <w:u w:val="none"/>
                    </w:rPr>
                    <w:t>相对项目厂界距离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23" w:type="dxa"/>
                  <w:vMerge w:val="continue"/>
                  <w:vAlign w:val="center"/>
                </w:tcPr>
                <w:p>
                  <w:pPr>
                    <w:pStyle w:val="37"/>
                    <w:jc w:val="center"/>
                    <w:rPr>
                      <w:rFonts w:cs="Times New Roman"/>
                      <w:u w:val="none"/>
                    </w:rPr>
                  </w:pPr>
                </w:p>
              </w:tc>
              <w:tc>
                <w:tcPr>
                  <w:tcW w:w="712" w:type="dxa"/>
                  <w:vAlign w:val="center"/>
                </w:tcPr>
                <w:p>
                  <w:pPr>
                    <w:pStyle w:val="37"/>
                    <w:jc w:val="center"/>
                    <w:rPr>
                      <w:rFonts w:cs="Times New Roman"/>
                      <w:u w:val="none"/>
                    </w:rPr>
                  </w:pPr>
                  <w:r>
                    <w:rPr>
                      <w:rFonts w:cs="Times New Roman"/>
                      <w:u w:val="none"/>
                    </w:rPr>
                    <w:t>X</w:t>
                  </w:r>
                </w:p>
              </w:tc>
              <w:tc>
                <w:tcPr>
                  <w:tcW w:w="438" w:type="dxa"/>
                  <w:vAlign w:val="center"/>
                </w:tcPr>
                <w:p>
                  <w:pPr>
                    <w:pStyle w:val="37"/>
                    <w:jc w:val="center"/>
                    <w:rPr>
                      <w:rFonts w:cs="Times New Roman"/>
                      <w:u w:val="none"/>
                    </w:rPr>
                  </w:pPr>
                  <w:r>
                    <w:rPr>
                      <w:rFonts w:cs="Times New Roman"/>
                      <w:u w:val="none"/>
                    </w:rPr>
                    <w:t>Y</w:t>
                  </w:r>
                </w:p>
              </w:tc>
              <w:tc>
                <w:tcPr>
                  <w:tcW w:w="858" w:type="dxa"/>
                  <w:vMerge w:val="continue"/>
                  <w:vAlign w:val="center"/>
                </w:tcPr>
                <w:p>
                  <w:pPr>
                    <w:pStyle w:val="37"/>
                    <w:jc w:val="center"/>
                    <w:rPr>
                      <w:rFonts w:cs="Times New Roman"/>
                      <w:u w:val="none"/>
                    </w:rPr>
                  </w:pPr>
                </w:p>
              </w:tc>
              <w:tc>
                <w:tcPr>
                  <w:tcW w:w="1723" w:type="dxa"/>
                  <w:vMerge w:val="continue"/>
                  <w:vAlign w:val="center"/>
                </w:tcPr>
                <w:p>
                  <w:pPr>
                    <w:pStyle w:val="37"/>
                    <w:jc w:val="center"/>
                    <w:rPr>
                      <w:rFonts w:cs="Times New Roman"/>
                      <w:u w:val="none"/>
                    </w:rPr>
                  </w:pPr>
                </w:p>
              </w:tc>
              <w:tc>
                <w:tcPr>
                  <w:tcW w:w="1292" w:type="dxa"/>
                  <w:vMerge w:val="continue"/>
                  <w:vAlign w:val="center"/>
                </w:tcPr>
                <w:p>
                  <w:pPr>
                    <w:pStyle w:val="37"/>
                    <w:jc w:val="center"/>
                    <w:rPr>
                      <w:rFonts w:cs="Times New Roman"/>
                      <w:u w:val="none"/>
                    </w:rPr>
                  </w:pPr>
                </w:p>
              </w:tc>
              <w:tc>
                <w:tcPr>
                  <w:tcW w:w="717" w:type="dxa"/>
                  <w:vMerge w:val="continue"/>
                  <w:vAlign w:val="center"/>
                </w:tcPr>
                <w:p>
                  <w:pPr>
                    <w:pStyle w:val="37"/>
                    <w:jc w:val="center"/>
                    <w:rPr>
                      <w:rFonts w:cs="Times New Roman"/>
                      <w:u w:val="none"/>
                    </w:rPr>
                  </w:pPr>
                </w:p>
              </w:tc>
              <w:tc>
                <w:tcPr>
                  <w:tcW w:w="717" w:type="dxa"/>
                  <w:vMerge w:val="continue"/>
                  <w:vAlign w:val="center"/>
                </w:tcPr>
                <w:p>
                  <w:pPr>
                    <w:pStyle w:val="37"/>
                    <w:jc w:val="center"/>
                    <w:rPr>
                      <w:rFonts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23" w:type="dxa"/>
                  <w:vAlign w:val="center"/>
                </w:tcPr>
                <w:p>
                  <w:pPr>
                    <w:pStyle w:val="37"/>
                    <w:jc w:val="center"/>
                    <w:rPr>
                      <w:rFonts w:cs="Times New Roman"/>
                      <w:u w:val="none"/>
                    </w:rPr>
                  </w:pPr>
                  <w:r>
                    <w:rPr>
                      <w:rFonts w:cs="Times New Roman"/>
                      <w:u w:val="none"/>
                    </w:rPr>
                    <w:t>宁家坪社区散户4</w:t>
                  </w:r>
                </w:p>
              </w:tc>
              <w:tc>
                <w:tcPr>
                  <w:tcW w:w="712" w:type="dxa"/>
                  <w:vAlign w:val="center"/>
                </w:tcPr>
                <w:p>
                  <w:pPr>
                    <w:pStyle w:val="37"/>
                    <w:jc w:val="center"/>
                    <w:rPr>
                      <w:rFonts w:cs="Times New Roman"/>
                      <w:u w:val="none"/>
                    </w:rPr>
                  </w:pPr>
                  <w:r>
                    <w:rPr>
                      <w:rFonts w:cs="Times New Roman"/>
                      <w:u w:val="none"/>
                    </w:rPr>
                    <w:t>62</w:t>
                  </w:r>
                </w:p>
              </w:tc>
              <w:tc>
                <w:tcPr>
                  <w:tcW w:w="438" w:type="dxa"/>
                  <w:vAlign w:val="center"/>
                </w:tcPr>
                <w:p>
                  <w:pPr>
                    <w:pStyle w:val="37"/>
                    <w:jc w:val="center"/>
                    <w:rPr>
                      <w:rFonts w:cs="Times New Roman"/>
                      <w:u w:val="none"/>
                    </w:rPr>
                  </w:pPr>
                  <w:r>
                    <w:rPr>
                      <w:rFonts w:cs="Times New Roman"/>
                      <w:u w:val="none"/>
                    </w:rPr>
                    <w:t>10</w:t>
                  </w:r>
                </w:p>
              </w:tc>
              <w:tc>
                <w:tcPr>
                  <w:tcW w:w="858" w:type="dxa"/>
                  <w:vAlign w:val="center"/>
                </w:tcPr>
                <w:p>
                  <w:pPr>
                    <w:pStyle w:val="37"/>
                    <w:jc w:val="center"/>
                    <w:rPr>
                      <w:rFonts w:cs="Times New Roman"/>
                      <w:u w:val="none"/>
                    </w:rPr>
                  </w:pPr>
                  <w:r>
                    <w:rPr>
                      <w:rFonts w:cs="Times New Roman"/>
                      <w:u w:val="none"/>
                    </w:rPr>
                    <w:t>居民区</w:t>
                  </w:r>
                </w:p>
              </w:tc>
              <w:tc>
                <w:tcPr>
                  <w:tcW w:w="1723" w:type="dxa"/>
                  <w:vAlign w:val="center"/>
                </w:tcPr>
                <w:p>
                  <w:pPr>
                    <w:pStyle w:val="37"/>
                    <w:jc w:val="center"/>
                    <w:rPr>
                      <w:rFonts w:cs="Times New Roman"/>
                      <w:u w:val="none"/>
                    </w:rPr>
                  </w:pPr>
                  <w:r>
                    <w:rPr>
                      <w:rFonts w:cs="Times New Roman"/>
                      <w:u w:val="none"/>
                    </w:rPr>
                    <w:t>约4户，15人</w:t>
                  </w:r>
                </w:p>
              </w:tc>
              <w:tc>
                <w:tcPr>
                  <w:tcW w:w="1292" w:type="dxa"/>
                  <w:vAlign w:val="center"/>
                </w:tcPr>
                <w:p>
                  <w:pPr>
                    <w:pStyle w:val="37"/>
                    <w:jc w:val="center"/>
                    <w:rPr>
                      <w:rFonts w:cs="Times New Roman"/>
                      <w:u w:val="none"/>
                    </w:rPr>
                  </w:pPr>
                  <w:r>
                    <w:rPr>
                      <w:rFonts w:cs="Times New Roman"/>
                      <w:u w:val="none"/>
                    </w:rPr>
                    <w:t>二类</w:t>
                  </w:r>
                </w:p>
              </w:tc>
              <w:tc>
                <w:tcPr>
                  <w:tcW w:w="717" w:type="dxa"/>
                  <w:vAlign w:val="center"/>
                </w:tcPr>
                <w:p>
                  <w:pPr>
                    <w:pStyle w:val="37"/>
                    <w:jc w:val="center"/>
                    <w:rPr>
                      <w:rFonts w:cs="Times New Roman"/>
                      <w:u w:val="none"/>
                    </w:rPr>
                  </w:pPr>
                  <w:r>
                    <w:rPr>
                      <w:rFonts w:cs="Times New Roman"/>
                      <w:u w:val="none"/>
                    </w:rPr>
                    <w:t>E</w:t>
                  </w:r>
                </w:p>
              </w:tc>
              <w:tc>
                <w:tcPr>
                  <w:tcW w:w="717" w:type="dxa"/>
                  <w:vAlign w:val="center"/>
                </w:tcPr>
                <w:p>
                  <w:pPr>
                    <w:pStyle w:val="37"/>
                    <w:jc w:val="center"/>
                    <w:rPr>
                      <w:rFonts w:cs="Times New Roman"/>
                      <w:u w:val="none"/>
                    </w:rPr>
                  </w:pPr>
                  <w:r>
                    <w:rPr>
                      <w:rFonts w:cs="Times New Roman"/>
                      <w:u w:val="none"/>
                    </w:rPr>
                    <w:t>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80" w:type="dxa"/>
                  <w:gridSpan w:val="8"/>
                  <w:vAlign w:val="center"/>
                </w:tcPr>
                <w:p>
                  <w:pPr>
                    <w:pStyle w:val="37"/>
                    <w:jc w:val="center"/>
                    <w:rPr>
                      <w:rFonts w:cs="Times New Roman"/>
                      <w:u w:val="none"/>
                    </w:rPr>
                  </w:pPr>
                  <w:r>
                    <w:rPr>
                      <w:rFonts w:cs="Times New Roman"/>
                      <w:u w:val="none"/>
                    </w:rPr>
                    <w:t>注：以项目厂址中心为原点，正北为Y轴正方向，正东为X轴正方向建立坐标系</w:t>
                  </w:r>
                </w:p>
              </w:tc>
            </w:tr>
          </w:tbl>
          <w:p>
            <w:pPr>
              <w:pStyle w:val="4"/>
              <w:rPr>
                <w:rFonts w:cs="Times New Roman"/>
              </w:rPr>
            </w:pPr>
            <w:bookmarkStart w:id="110" w:name="_Toc107343391"/>
            <w:bookmarkStart w:id="111" w:name="_Toc107409312"/>
            <w:bookmarkStart w:id="112" w:name="_Toc107415666"/>
            <w:bookmarkStart w:id="113" w:name="_Toc116339922"/>
            <w:bookmarkStart w:id="114" w:name="_Toc107343577"/>
            <w:bookmarkStart w:id="115" w:name="_Toc106531341"/>
            <w:r>
              <w:rPr>
                <w:rFonts w:cs="Times New Roman"/>
              </w:rPr>
              <w:t>3、地表</w:t>
            </w:r>
            <w:r>
              <w:rPr>
                <w:rFonts w:cs="Times New Roman"/>
                <w:szCs w:val="21"/>
              </w:rPr>
              <w:t>水环境</w:t>
            </w:r>
            <w:r>
              <w:rPr>
                <w:rFonts w:cs="Times New Roman"/>
              </w:rPr>
              <w:t>保护目标</w:t>
            </w:r>
            <w:bookmarkEnd w:id="110"/>
            <w:bookmarkEnd w:id="111"/>
            <w:bookmarkEnd w:id="112"/>
            <w:bookmarkEnd w:id="113"/>
            <w:bookmarkEnd w:id="114"/>
            <w:bookmarkEnd w:id="115"/>
          </w:p>
          <w:p>
            <w:pPr>
              <w:pStyle w:val="31"/>
              <w:rPr>
                <w:rFonts w:cs="Times New Roman"/>
              </w:rPr>
            </w:pPr>
            <w:r>
              <w:rPr>
                <w:rFonts w:cs="Times New Roman"/>
              </w:rPr>
              <w:t>表3-7本项目</w:t>
            </w:r>
            <w:r>
              <w:rPr>
                <w:rFonts w:cs="Times New Roman"/>
                <w:szCs w:val="21"/>
              </w:rPr>
              <w:t>水环境</w:t>
            </w:r>
            <w:r>
              <w:rPr>
                <w:rFonts w:cs="Times New Roman"/>
              </w:rPr>
              <w:t>保护目标</w:t>
            </w:r>
          </w:p>
          <w:tbl>
            <w:tblPr>
              <w:tblStyle w:val="17"/>
              <w:tblW w:w="8474"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1344"/>
              <w:gridCol w:w="1747"/>
              <w:gridCol w:w="2212"/>
              <w:gridCol w:w="317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54" w:hRule="atLeast"/>
                <w:jc w:val="center"/>
              </w:trPr>
              <w:tc>
                <w:tcPr>
                  <w:tcW w:w="1344" w:type="dxa"/>
                  <w:vAlign w:val="center"/>
                </w:tcPr>
                <w:p>
                  <w:pPr>
                    <w:pStyle w:val="37"/>
                    <w:jc w:val="center"/>
                    <w:rPr>
                      <w:rFonts w:cs="Times New Roman"/>
                      <w:u w:val="none"/>
                    </w:rPr>
                  </w:pPr>
                  <w:r>
                    <w:rPr>
                      <w:rFonts w:cs="Times New Roman"/>
                      <w:u w:val="none"/>
                    </w:rPr>
                    <w:t>环境要素</w:t>
                  </w:r>
                </w:p>
              </w:tc>
              <w:tc>
                <w:tcPr>
                  <w:tcW w:w="1747" w:type="dxa"/>
                  <w:vAlign w:val="center"/>
                </w:tcPr>
                <w:p>
                  <w:pPr>
                    <w:pStyle w:val="37"/>
                    <w:jc w:val="center"/>
                    <w:rPr>
                      <w:rFonts w:cs="Times New Roman"/>
                      <w:u w:val="none"/>
                    </w:rPr>
                  </w:pPr>
                  <w:r>
                    <w:rPr>
                      <w:rFonts w:cs="Times New Roman"/>
                      <w:u w:val="none"/>
                    </w:rPr>
                    <w:t>目标名称</w:t>
                  </w:r>
                </w:p>
              </w:tc>
              <w:tc>
                <w:tcPr>
                  <w:tcW w:w="2212" w:type="dxa"/>
                  <w:vAlign w:val="center"/>
                </w:tcPr>
                <w:p>
                  <w:pPr>
                    <w:pStyle w:val="37"/>
                    <w:jc w:val="center"/>
                    <w:rPr>
                      <w:rFonts w:cs="Times New Roman"/>
                      <w:u w:val="none"/>
                    </w:rPr>
                  </w:pPr>
                  <w:r>
                    <w:rPr>
                      <w:rFonts w:cs="Times New Roman"/>
                      <w:u w:val="none"/>
                    </w:rPr>
                    <w:t>方位、与项目距离</w:t>
                  </w:r>
                </w:p>
              </w:tc>
              <w:tc>
                <w:tcPr>
                  <w:tcW w:w="3171" w:type="dxa"/>
                  <w:vAlign w:val="center"/>
                </w:tcPr>
                <w:p>
                  <w:pPr>
                    <w:pStyle w:val="37"/>
                    <w:jc w:val="center"/>
                    <w:rPr>
                      <w:rFonts w:cs="Times New Roman"/>
                      <w:u w:val="none"/>
                    </w:rPr>
                  </w:pPr>
                  <w:r>
                    <w:rPr>
                      <w:rFonts w:cs="Times New Roman"/>
                      <w:u w:val="none"/>
                    </w:rPr>
                    <w:t>质量等级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54" w:hRule="atLeast"/>
                <w:jc w:val="center"/>
              </w:trPr>
              <w:tc>
                <w:tcPr>
                  <w:tcW w:w="1344" w:type="dxa"/>
                  <w:vAlign w:val="center"/>
                </w:tcPr>
                <w:p>
                  <w:pPr>
                    <w:pStyle w:val="37"/>
                    <w:jc w:val="center"/>
                    <w:rPr>
                      <w:rFonts w:cs="Times New Roman"/>
                      <w:u w:val="none"/>
                    </w:rPr>
                  </w:pPr>
                  <w:r>
                    <w:rPr>
                      <w:rFonts w:cs="Times New Roman"/>
                      <w:u w:val="none"/>
                    </w:rPr>
                    <w:t>水环境</w:t>
                  </w:r>
                </w:p>
              </w:tc>
              <w:tc>
                <w:tcPr>
                  <w:tcW w:w="1747" w:type="dxa"/>
                  <w:vAlign w:val="center"/>
                </w:tcPr>
                <w:p>
                  <w:pPr>
                    <w:pStyle w:val="37"/>
                    <w:jc w:val="center"/>
                    <w:rPr>
                      <w:rFonts w:cs="Times New Roman"/>
                      <w:u w:val="none"/>
                    </w:rPr>
                  </w:pPr>
                  <w:r>
                    <w:rPr>
                      <w:rFonts w:cs="Times New Roman"/>
                      <w:u w:val="none"/>
                    </w:rPr>
                    <w:t>铁水</w:t>
                  </w:r>
                </w:p>
              </w:tc>
              <w:tc>
                <w:tcPr>
                  <w:tcW w:w="2212" w:type="dxa"/>
                  <w:vAlign w:val="center"/>
                </w:tcPr>
                <w:p>
                  <w:pPr>
                    <w:pStyle w:val="37"/>
                    <w:jc w:val="center"/>
                    <w:rPr>
                      <w:rFonts w:cs="Times New Roman"/>
                      <w:u w:val="none"/>
                    </w:rPr>
                  </w:pPr>
                  <w:r>
                    <w:rPr>
                      <w:rFonts w:cs="Times New Roman"/>
                      <w:u w:val="none"/>
                    </w:rPr>
                    <w:t>西北侧，50m</w:t>
                  </w:r>
                </w:p>
              </w:tc>
              <w:tc>
                <w:tcPr>
                  <w:tcW w:w="3171" w:type="dxa"/>
                  <w:vAlign w:val="center"/>
                </w:tcPr>
                <w:p>
                  <w:pPr>
                    <w:pStyle w:val="37"/>
                    <w:jc w:val="center"/>
                    <w:rPr>
                      <w:rFonts w:cs="Times New Roman"/>
                      <w:u w:val="none"/>
                    </w:rPr>
                  </w:pPr>
                  <w:r>
                    <w:rPr>
                      <w:rFonts w:cs="Times New Roman"/>
                      <w:u w:val="none"/>
                    </w:rPr>
                    <w:t>《地表水环境质量标准》（GB3838-2002）II类</w:t>
                  </w:r>
                </w:p>
              </w:tc>
            </w:tr>
          </w:tbl>
          <w:p>
            <w:pPr>
              <w:pStyle w:val="4"/>
              <w:rPr>
                <w:rFonts w:cs="Times New Roman"/>
              </w:rPr>
            </w:pPr>
            <w:bookmarkStart w:id="116" w:name="_Toc107343392"/>
            <w:bookmarkStart w:id="117" w:name="_Toc106531342"/>
            <w:bookmarkStart w:id="118" w:name="_Toc107415667"/>
            <w:bookmarkStart w:id="119" w:name="_Toc107343578"/>
            <w:bookmarkStart w:id="120" w:name="_Toc107409313"/>
            <w:bookmarkStart w:id="121" w:name="_Toc116339923"/>
            <w:r>
              <w:rPr>
                <w:rFonts w:cs="Times New Roman"/>
              </w:rPr>
              <w:t>4、生态环境</w:t>
            </w:r>
            <w:bookmarkEnd w:id="116"/>
            <w:bookmarkEnd w:id="117"/>
            <w:bookmarkEnd w:id="118"/>
            <w:bookmarkEnd w:id="119"/>
            <w:bookmarkEnd w:id="120"/>
            <w:bookmarkEnd w:id="121"/>
          </w:p>
          <w:p>
            <w:pPr>
              <w:ind w:firstLine="480"/>
              <w:rPr>
                <w:rFonts w:cs="Times New Roman"/>
              </w:rPr>
            </w:pPr>
            <w:r>
              <w:rPr>
                <w:rFonts w:cs="Times New Roman"/>
              </w:rPr>
              <w:t>本项目用地范围在现有厂房范围内，不新增用地，用地范围内无生态环境保护目标。本项目评价范围内无饮用水水源保护区、珍稀动植物保护物种、历史文物古迹等需要特殊保护的环境敏感点，项目不占用基本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trPr>
        <w:tc>
          <w:tcPr>
            <w:tcW w:w="456" w:type="dxa"/>
          </w:tcPr>
          <w:p>
            <w:pPr>
              <w:adjustRightInd w:val="0"/>
              <w:snapToGrid w:val="0"/>
              <w:spacing w:line="240" w:lineRule="auto"/>
              <w:ind w:firstLine="0" w:firstLineChars="0"/>
              <w:jc w:val="center"/>
              <w:rPr>
                <w:rFonts w:cs="Times New Roman"/>
                <w:kern w:val="0"/>
                <w:szCs w:val="21"/>
              </w:rPr>
            </w:pPr>
            <w:r>
              <w:rPr>
                <w:rFonts w:cs="Times New Roman"/>
              </w:rPr>
              <w:t>污染物排放控制标准</w:t>
            </w:r>
          </w:p>
        </w:tc>
        <w:tc>
          <w:tcPr>
            <w:tcW w:w="8706" w:type="dxa"/>
          </w:tcPr>
          <w:p>
            <w:pPr>
              <w:pStyle w:val="4"/>
              <w:rPr>
                <w:rFonts w:cs="Times New Roman"/>
              </w:rPr>
            </w:pPr>
            <w:bookmarkStart w:id="122" w:name="_Toc107343393"/>
            <w:bookmarkStart w:id="123" w:name="_Toc116339924"/>
            <w:bookmarkStart w:id="124" w:name="_Toc107343579"/>
            <w:bookmarkStart w:id="125" w:name="_Toc107415668"/>
            <w:bookmarkStart w:id="126" w:name="_Toc107409314"/>
            <w:bookmarkStart w:id="127" w:name="_Toc106531343"/>
            <w:r>
              <w:rPr>
                <w:rFonts w:cs="Times New Roman"/>
              </w:rPr>
              <w:t>1、废水排放标准</w:t>
            </w:r>
            <w:bookmarkEnd w:id="122"/>
            <w:bookmarkEnd w:id="123"/>
            <w:bookmarkEnd w:id="124"/>
            <w:bookmarkEnd w:id="125"/>
            <w:bookmarkEnd w:id="126"/>
            <w:bookmarkEnd w:id="127"/>
          </w:p>
          <w:p>
            <w:pPr>
              <w:ind w:firstLine="480"/>
              <w:rPr>
                <w:rFonts w:cs="Times New Roman"/>
              </w:rPr>
            </w:pPr>
            <w:r>
              <w:rPr>
                <w:rFonts w:cs="Times New Roman"/>
              </w:rPr>
              <w:t>运营期：项目无废水外排，湿法除尘废水经沉淀池沉淀后循环使用，不外排；洗车废水经沉淀池沉淀后循环使用，不外排；员工生活污水经化粪池处理后用于项目周边农田施肥。</w:t>
            </w:r>
          </w:p>
          <w:p>
            <w:pPr>
              <w:pStyle w:val="4"/>
              <w:rPr>
                <w:rFonts w:cs="Times New Roman"/>
              </w:rPr>
            </w:pPr>
            <w:bookmarkStart w:id="128" w:name="_Toc107343580"/>
            <w:bookmarkStart w:id="129" w:name="_Toc107409315"/>
            <w:bookmarkStart w:id="130" w:name="_Toc106531344"/>
            <w:bookmarkStart w:id="131" w:name="_Toc116339925"/>
            <w:bookmarkStart w:id="132" w:name="_Toc107343394"/>
            <w:bookmarkStart w:id="133" w:name="_Toc107415669"/>
            <w:r>
              <w:rPr>
                <w:rFonts w:cs="Times New Roman"/>
              </w:rPr>
              <w:t>2、废气排放标准</w:t>
            </w:r>
            <w:bookmarkEnd w:id="128"/>
            <w:bookmarkEnd w:id="129"/>
            <w:bookmarkEnd w:id="130"/>
            <w:bookmarkEnd w:id="131"/>
            <w:bookmarkEnd w:id="132"/>
            <w:bookmarkEnd w:id="133"/>
          </w:p>
          <w:p>
            <w:pPr>
              <w:ind w:firstLine="480"/>
              <w:rPr>
                <w:rFonts w:cs="Times New Roman"/>
              </w:rPr>
            </w:pPr>
            <w:r>
              <w:rPr>
                <w:rFonts w:cs="Times New Roman"/>
              </w:rPr>
              <w:t>本项目运营期排放的颗粒物执行《煤炭工业污染物排放标准》（GB20426-2006）中规定的煤炭工业大气污染物排放限值及煤炭工业作业场所无组织排放标准限值，详见表3-8。</w:t>
            </w:r>
          </w:p>
          <w:p>
            <w:pPr>
              <w:pStyle w:val="31"/>
              <w:rPr>
                <w:rFonts w:cs="Times New Roman"/>
              </w:rPr>
            </w:pPr>
            <w:r>
              <w:rPr>
                <w:rFonts w:cs="Times New Roman"/>
              </w:rPr>
              <w:t>表3-8《煤炭工业污染物排放标准》（GB20426-2006）</w:t>
            </w:r>
          </w:p>
          <w:tbl>
            <w:tblPr>
              <w:tblStyle w:val="17"/>
              <w:tblW w:w="84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096"/>
              <w:gridCol w:w="1192"/>
              <w:gridCol w:w="1723"/>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5" w:type="dxa"/>
                  <w:vMerge w:val="restart"/>
                  <w:shd w:val="clear" w:color="auto" w:fill="auto"/>
                  <w:vAlign w:val="center"/>
                </w:tcPr>
                <w:p>
                  <w:pPr>
                    <w:pStyle w:val="37"/>
                    <w:jc w:val="center"/>
                    <w:rPr>
                      <w:rFonts w:cs="Times New Roman"/>
                      <w:u w:val="none"/>
                    </w:rPr>
                  </w:pPr>
                  <w:r>
                    <w:rPr>
                      <w:rFonts w:cs="Times New Roman"/>
                      <w:u w:val="none"/>
                    </w:rPr>
                    <w:t>污染物</w:t>
                  </w:r>
                </w:p>
              </w:tc>
              <w:tc>
                <w:tcPr>
                  <w:tcW w:w="2096" w:type="dxa"/>
                  <w:shd w:val="clear" w:color="auto" w:fill="auto"/>
                  <w:vAlign w:val="center"/>
                </w:tcPr>
                <w:p>
                  <w:pPr>
                    <w:pStyle w:val="37"/>
                    <w:jc w:val="center"/>
                    <w:rPr>
                      <w:rFonts w:cs="Times New Roman"/>
                      <w:u w:val="none"/>
                    </w:rPr>
                  </w:pPr>
                  <w:r>
                    <w:rPr>
                      <w:rFonts w:cs="Times New Roman"/>
                      <w:u w:val="none"/>
                    </w:rPr>
                    <w:t>有组织</w:t>
                  </w:r>
                </w:p>
              </w:tc>
              <w:tc>
                <w:tcPr>
                  <w:tcW w:w="5439" w:type="dxa"/>
                  <w:gridSpan w:val="3"/>
                  <w:shd w:val="clear" w:color="auto" w:fill="auto"/>
                  <w:vAlign w:val="center"/>
                </w:tcPr>
                <w:p>
                  <w:pPr>
                    <w:pStyle w:val="37"/>
                    <w:jc w:val="center"/>
                    <w:rPr>
                      <w:rFonts w:cs="Times New Roman"/>
                      <w:u w:val="none"/>
                    </w:rPr>
                  </w:pPr>
                  <w:r>
                    <w:rPr>
                      <w:rFonts w:cs="Times New Roman"/>
                      <w:u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5" w:type="dxa"/>
                  <w:vMerge w:val="continue"/>
                  <w:shd w:val="clear" w:color="auto" w:fill="auto"/>
                  <w:vAlign w:val="center"/>
                </w:tcPr>
                <w:p>
                  <w:pPr>
                    <w:pStyle w:val="37"/>
                    <w:jc w:val="center"/>
                    <w:rPr>
                      <w:rFonts w:cs="Times New Roman"/>
                      <w:u w:val="none"/>
                    </w:rPr>
                  </w:pPr>
                </w:p>
              </w:tc>
              <w:tc>
                <w:tcPr>
                  <w:tcW w:w="2096" w:type="dxa"/>
                  <w:shd w:val="clear" w:color="auto" w:fill="auto"/>
                  <w:vAlign w:val="center"/>
                </w:tcPr>
                <w:p>
                  <w:pPr>
                    <w:pStyle w:val="37"/>
                    <w:jc w:val="center"/>
                    <w:rPr>
                      <w:rFonts w:cs="Times New Roman"/>
                      <w:u w:val="none"/>
                    </w:rPr>
                  </w:pPr>
                  <w:r>
                    <w:rPr>
                      <w:rFonts w:cs="Times New Roman"/>
                      <w:u w:val="none"/>
                    </w:rPr>
                    <w:t>生产设备</w:t>
                  </w:r>
                </w:p>
              </w:tc>
              <w:tc>
                <w:tcPr>
                  <w:tcW w:w="1192" w:type="dxa"/>
                  <w:shd w:val="clear" w:color="auto" w:fill="auto"/>
                  <w:vAlign w:val="center"/>
                </w:tcPr>
                <w:p>
                  <w:pPr>
                    <w:pStyle w:val="37"/>
                    <w:jc w:val="center"/>
                    <w:rPr>
                      <w:rFonts w:cs="Times New Roman"/>
                      <w:u w:val="none"/>
                    </w:rPr>
                  </w:pPr>
                  <w:r>
                    <w:rPr>
                      <w:rFonts w:cs="Times New Roman"/>
                      <w:u w:val="none"/>
                    </w:rPr>
                    <w:t>监控点</w:t>
                  </w:r>
                </w:p>
              </w:tc>
              <w:tc>
                <w:tcPr>
                  <w:tcW w:w="4247" w:type="dxa"/>
                  <w:gridSpan w:val="2"/>
                  <w:shd w:val="clear" w:color="auto" w:fill="auto"/>
                  <w:vAlign w:val="center"/>
                </w:tcPr>
                <w:p>
                  <w:pPr>
                    <w:pStyle w:val="37"/>
                    <w:jc w:val="center"/>
                    <w:rPr>
                      <w:rFonts w:cs="Times New Roman"/>
                      <w:u w:val="none"/>
                    </w:rPr>
                  </w:pPr>
                  <w:r>
                    <w:rPr>
                      <w:rFonts w:cs="Times New Roman"/>
                      <w:u w:val="none"/>
                    </w:rPr>
                    <w:t>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945" w:type="dxa"/>
                  <w:vMerge w:val="continue"/>
                  <w:shd w:val="clear" w:color="auto" w:fill="auto"/>
                  <w:vAlign w:val="center"/>
                </w:tcPr>
                <w:p>
                  <w:pPr>
                    <w:pStyle w:val="37"/>
                    <w:jc w:val="center"/>
                    <w:rPr>
                      <w:rFonts w:cs="Times New Roman"/>
                      <w:u w:val="none"/>
                    </w:rPr>
                  </w:pPr>
                </w:p>
              </w:tc>
              <w:tc>
                <w:tcPr>
                  <w:tcW w:w="2096" w:type="dxa"/>
                  <w:vMerge w:val="restart"/>
                  <w:shd w:val="clear" w:color="auto" w:fill="auto"/>
                  <w:vAlign w:val="center"/>
                </w:tcPr>
                <w:p>
                  <w:pPr>
                    <w:pStyle w:val="37"/>
                    <w:jc w:val="center"/>
                    <w:rPr>
                      <w:rFonts w:cs="Times New Roman"/>
                      <w:u w:val="none"/>
                    </w:rPr>
                  </w:pPr>
                  <w:r>
                    <w:rPr>
                      <w:rFonts w:cs="Times New Roman"/>
                      <w:u w:val="none"/>
                    </w:rPr>
                    <w:t>原煤筛分、破碎、转载点等除尘设备</w:t>
                  </w:r>
                </w:p>
              </w:tc>
              <w:tc>
                <w:tcPr>
                  <w:tcW w:w="1192" w:type="dxa"/>
                  <w:vMerge w:val="restart"/>
                  <w:shd w:val="clear" w:color="auto" w:fill="auto"/>
                  <w:vAlign w:val="center"/>
                </w:tcPr>
                <w:p>
                  <w:pPr>
                    <w:pStyle w:val="37"/>
                    <w:jc w:val="center"/>
                    <w:rPr>
                      <w:rFonts w:cs="Times New Roman"/>
                      <w:u w:val="none"/>
                    </w:rPr>
                  </w:pPr>
                  <w:r>
                    <w:rPr>
                      <w:rFonts w:cs="Times New Roman"/>
                      <w:u w:val="none"/>
                    </w:rPr>
                    <w:t>/</w:t>
                  </w:r>
                </w:p>
              </w:tc>
              <w:tc>
                <w:tcPr>
                  <w:tcW w:w="1723" w:type="dxa"/>
                  <w:shd w:val="clear" w:color="auto" w:fill="auto"/>
                  <w:vAlign w:val="center"/>
                </w:tcPr>
                <w:p>
                  <w:pPr>
                    <w:pStyle w:val="37"/>
                    <w:jc w:val="center"/>
                    <w:rPr>
                      <w:rFonts w:cs="Times New Roman"/>
                      <w:u w:val="none"/>
                    </w:rPr>
                  </w:pPr>
                  <w:r>
                    <w:rPr>
                      <w:rFonts w:cs="Times New Roman"/>
                      <w:u w:val="none"/>
                    </w:rPr>
                    <w:t>煤炭工业所属装卸场所</w:t>
                  </w:r>
                </w:p>
              </w:tc>
              <w:tc>
                <w:tcPr>
                  <w:tcW w:w="2524" w:type="dxa"/>
                  <w:shd w:val="clear" w:color="auto" w:fill="auto"/>
                  <w:vAlign w:val="center"/>
                </w:tcPr>
                <w:p>
                  <w:pPr>
                    <w:pStyle w:val="37"/>
                    <w:jc w:val="center"/>
                    <w:rPr>
                      <w:rFonts w:cs="Times New Roman"/>
                      <w:u w:val="none"/>
                    </w:rPr>
                  </w:pPr>
                  <w:r>
                    <w:rPr>
                      <w:rFonts w:cs="Times New Roman"/>
                      <w:u w:val="none"/>
                    </w:rPr>
                    <w:t>煤炭贮存场所、煤矸石堆置场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945" w:type="dxa"/>
                  <w:vMerge w:val="continue"/>
                  <w:shd w:val="clear" w:color="auto" w:fill="auto"/>
                  <w:vAlign w:val="center"/>
                </w:tcPr>
                <w:p>
                  <w:pPr>
                    <w:pStyle w:val="37"/>
                    <w:jc w:val="center"/>
                    <w:rPr>
                      <w:rFonts w:cs="Times New Roman"/>
                      <w:u w:val="none"/>
                    </w:rPr>
                  </w:pPr>
                </w:p>
              </w:tc>
              <w:tc>
                <w:tcPr>
                  <w:tcW w:w="2096" w:type="dxa"/>
                  <w:vMerge w:val="continue"/>
                  <w:shd w:val="clear" w:color="auto" w:fill="auto"/>
                  <w:vAlign w:val="center"/>
                </w:tcPr>
                <w:p>
                  <w:pPr>
                    <w:pStyle w:val="37"/>
                    <w:jc w:val="center"/>
                    <w:rPr>
                      <w:rFonts w:cs="Times New Roman"/>
                      <w:u w:val="none"/>
                    </w:rPr>
                  </w:pPr>
                </w:p>
              </w:tc>
              <w:tc>
                <w:tcPr>
                  <w:tcW w:w="1192" w:type="dxa"/>
                  <w:vMerge w:val="continue"/>
                  <w:shd w:val="clear" w:color="auto" w:fill="auto"/>
                  <w:vAlign w:val="center"/>
                </w:tcPr>
                <w:p>
                  <w:pPr>
                    <w:pStyle w:val="37"/>
                    <w:jc w:val="center"/>
                    <w:rPr>
                      <w:rFonts w:cs="Times New Roman"/>
                      <w:u w:val="none"/>
                    </w:rPr>
                  </w:pPr>
                </w:p>
              </w:tc>
              <w:tc>
                <w:tcPr>
                  <w:tcW w:w="1723" w:type="dxa"/>
                  <w:shd w:val="clear" w:color="auto" w:fill="auto"/>
                  <w:vAlign w:val="center"/>
                </w:tcPr>
                <w:p>
                  <w:pPr>
                    <w:pStyle w:val="37"/>
                    <w:jc w:val="center"/>
                    <w:rPr>
                      <w:rFonts w:cs="Times New Roman"/>
                      <w:u w:val="none"/>
                    </w:rPr>
                  </w:pPr>
                  <w:r>
                    <w:rPr>
                      <w:rFonts w:cs="Times New Roman"/>
                      <w:u w:val="none"/>
                    </w:rPr>
                    <w:t>无组织排放限值（mg/m</w:t>
                  </w:r>
                  <w:r>
                    <w:rPr>
                      <w:rFonts w:cs="Times New Roman"/>
                      <w:u w:val="none"/>
                      <w:vertAlign w:val="superscript"/>
                    </w:rPr>
                    <w:t>3</w:t>
                  </w:r>
                  <w:r>
                    <w:rPr>
                      <w:rFonts w:cs="Times New Roman"/>
                      <w:u w:val="none"/>
                    </w:rPr>
                    <w:t>）（监控点与参考点浓度差值）</w:t>
                  </w:r>
                </w:p>
              </w:tc>
              <w:tc>
                <w:tcPr>
                  <w:tcW w:w="2524" w:type="dxa"/>
                  <w:shd w:val="clear" w:color="auto" w:fill="auto"/>
                  <w:vAlign w:val="center"/>
                </w:tcPr>
                <w:p>
                  <w:pPr>
                    <w:pStyle w:val="37"/>
                    <w:jc w:val="center"/>
                    <w:rPr>
                      <w:rFonts w:cs="Times New Roman"/>
                      <w:u w:val="none"/>
                    </w:rPr>
                  </w:pPr>
                  <w:r>
                    <w:rPr>
                      <w:rFonts w:cs="Times New Roman"/>
                      <w:u w:val="none"/>
                    </w:rPr>
                    <w:t>无组织排放限值（mg/m</w:t>
                  </w:r>
                  <w:r>
                    <w:rPr>
                      <w:rFonts w:cs="Times New Roman"/>
                      <w:u w:val="none"/>
                      <w:vertAlign w:val="superscript"/>
                    </w:rPr>
                    <w:t>3</w:t>
                  </w:r>
                  <w:r>
                    <w:rPr>
                      <w:rFonts w:cs="Times New Roman"/>
                      <w:u w:val="none"/>
                    </w:rPr>
                    <w:t>）（监控点与参考点浓度差值）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5" w:type="dxa"/>
                  <w:shd w:val="clear" w:color="auto" w:fill="auto"/>
                  <w:vAlign w:val="center"/>
                </w:tcPr>
                <w:p>
                  <w:pPr>
                    <w:pStyle w:val="37"/>
                    <w:jc w:val="center"/>
                    <w:rPr>
                      <w:rFonts w:cs="Times New Roman"/>
                      <w:u w:val="none"/>
                    </w:rPr>
                  </w:pPr>
                  <w:r>
                    <w:rPr>
                      <w:rFonts w:cs="Times New Roman"/>
                      <w:u w:val="none"/>
                    </w:rPr>
                    <w:t>颗粒物</w:t>
                  </w:r>
                </w:p>
              </w:tc>
              <w:tc>
                <w:tcPr>
                  <w:tcW w:w="2096" w:type="dxa"/>
                  <w:shd w:val="clear" w:color="auto" w:fill="auto"/>
                  <w:vAlign w:val="center"/>
                </w:tcPr>
                <w:p>
                  <w:pPr>
                    <w:pStyle w:val="37"/>
                    <w:jc w:val="center"/>
                    <w:rPr>
                      <w:rFonts w:cs="Times New Roman"/>
                      <w:u w:val="none"/>
                    </w:rPr>
                  </w:pPr>
                  <w:bookmarkStart w:id="134" w:name="_Hlk106970030"/>
                  <w:r>
                    <w:rPr>
                      <w:rFonts w:cs="Times New Roman"/>
                      <w:u w:val="none"/>
                    </w:rPr>
                    <w:t>80mg/m</w:t>
                  </w:r>
                  <w:r>
                    <w:rPr>
                      <w:rFonts w:cs="Times New Roman"/>
                      <w:u w:val="none"/>
                      <w:vertAlign w:val="superscript"/>
                    </w:rPr>
                    <w:t>3</w:t>
                  </w:r>
                  <w:bookmarkEnd w:id="134"/>
                  <w:r>
                    <w:rPr>
                      <w:rFonts w:cs="Times New Roman"/>
                      <w:u w:val="none"/>
                    </w:rPr>
                    <w:t>或设备去除效率&gt;98%</w:t>
                  </w:r>
                </w:p>
              </w:tc>
              <w:tc>
                <w:tcPr>
                  <w:tcW w:w="1192" w:type="dxa"/>
                  <w:shd w:val="clear" w:color="auto" w:fill="auto"/>
                  <w:vAlign w:val="center"/>
                </w:tcPr>
                <w:p>
                  <w:pPr>
                    <w:pStyle w:val="37"/>
                    <w:jc w:val="center"/>
                    <w:rPr>
                      <w:rFonts w:cs="Times New Roman"/>
                      <w:u w:val="none"/>
                    </w:rPr>
                  </w:pPr>
                  <w:r>
                    <w:rPr>
                      <w:rFonts w:cs="Times New Roman"/>
                      <w:u w:val="none"/>
                    </w:rPr>
                    <w:t>周界外浓度最高点</w:t>
                  </w:r>
                </w:p>
              </w:tc>
              <w:tc>
                <w:tcPr>
                  <w:tcW w:w="1723" w:type="dxa"/>
                  <w:shd w:val="clear" w:color="auto" w:fill="auto"/>
                  <w:vAlign w:val="center"/>
                </w:tcPr>
                <w:p>
                  <w:pPr>
                    <w:pStyle w:val="37"/>
                    <w:jc w:val="center"/>
                    <w:rPr>
                      <w:rFonts w:cs="Times New Roman"/>
                      <w:u w:val="none"/>
                    </w:rPr>
                  </w:pPr>
                  <w:bookmarkStart w:id="135" w:name="_Hlk106970042"/>
                  <w:r>
                    <w:rPr>
                      <w:rFonts w:cs="Times New Roman"/>
                      <w:u w:val="none"/>
                    </w:rPr>
                    <w:t>1.0</w:t>
                  </w:r>
                  <w:bookmarkEnd w:id="135"/>
                </w:p>
              </w:tc>
              <w:tc>
                <w:tcPr>
                  <w:tcW w:w="2524" w:type="dxa"/>
                  <w:shd w:val="clear" w:color="auto" w:fill="auto"/>
                  <w:vAlign w:val="center"/>
                </w:tcPr>
                <w:p>
                  <w:pPr>
                    <w:pStyle w:val="37"/>
                    <w:jc w:val="center"/>
                    <w:rPr>
                      <w:rFonts w:cs="Times New Roman"/>
                      <w:u w:val="none"/>
                    </w:rPr>
                  </w:pPr>
                  <w:r>
                    <w:rPr>
                      <w:rFonts w:cs="Times New Roman"/>
                      <w:u w:val="none"/>
                    </w:rPr>
                    <w:t>1.0</w:t>
                  </w:r>
                </w:p>
              </w:tc>
            </w:tr>
          </w:tbl>
          <w:p>
            <w:pPr>
              <w:pStyle w:val="4"/>
              <w:rPr>
                <w:rFonts w:cs="Times New Roman"/>
              </w:rPr>
            </w:pPr>
            <w:bookmarkStart w:id="136" w:name="_Toc107343581"/>
            <w:bookmarkStart w:id="137" w:name="_Toc107409316"/>
            <w:bookmarkStart w:id="138" w:name="_Toc107343395"/>
            <w:bookmarkStart w:id="139" w:name="_Toc116339926"/>
            <w:bookmarkStart w:id="140" w:name="_Toc106531345"/>
            <w:bookmarkStart w:id="141" w:name="_Toc107415670"/>
            <w:r>
              <w:rPr>
                <w:rFonts w:cs="Times New Roman"/>
              </w:rPr>
              <w:t>3、噪声排放标准</w:t>
            </w:r>
            <w:bookmarkEnd w:id="136"/>
            <w:bookmarkEnd w:id="137"/>
            <w:bookmarkEnd w:id="138"/>
            <w:bookmarkEnd w:id="139"/>
            <w:bookmarkEnd w:id="140"/>
            <w:bookmarkEnd w:id="141"/>
          </w:p>
          <w:p>
            <w:pPr>
              <w:ind w:firstLine="480"/>
              <w:rPr>
                <w:rFonts w:cs="Times New Roman"/>
              </w:rPr>
            </w:pPr>
            <w:r>
              <w:rPr>
                <w:rFonts w:cs="Times New Roman"/>
              </w:rPr>
              <w:t>厂界噪声执行《工业企业厂界环境噪声排放标准》（GB12348-2008）2类标准，即：昼间≤60dB(A)、夜间≤50dB(A)。</w:t>
            </w:r>
          </w:p>
          <w:p>
            <w:pPr>
              <w:pStyle w:val="31"/>
              <w:rPr>
                <w:rFonts w:cs="Times New Roman"/>
              </w:rPr>
            </w:pPr>
            <w:r>
              <w:rPr>
                <w:rFonts w:cs="Times New Roman"/>
              </w:rPr>
              <w:t>表3-9《工业企业厂界环境噪声排放标准》（GB12348-2008）（摘录）</w:t>
            </w:r>
          </w:p>
          <w:tbl>
            <w:tblPr>
              <w:tblStyle w:val="18"/>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6"/>
              <w:gridCol w:w="2827"/>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6" w:type="dxa"/>
                  <w:vAlign w:val="center"/>
                </w:tcPr>
                <w:p>
                  <w:pPr>
                    <w:pStyle w:val="37"/>
                    <w:jc w:val="center"/>
                    <w:rPr>
                      <w:rFonts w:cs="Times New Roman"/>
                      <w:u w:val="none"/>
                    </w:rPr>
                  </w:pPr>
                  <w:r>
                    <w:rPr>
                      <w:rFonts w:cs="Times New Roman"/>
                      <w:u w:val="none"/>
                    </w:rPr>
                    <w:t>时段</w:t>
                  </w:r>
                </w:p>
              </w:tc>
              <w:tc>
                <w:tcPr>
                  <w:tcW w:w="2827" w:type="dxa"/>
                  <w:vMerge w:val="restart"/>
                  <w:vAlign w:val="center"/>
                </w:tcPr>
                <w:p>
                  <w:pPr>
                    <w:pStyle w:val="37"/>
                    <w:jc w:val="center"/>
                    <w:rPr>
                      <w:rFonts w:cs="Times New Roman"/>
                      <w:u w:val="none"/>
                    </w:rPr>
                  </w:pPr>
                  <w:r>
                    <w:rPr>
                      <w:rFonts w:cs="Times New Roman"/>
                      <w:u w:val="none"/>
                    </w:rPr>
                    <w:t>昼间dB(A)</w:t>
                  </w:r>
                </w:p>
              </w:tc>
              <w:tc>
                <w:tcPr>
                  <w:tcW w:w="2827" w:type="dxa"/>
                  <w:vMerge w:val="restart"/>
                  <w:vAlign w:val="center"/>
                </w:tcPr>
                <w:p>
                  <w:pPr>
                    <w:pStyle w:val="37"/>
                    <w:jc w:val="center"/>
                    <w:rPr>
                      <w:rFonts w:cs="Times New Roman"/>
                      <w:u w:val="none"/>
                    </w:rPr>
                  </w:pPr>
                  <w:r>
                    <w:rPr>
                      <w:rFonts w:cs="Times New Roman"/>
                      <w:u w:val="none"/>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6" w:type="dxa"/>
                  <w:vAlign w:val="center"/>
                </w:tcPr>
                <w:p>
                  <w:pPr>
                    <w:pStyle w:val="37"/>
                    <w:jc w:val="center"/>
                    <w:rPr>
                      <w:rFonts w:cs="Times New Roman"/>
                      <w:u w:val="none"/>
                    </w:rPr>
                  </w:pPr>
                  <w:r>
                    <w:rPr>
                      <w:rFonts w:cs="Times New Roman"/>
                      <w:u w:val="none"/>
                    </w:rPr>
                    <w:t>厂界外声环境区类别</w:t>
                  </w:r>
                </w:p>
              </w:tc>
              <w:tc>
                <w:tcPr>
                  <w:tcW w:w="2827" w:type="dxa"/>
                  <w:vMerge w:val="continue"/>
                  <w:vAlign w:val="center"/>
                </w:tcPr>
                <w:p>
                  <w:pPr>
                    <w:pStyle w:val="37"/>
                    <w:jc w:val="center"/>
                    <w:rPr>
                      <w:rFonts w:cs="Times New Roman"/>
                      <w:u w:val="none"/>
                    </w:rPr>
                  </w:pPr>
                </w:p>
              </w:tc>
              <w:tc>
                <w:tcPr>
                  <w:tcW w:w="2827" w:type="dxa"/>
                  <w:vMerge w:val="continue"/>
                  <w:vAlign w:val="center"/>
                </w:tcPr>
                <w:p>
                  <w:pPr>
                    <w:pStyle w:val="37"/>
                    <w:jc w:val="center"/>
                    <w:rPr>
                      <w:rFonts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26" w:type="dxa"/>
                  <w:vAlign w:val="center"/>
                </w:tcPr>
                <w:p>
                  <w:pPr>
                    <w:pStyle w:val="37"/>
                    <w:jc w:val="center"/>
                    <w:rPr>
                      <w:rFonts w:cs="Times New Roman"/>
                      <w:u w:val="none"/>
                    </w:rPr>
                  </w:pPr>
                  <w:r>
                    <w:rPr>
                      <w:rFonts w:cs="Times New Roman"/>
                      <w:u w:val="none"/>
                    </w:rPr>
                    <w:t>2类</w:t>
                  </w:r>
                </w:p>
              </w:tc>
              <w:tc>
                <w:tcPr>
                  <w:tcW w:w="2827" w:type="dxa"/>
                  <w:vAlign w:val="center"/>
                </w:tcPr>
                <w:p>
                  <w:pPr>
                    <w:pStyle w:val="37"/>
                    <w:jc w:val="center"/>
                    <w:rPr>
                      <w:rFonts w:cs="Times New Roman"/>
                      <w:u w:val="none"/>
                    </w:rPr>
                  </w:pPr>
                  <w:r>
                    <w:rPr>
                      <w:rFonts w:cs="Times New Roman"/>
                      <w:u w:val="none"/>
                    </w:rPr>
                    <w:t>60</w:t>
                  </w:r>
                </w:p>
              </w:tc>
              <w:tc>
                <w:tcPr>
                  <w:tcW w:w="2827" w:type="dxa"/>
                  <w:vAlign w:val="center"/>
                </w:tcPr>
                <w:p>
                  <w:pPr>
                    <w:pStyle w:val="37"/>
                    <w:jc w:val="center"/>
                    <w:rPr>
                      <w:rFonts w:cs="Times New Roman"/>
                      <w:u w:val="none"/>
                    </w:rPr>
                  </w:pPr>
                  <w:r>
                    <w:rPr>
                      <w:rFonts w:cs="Times New Roman"/>
                      <w:u w:val="none"/>
                    </w:rPr>
                    <w:t>50</w:t>
                  </w:r>
                </w:p>
              </w:tc>
            </w:tr>
          </w:tbl>
          <w:p>
            <w:pPr>
              <w:pStyle w:val="4"/>
              <w:rPr>
                <w:rFonts w:cs="Times New Roman"/>
              </w:rPr>
            </w:pPr>
            <w:bookmarkStart w:id="142" w:name="_Toc107343582"/>
            <w:bookmarkStart w:id="143" w:name="_Toc107415671"/>
            <w:bookmarkStart w:id="144" w:name="_Toc116339927"/>
            <w:bookmarkStart w:id="145" w:name="_Toc106531346"/>
            <w:bookmarkStart w:id="146" w:name="_Toc107343396"/>
            <w:bookmarkStart w:id="147" w:name="_Toc107409317"/>
            <w:r>
              <w:rPr>
                <w:rFonts w:cs="Times New Roman"/>
              </w:rPr>
              <w:t>4、固体废物排放标准</w:t>
            </w:r>
            <w:bookmarkEnd w:id="142"/>
            <w:bookmarkEnd w:id="143"/>
            <w:bookmarkEnd w:id="144"/>
            <w:bookmarkEnd w:id="145"/>
            <w:bookmarkEnd w:id="146"/>
            <w:bookmarkEnd w:id="147"/>
          </w:p>
          <w:p>
            <w:pPr>
              <w:ind w:firstLine="480"/>
              <w:rPr>
                <w:rFonts w:cs="Times New Roman"/>
              </w:rPr>
            </w:pPr>
            <w:r>
              <w:rPr>
                <w:rFonts w:cs="Times New Roman"/>
              </w:rPr>
              <w:t>生活垃圾委托环卫部门处置；一般工业固体废物执行《一般工业固体废物贮存和填埋污染控制标准》（GB18599-2020）；危险废物执行《危险废物贮存污染控制标准》（GB18597-2001）及其修改单；危险废物转移执行《危险废物转移联单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5" w:hRule="atLeast"/>
        </w:trPr>
        <w:tc>
          <w:tcPr>
            <w:tcW w:w="456" w:type="dxa"/>
          </w:tcPr>
          <w:p>
            <w:pPr>
              <w:adjustRightInd w:val="0"/>
              <w:snapToGrid w:val="0"/>
              <w:spacing w:line="240" w:lineRule="auto"/>
              <w:ind w:firstLine="0" w:firstLineChars="0"/>
              <w:rPr>
                <w:rFonts w:cs="Times New Roman"/>
                <w:kern w:val="0"/>
                <w:szCs w:val="21"/>
              </w:rPr>
            </w:pPr>
            <w:r>
              <w:rPr>
                <w:rFonts w:cs="Times New Roman"/>
                <w:kern w:val="0"/>
                <w:szCs w:val="21"/>
              </w:rPr>
              <w:t>总量控制指标</w:t>
            </w:r>
          </w:p>
        </w:tc>
        <w:tc>
          <w:tcPr>
            <w:tcW w:w="8706" w:type="dxa"/>
          </w:tcPr>
          <w:p>
            <w:pPr>
              <w:ind w:firstLine="199" w:firstLineChars="83"/>
              <w:rPr>
                <w:rFonts w:cs="Times New Roman"/>
              </w:rPr>
            </w:pPr>
            <w:r>
              <w:rPr>
                <w:rFonts w:cs="Times New Roman"/>
              </w:rPr>
              <w:t>无</w:t>
            </w:r>
          </w:p>
        </w:tc>
      </w:tr>
    </w:tbl>
    <w:p>
      <w:pPr>
        <w:ind w:firstLine="480"/>
        <w:rPr>
          <w:rFonts w:cs="Times New Roman"/>
        </w:rPr>
      </w:pPr>
    </w:p>
    <w:p>
      <w:pPr>
        <w:ind w:firstLine="199" w:firstLineChars="83"/>
        <w:rPr>
          <w:rFonts w:cs="Times New Roman"/>
        </w:rPr>
        <w:sectPr>
          <w:pgSz w:w="11906" w:h="16838"/>
          <w:pgMar w:top="1440" w:right="1800" w:bottom="1440" w:left="1800" w:header="851" w:footer="992" w:gutter="0"/>
          <w:cols w:space="425" w:num="1"/>
          <w:docGrid w:type="lines" w:linePitch="312" w:charSpace="0"/>
        </w:sectPr>
      </w:pPr>
    </w:p>
    <w:p>
      <w:pPr>
        <w:pStyle w:val="2"/>
      </w:pPr>
      <w:bookmarkStart w:id="148" w:name="_Toc24984"/>
      <w:r>
        <w:t>四、</w:t>
      </w:r>
      <w:r>
        <w:rPr>
          <w:rFonts w:hint="eastAsia"/>
        </w:rPr>
        <w:t>主要环境影响和保护措施</w:t>
      </w:r>
      <w:bookmarkEnd w:id="148"/>
    </w:p>
    <w:tbl>
      <w:tblPr>
        <w:tblStyle w:val="17"/>
        <w:tblW w:w="84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1"/>
        <w:gridCol w:w="80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35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kern w:val="2"/>
                <w:sz w:val="21"/>
                <w:szCs w:val="21"/>
              </w:rPr>
            </w:pPr>
            <w:bookmarkStart w:id="149" w:name="_Hlk49796138"/>
            <w:r>
              <w:rPr>
                <w:rFonts w:ascii="Times New Roman" w:hAnsi="Times New Roman"/>
                <w:bCs/>
                <w:spacing w:val="10"/>
                <w:kern w:val="2"/>
                <w:sz w:val="21"/>
                <w:szCs w:val="21"/>
              </w:rPr>
              <w:t>施工期</w:t>
            </w:r>
            <w:bookmarkEnd w:id="149"/>
            <w:r>
              <w:rPr>
                <w:rFonts w:hint="eastAsia" w:ascii="Times New Roman" w:hAnsi="Times New Roman"/>
                <w:bCs/>
                <w:spacing w:val="10"/>
                <w:kern w:val="2"/>
                <w:sz w:val="21"/>
                <w:szCs w:val="21"/>
              </w:rPr>
              <w:t>环境保护措施</w:t>
            </w:r>
          </w:p>
        </w:tc>
        <w:tc>
          <w:tcPr>
            <w:tcW w:w="8091" w:type="dxa"/>
          </w:tcPr>
          <w:p>
            <w:pPr>
              <w:adjustRightInd w:val="0"/>
              <w:snapToGrid w:val="0"/>
              <w:ind w:firstLine="480"/>
              <w:rPr>
                <w:rFonts w:cs="Times New Roman"/>
                <w:bCs/>
                <w:szCs w:val="21"/>
              </w:rPr>
            </w:pPr>
            <w:r>
              <w:rPr>
                <w:rFonts w:hint="eastAsia" w:cs="Times New Roman"/>
                <w:bCs/>
                <w:szCs w:val="21"/>
              </w:rPr>
              <w:t>根据现场踏勘，该企业应根据本次环评要求补充建设配套的环保设施。因此，施工期主要是环保设施的安装和调试，环境影响较小。故本环评不对施工期进行环境影响评价。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02" w:hRule="atLeast"/>
          <w:jc w:val="center"/>
        </w:trPr>
        <w:tc>
          <w:tcPr>
            <w:tcW w:w="351" w:type="dxa"/>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bCs/>
                <w:spacing w:val="10"/>
                <w:kern w:val="2"/>
                <w:sz w:val="21"/>
                <w:szCs w:val="21"/>
              </w:rPr>
              <w:t>运营期环境影响</w:t>
            </w:r>
            <w:r>
              <w:rPr>
                <w:rFonts w:hint="eastAsia" w:ascii="Times New Roman" w:hAnsi="Times New Roman"/>
                <w:bCs/>
                <w:spacing w:val="10"/>
                <w:kern w:val="2"/>
                <w:sz w:val="21"/>
                <w:szCs w:val="21"/>
              </w:rPr>
              <w:t>和保护措施</w:t>
            </w:r>
          </w:p>
        </w:tc>
        <w:tc>
          <w:tcPr>
            <w:tcW w:w="8091" w:type="dxa"/>
          </w:tcPr>
          <w:p>
            <w:pPr>
              <w:pStyle w:val="4"/>
            </w:pPr>
            <w:bookmarkStart w:id="150" w:name="_Toc107343398"/>
            <w:bookmarkStart w:id="151" w:name="_Toc107343584"/>
            <w:bookmarkStart w:id="152" w:name="_Toc107415673"/>
            <w:bookmarkStart w:id="153" w:name="_Toc116339929"/>
            <w:bookmarkStart w:id="154" w:name="_Toc106531348"/>
            <w:bookmarkStart w:id="155" w:name="_Toc107409319"/>
            <w:r>
              <w:rPr>
                <w:rFonts w:cs="Times New Roman"/>
                <w:szCs w:val="21"/>
              </w:rPr>
              <w:t>1</w:t>
            </w:r>
            <w:r>
              <w:rPr>
                <w:rFonts w:hint="eastAsia" w:cs="Times New Roman"/>
                <w:szCs w:val="21"/>
              </w:rPr>
              <w:t>、</w:t>
            </w:r>
            <w:r>
              <w:t>水环境影响和保护措施</w:t>
            </w:r>
            <w:bookmarkEnd w:id="150"/>
            <w:bookmarkEnd w:id="151"/>
            <w:bookmarkEnd w:id="152"/>
            <w:bookmarkEnd w:id="153"/>
            <w:bookmarkEnd w:id="154"/>
            <w:bookmarkEnd w:id="155"/>
          </w:p>
          <w:p>
            <w:pPr>
              <w:ind w:firstLine="199" w:firstLineChars="83"/>
            </w:pPr>
            <w:r>
              <w:rPr>
                <w:rFonts w:hint="eastAsia"/>
              </w:rPr>
              <w:t>（1）废水污染物源强核算</w:t>
            </w:r>
          </w:p>
          <w:p>
            <w:pPr>
              <w:ind w:firstLine="480"/>
            </w:pPr>
            <w:r>
              <w:t>1</w:t>
            </w:r>
            <w:r>
              <w:rPr>
                <w:rFonts w:hint="eastAsia"/>
              </w:rPr>
              <w:t>）生活废水</w:t>
            </w:r>
          </w:p>
          <w:p>
            <w:pPr>
              <w:ind w:firstLine="480"/>
            </w:pPr>
            <w:r>
              <w:t>本项目员工人数为10人，均不在厂区住宿。用水参照湖南省地方标准《用水定额》（DB43/T388-2020），按照80L/人•d计算，则本项目生活用水总量为0.8m</w:t>
            </w:r>
            <w:r>
              <w:rPr>
                <w:vertAlign w:val="superscript"/>
              </w:rPr>
              <w:t>3</w:t>
            </w:r>
            <w:r>
              <w:t>/d（240m</w:t>
            </w:r>
            <w:r>
              <w:rPr>
                <w:vertAlign w:val="superscript"/>
              </w:rPr>
              <w:t>3</w:t>
            </w:r>
            <w:r>
              <w:t>/a）。排放系数为0.8，则生活污水产生量为0.64m</w:t>
            </w:r>
            <w:r>
              <w:rPr>
                <w:vertAlign w:val="superscript"/>
              </w:rPr>
              <w:t>3</w:t>
            </w:r>
            <w:r>
              <w:t>/d（192m</w:t>
            </w:r>
            <w:r>
              <w:rPr>
                <w:vertAlign w:val="superscript"/>
              </w:rPr>
              <w:t>3</w:t>
            </w:r>
            <w:r>
              <w:t>/a）。污水中主要污染因子为COD、BOD</w:t>
            </w:r>
            <w:r>
              <w:rPr>
                <w:vertAlign w:val="subscript"/>
              </w:rPr>
              <w:t>5</w:t>
            </w:r>
            <w:r>
              <w:t>、SS、NH</w:t>
            </w:r>
            <w:r>
              <w:rPr>
                <w:vertAlign w:val="subscript"/>
              </w:rPr>
              <w:t>3</w:t>
            </w:r>
            <w:r>
              <w:t>-N和动植物油，类比一般生活污水水质，即COD的浓度为250mg/L，BOD</w:t>
            </w:r>
            <w:r>
              <w:rPr>
                <w:vertAlign w:val="subscript"/>
              </w:rPr>
              <w:t>5</w:t>
            </w:r>
            <w:r>
              <w:t>的浓度为150mg/L，SS的浓度为100mg/L，NH</w:t>
            </w:r>
            <w:r>
              <w:rPr>
                <w:vertAlign w:val="subscript"/>
              </w:rPr>
              <w:t>3</w:t>
            </w:r>
            <w:r>
              <w:t>-N的浓度为25mg/L，动植物油40mg/L。</w:t>
            </w:r>
            <w:r>
              <w:rPr>
                <w:u w:val="single"/>
              </w:rPr>
              <w:t>生活污水一起进入化粪池，经化粪池处理后用作农肥</w:t>
            </w:r>
            <w:r>
              <w:rPr>
                <w:rFonts w:hint="eastAsia"/>
                <w:u w:val="single"/>
              </w:rPr>
              <w:t>，周边旱地及农田较多，可以容纳</w:t>
            </w:r>
            <w:r>
              <w:rPr>
                <w:u w:val="single"/>
              </w:rPr>
              <w:t>。</w:t>
            </w:r>
            <w:r>
              <w:t>项目生活污水产生情况详见表4-1。</w:t>
            </w:r>
          </w:p>
          <w:p>
            <w:pPr>
              <w:pStyle w:val="31"/>
            </w:pPr>
            <w:r>
              <w:t>表4-1废水类别、污染控制项目及污染防治设施一览表</w:t>
            </w:r>
          </w:p>
          <w:tbl>
            <w:tblPr>
              <w:tblStyle w:val="17"/>
              <w:tblW w:w="7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342"/>
              <w:gridCol w:w="846"/>
              <w:gridCol w:w="897"/>
              <w:gridCol w:w="846"/>
              <w:gridCol w:w="996"/>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982" w:type="dxa"/>
                  <w:gridSpan w:val="2"/>
                  <w:vAlign w:val="center"/>
                </w:tcPr>
                <w:p>
                  <w:pPr>
                    <w:pStyle w:val="37"/>
                    <w:jc w:val="center"/>
                    <w:rPr>
                      <w:u w:val="none"/>
                    </w:rPr>
                  </w:pPr>
                  <w:r>
                    <w:rPr>
                      <w:u w:val="none"/>
                    </w:rPr>
                    <w:t>项目</w:t>
                  </w:r>
                </w:p>
              </w:tc>
              <w:tc>
                <w:tcPr>
                  <w:tcW w:w="846" w:type="dxa"/>
                  <w:vAlign w:val="center"/>
                </w:tcPr>
                <w:p>
                  <w:pPr>
                    <w:pStyle w:val="37"/>
                    <w:jc w:val="center"/>
                    <w:rPr>
                      <w:u w:val="none"/>
                    </w:rPr>
                  </w:pPr>
                  <w:r>
                    <w:rPr>
                      <w:u w:val="none"/>
                    </w:rPr>
                    <w:t>COD</w:t>
                  </w:r>
                </w:p>
              </w:tc>
              <w:tc>
                <w:tcPr>
                  <w:tcW w:w="897" w:type="dxa"/>
                  <w:vAlign w:val="center"/>
                </w:tcPr>
                <w:p>
                  <w:pPr>
                    <w:pStyle w:val="37"/>
                    <w:jc w:val="center"/>
                    <w:rPr>
                      <w:u w:val="none"/>
                    </w:rPr>
                  </w:pPr>
                  <w:r>
                    <w:rPr>
                      <w:u w:val="none"/>
                    </w:rPr>
                    <w:t>BOD</w:t>
                  </w:r>
                  <w:r>
                    <w:rPr>
                      <w:u w:val="none"/>
                      <w:vertAlign w:val="subscript"/>
                    </w:rPr>
                    <w:t>5</w:t>
                  </w:r>
                </w:p>
              </w:tc>
              <w:tc>
                <w:tcPr>
                  <w:tcW w:w="846" w:type="dxa"/>
                  <w:vAlign w:val="center"/>
                </w:tcPr>
                <w:p>
                  <w:pPr>
                    <w:pStyle w:val="37"/>
                    <w:jc w:val="center"/>
                    <w:rPr>
                      <w:u w:val="none"/>
                    </w:rPr>
                  </w:pPr>
                  <w:r>
                    <w:rPr>
                      <w:u w:val="none"/>
                    </w:rPr>
                    <w:t>SS</w:t>
                  </w:r>
                </w:p>
              </w:tc>
              <w:tc>
                <w:tcPr>
                  <w:tcW w:w="996" w:type="dxa"/>
                  <w:vAlign w:val="center"/>
                </w:tcPr>
                <w:p>
                  <w:pPr>
                    <w:pStyle w:val="37"/>
                    <w:jc w:val="center"/>
                    <w:rPr>
                      <w:u w:val="none"/>
                    </w:rPr>
                  </w:pPr>
                  <w:r>
                    <w:rPr>
                      <w:u w:val="none"/>
                    </w:rPr>
                    <w:t>NH</w:t>
                  </w:r>
                  <w:r>
                    <w:rPr>
                      <w:u w:val="none"/>
                      <w:vertAlign w:val="subscript"/>
                    </w:rPr>
                    <w:t>3</w:t>
                  </w:r>
                  <w:r>
                    <w:rPr>
                      <w:u w:val="none"/>
                    </w:rPr>
                    <w:t>-N</w:t>
                  </w:r>
                </w:p>
              </w:tc>
              <w:tc>
                <w:tcPr>
                  <w:tcW w:w="1298" w:type="dxa"/>
                  <w:vAlign w:val="center"/>
                </w:tcPr>
                <w:p>
                  <w:pPr>
                    <w:pStyle w:val="37"/>
                    <w:jc w:val="center"/>
                    <w:rPr>
                      <w:u w:val="none"/>
                    </w:rPr>
                  </w:pPr>
                  <w:r>
                    <w:rPr>
                      <w:u w:val="none"/>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0" w:type="dxa"/>
                  <w:vMerge w:val="restart"/>
                  <w:vAlign w:val="center"/>
                </w:tcPr>
                <w:p>
                  <w:pPr>
                    <w:pStyle w:val="37"/>
                    <w:jc w:val="center"/>
                    <w:rPr>
                      <w:u w:val="none"/>
                    </w:rPr>
                  </w:pPr>
                  <w:r>
                    <w:rPr>
                      <w:u w:val="none"/>
                    </w:rPr>
                    <w:t>生活污水</w:t>
                  </w:r>
                </w:p>
                <w:p>
                  <w:pPr>
                    <w:pStyle w:val="37"/>
                    <w:jc w:val="center"/>
                    <w:rPr>
                      <w:u w:val="none"/>
                    </w:rPr>
                  </w:pPr>
                  <w:r>
                    <w:rPr>
                      <w:u w:val="none"/>
                    </w:rPr>
                    <w:t>（192m</w:t>
                  </w:r>
                  <w:r>
                    <w:rPr>
                      <w:u w:val="none"/>
                      <w:vertAlign w:val="superscript"/>
                    </w:rPr>
                    <w:t>3</w:t>
                  </w:r>
                  <w:r>
                    <w:rPr>
                      <w:u w:val="none"/>
                    </w:rPr>
                    <w:t>/a）</w:t>
                  </w:r>
                </w:p>
              </w:tc>
              <w:tc>
                <w:tcPr>
                  <w:tcW w:w="1342" w:type="dxa"/>
                  <w:vAlign w:val="center"/>
                </w:tcPr>
                <w:p>
                  <w:pPr>
                    <w:pStyle w:val="37"/>
                    <w:jc w:val="center"/>
                    <w:rPr>
                      <w:u w:val="none"/>
                    </w:rPr>
                  </w:pPr>
                  <w:r>
                    <w:rPr>
                      <w:u w:val="none"/>
                    </w:rPr>
                    <w:t>产生浓度</w:t>
                  </w:r>
                </w:p>
                <w:p>
                  <w:pPr>
                    <w:pStyle w:val="37"/>
                    <w:jc w:val="center"/>
                    <w:rPr>
                      <w:u w:val="none"/>
                    </w:rPr>
                  </w:pPr>
                  <w:r>
                    <w:rPr>
                      <w:u w:val="none"/>
                    </w:rPr>
                    <w:t>（mg/L）</w:t>
                  </w:r>
                </w:p>
              </w:tc>
              <w:tc>
                <w:tcPr>
                  <w:tcW w:w="846" w:type="dxa"/>
                  <w:vAlign w:val="center"/>
                </w:tcPr>
                <w:p>
                  <w:pPr>
                    <w:pStyle w:val="37"/>
                    <w:jc w:val="center"/>
                    <w:rPr>
                      <w:u w:val="none"/>
                    </w:rPr>
                  </w:pPr>
                  <w:r>
                    <w:rPr>
                      <w:u w:val="none"/>
                    </w:rPr>
                    <w:t>250</w:t>
                  </w:r>
                </w:p>
              </w:tc>
              <w:tc>
                <w:tcPr>
                  <w:tcW w:w="897" w:type="dxa"/>
                  <w:vAlign w:val="center"/>
                </w:tcPr>
                <w:p>
                  <w:pPr>
                    <w:pStyle w:val="37"/>
                    <w:jc w:val="center"/>
                    <w:rPr>
                      <w:u w:val="none"/>
                    </w:rPr>
                  </w:pPr>
                  <w:r>
                    <w:rPr>
                      <w:u w:val="none"/>
                    </w:rPr>
                    <w:t>150</w:t>
                  </w:r>
                </w:p>
              </w:tc>
              <w:tc>
                <w:tcPr>
                  <w:tcW w:w="846" w:type="dxa"/>
                  <w:vAlign w:val="center"/>
                </w:tcPr>
                <w:p>
                  <w:pPr>
                    <w:pStyle w:val="37"/>
                    <w:jc w:val="center"/>
                    <w:rPr>
                      <w:u w:val="none"/>
                    </w:rPr>
                  </w:pPr>
                  <w:r>
                    <w:rPr>
                      <w:u w:val="none"/>
                    </w:rPr>
                    <w:t>100</w:t>
                  </w:r>
                </w:p>
              </w:tc>
              <w:tc>
                <w:tcPr>
                  <w:tcW w:w="996" w:type="dxa"/>
                  <w:vAlign w:val="center"/>
                </w:tcPr>
                <w:p>
                  <w:pPr>
                    <w:pStyle w:val="37"/>
                    <w:jc w:val="center"/>
                    <w:rPr>
                      <w:u w:val="none"/>
                    </w:rPr>
                  </w:pPr>
                  <w:r>
                    <w:rPr>
                      <w:u w:val="none"/>
                    </w:rPr>
                    <w:t>25</w:t>
                  </w:r>
                </w:p>
              </w:tc>
              <w:tc>
                <w:tcPr>
                  <w:tcW w:w="1298" w:type="dxa"/>
                  <w:vAlign w:val="center"/>
                </w:tcPr>
                <w:p>
                  <w:pPr>
                    <w:pStyle w:val="37"/>
                    <w:jc w:val="center"/>
                    <w:rPr>
                      <w:u w:val="none"/>
                    </w:rPr>
                  </w:pPr>
                  <w:r>
                    <w:rPr>
                      <w:u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0" w:type="dxa"/>
                  <w:vMerge w:val="continue"/>
                  <w:vAlign w:val="center"/>
                </w:tcPr>
                <w:p>
                  <w:pPr>
                    <w:pStyle w:val="37"/>
                    <w:jc w:val="center"/>
                    <w:rPr>
                      <w:u w:val="none"/>
                    </w:rPr>
                  </w:pPr>
                </w:p>
              </w:tc>
              <w:tc>
                <w:tcPr>
                  <w:tcW w:w="1342" w:type="dxa"/>
                  <w:vAlign w:val="center"/>
                </w:tcPr>
                <w:p>
                  <w:pPr>
                    <w:pStyle w:val="37"/>
                    <w:jc w:val="center"/>
                    <w:rPr>
                      <w:u w:val="none"/>
                    </w:rPr>
                  </w:pPr>
                  <w:r>
                    <w:rPr>
                      <w:u w:val="none"/>
                    </w:rPr>
                    <w:t>产生量</w:t>
                  </w:r>
                </w:p>
                <w:p>
                  <w:pPr>
                    <w:pStyle w:val="37"/>
                    <w:jc w:val="center"/>
                    <w:rPr>
                      <w:u w:val="none"/>
                    </w:rPr>
                  </w:pPr>
                  <w:r>
                    <w:rPr>
                      <w:u w:val="none"/>
                    </w:rPr>
                    <w:t>（t/a）</w:t>
                  </w:r>
                </w:p>
              </w:tc>
              <w:tc>
                <w:tcPr>
                  <w:tcW w:w="846" w:type="dxa"/>
                  <w:vAlign w:val="center"/>
                </w:tcPr>
                <w:p>
                  <w:pPr>
                    <w:pStyle w:val="37"/>
                    <w:jc w:val="center"/>
                    <w:rPr>
                      <w:u w:val="none"/>
                    </w:rPr>
                  </w:pPr>
                  <w:r>
                    <w:rPr>
                      <w:u w:val="none"/>
                    </w:rPr>
                    <w:t>0.048</w:t>
                  </w:r>
                </w:p>
              </w:tc>
              <w:tc>
                <w:tcPr>
                  <w:tcW w:w="897" w:type="dxa"/>
                  <w:vAlign w:val="center"/>
                </w:tcPr>
                <w:p>
                  <w:pPr>
                    <w:pStyle w:val="37"/>
                    <w:jc w:val="center"/>
                    <w:rPr>
                      <w:u w:val="none"/>
                    </w:rPr>
                  </w:pPr>
                  <w:r>
                    <w:rPr>
                      <w:rFonts w:hint="eastAsia"/>
                      <w:u w:val="none"/>
                    </w:rPr>
                    <w:t>0</w:t>
                  </w:r>
                  <w:r>
                    <w:rPr>
                      <w:u w:val="none"/>
                    </w:rPr>
                    <w:t>.029</w:t>
                  </w:r>
                </w:p>
              </w:tc>
              <w:tc>
                <w:tcPr>
                  <w:tcW w:w="846" w:type="dxa"/>
                  <w:vAlign w:val="center"/>
                </w:tcPr>
                <w:p>
                  <w:pPr>
                    <w:pStyle w:val="37"/>
                    <w:jc w:val="center"/>
                    <w:rPr>
                      <w:u w:val="none"/>
                    </w:rPr>
                  </w:pPr>
                  <w:r>
                    <w:rPr>
                      <w:rFonts w:hint="eastAsia"/>
                      <w:u w:val="none"/>
                    </w:rPr>
                    <w:t>0</w:t>
                  </w:r>
                  <w:r>
                    <w:rPr>
                      <w:u w:val="none"/>
                    </w:rPr>
                    <w:t>.019</w:t>
                  </w:r>
                </w:p>
              </w:tc>
              <w:tc>
                <w:tcPr>
                  <w:tcW w:w="996" w:type="dxa"/>
                  <w:vAlign w:val="center"/>
                </w:tcPr>
                <w:p>
                  <w:pPr>
                    <w:pStyle w:val="37"/>
                    <w:jc w:val="center"/>
                    <w:rPr>
                      <w:u w:val="none"/>
                    </w:rPr>
                  </w:pPr>
                  <w:r>
                    <w:rPr>
                      <w:u w:val="none"/>
                    </w:rPr>
                    <w:t>0.005</w:t>
                  </w:r>
                </w:p>
              </w:tc>
              <w:tc>
                <w:tcPr>
                  <w:tcW w:w="1298" w:type="dxa"/>
                  <w:vAlign w:val="center"/>
                </w:tcPr>
                <w:p>
                  <w:pPr>
                    <w:pStyle w:val="37"/>
                    <w:jc w:val="center"/>
                    <w:rPr>
                      <w:u w:val="none"/>
                    </w:rPr>
                  </w:pPr>
                  <w:r>
                    <w:rPr>
                      <w:rFonts w:hint="eastAsia"/>
                      <w:u w:val="none"/>
                    </w:rPr>
                    <w:t>0</w:t>
                  </w:r>
                  <w:r>
                    <w:rPr>
                      <w:u w:val="none"/>
                    </w:rPr>
                    <w:t>.008</w:t>
                  </w:r>
                </w:p>
              </w:tc>
            </w:tr>
          </w:tbl>
          <w:p>
            <w:pPr>
              <w:ind w:firstLine="480"/>
            </w:pPr>
            <w:r>
              <w:rPr>
                <w:rFonts w:hint="eastAsia"/>
              </w:rPr>
              <w:t>2）湿法除尘废水</w:t>
            </w:r>
          </w:p>
          <w:p>
            <w:pPr>
              <w:ind w:firstLine="480"/>
            </w:pPr>
            <w:r>
              <w:rPr>
                <w:rFonts w:hint="eastAsia"/>
              </w:rPr>
              <w:t>项目湿法除尘废水产生量约为</w:t>
            </w:r>
            <w:r>
              <w:t>51.2</w:t>
            </w:r>
            <w:r>
              <w:rPr>
                <w:rFonts w:hint="eastAsia"/>
              </w:rPr>
              <w:t>m</w:t>
            </w:r>
            <w:r>
              <w:rPr>
                <w:vertAlign w:val="superscript"/>
              </w:rPr>
              <w:t>3</w:t>
            </w:r>
            <w:r>
              <w:t>/d</w:t>
            </w:r>
            <w:r>
              <w:rPr>
                <w:rFonts w:hint="eastAsia"/>
              </w:rPr>
              <w:t>，废水中主要污染物为悬浮物，</w:t>
            </w:r>
            <w:r>
              <w:t>悬浮物浓度约为500~1000mg/L，采用沉淀池处理后循环使用。</w:t>
            </w:r>
          </w:p>
          <w:p>
            <w:pPr>
              <w:ind w:firstLine="480"/>
            </w:pPr>
            <w:r>
              <w:rPr>
                <w:rFonts w:hint="eastAsia"/>
              </w:rPr>
              <w:t>沉淀池设计停留时间为2</w:t>
            </w:r>
            <w:r>
              <w:t>4</w:t>
            </w:r>
            <w:r>
              <w:rPr>
                <w:rFonts w:hint="eastAsia"/>
              </w:rPr>
              <w:t>h，2</w:t>
            </w:r>
            <w:r>
              <w:t>4</w:t>
            </w:r>
            <w:r>
              <w:rPr>
                <w:rFonts w:hint="eastAsia"/>
              </w:rPr>
              <w:t>h废水量约为</w:t>
            </w:r>
            <w:r>
              <w:t>51.2</w:t>
            </w:r>
            <w:r>
              <w:rPr>
                <w:rFonts w:hint="eastAsia"/>
              </w:rPr>
              <w:t>m</w:t>
            </w:r>
            <w:r>
              <w:rPr>
                <w:vertAlign w:val="superscript"/>
              </w:rPr>
              <w:t>3</w:t>
            </w:r>
            <w:r>
              <w:rPr>
                <w:rFonts w:hint="eastAsia"/>
              </w:rPr>
              <w:t>，项目拟设置</w:t>
            </w:r>
            <w:bookmarkStart w:id="156" w:name="_Hlk106661508"/>
            <w:r>
              <w:t>60</w:t>
            </w:r>
            <w:r>
              <w:rPr>
                <w:rFonts w:hint="eastAsia"/>
              </w:rPr>
              <w:t>m</w:t>
            </w:r>
            <w:r>
              <w:rPr>
                <w:vertAlign w:val="superscript"/>
              </w:rPr>
              <w:t>3</w:t>
            </w:r>
            <w:r>
              <w:rPr>
                <w:rFonts w:hint="eastAsia"/>
              </w:rPr>
              <w:t>沉淀池</w:t>
            </w:r>
            <w:bookmarkEnd w:id="156"/>
            <w:r>
              <w:rPr>
                <w:rFonts w:hint="eastAsia"/>
              </w:rPr>
              <w:t>，能够满足</w:t>
            </w:r>
            <w:r>
              <w:t>废水</w:t>
            </w:r>
            <w:r>
              <w:rPr>
                <w:rFonts w:hint="eastAsia"/>
              </w:rPr>
              <w:t>处理需求。</w:t>
            </w:r>
          </w:p>
          <w:p>
            <w:pPr>
              <w:ind w:firstLine="480"/>
            </w:pPr>
            <w:r>
              <w:rPr>
                <w:rFonts w:hint="eastAsia"/>
              </w:rPr>
              <w:t>3）车辆清洗废水</w:t>
            </w:r>
          </w:p>
          <w:p>
            <w:pPr>
              <w:ind w:firstLine="480"/>
              <w:rPr>
                <w:u w:val="single"/>
              </w:rPr>
            </w:pPr>
            <w:r>
              <w:rPr>
                <w:u w:val="single"/>
              </w:rPr>
              <w:t>项目</w:t>
            </w:r>
            <w:r>
              <w:rPr>
                <w:rFonts w:hint="eastAsia"/>
                <w:u w:val="single"/>
              </w:rPr>
              <w:t>厂</w:t>
            </w:r>
            <w:r>
              <w:rPr>
                <w:u w:val="single"/>
              </w:rPr>
              <w:t>区出入口设置车辆冲洗装置，</w:t>
            </w:r>
            <w:r>
              <w:rPr>
                <w:rFonts w:hint="eastAsia"/>
                <w:u w:val="single"/>
              </w:rPr>
              <w:t>对进出厂区运输车辆清洗轮胎，</w:t>
            </w:r>
            <w:r>
              <w:rPr>
                <w:u w:val="single"/>
              </w:rPr>
              <w:t>根据项目水平衡计算，车辆冲洗废水量约为0.22m</w:t>
            </w:r>
            <w:r>
              <w:rPr>
                <w:u w:val="single"/>
                <w:vertAlign w:val="superscript"/>
              </w:rPr>
              <w:t>3</w:t>
            </w:r>
            <w:r>
              <w:rPr>
                <w:u w:val="single"/>
              </w:rPr>
              <w:t>/d，车辆冲洗废水中主要污染物为悬浮物，根据同类型项目进行估算，悬浮物浓度约为500~1000mg/L，采用沉淀池处理后循环使用。</w:t>
            </w:r>
          </w:p>
          <w:p>
            <w:pPr>
              <w:ind w:firstLine="480"/>
              <w:rPr>
                <w:u w:val="single"/>
              </w:rPr>
            </w:pPr>
            <w:r>
              <w:rPr>
                <w:u w:val="single"/>
              </w:rPr>
              <w:t>项目车辆冲洗废水沉淀池设计停留时间为24h，24h污水量约为0.22m</w:t>
            </w:r>
            <w:r>
              <w:rPr>
                <w:u w:val="single"/>
                <w:vertAlign w:val="superscript"/>
              </w:rPr>
              <w:t>3</w:t>
            </w:r>
            <w:r>
              <w:rPr>
                <w:u w:val="single"/>
              </w:rPr>
              <w:t>，项目</w:t>
            </w:r>
            <w:bookmarkStart w:id="157" w:name="_Hlk106661709"/>
            <w:r>
              <w:rPr>
                <w:u w:val="single"/>
              </w:rPr>
              <w:t>车辆冲洗废水沉淀池设计容积为</w:t>
            </w:r>
            <w:bookmarkStart w:id="158" w:name="_Hlk106970146"/>
            <w:r>
              <w:rPr>
                <w:u w:val="single"/>
              </w:rPr>
              <w:t>5m</w:t>
            </w:r>
            <w:r>
              <w:rPr>
                <w:u w:val="single"/>
                <w:vertAlign w:val="superscript"/>
              </w:rPr>
              <w:t>3</w:t>
            </w:r>
            <w:bookmarkEnd w:id="157"/>
            <w:bookmarkEnd w:id="158"/>
            <w:r>
              <w:rPr>
                <w:u w:val="single"/>
              </w:rPr>
              <w:t>，能够满足废水处理需求。</w:t>
            </w:r>
          </w:p>
          <w:p>
            <w:pPr>
              <w:ind w:firstLine="480"/>
            </w:pPr>
            <w:r>
              <w:rPr>
                <w:rFonts w:hint="eastAsia"/>
              </w:rPr>
              <w:t>4）初期雨水</w:t>
            </w:r>
          </w:p>
          <w:p>
            <w:pPr>
              <w:ind w:firstLine="480"/>
              <w:rPr>
                <w:color w:val="000000"/>
              </w:rPr>
            </w:pPr>
            <w:r>
              <w:rPr>
                <w:color w:val="000000"/>
              </w:rPr>
              <w:t>项目生产过程中有粉尘产生，因此在下雨天会产生含悬浮物的初期雨水。为了避免污染附近地表水体，项目建设初期雨水将初期雨水收集沉淀后回用于生产。项目初期雨水量按照以下公式计算：</w:t>
            </w:r>
          </w:p>
          <w:p>
            <w:pPr>
              <w:ind w:firstLine="480"/>
              <w:rPr>
                <w:color w:val="000000"/>
              </w:rPr>
            </w:pPr>
            <w:r>
              <w:rPr>
                <w:color w:val="000000"/>
              </w:rPr>
              <w:t>首先计算项目所处地区的暴雨强度，计算公式如下：</w:t>
            </w:r>
          </w:p>
          <w:p>
            <w:pPr>
              <w:adjustRightInd w:val="0"/>
              <w:snapToGrid w:val="0"/>
              <w:ind w:firstLine="480"/>
              <w:jc w:val="center"/>
              <w:rPr>
                <w:i/>
                <w:color w:val="000000"/>
              </w:rPr>
            </w:pPr>
            <m:oMathPara>
              <m:oMath>
                <m:r>
                  <m:rPr>
                    <m:sty m:val="p"/>
                  </m:rPr>
                  <w:rPr>
                    <w:rFonts w:ascii="Cambria Math" w:hAnsi="Cambria Math"/>
                  </w:rPr>
                  <m:t>q=</m:t>
                </m:r>
                <m:f>
                  <m:fPr>
                    <m:ctrlPr>
                      <w:rPr>
                        <w:rFonts w:ascii="Cambria Math" w:hAnsi="Cambria Math"/>
                      </w:rPr>
                    </m:ctrlPr>
                  </m:fPr>
                  <m:num>
                    <m:r>
                      <m:rPr>
                        <m:sty m:val="p"/>
                      </m:rPr>
                      <w:rPr>
                        <w:rFonts w:ascii="Cambria Math" w:hAnsi="Cambria Math"/>
                      </w:rPr>
                      <m:t>6.897+6.251lgP</m:t>
                    </m:r>
                    <m:ctrlPr>
                      <w:rPr>
                        <w:rFonts w:ascii="Cambria Math" w:hAnsi="Cambria Math"/>
                      </w:rPr>
                    </m:ctrlPr>
                  </m:num>
                  <m:den>
                    <m:sSup>
                      <m:sSupPr>
                        <m:ctrlPr>
                          <w:rPr>
                            <w:rFonts w:ascii="Cambria Math" w:hAnsi="Cambria Math"/>
                          </w:rPr>
                        </m:ctrlPr>
                      </m:sSupPr>
                      <m:e>
                        <m:r>
                          <m:rPr>
                            <m:sty m:val="p"/>
                          </m:rPr>
                          <w:rPr>
                            <w:rFonts w:ascii="Cambria Math" w:hAnsi="Cambria Math"/>
                          </w:rPr>
                          <m:t>(t+4.367)</m:t>
                        </m:r>
                        <m:ctrlPr>
                          <w:rPr>
                            <w:rFonts w:ascii="Cambria Math" w:hAnsi="Cambria Math"/>
                          </w:rPr>
                        </m:ctrlPr>
                      </m:e>
                      <m:sup>
                        <m:r>
                          <m:rPr>
                            <m:sty m:val="p"/>
                          </m:rPr>
                          <w:rPr>
                            <w:rFonts w:ascii="Cambria Math" w:hAnsi="Cambria Math"/>
                          </w:rPr>
                          <m:t>0.602</m:t>
                        </m:r>
                        <m:ctrlPr>
                          <w:rPr>
                            <w:rFonts w:ascii="Cambria Math" w:hAnsi="Cambria Math"/>
                          </w:rPr>
                        </m:ctrlPr>
                      </m:sup>
                    </m:sSup>
                    <m:ctrlPr>
                      <w:rPr>
                        <w:rFonts w:ascii="Cambria Math" w:hAnsi="Cambria Math"/>
                      </w:rPr>
                    </m:ctrlPr>
                  </m:den>
                </m:f>
              </m:oMath>
            </m:oMathPara>
          </w:p>
          <w:p>
            <w:pPr>
              <w:ind w:firstLine="480"/>
              <w:rPr>
                <w:color w:val="000000"/>
              </w:rPr>
            </w:pPr>
            <w:r>
              <w:rPr>
                <w:color w:val="000000"/>
              </w:rPr>
              <w:t>其中：q——暴雨强度（L/s·hm</w:t>
            </w:r>
            <w:r>
              <w:rPr>
                <w:color w:val="000000"/>
                <w:vertAlign w:val="superscript"/>
              </w:rPr>
              <w:t>2</w:t>
            </w:r>
            <w:r>
              <w:rPr>
                <w:color w:val="000000"/>
              </w:rPr>
              <w:t>）；</w:t>
            </w:r>
          </w:p>
          <w:p>
            <w:pPr>
              <w:ind w:firstLine="1200" w:firstLineChars="500"/>
              <w:rPr>
                <w:color w:val="000000"/>
              </w:rPr>
            </w:pPr>
            <w:r>
              <w:rPr>
                <w:color w:val="000000"/>
              </w:rPr>
              <w:t>P——重现期，重现期取1年；</w:t>
            </w:r>
          </w:p>
          <w:p>
            <w:pPr>
              <w:ind w:firstLine="480"/>
              <w:rPr>
                <w:color w:val="000000"/>
              </w:rPr>
            </w:pPr>
            <w:r>
              <w:rPr>
                <w:color w:val="000000"/>
              </w:rPr>
              <w:t>t——降雨历时，本次取15min。</w:t>
            </w:r>
          </w:p>
          <w:p>
            <w:pPr>
              <w:ind w:firstLine="480"/>
              <w:rPr>
                <w:color w:val="000000"/>
              </w:rPr>
            </w:pPr>
            <w:r>
              <w:rPr>
                <w:color w:val="000000"/>
              </w:rPr>
              <w:t>经计算，本项目所在区域暴雨强度为</w:t>
            </w:r>
            <w:r>
              <w:t>171</w:t>
            </w:r>
            <w:r>
              <w:rPr>
                <w:color w:val="000000"/>
              </w:rPr>
              <w:t>L/s·hm</w:t>
            </w:r>
            <w:r>
              <w:rPr>
                <w:color w:val="000000"/>
                <w:vertAlign w:val="superscript"/>
              </w:rPr>
              <w:t>2</w:t>
            </w:r>
            <w:r>
              <w:rPr>
                <w:color w:val="000000"/>
              </w:rPr>
              <w:t>。</w:t>
            </w:r>
          </w:p>
          <w:p>
            <w:pPr>
              <w:adjustRightInd w:val="0"/>
              <w:snapToGrid w:val="0"/>
              <w:ind w:firstLine="480"/>
              <w:rPr>
                <w:color w:val="000000"/>
              </w:rPr>
            </w:pPr>
            <w:r>
              <w:rPr>
                <w:color w:val="000000"/>
              </w:rPr>
              <w:t>根据《室外排水设计规范》（GB50014-2006）雨水设计流量计算公式：</w:t>
            </w:r>
          </w:p>
          <w:p>
            <w:pPr>
              <w:adjustRightInd w:val="0"/>
              <w:snapToGrid w:val="0"/>
              <w:ind w:firstLine="480"/>
              <w:jc w:val="center"/>
              <w:rPr>
                <w:color w:val="000000"/>
              </w:rPr>
            </w:pPr>
            <w:r>
              <w:rPr>
                <w:color w:val="000000"/>
              </w:rPr>
              <w:object>
                <v:shape id="_x0000_i1028" o:spt="75" type="#_x0000_t75" style="height:21pt;width:57.75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p>
          <w:p>
            <w:pPr>
              <w:adjustRightInd w:val="0"/>
              <w:snapToGrid w:val="0"/>
              <w:ind w:firstLine="480"/>
              <w:rPr>
                <w:color w:val="000000"/>
              </w:rPr>
            </w:pPr>
            <w:r>
              <w:rPr>
                <w:color w:val="000000"/>
              </w:rPr>
              <w:t>其中：</w:t>
            </w:r>
            <w:r>
              <w:rPr>
                <w:i/>
                <w:color w:val="000000"/>
              </w:rPr>
              <w:t>Q</w:t>
            </w:r>
            <w:r>
              <w:rPr>
                <w:i/>
                <w:color w:val="000000"/>
                <w:vertAlign w:val="subscript"/>
              </w:rPr>
              <w:t>s</w:t>
            </w:r>
            <w:r>
              <w:rPr>
                <w:i/>
                <w:color w:val="000000"/>
              </w:rPr>
              <w:t>——</w:t>
            </w:r>
            <w:r>
              <w:rPr>
                <w:color w:val="000000"/>
              </w:rPr>
              <w:t>雨水设计流量（L/s）；</w:t>
            </w:r>
          </w:p>
          <w:p>
            <w:pPr>
              <w:adjustRightInd w:val="0"/>
              <w:snapToGrid w:val="0"/>
              <w:ind w:firstLine="1200" w:firstLineChars="500"/>
              <w:rPr>
                <w:color w:val="000000"/>
              </w:rPr>
            </w:pPr>
            <w:r>
              <w:rPr>
                <w:i/>
                <w:color w:val="000000"/>
              </w:rPr>
              <w:t>q——</w:t>
            </w:r>
            <w:r>
              <w:rPr>
                <w:color w:val="000000"/>
              </w:rPr>
              <w:t>暴雨强度（L/s·hm</w:t>
            </w:r>
            <w:r>
              <w:rPr>
                <w:color w:val="000000"/>
                <w:vertAlign w:val="superscript"/>
              </w:rPr>
              <w:t>2</w:t>
            </w:r>
            <w:r>
              <w:rPr>
                <w:color w:val="000000"/>
              </w:rPr>
              <w:t>）；</w:t>
            </w:r>
          </w:p>
          <w:p>
            <w:pPr>
              <w:ind w:firstLine="1200" w:firstLineChars="500"/>
              <w:rPr>
                <w:color w:val="000000"/>
              </w:rPr>
            </w:pPr>
            <w:r>
              <w:rPr>
                <w:color w:val="000000"/>
              </w:rPr>
              <w:t>ψ——径流系数，本次取0.85（各种屋面、混凝土或沥青路面为0.85~0.95）；</w:t>
            </w:r>
          </w:p>
          <w:p>
            <w:pPr>
              <w:ind w:firstLine="1200" w:firstLineChars="500"/>
              <w:rPr>
                <w:color w:val="000000"/>
              </w:rPr>
            </w:pPr>
            <w:r>
              <w:rPr>
                <w:color w:val="000000"/>
              </w:rPr>
              <w:t>F——汇水面积，汇水面积以裸露地面计，因此本项目取</w:t>
            </w:r>
            <w:r>
              <w:t>0.8896</w:t>
            </w:r>
            <w:r>
              <w:rPr>
                <w:color w:val="000000"/>
              </w:rPr>
              <w:t>hm</w:t>
            </w:r>
            <w:r>
              <w:rPr>
                <w:color w:val="000000"/>
                <w:vertAlign w:val="superscript"/>
              </w:rPr>
              <w:t>2</w:t>
            </w:r>
            <w:r>
              <w:rPr>
                <w:color w:val="000000"/>
              </w:rPr>
              <w:t>。</w:t>
            </w:r>
          </w:p>
          <w:p>
            <w:pPr>
              <w:ind w:firstLine="480"/>
              <w:rPr>
                <w:color w:val="000000"/>
              </w:rPr>
            </w:pPr>
            <w:r>
              <w:rPr>
                <w:color w:val="000000"/>
              </w:rPr>
              <w:t>经计算，项目雨水设计流量约为129.3L/s，暴雨持续时间按照15min计算，雨水量约为</w:t>
            </w:r>
            <w:r>
              <w:t>116.37</w:t>
            </w:r>
            <w:r>
              <w:rPr>
                <w:color w:val="000000"/>
              </w:rPr>
              <w:t>m</w:t>
            </w:r>
            <w:r>
              <w:rPr>
                <w:color w:val="000000"/>
                <w:vertAlign w:val="superscript"/>
              </w:rPr>
              <w:t>3</w:t>
            </w:r>
            <w:r>
              <w:rPr>
                <w:color w:val="000000"/>
              </w:rPr>
              <w:t>/次，此为最大一次降水量。</w:t>
            </w:r>
          </w:p>
          <w:p>
            <w:pPr>
              <w:ind w:firstLine="480"/>
              <w:rPr>
                <w:color w:val="000000"/>
                <w:u w:val="single"/>
              </w:rPr>
            </w:pPr>
            <w:r>
              <w:rPr>
                <w:color w:val="000000"/>
                <w:u w:val="single"/>
              </w:rPr>
              <w:t>本项目初期雨水经厂区四周排水沟收集</w:t>
            </w:r>
            <w:r>
              <w:rPr>
                <w:rFonts w:hint="eastAsia"/>
                <w:color w:val="000000"/>
                <w:u w:val="single"/>
              </w:rPr>
              <w:t>至</w:t>
            </w:r>
            <w:bookmarkStart w:id="159" w:name="_Hlk106961234"/>
            <w:r>
              <w:rPr>
                <w:rFonts w:hint="eastAsia"/>
                <w:color w:val="000000"/>
                <w:u w:val="single"/>
              </w:rPr>
              <w:t>初期雨水池沉淀池</w:t>
            </w:r>
            <w:r>
              <w:rPr>
                <w:color w:val="000000"/>
                <w:u w:val="single"/>
              </w:rPr>
              <w:t>1</w:t>
            </w:r>
            <w:r>
              <w:rPr>
                <w:rFonts w:hint="eastAsia"/>
                <w:color w:val="000000"/>
                <w:u w:val="single"/>
              </w:rPr>
              <w:t>（总容积</w:t>
            </w:r>
            <w:r>
              <w:rPr>
                <w:color w:val="000000"/>
                <w:u w:val="single"/>
              </w:rPr>
              <w:t>50m</w:t>
            </w:r>
            <w:r>
              <w:rPr>
                <w:color w:val="000000"/>
                <w:u w:val="single"/>
                <w:vertAlign w:val="superscript"/>
              </w:rPr>
              <w:t>3</w:t>
            </w:r>
            <w:r>
              <w:rPr>
                <w:rFonts w:hint="eastAsia"/>
                <w:color w:val="000000"/>
                <w:u w:val="single"/>
              </w:rPr>
              <w:t>）及初期雨水池沉淀池2</w:t>
            </w:r>
            <w:bookmarkEnd w:id="159"/>
            <w:r>
              <w:rPr>
                <w:color w:val="000000"/>
                <w:u w:val="single"/>
              </w:rPr>
              <w:t>（</w:t>
            </w:r>
            <w:r>
              <w:rPr>
                <w:rFonts w:hint="eastAsia"/>
                <w:color w:val="000000"/>
                <w:u w:val="single"/>
              </w:rPr>
              <w:t>总容积</w:t>
            </w:r>
            <w:r>
              <w:rPr>
                <w:u w:val="single"/>
              </w:rPr>
              <w:t>90</w:t>
            </w:r>
            <w:r>
              <w:rPr>
                <w:color w:val="000000"/>
                <w:u w:val="single"/>
              </w:rPr>
              <w:t>m</w:t>
            </w:r>
            <w:r>
              <w:rPr>
                <w:color w:val="000000"/>
                <w:u w:val="single"/>
                <w:vertAlign w:val="superscript"/>
              </w:rPr>
              <w:t>3</w:t>
            </w:r>
            <w:r>
              <w:rPr>
                <w:color w:val="000000"/>
                <w:u w:val="single"/>
              </w:rPr>
              <w:t>）</w:t>
            </w:r>
            <w:r>
              <w:rPr>
                <w:rFonts w:hint="eastAsia"/>
                <w:color w:val="000000"/>
                <w:u w:val="single"/>
              </w:rPr>
              <w:t>，静置沉淀2</w:t>
            </w:r>
            <w:r>
              <w:rPr>
                <w:color w:val="000000"/>
                <w:u w:val="single"/>
              </w:rPr>
              <w:t>4</w:t>
            </w:r>
            <w:r>
              <w:rPr>
                <w:rFonts w:hint="eastAsia"/>
                <w:color w:val="000000"/>
                <w:u w:val="single"/>
              </w:rPr>
              <w:t>h后，取上清液回用于降尘洒水或车辆清洗</w:t>
            </w:r>
            <w:r>
              <w:rPr>
                <w:color w:val="000000"/>
                <w:u w:val="single"/>
              </w:rPr>
              <w:t>。</w:t>
            </w:r>
            <w:r>
              <w:rPr>
                <w:rFonts w:hint="eastAsia"/>
                <w:color w:val="000000"/>
                <w:u w:val="single"/>
              </w:rPr>
              <w:t>由于企业地势不平，雨水走向不一致，雨水走向图见附图3，经计算，厂区北侧雨水汇聚面积约为</w:t>
            </w:r>
            <w:r>
              <w:rPr>
                <w:color w:val="000000"/>
                <w:u w:val="single"/>
              </w:rPr>
              <w:t>2000</w:t>
            </w:r>
            <w:r>
              <w:rPr>
                <w:rFonts w:hint="eastAsia"/>
                <w:color w:val="000000"/>
                <w:u w:val="single"/>
              </w:rPr>
              <w:t>m</w:t>
            </w:r>
            <w:r>
              <w:rPr>
                <w:color w:val="000000"/>
                <w:u w:val="single"/>
                <w:vertAlign w:val="superscript"/>
              </w:rPr>
              <w:t>2</w:t>
            </w:r>
            <w:r>
              <w:rPr>
                <w:rFonts w:hint="eastAsia"/>
                <w:color w:val="000000"/>
                <w:u w:val="single"/>
              </w:rPr>
              <w:t>，雨水最大量约为3</w:t>
            </w:r>
            <w:r>
              <w:rPr>
                <w:color w:val="000000"/>
                <w:u w:val="single"/>
              </w:rPr>
              <w:t>0m</w:t>
            </w:r>
            <w:r>
              <w:rPr>
                <w:color w:val="000000"/>
                <w:u w:val="single"/>
                <w:vertAlign w:val="superscript"/>
              </w:rPr>
              <w:t>3</w:t>
            </w:r>
            <w:r>
              <w:rPr>
                <w:color w:val="000000"/>
                <w:u w:val="single"/>
              </w:rPr>
              <w:t>/次</w:t>
            </w:r>
            <w:r>
              <w:rPr>
                <w:rFonts w:hint="eastAsia"/>
                <w:color w:val="000000"/>
                <w:u w:val="single"/>
              </w:rPr>
              <w:t>，故初期雨水沉淀池1（总容积5</w:t>
            </w:r>
            <w:r>
              <w:rPr>
                <w:color w:val="000000"/>
                <w:u w:val="single"/>
              </w:rPr>
              <w:t>0m</w:t>
            </w:r>
            <w:r>
              <w:rPr>
                <w:color w:val="000000"/>
                <w:u w:val="single"/>
                <w:vertAlign w:val="superscript"/>
              </w:rPr>
              <w:t>3</w:t>
            </w:r>
            <w:r>
              <w:rPr>
                <w:rFonts w:hint="eastAsia"/>
                <w:color w:val="000000"/>
                <w:u w:val="single"/>
              </w:rPr>
              <w:t>）及初期雨水沉淀池2（总容积</w:t>
            </w:r>
            <w:r>
              <w:rPr>
                <w:u w:val="single"/>
              </w:rPr>
              <w:t>90</w:t>
            </w:r>
            <w:r>
              <w:rPr>
                <w:color w:val="000000"/>
                <w:u w:val="single"/>
              </w:rPr>
              <w:t>m</w:t>
            </w:r>
            <w:r>
              <w:rPr>
                <w:color w:val="000000"/>
                <w:u w:val="single"/>
                <w:vertAlign w:val="superscript"/>
              </w:rPr>
              <w:t>3</w:t>
            </w:r>
            <w:r>
              <w:rPr>
                <w:rFonts w:hint="eastAsia"/>
                <w:color w:val="000000"/>
                <w:u w:val="single"/>
              </w:rPr>
              <w:t>）足够使用。</w:t>
            </w:r>
          </w:p>
          <w:p>
            <w:pPr>
              <w:ind w:firstLine="480"/>
              <w:rPr>
                <w:color w:val="000000"/>
                <w:u w:val="single"/>
              </w:rPr>
            </w:pPr>
            <w:r>
              <w:rPr>
                <w:color w:val="000000"/>
                <w:u w:val="single"/>
              </w:rPr>
              <w:t>初期雨污水中的污染因子主要为SS，类比同类项目，初期雨水中SS的初始浓度约为1000mg/L，</w:t>
            </w:r>
            <w:r>
              <w:rPr>
                <w:rFonts w:hint="eastAsia"/>
                <w:color w:val="000000"/>
                <w:u w:val="single"/>
              </w:rPr>
              <w:t>经沉淀池沉淀后，上清液SS浓度可达到3</w:t>
            </w:r>
            <w:r>
              <w:rPr>
                <w:color w:val="000000"/>
                <w:u w:val="single"/>
              </w:rPr>
              <w:t>00</w:t>
            </w:r>
            <w:r>
              <w:rPr>
                <w:rFonts w:hint="eastAsia"/>
                <w:color w:val="000000"/>
                <w:u w:val="single"/>
              </w:rPr>
              <w:t>mg</w:t>
            </w:r>
            <w:r>
              <w:rPr>
                <w:color w:val="000000"/>
                <w:u w:val="single"/>
              </w:rPr>
              <w:t>/L</w:t>
            </w:r>
            <w:r>
              <w:rPr>
                <w:rFonts w:hint="eastAsia"/>
                <w:color w:val="000000"/>
                <w:u w:val="single"/>
              </w:rPr>
              <w:t>以下，可回用于厂区洒水降尘或车辆清洗，因此处理可行</w:t>
            </w:r>
            <w:r>
              <w:rPr>
                <w:color w:val="000000"/>
                <w:u w:val="single"/>
              </w:rPr>
              <w:t>。</w:t>
            </w:r>
          </w:p>
          <w:p>
            <w:pPr>
              <w:ind w:firstLine="199" w:firstLineChars="83"/>
            </w:pPr>
            <w:r>
              <w:rPr>
                <w:rFonts w:hint="eastAsia"/>
              </w:rPr>
              <w:t>（2）废水处理措施可行性分析</w:t>
            </w:r>
          </w:p>
          <w:p>
            <w:pPr>
              <w:ind w:firstLine="480"/>
            </w:pPr>
            <w:r>
              <w:rPr>
                <w:rFonts w:hint="eastAsia"/>
              </w:rPr>
              <w:t>1）生活污水处理措施可行性分析</w:t>
            </w:r>
          </w:p>
          <w:p>
            <w:pPr>
              <w:ind w:firstLine="480"/>
              <w:rPr>
                <w:u w:val="single"/>
              </w:rPr>
            </w:pPr>
            <w:r>
              <w:rPr>
                <w:rFonts w:hint="eastAsia"/>
                <w:u w:val="single"/>
              </w:rPr>
              <w:t>a、化粪池处理生活污水的可行性</w:t>
            </w:r>
          </w:p>
          <w:p>
            <w:pPr>
              <w:ind w:firstLine="480"/>
              <w:rPr>
                <w:u w:val="single"/>
              </w:rPr>
            </w:pPr>
            <w:r>
              <w:rPr>
                <w:rFonts w:hint="eastAsia"/>
                <w:u w:val="single"/>
              </w:rPr>
              <w:t>生活污水中污染物主要为C</w:t>
            </w:r>
            <w:r>
              <w:rPr>
                <w:u w:val="single"/>
              </w:rPr>
              <w:t>OD</w:t>
            </w:r>
            <w:r>
              <w:rPr>
                <w:rFonts w:hint="eastAsia"/>
                <w:u w:val="single"/>
              </w:rPr>
              <w:t>和氨氮，且浓度较低，约为C</w:t>
            </w:r>
            <w:r>
              <w:rPr>
                <w:u w:val="single"/>
              </w:rPr>
              <w:t>OD250</w:t>
            </w:r>
            <w:r>
              <w:rPr>
                <w:rFonts w:hint="eastAsia"/>
                <w:u w:val="single"/>
              </w:rPr>
              <w:t>mg/L，氨氮</w:t>
            </w:r>
            <w:r>
              <w:rPr>
                <w:u w:val="single"/>
              </w:rPr>
              <w:t>25</w:t>
            </w:r>
            <w:r>
              <w:rPr>
                <w:rFonts w:hint="eastAsia"/>
                <w:u w:val="single"/>
              </w:rPr>
              <w:t>mg/L。化粪池对C</w:t>
            </w:r>
            <w:r>
              <w:rPr>
                <w:u w:val="single"/>
              </w:rPr>
              <w:t>OD</w:t>
            </w:r>
            <w:r>
              <w:rPr>
                <w:rFonts w:hint="eastAsia"/>
                <w:u w:val="single"/>
              </w:rPr>
              <w:t>有一定的去除效率，化粪池处理后C</w:t>
            </w:r>
            <w:r>
              <w:rPr>
                <w:u w:val="single"/>
              </w:rPr>
              <w:t>OD</w:t>
            </w:r>
            <w:r>
              <w:rPr>
                <w:rFonts w:hint="eastAsia"/>
                <w:u w:val="single"/>
              </w:rPr>
              <w:t>出水浓度约为</w:t>
            </w:r>
            <w:r>
              <w:rPr>
                <w:u w:val="single"/>
              </w:rPr>
              <w:t>150</w:t>
            </w:r>
            <w:r>
              <w:rPr>
                <w:rFonts w:hint="eastAsia"/>
                <w:u w:val="single"/>
              </w:rPr>
              <w:t>mg/L。项目化粪池容量为</w:t>
            </w:r>
            <w:r>
              <w:rPr>
                <w:u w:val="single"/>
              </w:rPr>
              <w:t>30</w:t>
            </w:r>
            <w:r>
              <w:rPr>
                <w:rFonts w:hint="eastAsia"/>
                <w:u w:val="single"/>
              </w:rPr>
              <w:t>m</w:t>
            </w:r>
            <w:r>
              <w:rPr>
                <w:u w:val="single"/>
                <w:vertAlign w:val="superscript"/>
              </w:rPr>
              <w:t>3</w:t>
            </w:r>
            <w:r>
              <w:rPr>
                <w:rFonts w:hint="eastAsia"/>
                <w:u w:val="single"/>
              </w:rPr>
              <w:t>，为三级化粪池，每级容量为</w:t>
            </w:r>
            <w:r>
              <w:rPr>
                <w:u w:val="single"/>
              </w:rPr>
              <w:t>10</w:t>
            </w:r>
            <w:r>
              <w:rPr>
                <w:rFonts w:hint="eastAsia"/>
                <w:u w:val="single"/>
              </w:rPr>
              <w:t>m</w:t>
            </w:r>
            <w:r>
              <w:rPr>
                <w:u w:val="single"/>
                <w:vertAlign w:val="superscript"/>
              </w:rPr>
              <w:t>3</w:t>
            </w:r>
            <w:r>
              <w:rPr>
                <w:rFonts w:hint="eastAsia"/>
                <w:u w:val="single"/>
              </w:rPr>
              <w:t>，停留时间约为</w:t>
            </w:r>
            <w:r>
              <w:rPr>
                <w:u w:val="single"/>
              </w:rPr>
              <w:t>10</w:t>
            </w:r>
            <w:r>
              <w:rPr>
                <w:rFonts w:hint="eastAsia"/>
                <w:u w:val="single"/>
              </w:rPr>
              <w:t>天，项目生活污水产生量约为</w:t>
            </w:r>
            <w:r>
              <w:rPr>
                <w:u w:val="single"/>
              </w:rPr>
              <w:t>0.64m</w:t>
            </w:r>
            <w:r>
              <w:rPr>
                <w:u w:val="single"/>
                <w:vertAlign w:val="superscript"/>
              </w:rPr>
              <w:t>3</w:t>
            </w:r>
            <w:r>
              <w:rPr>
                <w:u w:val="single"/>
              </w:rPr>
              <w:t>/d</w:t>
            </w:r>
            <w:r>
              <w:rPr>
                <w:rFonts w:hint="eastAsia"/>
                <w:u w:val="single"/>
              </w:rPr>
              <w:t>，</w:t>
            </w:r>
            <w:r>
              <w:rPr>
                <w:u w:val="single"/>
              </w:rPr>
              <w:t>192m</w:t>
            </w:r>
            <w:r>
              <w:rPr>
                <w:u w:val="single"/>
                <w:vertAlign w:val="superscript"/>
              </w:rPr>
              <w:t>3</w:t>
            </w:r>
            <w:r>
              <w:rPr>
                <w:u w:val="single"/>
              </w:rPr>
              <w:t>/a</w:t>
            </w:r>
            <w:r>
              <w:rPr>
                <w:rFonts w:hint="eastAsia"/>
                <w:u w:val="single"/>
              </w:rPr>
              <w:t>，化粪池容量足够容纳项目生活污水。因此项目采用化粪池处理生活污水可行。</w:t>
            </w:r>
          </w:p>
          <w:p>
            <w:pPr>
              <w:ind w:firstLine="480"/>
              <w:rPr>
                <w:u w:val="single"/>
              </w:rPr>
            </w:pPr>
            <w:r>
              <w:rPr>
                <w:rFonts w:hint="eastAsia"/>
                <w:u w:val="single"/>
              </w:rPr>
              <w:t>b、项目周边农田灌溉可行性分析</w:t>
            </w:r>
          </w:p>
          <w:p>
            <w:pPr>
              <w:ind w:firstLine="480"/>
              <w:rPr>
                <w:u w:val="single"/>
              </w:rPr>
            </w:pPr>
            <w:r>
              <w:rPr>
                <w:rFonts w:hint="eastAsia"/>
                <w:u w:val="single"/>
              </w:rPr>
              <w:t>项目周边2km内农田广袤，经调查，可供灌溉的农田面积约为</w:t>
            </w:r>
            <w:r>
              <w:rPr>
                <w:u w:val="single"/>
              </w:rPr>
              <w:t>50</w:t>
            </w:r>
            <w:r>
              <w:rPr>
                <w:rFonts w:hint="eastAsia"/>
                <w:u w:val="single"/>
              </w:rPr>
              <w:t>亩，主要种植模式为稻油轮作，根据《湖南省用水定额》（D</w:t>
            </w:r>
            <w:r>
              <w:rPr>
                <w:u w:val="single"/>
              </w:rPr>
              <w:t>B43/T338-2020</w:t>
            </w:r>
            <w:r>
              <w:rPr>
                <w:rFonts w:hint="eastAsia"/>
                <w:u w:val="single"/>
              </w:rPr>
              <w:t>）中农业用水定额（攸县属于</w:t>
            </w:r>
            <w:r>
              <w:rPr>
                <w:rFonts w:hint="eastAsia" w:ascii="宋体" w:hAnsi="宋体"/>
                <w:u w:val="single"/>
              </w:rPr>
              <w:t>Ⅳ类区</w:t>
            </w:r>
            <w:r>
              <w:rPr>
                <w:rFonts w:hint="eastAsia"/>
                <w:u w:val="single"/>
              </w:rPr>
              <w:t>），早稻用水定额为</w:t>
            </w:r>
            <w:r>
              <w:rPr>
                <w:u w:val="single"/>
              </w:rPr>
              <w:t>122</w:t>
            </w:r>
            <w:r>
              <w:rPr>
                <w:rFonts w:hint="eastAsia"/>
                <w:u w:val="single"/>
              </w:rPr>
              <w:t>m</w:t>
            </w:r>
            <w:r>
              <w:rPr>
                <w:u w:val="single"/>
                <w:vertAlign w:val="superscript"/>
              </w:rPr>
              <w:t>3</w:t>
            </w:r>
            <w:r>
              <w:rPr>
                <w:rFonts w:hint="eastAsia"/>
                <w:u w:val="single"/>
              </w:rPr>
              <w:t>/亩</w:t>
            </w:r>
            <w:r>
              <w:rPr>
                <w:rFonts w:hint="eastAsia" w:ascii="宋体" w:hAnsi="宋体"/>
                <w:u w:val="single"/>
              </w:rPr>
              <w:t>﹒</w:t>
            </w:r>
            <w:r>
              <w:rPr>
                <w:rFonts w:hint="eastAsia"/>
                <w:u w:val="single"/>
              </w:rPr>
              <w:t>a，油菜用水定额为</w:t>
            </w:r>
            <w:r>
              <w:rPr>
                <w:u w:val="single"/>
              </w:rPr>
              <w:t>66</w:t>
            </w:r>
            <w:r>
              <w:rPr>
                <w:rFonts w:hint="eastAsia"/>
                <w:u w:val="single"/>
              </w:rPr>
              <w:t>m</w:t>
            </w:r>
            <w:r>
              <w:rPr>
                <w:u w:val="single"/>
                <w:vertAlign w:val="superscript"/>
              </w:rPr>
              <w:t>3</w:t>
            </w:r>
            <w:r>
              <w:rPr>
                <w:rFonts w:hint="eastAsia"/>
                <w:u w:val="single"/>
              </w:rPr>
              <w:t>/亩</w:t>
            </w:r>
            <w:r>
              <w:rPr>
                <w:rFonts w:hint="eastAsia" w:ascii="宋体" w:hAnsi="宋体"/>
                <w:u w:val="single"/>
              </w:rPr>
              <w:t>﹒</w:t>
            </w:r>
            <w:r>
              <w:rPr>
                <w:rFonts w:hint="eastAsia"/>
                <w:u w:val="single"/>
              </w:rPr>
              <w:t>a，则灌溉渠用水为1</w:t>
            </w:r>
            <w:r>
              <w:rPr>
                <w:u w:val="single"/>
              </w:rPr>
              <w:t>88</w:t>
            </w:r>
            <w:r>
              <w:rPr>
                <w:rFonts w:hint="eastAsia"/>
                <w:u w:val="single"/>
              </w:rPr>
              <w:t>m</w:t>
            </w:r>
            <w:r>
              <w:rPr>
                <w:u w:val="single"/>
                <w:vertAlign w:val="superscript"/>
              </w:rPr>
              <w:t>3</w:t>
            </w:r>
            <w:r>
              <w:rPr>
                <w:rFonts w:hint="eastAsia"/>
                <w:u w:val="single"/>
              </w:rPr>
              <w:t>/亩</w:t>
            </w:r>
            <w:r>
              <w:rPr>
                <w:rFonts w:hint="eastAsia" w:ascii="宋体" w:hAnsi="宋体"/>
                <w:u w:val="single"/>
              </w:rPr>
              <w:t>﹒</w:t>
            </w:r>
            <w:r>
              <w:rPr>
                <w:rFonts w:hint="eastAsia"/>
                <w:u w:val="single"/>
              </w:rPr>
              <w:t>a（以灌溉保证率5</w:t>
            </w:r>
            <w:r>
              <w:rPr>
                <w:u w:val="single"/>
              </w:rPr>
              <w:t>0%</w:t>
            </w:r>
            <w:r>
              <w:rPr>
                <w:rFonts w:hint="eastAsia"/>
                <w:u w:val="single"/>
              </w:rPr>
              <w:t>计），则5</w:t>
            </w:r>
            <w:r>
              <w:rPr>
                <w:u w:val="single"/>
              </w:rPr>
              <w:t>0</w:t>
            </w:r>
            <w:r>
              <w:rPr>
                <w:rFonts w:hint="eastAsia"/>
                <w:u w:val="single"/>
              </w:rPr>
              <w:t>亩农田灌溉需水量为</w:t>
            </w:r>
            <w:r>
              <w:rPr>
                <w:u w:val="single"/>
              </w:rPr>
              <w:t>9400</w:t>
            </w:r>
            <w:r>
              <w:rPr>
                <w:rFonts w:hint="eastAsia"/>
                <w:u w:val="single"/>
              </w:rPr>
              <w:t>m</w:t>
            </w:r>
            <w:r>
              <w:rPr>
                <w:u w:val="single"/>
                <w:vertAlign w:val="superscript"/>
              </w:rPr>
              <w:t>3</w:t>
            </w:r>
            <w:r>
              <w:rPr>
                <w:rFonts w:hint="eastAsia"/>
                <w:u w:val="single"/>
              </w:rPr>
              <w:t>/a，足以消纳项目生活污水1</w:t>
            </w:r>
            <w:r>
              <w:rPr>
                <w:u w:val="single"/>
              </w:rPr>
              <w:t>92m</w:t>
            </w:r>
            <w:r>
              <w:rPr>
                <w:u w:val="single"/>
                <w:vertAlign w:val="superscript"/>
              </w:rPr>
              <w:t>3</w:t>
            </w:r>
            <w:r>
              <w:rPr>
                <w:u w:val="single"/>
              </w:rPr>
              <w:t>/a</w:t>
            </w:r>
            <w:r>
              <w:rPr>
                <w:rFonts w:hint="eastAsia"/>
                <w:u w:val="single"/>
              </w:rPr>
              <w:t>（仅占灌溉需求量的</w:t>
            </w:r>
            <w:r>
              <w:rPr>
                <w:u w:val="single"/>
              </w:rPr>
              <w:t>2%</w:t>
            </w:r>
            <w:r>
              <w:rPr>
                <w:rFonts w:hint="eastAsia"/>
                <w:u w:val="single"/>
              </w:rPr>
              <w:t>）。当地灌溉用水主要来自于周边水渠来水，本项目处理后的生活污水可依托周边灌溉水渠灌溉周边农田。</w:t>
            </w:r>
          </w:p>
          <w:p>
            <w:pPr>
              <w:ind w:firstLine="480"/>
              <w:rPr>
                <w:u w:val="single"/>
              </w:rPr>
            </w:pPr>
            <w:r>
              <w:rPr>
                <w:rFonts w:hint="eastAsia"/>
                <w:u w:val="single"/>
              </w:rPr>
              <w:t>项目排水水质C</w:t>
            </w:r>
            <w:r>
              <w:rPr>
                <w:u w:val="single"/>
              </w:rPr>
              <w:t>OD</w:t>
            </w:r>
            <w:r>
              <w:rPr>
                <w:rFonts w:hint="eastAsia"/>
                <w:u w:val="single"/>
              </w:rPr>
              <w:t>浓度为1</w:t>
            </w:r>
            <w:r>
              <w:rPr>
                <w:u w:val="single"/>
              </w:rPr>
              <w:t>50</w:t>
            </w:r>
            <w:r>
              <w:rPr>
                <w:rFonts w:hint="eastAsia"/>
                <w:u w:val="single"/>
              </w:rPr>
              <w:t>mg</w:t>
            </w:r>
            <w:r>
              <w:rPr>
                <w:u w:val="single"/>
              </w:rPr>
              <w:t>/L</w:t>
            </w:r>
            <w:r>
              <w:rPr>
                <w:rFonts w:hint="eastAsia"/>
                <w:u w:val="single"/>
              </w:rPr>
              <w:t>，能够满足《农田灌溉水质标准》（G</w:t>
            </w:r>
            <w:r>
              <w:rPr>
                <w:u w:val="single"/>
              </w:rPr>
              <w:t>B5084-2021</w:t>
            </w:r>
            <w:r>
              <w:rPr>
                <w:rFonts w:hint="eastAsia"/>
                <w:u w:val="single"/>
              </w:rPr>
              <w:t>）中水作标准（C</w:t>
            </w:r>
            <w:r>
              <w:rPr>
                <w:u w:val="single"/>
              </w:rPr>
              <w:t>OD</w:t>
            </w:r>
            <w:r>
              <w:rPr>
                <w:rFonts w:hint="eastAsia"/>
                <w:u w:val="single"/>
              </w:rPr>
              <w:t>：1</w:t>
            </w:r>
            <w:r>
              <w:rPr>
                <w:u w:val="single"/>
              </w:rPr>
              <w:t>50</w:t>
            </w:r>
            <w:r>
              <w:rPr>
                <w:rFonts w:hint="eastAsia"/>
                <w:u w:val="single"/>
              </w:rPr>
              <w:t>mg</w:t>
            </w:r>
            <w:r>
              <w:rPr>
                <w:u w:val="single"/>
              </w:rPr>
              <w:t>/L</w:t>
            </w:r>
            <w:r>
              <w:rPr>
                <w:rFonts w:hint="eastAsia"/>
                <w:u w:val="single"/>
              </w:rPr>
              <w:t>）。本项目生活废水采用罐车运输的方式（罐车采用租赁方式），运送至农田用于灌溉施肥。</w:t>
            </w:r>
          </w:p>
          <w:p>
            <w:pPr>
              <w:ind w:firstLine="480"/>
              <w:rPr>
                <w:u w:val="single"/>
              </w:rPr>
            </w:pPr>
            <w:r>
              <w:rPr>
                <w:rFonts w:hint="eastAsia"/>
                <w:u w:val="single"/>
              </w:rPr>
              <w:t>非浇灌期（雨季），处理达标废水不能用于灌溉区农作物灌溉，项目废水排放量为1</w:t>
            </w:r>
            <w:r>
              <w:rPr>
                <w:u w:val="single"/>
              </w:rPr>
              <w:t>92m</w:t>
            </w:r>
            <w:r>
              <w:rPr>
                <w:u w:val="single"/>
                <w:vertAlign w:val="superscript"/>
              </w:rPr>
              <w:t>3</w:t>
            </w:r>
            <w:r>
              <w:rPr>
                <w:u w:val="single"/>
              </w:rPr>
              <w:t>/a</w:t>
            </w:r>
            <w:r>
              <w:rPr>
                <w:rFonts w:hint="eastAsia"/>
                <w:u w:val="single"/>
              </w:rPr>
              <w:t>，</w:t>
            </w:r>
            <w:r>
              <w:rPr>
                <w:u w:val="single"/>
              </w:rPr>
              <w:t>0.64m</w:t>
            </w:r>
            <w:r>
              <w:rPr>
                <w:u w:val="single"/>
                <w:vertAlign w:val="superscript"/>
              </w:rPr>
              <w:t>3</w:t>
            </w:r>
            <w:r>
              <w:rPr>
                <w:u w:val="single"/>
              </w:rPr>
              <w:t>/d</w:t>
            </w:r>
            <w:r>
              <w:rPr>
                <w:rFonts w:hint="eastAsia"/>
                <w:u w:val="single"/>
              </w:rPr>
              <w:t>，根据攸县气候情况，以不多于3</w:t>
            </w:r>
            <w:r>
              <w:rPr>
                <w:u w:val="single"/>
              </w:rPr>
              <w:t>0</w:t>
            </w:r>
            <w:r>
              <w:rPr>
                <w:rFonts w:hint="eastAsia"/>
                <w:u w:val="single"/>
              </w:rPr>
              <w:t>天计算，最大量为1</w:t>
            </w:r>
            <w:r>
              <w:rPr>
                <w:u w:val="single"/>
              </w:rPr>
              <w:t>9.2m</w:t>
            </w:r>
            <w:r>
              <w:rPr>
                <w:u w:val="single"/>
                <w:vertAlign w:val="superscript"/>
              </w:rPr>
              <w:t>3</w:t>
            </w:r>
            <w:r>
              <w:rPr>
                <w:rFonts w:hint="eastAsia"/>
                <w:u w:val="single"/>
              </w:rPr>
              <w:t>，因此要求建设单位建设不小于2</w:t>
            </w:r>
            <w:r>
              <w:rPr>
                <w:u w:val="single"/>
              </w:rPr>
              <w:t>0m</w:t>
            </w:r>
            <w:r>
              <w:rPr>
                <w:u w:val="single"/>
                <w:vertAlign w:val="superscript"/>
              </w:rPr>
              <w:t>3</w:t>
            </w:r>
            <w:r>
              <w:rPr>
                <w:rFonts w:hint="eastAsia"/>
                <w:u w:val="single"/>
              </w:rPr>
              <w:t>污水暂存池，废灌溉季生活污水暂存于暂存池内，灌溉季循序用于农田施肥灌溉。。</w:t>
            </w:r>
          </w:p>
          <w:p>
            <w:pPr>
              <w:ind w:firstLine="480"/>
              <w:rPr>
                <w:u w:val="single"/>
              </w:rPr>
            </w:pPr>
            <w:r>
              <w:rPr>
                <w:rFonts w:hint="eastAsia"/>
                <w:u w:val="single"/>
              </w:rPr>
              <w:t>综上所述，项目污水经化粪池处理后用于周边农田灌溉可行，对周边地表水环境影响不大。</w:t>
            </w:r>
          </w:p>
          <w:p>
            <w:pPr>
              <w:ind w:firstLine="480"/>
            </w:pPr>
            <w:r>
              <w:rPr>
                <w:rFonts w:hint="eastAsia"/>
              </w:rPr>
              <w:t>2）湿法除尘废水回用可行性分析</w:t>
            </w:r>
          </w:p>
          <w:p>
            <w:pPr>
              <w:ind w:firstLine="480"/>
            </w:pPr>
            <w:r>
              <w:rPr>
                <w:rFonts w:hint="eastAsia"/>
              </w:rPr>
              <w:t>湿法除尘废水中主要污染物为悬浮物，项目建设</w:t>
            </w:r>
            <w:bookmarkStart w:id="160" w:name="_Hlk106961245"/>
            <w:r>
              <w:t>20</w:t>
            </w:r>
            <w:r>
              <w:rPr>
                <w:rFonts w:hint="eastAsia"/>
              </w:rPr>
              <w:t>m</w:t>
            </w:r>
            <w:r>
              <w:rPr>
                <w:vertAlign w:val="superscript"/>
              </w:rPr>
              <w:t>3</w:t>
            </w:r>
            <w:r>
              <w:rPr>
                <w:rFonts w:hint="eastAsia"/>
              </w:rPr>
              <w:t>的沉淀池</w:t>
            </w:r>
            <w:bookmarkEnd w:id="160"/>
            <w:r>
              <w:rPr>
                <w:rFonts w:hint="eastAsia"/>
              </w:rPr>
              <w:t>对废水进行沉淀，设计停留时间为2</w:t>
            </w:r>
            <w:r>
              <w:t>4</w:t>
            </w:r>
            <w:r>
              <w:rPr>
                <w:rFonts w:hint="eastAsia"/>
              </w:rPr>
              <w:t>h，2</w:t>
            </w:r>
            <w:r>
              <w:t>4</w:t>
            </w:r>
            <w:r>
              <w:rPr>
                <w:rFonts w:hint="eastAsia"/>
              </w:rPr>
              <w:t>h内湿法除尘废水产生量为</w:t>
            </w:r>
            <w:r>
              <w:t>12.8</w:t>
            </w:r>
            <w:r>
              <w:rPr>
                <w:rFonts w:hint="eastAsia"/>
              </w:rPr>
              <w:t>m</w:t>
            </w:r>
            <w:r>
              <w:rPr>
                <w:vertAlign w:val="superscript"/>
              </w:rPr>
              <w:t>3</w:t>
            </w:r>
            <w:r>
              <w:rPr>
                <w:rFonts w:hint="eastAsia"/>
              </w:rPr>
              <w:t>，不超过沉淀池的最大容量，且经过2</w:t>
            </w:r>
            <w:r>
              <w:t>4</w:t>
            </w:r>
            <w:r>
              <w:rPr>
                <w:rFonts w:hint="eastAsia"/>
              </w:rPr>
              <w:t>h的静置沉淀，废水中悬浮物的去除率能达到7</w:t>
            </w:r>
            <w:r>
              <w:t>0</w:t>
            </w:r>
            <w:r>
              <w:rPr>
                <w:rFonts w:hint="eastAsia"/>
              </w:rPr>
              <w:t>%以上，满足湿法除尘的用水需求。</w:t>
            </w:r>
          </w:p>
          <w:p>
            <w:pPr>
              <w:ind w:firstLine="480"/>
            </w:pPr>
            <w:r>
              <w:rPr>
                <w:rFonts w:hint="eastAsia"/>
              </w:rPr>
              <w:t>3）车辆清洗废水回用可行性分析</w:t>
            </w:r>
          </w:p>
          <w:p>
            <w:pPr>
              <w:ind w:firstLine="480"/>
            </w:pPr>
            <w:r>
              <w:rPr>
                <w:rFonts w:hint="eastAsia"/>
              </w:rPr>
              <w:t>车辆清洗废水产生量约为</w:t>
            </w:r>
            <w:r>
              <w:t>0.22</w:t>
            </w:r>
            <w:r>
              <w:rPr>
                <w:rFonts w:hint="eastAsia"/>
              </w:rPr>
              <w:t>m</w:t>
            </w:r>
            <w:r>
              <w:rPr>
                <w:vertAlign w:val="superscript"/>
              </w:rPr>
              <w:t>3</w:t>
            </w:r>
            <w:r>
              <w:t>/d</w:t>
            </w:r>
            <w:r>
              <w:rPr>
                <w:rFonts w:hint="eastAsia"/>
              </w:rPr>
              <w:t>，废水中主要污染物为悬浮物，采用沉淀后取上清液循环利用，车辆清洗对水质要求较低，静置沉淀2</w:t>
            </w:r>
            <w:r>
              <w:t>4</w:t>
            </w:r>
            <w:r>
              <w:rPr>
                <w:rFonts w:hint="eastAsia"/>
              </w:rPr>
              <w:t>h后的废水悬浮物浓度可达到3</w:t>
            </w:r>
            <w:r>
              <w:t>00</w:t>
            </w:r>
            <w:r>
              <w:rPr>
                <w:rFonts w:hint="eastAsia"/>
              </w:rPr>
              <w:t>m</w:t>
            </w:r>
            <w:r>
              <w:t>g/L</w:t>
            </w:r>
            <w:r>
              <w:rPr>
                <w:rFonts w:hint="eastAsia"/>
              </w:rPr>
              <w:t>以下，完全满足车辆清洗的水质要求。</w:t>
            </w:r>
          </w:p>
          <w:p>
            <w:pPr>
              <w:ind w:firstLine="480"/>
              <w:rPr>
                <w:u w:val="single"/>
              </w:rPr>
            </w:pPr>
            <w:r>
              <w:t>4</w:t>
            </w:r>
            <w:r>
              <w:rPr>
                <w:rFonts w:hint="eastAsia"/>
              </w:rPr>
              <w:t>）</w:t>
            </w:r>
            <w:r>
              <w:rPr>
                <w:rFonts w:hint="eastAsia"/>
                <w:u w:val="single"/>
              </w:rPr>
              <w:t>雨水收集池选址的可行性</w:t>
            </w:r>
          </w:p>
          <w:p>
            <w:pPr>
              <w:ind w:firstLine="480"/>
              <w:rPr>
                <w:u w:val="single"/>
              </w:rPr>
            </w:pPr>
            <w:r>
              <w:rPr>
                <w:rFonts w:hint="eastAsia"/>
                <w:u w:val="single"/>
              </w:rPr>
              <w:t>厂区主要地势走向为南侧高，北侧低，雨水收集池1位于项目厂区的东北侧，紧邻生产厂房，主要收集厂区生产厂房北侧的初期雨水，西北侧及北侧初期雨水均可通过雨水收集管道流至该雨水收集池，且该雨水收集池离厂房较近，便于回抽利用。雨水收集池2位于厂区南侧空地处，主要收集西南侧及南侧的初期雨水，可通过收集管道流至该雨水收集池。全厂区雨水管道均采用明沟盖板方式。具体见附图3。</w:t>
            </w:r>
          </w:p>
          <w:p>
            <w:pPr>
              <w:ind w:firstLine="480"/>
            </w:pPr>
            <w:r>
              <w:rPr>
                <w:rFonts w:hint="eastAsia"/>
              </w:rPr>
              <w:t>（3）地表水环境影响分析</w:t>
            </w:r>
          </w:p>
          <w:p>
            <w:pPr>
              <w:ind w:firstLine="480"/>
              <w:rPr>
                <w:bCs/>
                <w:color w:val="000000"/>
                <w:kern w:val="0"/>
              </w:rPr>
            </w:pPr>
            <w:r>
              <w:rPr>
                <w:color w:val="000000"/>
              </w:rPr>
              <w:t>综上所述，本项目</w:t>
            </w:r>
            <w:r>
              <w:rPr>
                <w:bCs/>
                <w:color w:val="000000"/>
                <w:kern w:val="0"/>
              </w:rPr>
              <w:t>不产生工艺废水</w:t>
            </w:r>
            <w:r>
              <w:rPr>
                <w:rFonts w:hint="eastAsia"/>
                <w:bCs/>
                <w:color w:val="000000"/>
                <w:kern w:val="0"/>
              </w:rPr>
              <w:t>；洒水降尘的水全部进入原料、产品或者蒸发，无废水外排；洗车废水经沉淀池沉淀处理后循环使用，无外排；湿法除尘废水经沉淀池处理后循环使用无外排</w:t>
            </w:r>
            <w:r>
              <w:rPr>
                <w:bCs/>
                <w:color w:val="000000"/>
                <w:kern w:val="0"/>
              </w:rPr>
              <w:t>；</w:t>
            </w:r>
            <w:r>
              <w:rPr>
                <w:rFonts w:hint="eastAsia"/>
                <w:bCs/>
                <w:color w:val="000000"/>
                <w:kern w:val="0"/>
              </w:rPr>
              <w:t>初期雨水经收集沉淀后回用于厂区降尘；</w:t>
            </w:r>
            <w:r>
              <w:rPr>
                <w:bCs/>
                <w:color w:val="000000"/>
                <w:kern w:val="0"/>
              </w:rPr>
              <w:t>生活污水经隔油池、化粪池收集处理后用作</w:t>
            </w:r>
            <w:r>
              <w:rPr>
                <w:rFonts w:hint="eastAsia"/>
                <w:bCs/>
                <w:color w:val="000000"/>
                <w:kern w:val="0"/>
              </w:rPr>
              <w:t>周边农田施肥</w:t>
            </w:r>
            <w:r>
              <w:rPr>
                <w:bCs/>
                <w:color w:val="000000"/>
                <w:kern w:val="0"/>
              </w:rPr>
              <w:t>。本项目无废水外排，对周边水环境影响较小。</w:t>
            </w:r>
          </w:p>
          <w:p>
            <w:pPr>
              <w:pStyle w:val="4"/>
            </w:pPr>
            <w:bookmarkStart w:id="161" w:name="_Toc107409320"/>
            <w:bookmarkStart w:id="162" w:name="_Toc107343399"/>
            <w:bookmarkStart w:id="163" w:name="_Toc107343585"/>
            <w:bookmarkStart w:id="164" w:name="_Toc106531349"/>
            <w:bookmarkStart w:id="165" w:name="_Toc107415674"/>
            <w:bookmarkStart w:id="166" w:name="_Toc116339930"/>
            <w:r>
              <w:rPr>
                <w:rFonts w:hint="eastAsia"/>
              </w:rPr>
              <w:t>2、</w:t>
            </w:r>
            <w:r>
              <w:t>大气环境影响和保护措施</w:t>
            </w:r>
            <w:bookmarkEnd w:id="161"/>
            <w:bookmarkEnd w:id="162"/>
            <w:bookmarkEnd w:id="163"/>
            <w:bookmarkEnd w:id="164"/>
            <w:bookmarkEnd w:id="165"/>
            <w:bookmarkEnd w:id="166"/>
          </w:p>
          <w:p>
            <w:pPr>
              <w:ind w:firstLine="480"/>
            </w:pPr>
            <w:r>
              <w:rPr>
                <w:rFonts w:hint="eastAsia"/>
              </w:rPr>
              <w:t>（1）废气污染源强核算</w:t>
            </w:r>
          </w:p>
          <w:p>
            <w:pPr>
              <w:ind w:firstLine="480"/>
            </w:pPr>
            <w:r>
              <w:rPr>
                <w:rFonts w:hint="eastAsia"/>
              </w:rPr>
              <w:t>本项目废气主要包括堆场扬尘、原料装卸粉尘、破碎筛分粉尘、蜂窝煤原料搅拌及成型粉尘、产品卸料粉尘、产品堆场粉尘等。</w:t>
            </w:r>
          </w:p>
          <w:p>
            <w:pPr>
              <w:ind w:firstLine="480"/>
            </w:pPr>
            <w:r>
              <w:rPr>
                <w:rFonts w:hint="eastAsia"/>
              </w:rPr>
              <w:t>1）堆场扬尘</w:t>
            </w:r>
          </w:p>
          <w:p>
            <w:pPr>
              <w:ind w:firstLine="480"/>
            </w:pPr>
            <w:bookmarkStart w:id="167" w:name="_Toc92049374"/>
            <w:bookmarkStart w:id="168" w:name="_Toc107415675"/>
            <w:bookmarkStart w:id="169" w:name="_Toc107343586"/>
            <w:bookmarkStart w:id="170" w:name="_Toc116339931"/>
            <w:bookmarkStart w:id="171" w:name="_Toc88774087"/>
            <w:bookmarkStart w:id="172" w:name="_Toc107409321"/>
            <w:bookmarkStart w:id="173" w:name="_Toc107343400"/>
            <w:bookmarkStart w:id="174" w:name="_Toc106531350"/>
            <w:bookmarkStart w:id="175" w:name="_Toc103201658"/>
            <w:bookmarkStart w:id="176" w:name="_Toc103201579"/>
            <w:r>
              <w:rPr>
                <w:rFonts w:hint="eastAsia"/>
              </w:rPr>
              <w:t>煤矿</w:t>
            </w:r>
            <w:r>
              <w:t>堆存过程中起尘系数与风速及物料表面湿度等因素相关联，公式描述为：</w:t>
            </w:r>
            <w:bookmarkEnd w:id="167"/>
            <w:bookmarkEnd w:id="168"/>
            <w:bookmarkEnd w:id="169"/>
            <w:bookmarkEnd w:id="170"/>
            <w:bookmarkEnd w:id="171"/>
            <w:bookmarkEnd w:id="172"/>
            <w:bookmarkEnd w:id="173"/>
            <w:bookmarkEnd w:id="174"/>
            <w:bookmarkEnd w:id="175"/>
            <w:bookmarkEnd w:id="176"/>
          </w:p>
          <w:p>
            <w:pPr>
              <w:ind w:firstLine="480"/>
            </w:pPr>
            <m:oMathPara>
              <m:oMath>
                <w:bookmarkStart w:id="177" w:name="_Toc107343587"/>
                <w:bookmarkStart w:id="178" w:name="_Toc106531351"/>
                <w:bookmarkStart w:id="179" w:name="_Toc88774088"/>
                <w:bookmarkStart w:id="180" w:name="_Toc116339932"/>
                <w:bookmarkStart w:id="181" w:name="_Toc92049375"/>
                <w:bookmarkStart w:id="182" w:name="_Toc107409322"/>
                <w:bookmarkStart w:id="183" w:name="_Toc107415676"/>
                <w:bookmarkStart w:id="184" w:name="_Toc107343401"/>
                <m:r>
                  <m:rPr>
                    <m:sty m:val="p"/>
                  </m:rPr>
                  <w:rPr>
                    <w:rFonts w:ascii="Cambria Math" w:hAnsi="Cambria Math"/>
                  </w:rPr>
                  <m:t>Q=</m:t>
                </m:r>
                <m:sSup>
                  <m:sSupPr>
                    <m:ctrlPr>
                      <w:rPr>
                        <w:rFonts w:ascii="Cambria Math" w:hAnsi="Cambria Math"/>
                      </w:rPr>
                    </m:ctrlPr>
                  </m:sSupPr>
                  <m:e>
                    <m:r>
                      <m:rPr>
                        <m:sty m:val="p"/>
                      </m:rPr>
                      <w:rPr>
                        <w:rFonts w:ascii="Cambria Math" w:hAnsi="Cambria Math"/>
                      </w:rPr>
                      <m:t>（1-A）0.5α（U-</m:t>
                    </m:r>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ctrlPr>
                      <w:rPr>
                        <w:rFonts w:ascii="Cambria Math" w:hAnsi="Cambria Math"/>
                      </w:rPr>
                    </m:ctrlPr>
                  </m:e>
                  <m:sup>
                    <m:r>
                      <m:rPr>
                        <m:sty m:val="p"/>
                      </m:rPr>
                      <w:rPr>
                        <w:rFonts w:ascii="Cambria Math" w:hAnsi="Cambria Math"/>
                      </w:rPr>
                      <m:t>3</m:t>
                    </m:r>
                    <m:ctrlPr>
                      <w:rPr>
                        <w:rFonts w:ascii="Cambria Math" w:hAnsi="Cambria Math"/>
                      </w:rPr>
                    </m:ctrlPr>
                  </m:sup>
                </m:sSup>
                <m:r>
                  <m:rPr>
                    <m:sty m:val="p"/>
                  </m:rPr>
                  <w:rPr>
                    <w:rFonts w:ascii="Cambria Math" w:hAnsi="Cambria Math"/>
                  </w:rPr>
                  <m:t>S</m:t>
                </m:r>
              </m:oMath>
            </m:oMathPara>
            <w:bookmarkEnd w:id="177"/>
            <w:bookmarkEnd w:id="178"/>
            <w:bookmarkEnd w:id="179"/>
            <w:bookmarkEnd w:id="180"/>
            <w:bookmarkEnd w:id="181"/>
            <w:bookmarkEnd w:id="182"/>
            <w:bookmarkEnd w:id="183"/>
            <w:bookmarkEnd w:id="184"/>
          </w:p>
          <w:p>
            <w:pPr>
              <w:ind w:firstLine="480"/>
            </w:pPr>
            <w:bookmarkStart w:id="185" w:name="_Toc107343402"/>
            <w:bookmarkStart w:id="186" w:name="_Toc88774089"/>
            <w:bookmarkStart w:id="187" w:name="_Toc107415677"/>
            <w:bookmarkStart w:id="188" w:name="_Toc107409323"/>
            <w:bookmarkStart w:id="189" w:name="_Toc106531352"/>
            <w:bookmarkStart w:id="190" w:name="_Toc107343588"/>
            <w:bookmarkStart w:id="191" w:name="_Toc92049376"/>
            <w:bookmarkStart w:id="192" w:name="_Toc116339933"/>
            <m:oMathPara>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=0.03·</m:t>
                </m:r>
                <m:sSup>
                  <m:sSupPr>
                    <m:ctrlPr>
                      <w:rPr>
                        <w:rFonts w:ascii="Cambria Math" w:hAnsi="Cambria Math"/>
                      </w:rPr>
                    </m:ctrlPr>
                  </m:sSupPr>
                  <m:e>
                    <m:r>
                      <m:rPr>
                        <m:sty m:val="p"/>
                      </m:rPr>
                      <w:rPr>
                        <w:rFonts w:ascii="Cambria Math" w:hAnsi="Cambria Math"/>
                      </w:rPr>
                      <m:t>e</m:t>
                    </m:r>
                    <m:ctrlPr>
                      <w:rPr>
                        <w:rFonts w:ascii="Cambria Math" w:hAnsi="Cambria Math"/>
                      </w:rPr>
                    </m:ctrlPr>
                  </m:e>
                  <m:sup>
                    <m:r>
                      <m:rPr>
                        <m:sty m:val="p"/>
                      </m:rPr>
                      <w:rPr>
                        <w:rFonts w:ascii="Cambria Math" w:hAnsi="Cambria Math"/>
                      </w:rPr>
                      <m:t>0.5w</m:t>
                    </m:r>
                    <m:ctrlPr>
                      <w:rPr>
                        <w:rFonts w:ascii="Cambria Math" w:hAnsi="Cambria Math"/>
                      </w:rPr>
                    </m:ctrlPr>
                  </m:sup>
                </m:sSup>
                <m:r>
                  <m:rPr>
                    <m:sty m:val="p"/>
                  </m:rPr>
                  <w:rPr>
                    <w:rFonts w:ascii="Cambria Math" w:hAnsi="Cambria Math"/>
                  </w:rPr>
                  <m:t>+1.2</m:t>
                </m:r>
                <w:bookmarkEnd w:id="185"/>
                <w:bookmarkEnd w:id="186"/>
                <w:bookmarkEnd w:id="187"/>
                <w:bookmarkEnd w:id="188"/>
                <w:bookmarkEnd w:id="189"/>
                <w:bookmarkEnd w:id="190"/>
                <w:bookmarkEnd w:id="191"/>
                <w:bookmarkEnd w:id="192"/>
              </m:oMath>
            </m:oMathPara>
          </w:p>
          <w:p>
            <w:pPr>
              <w:ind w:firstLine="480"/>
            </w:pPr>
            <w:bookmarkStart w:id="193" w:name="_Toc103201582"/>
            <w:bookmarkStart w:id="194" w:name="_Toc88774090"/>
            <w:bookmarkStart w:id="195" w:name="_Toc107409324"/>
            <w:bookmarkStart w:id="196" w:name="_Toc92049377"/>
            <w:bookmarkStart w:id="197" w:name="_Toc106531353"/>
            <w:bookmarkStart w:id="198" w:name="_Toc116339934"/>
            <w:bookmarkStart w:id="199" w:name="_Toc103201661"/>
            <w:bookmarkStart w:id="200" w:name="_Toc107343589"/>
            <w:bookmarkStart w:id="201" w:name="_Toc107415678"/>
            <w:bookmarkStart w:id="202" w:name="_Toc107343403"/>
            <w:r>
              <w:t>式中：</w:t>
            </w:r>
            <w:bookmarkEnd w:id="193"/>
            <w:bookmarkEnd w:id="194"/>
            <w:bookmarkEnd w:id="195"/>
            <w:bookmarkEnd w:id="196"/>
            <w:bookmarkEnd w:id="197"/>
            <w:bookmarkEnd w:id="198"/>
            <w:bookmarkEnd w:id="199"/>
            <w:bookmarkEnd w:id="200"/>
            <w:bookmarkEnd w:id="201"/>
            <w:bookmarkEnd w:id="202"/>
          </w:p>
          <w:p>
            <w:pPr>
              <w:ind w:firstLine="480"/>
            </w:pPr>
            <w:bookmarkStart w:id="203" w:name="_Toc88774091"/>
            <w:bookmarkStart w:id="204" w:name="_Toc92049378"/>
            <w:bookmarkStart w:id="205" w:name="_Toc103201583"/>
            <w:bookmarkStart w:id="206" w:name="_Toc103201662"/>
            <w:bookmarkStart w:id="207" w:name="_Toc106531354"/>
            <w:r>
              <w:t>Q——粉尘产生量，kg</w:t>
            </w:r>
            <w:r>
              <w:rPr>
                <w:rFonts w:hint="eastAsia"/>
              </w:rPr>
              <w:t>/</w:t>
            </w:r>
            <w:r>
              <w:t>h；</w:t>
            </w:r>
            <w:bookmarkEnd w:id="203"/>
            <w:bookmarkEnd w:id="204"/>
            <w:bookmarkEnd w:id="205"/>
            <w:bookmarkEnd w:id="206"/>
            <w:bookmarkEnd w:id="207"/>
          </w:p>
          <w:p>
            <w:pPr>
              <w:ind w:firstLine="480"/>
            </w:pPr>
            <w:bookmarkStart w:id="208" w:name="_Toc106531355"/>
            <w:bookmarkStart w:id="209" w:name="_Toc88774092"/>
            <w:bookmarkStart w:id="210" w:name="_Toc116339935"/>
            <w:bookmarkStart w:id="211" w:name="_Toc107343404"/>
            <w:bookmarkStart w:id="212" w:name="_Toc107409325"/>
            <w:bookmarkStart w:id="213" w:name="_Toc107415679"/>
            <w:bookmarkStart w:id="214" w:name="_Toc92049379"/>
            <w:bookmarkStart w:id="215" w:name="_Toc103201584"/>
            <w:bookmarkStart w:id="216" w:name="_Toc107343590"/>
            <w:bookmarkStart w:id="217" w:name="_Toc103201663"/>
            <w:r>
              <w:t>A——抑尘措施降尘系数，本次采用喷雾降尘，降尘系数取0.6；</w:t>
            </w:r>
            <w:bookmarkEnd w:id="208"/>
            <w:bookmarkEnd w:id="209"/>
            <w:bookmarkEnd w:id="210"/>
            <w:bookmarkEnd w:id="211"/>
            <w:bookmarkEnd w:id="212"/>
            <w:bookmarkEnd w:id="213"/>
            <w:bookmarkEnd w:id="214"/>
            <w:bookmarkEnd w:id="215"/>
            <w:bookmarkEnd w:id="216"/>
            <w:bookmarkEnd w:id="217"/>
          </w:p>
          <w:p>
            <w:pPr>
              <w:ind w:firstLine="480"/>
            </w:pPr>
            <w:bookmarkStart w:id="218" w:name="_Toc107343405"/>
            <w:bookmarkStart w:id="219" w:name="_Toc107409326"/>
            <w:bookmarkStart w:id="220" w:name="_Toc88774093"/>
            <w:bookmarkStart w:id="221" w:name="_Toc103201585"/>
            <w:bookmarkStart w:id="222" w:name="_Toc103201664"/>
            <w:bookmarkStart w:id="223" w:name="_Toc107415680"/>
            <w:bookmarkStart w:id="224" w:name="_Toc92049380"/>
            <w:bookmarkStart w:id="225" w:name="_Toc116339936"/>
            <w:bookmarkStart w:id="226" w:name="_Toc107343591"/>
            <w:bookmarkStart w:id="227" w:name="_Toc106531356"/>
            <w:r>
              <w:t>α——货物类型起尘调节系数，取0.6；</w:t>
            </w:r>
            <w:bookmarkEnd w:id="218"/>
            <w:bookmarkEnd w:id="219"/>
            <w:bookmarkEnd w:id="220"/>
            <w:bookmarkEnd w:id="221"/>
            <w:bookmarkEnd w:id="222"/>
            <w:bookmarkEnd w:id="223"/>
            <w:bookmarkEnd w:id="224"/>
            <w:bookmarkEnd w:id="225"/>
            <w:bookmarkEnd w:id="226"/>
            <w:bookmarkEnd w:id="227"/>
          </w:p>
          <w:p>
            <w:pPr>
              <w:ind w:firstLine="480"/>
            </w:pPr>
            <w:bookmarkStart w:id="228" w:name="_Toc103201586"/>
            <w:bookmarkStart w:id="229" w:name="_Toc106531357"/>
            <w:bookmarkStart w:id="230" w:name="_Toc107343592"/>
            <w:bookmarkStart w:id="231" w:name="_Toc116339937"/>
            <w:bookmarkStart w:id="232" w:name="_Toc103201665"/>
            <w:bookmarkStart w:id="233" w:name="_Toc88774094"/>
            <w:bookmarkStart w:id="234" w:name="_Toc107343406"/>
            <w:bookmarkStart w:id="235" w:name="_Toc107409327"/>
            <w:bookmarkStart w:id="236" w:name="_Toc107415681"/>
            <w:bookmarkStart w:id="237" w:name="_Toc92049381"/>
            <w:r>
              <w:t>U——风速，m/s，风速取0.5m/s；</w:t>
            </w:r>
            <w:bookmarkEnd w:id="228"/>
            <w:bookmarkEnd w:id="229"/>
            <w:bookmarkEnd w:id="230"/>
            <w:bookmarkEnd w:id="231"/>
            <w:bookmarkEnd w:id="232"/>
            <w:bookmarkEnd w:id="233"/>
            <w:bookmarkEnd w:id="234"/>
            <w:bookmarkEnd w:id="235"/>
            <w:bookmarkEnd w:id="236"/>
            <w:bookmarkEnd w:id="237"/>
          </w:p>
          <w:p>
            <w:pPr>
              <w:ind w:firstLine="480"/>
            </w:pPr>
            <w:bookmarkStart w:id="238" w:name="_Toc107409328"/>
            <w:bookmarkStart w:id="239" w:name="_Toc88774095"/>
            <w:bookmarkStart w:id="240" w:name="_Toc107343407"/>
            <w:bookmarkStart w:id="241" w:name="_Toc103201587"/>
            <w:bookmarkStart w:id="242" w:name="_Toc107415682"/>
            <w:bookmarkStart w:id="243" w:name="_Toc107343593"/>
            <w:bookmarkStart w:id="244" w:name="_Toc106531358"/>
            <w:bookmarkStart w:id="245" w:name="_Toc116339938"/>
            <w:bookmarkStart w:id="246" w:name="_Toc92049382"/>
            <w:bookmarkStart w:id="247" w:name="_Toc103201666"/>
            <w:r>
              <w:t>U0——混合粒径颗粒的启动风速；</w:t>
            </w:r>
            <w:bookmarkEnd w:id="238"/>
            <w:bookmarkEnd w:id="239"/>
            <w:bookmarkEnd w:id="240"/>
            <w:bookmarkEnd w:id="241"/>
            <w:bookmarkEnd w:id="242"/>
            <w:bookmarkEnd w:id="243"/>
            <w:bookmarkEnd w:id="244"/>
            <w:bookmarkEnd w:id="245"/>
            <w:bookmarkEnd w:id="246"/>
            <w:bookmarkEnd w:id="247"/>
          </w:p>
          <w:p>
            <w:pPr>
              <w:ind w:firstLine="480"/>
            </w:pPr>
            <w:bookmarkStart w:id="248" w:name="_Toc88774096"/>
            <w:bookmarkStart w:id="249" w:name="_Toc106531359"/>
            <w:bookmarkStart w:id="250" w:name="_Toc116339939"/>
            <w:bookmarkStart w:id="251" w:name="_Toc107415683"/>
            <w:bookmarkStart w:id="252" w:name="_Toc107343594"/>
            <w:bookmarkStart w:id="253" w:name="_Toc107343408"/>
            <w:bookmarkStart w:id="254" w:name="_Toc107409329"/>
            <w:bookmarkStart w:id="255" w:name="_Toc92049383"/>
            <w:bookmarkStart w:id="256" w:name="_Toc103201667"/>
            <w:bookmarkStart w:id="257" w:name="_Toc103201588"/>
            <w:r>
              <w:t>w——物料含水率，%，</w:t>
            </w:r>
            <w:r>
              <w:rPr>
                <w:rFonts w:hint="eastAsia"/>
              </w:rPr>
              <w:t>煤矿含</w:t>
            </w:r>
            <w:r>
              <w:t>水率</w:t>
            </w:r>
            <w:r>
              <w:rPr>
                <w:rFonts w:hint="eastAsia"/>
              </w:rPr>
              <w:t>约</w:t>
            </w:r>
            <w:r>
              <w:t>为30%；</w:t>
            </w:r>
            <w:bookmarkEnd w:id="248"/>
            <w:bookmarkEnd w:id="249"/>
            <w:bookmarkEnd w:id="250"/>
            <w:bookmarkEnd w:id="251"/>
            <w:bookmarkEnd w:id="252"/>
            <w:bookmarkEnd w:id="253"/>
            <w:bookmarkEnd w:id="254"/>
            <w:bookmarkEnd w:id="255"/>
            <w:bookmarkEnd w:id="256"/>
            <w:bookmarkEnd w:id="257"/>
          </w:p>
          <w:p>
            <w:pPr>
              <w:ind w:firstLine="480"/>
            </w:pPr>
            <w:bookmarkStart w:id="258" w:name="_Toc92049384"/>
            <w:bookmarkStart w:id="259" w:name="_Toc106531360"/>
            <w:bookmarkStart w:id="260" w:name="_Toc88774097"/>
            <w:bookmarkStart w:id="261" w:name="_Toc103201668"/>
            <w:bookmarkStart w:id="262" w:name="_Toc103201589"/>
            <w:r>
              <w:t>S——堆场表面积，m2，本次取200m2</w:t>
            </w:r>
            <w:bookmarkEnd w:id="258"/>
            <w:bookmarkEnd w:id="259"/>
            <w:bookmarkEnd w:id="260"/>
            <w:bookmarkEnd w:id="261"/>
            <w:bookmarkEnd w:id="262"/>
          </w:p>
          <w:p>
            <w:pPr>
              <w:ind w:firstLine="480"/>
            </w:pPr>
            <w:r>
              <w:t>经计算混合粒径颗粒的启动风速为0.87m/s</w:t>
            </w:r>
            <w:r>
              <w:rPr>
                <w:rFonts w:hint="eastAsia"/>
              </w:rPr>
              <w:t>，原料堆场位于室内，取静风风速0</w:t>
            </w:r>
            <w:r>
              <w:t>.5</w:t>
            </w:r>
            <w:r>
              <w:rPr>
                <w:rFonts w:hint="eastAsia"/>
              </w:rPr>
              <w:t>m/s，达不到启动风速，因此不考虑堆场扬尘。</w:t>
            </w:r>
          </w:p>
          <w:p>
            <w:pPr>
              <w:ind w:firstLine="480"/>
            </w:pPr>
            <w:r>
              <w:t>2</w:t>
            </w:r>
            <w:r>
              <w:rPr>
                <w:rFonts w:hint="eastAsia"/>
              </w:rPr>
              <w:t>）原料装卸扬尘</w:t>
            </w:r>
          </w:p>
          <w:p>
            <w:pPr>
              <w:ind w:firstLine="480"/>
            </w:pPr>
            <w:r>
              <w:rPr>
                <w:rFonts w:hint="eastAsia"/>
              </w:rPr>
              <w:t>原料装卸过程的起尘系数与物料落差、风速及物料含水率相关联，公式描述为：</w:t>
            </w:r>
          </w:p>
          <w:p>
            <w:pPr>
              <w:ind w:firstLine="480"/>
            </w:pPr>
            <w:r>
              <w:t>Q=1133.33U1.6·H1.23·e-0.28w</w:t>
            </w:r>
          </w:p>
          <w:p>
            <w:pPr>
              <w:ind w:firstLine="480"/>
            </w:pPr>
            <w:bookmarkStart w:id="263" w:name="_Toc107343409"/>
            <w:bookmarkStart w:id="264" w:name="_Toc107409330"/>
            <w:bookmarkStart w:id="265" w:name="_Toc107415684"/>
            <w:bookmarkStart w:id="266" w:name="_Toc107343595"/>
            <w:bookmarkStart w:id="267" w:name="_Toc116339940"/>
            <w:r>
              <w:t>式中：</w:t>
            </w:r>
            <w:bookmarkEnd w:id="263"/>
            <w:bookmarkEnd w:id="264"/>
            <w:bookmarkEnd w:id="265"/>
            <w:bookmarkEnd w:id="266"/>
            <w:bookmarkEnd w:id="267"/>
          </w:p>
          <w:p>
            <w:pPr>
              <w:ind w:firstLine="480"/>
            </w:pPr>
            <w:r>
              <w:t>Q——物料起尘量，mg/s；</w:t>
            </w:r>
          </w:p>
          <w:p>
            <w:pPr>
              <w:ind w:firstLine="480"/>
            </w:pPr>
            <w:r>
              <w:t>H——物料落差，m</w:t>
            </w:r>
            <w:r>
              <w:rPr>
                <w:rFonts w:hint="eastAsia"/>
              </w:rPr>
              <w:t>，落差取</w:t>
            </w:r>
            <w:r>
              <w:t>1</w:t>
            </w:r>
            <w:r>
              <w:rPr>
                <w:rFonts w:hint="eastAsia"/>
              </w:rPr>
              <w:t>m</w:t>
            </w:r>
            <w:r>
              <w:t>；</w:t>
            </w:r>
          </w:p>
          <w:p>
            <w:pPr>
              <w:ind w:firstLine="480"/>
            </w:pPr>
            <w:r>
              <w:t>U——气象平均风速，m/s</w:t>
            </w:r>
            <w:r>
              <w:rPr>
                <w:rFonts w:hint="eastAsia"/>
              </w:rPr>
              <w:t>，室内静风</w:t>
            </w:r>
            <w:r>
              <w:t>风速取0.5m/s；</w:t>
            </w:r>
          </w:p>
          <w:p>
            <w:pPr>
              <w:ind w:firstLine="480"/>
            </w:pPr>
            <w:r>
              <w:t>W——物料含水率，%，</w:t>
            </w:r>
            <w:r>
              <w:rPr>
                <w:rFonts w:hint="eastAsia"/>
              </w:rPr>
              <w:t>煤矿含</w:t>
            </w:r>
            <w:r>
              <w:t>水率</w:t>
            </w:r>
            <w:r>
              <w:rPr>
                <w:rFonts w:hint="eastAsia"/>
              </w:rPr>
              <w:t>约</w:t>
            </w:r>
            <w:r>
              <w:t>为30%。</w:t>
            </w:r>
          </w:p>
          <w:p>
            <w:pPr>
              <w:ind w:firstLine="480"/>
              <w:rPr>
                <w:bCs/>
              </w:rPr>
            </w:pPr>
            <w:r>
              <w:t>经计算为343.74mg/s</w:t>
            </w:r>
            <w:r>
              <w:rPr>
                <w:rFonts w:hint="eastAsia"/>
              </w:rPr>
              <w:t>，每日装卸作业时长约为2h，年工作时长为6</w:t>
            </w:r>
            <w:r>
              <w:t>00</w:t>
            </w:r>
            <w:r>
              <w:rPr>
                <w:rFonts w:hint="eastAsia"/>
              </w:rPr>
              <w:t>h，则总计颗粒物产生量为0</w:t>
            </w:r>
            <w:r>
              <w:t>.74</w:t>
            </w:r>
            <w:r>
              <w:rPr>
                <w:rFonts w:hint="eastAsia"/>
              </w:rPr>
              <w:t>t</w:t>
            </w:r>
            <w:r>
              <w:t>/a</w:t>
            </w:r>
            <w:r>
              <w:rPr>
                <w:rFonts w:hint="eastAsia"/>
              </w:rPr>
              <w:t>，项目采用雾化喷淋措施降低装卸粉尘的排放量，去除效率能达到8</w:t>
            </w:r>
            <w:r>
              <w:t>0%</w:t>
            </w:r>
            <w:r>
              <w:rPr>
                <w:rFonts w:hint="eastAsia"/>
              </w:rPr>
              <w:t>以上，则原料装卸作业颗粒物排放量为0</w:t>
            </w:r>
            <w:r>
              <w:t>.15</w:t>
            </w:r>
            <w:r>
              <w:rPr>
                <w:rFonts w:hint="eastAsia"/>
              </w:rPr>
              <w:t>t</w:t>
            </w:r>
            <w:r>
              <w:t>/a</w:t>
            </w:r>
            <w:r>
              <w:rPr>
                <w:rFonts w:hint="eastAsia"/>
              </w:rPr>
              <w:t>，均为无组织排放</w:t>
            </w:r>
            <w:r>
              <w:rPr>
                <w:rFonts w:hint="eastAsia"/>
                <w:bCs/>
              </w:rPr>
              <w:t>。</w:t>
            </w:r>
          </w:p>
          <w:p>
            <w:pPr>
              <w:ind w:firstLine="480"/>
              <w:rPr>
                <w:color w:val="000000"/>
              </w:rPr>
            </w:pPr>
            <w:r>
              <w:rPr>
                <w:rFonts w:hint="eastAsia"/>
                <w:color w:val="000000"/>
              </w:rPr>
              <w:t>3）破碎筛分粉尘</w:t>
            </w:r>
          </w:p>
          <w:p>
            <w:pPr>
              <w:ind w:firstLine="480"/>
            </w:pPr>
            <w:r>
              <w:rPr>
                <w:rFonts w:hint="eastAsia"/>
              </w:rPr>
              <w:t>本次参照《排放源统计调查产排污核算方法和系数手册-生态环境部公告2021年第24号》中《</w:t>
            </w:r>
            <w:r>
              <w:t>2520</w:t>
            </w:r>
            <w:r>
              <w:rPr>
                <w:rFonts w:hint="eastAsia"/>
              </w:rPr>
              <w:t>煤炭加工行业系数手册》中给出的产污系数进行计算，破碎、筛分工段颗粒物产生量约为</w:t>
            </w:r>
            <w:r>
              <w:t>0.</w:t>
            </w:r>
            <w:r>
              <w:rPr>
                <w:rFonts w:hint="eastAsia"/>
              </w:rPr>
              <w:t>2</w:t>
            </w:r>
            <w:r>
              <w:t>3</w:t>
            </w:r>
            <w:r>
              <w:rPr>
                <w:rFonts w:hint="eastAsia"/>
              </w:rPr>
              <w:t>kg</w:t>
            </w:r>
            <w:r>
              <w:t>/t</w:t>
            </w:r>
            <w:r>
              <w:rPr>
                <w:rFonts w:hint="eastAsia"/>
              </w:rPr>
              <w:t>产品，经计算产生量为</w:t>
            </w:r>
            <w:r>
              <w:t>4.6</w:t>
            </w:r>
            <w:r>
              <w:rPr>
                <w:rFonts w:hint="eastAsia"/>
              </w:rPr>
              <w:t>t</w:t>
            </w:r>
            <w:r>
              <w:t>/a</w:t>
            </w:r>
            <w:r>
              <w:rPr>
                <w:rFonts w:hint="eastAsia"/>
              </w:rPr>
              <w:t>，项目各工段均设置了洒水降尘装置，可降低7</w:t>
            </w:r>
            <w:r>
              <w:t>0</w:t>
            </w:r>
            <w:r>
              <w:rPr>
                <w:rFonts w:hint="eastAsia"/>
              </w:rPr>
              <w:t>%的颗粒物产生量，则颗粒物产生量约为</w:t>
            </w:r>
            <w:r>
              <w:t>1.38</w:t>
            </w:r>
            <w:r>
              <w:rPr>
                <w:rFonts w:hint="eastAsia"/>
              </w:rPr>
              <w:t>t</w:t>
            </w:r>
            <w:r>
              <w:t>/a</w:t>
            </w:r>
            <w:r>
              <w:rPr>
                <w:rFonts w:hint="eastAsia"/>
              </w:rPr>
              <w:t>，项目在破碎、筛分工段均设置了集气罩进行废气收集，收集效率按9</w:t>
            </w:r>
            <w:r>
              <w:t>0</w:t>
            </w:r>
            <w:r>
              <w:rPr>
                <w:rFonts w:hint="eastAsia"/>
              </w:rPr>
              <w:t>%考虑，则约有</w:t>
            </w:r>
            <w:r>
              <w:t>0.14</w:t>
            </w:r>
            <w:r>
              <w:rPr>
                <w:rFonts w:hint="eastAsia"/>
              </w:rPr>
              <w:t>t</w:t>
            </w:r>
            <w:r>
              <w:t>/a</w:t>
            </w:r>
            <w:r>
              <w:rPr>
                <w:rFonts w:hint="eastAsia"/>
              </w:rPr>
              <w:t>的颗粒物无组织排放，</w:t>
            </w:r>
            <w:r>
              <w:t>1.24</w:t>
            </w:r>
            <w:r>
              <w:rPr>
                <w:rFonts w:hint="eastAsia"/>
              </w:rPr>
              <w:t>t</w:t>
            </w:r>
            <w:r>
              <w:t>/a</w:t>
            </w:r>
            <w:r>
              <w:rPr>
                <w:rFonts w:hint="eastAsia"/>
              </w:rPr>
              <w:t>的颗粒物进入除尘设施，项目采用湿法除尘，处理效率按</w:t>
            </w:r>
            <w:r>
              <w:t>80</w:t>
            </w:r>
            <w:r>
              <w:rPr>
                <w:rFonts w:hint="eastAsia"/>
              </w:rPr>
              <w:t>%计算，则颗粒物有组织排放量</w:t>
            </w:r>
            <w:bookmarkStart w:id="268" w:name="_Hlk116339427"/>
            <w:r>
              <w:rPr>
                <w:rFonts w:hint="eastAsia"/>
              </w:rPr>
              <w:t>为</w:t>
            </w:r>
            <w:r>
              <w:t>0.25</w:t>
            </w:r>
            <w:r>
              <w:rPr>
                <w:rFonts w:hint="eastAsia"/>
              </w:rPr>
              <w:t>t</w:t>
            </w:r>
            <w:r>
              <w:t>/a</w:t>
            </w:r>
            <w:r>
              <w:rPr>
                <w:rFonts w:hint="eastAsia"/>
              </w:rPr>
              <w:t>，排放速率为</w:t>
            </w:r>
            <w:bookmarkStart w:id="269" w:name="_Hlk107133925"/>
            <w:r>
              <w:t>0.</w:t>
            </w:r>
            <w:bookmarkEnd w:id="269"/>
            <w:r>
              <w:t>104</w:t>
            </w:r>
            <w:r>
              <w:rPr>
                <w:rFonts w:hint="eastAsia"/>
              </w:rPr>
              <w:t>kg</w:t>
            </w:r>
            <w:r>
              <w:t>/h</w:t>
            </w:r>
            <w:bookmarkEnd w:id="268"/>
            <w:r>
              <w:rPr>
                <w:rFonts w:hint="eastAsia"/>
              </w:rPr>
              <w:t>，项目使用的风机风量为</w:t>
            </w:r>
            <w:r>
              <w:t>8000</w:t>
            </w:r>
            <w:r>
              <w:rPr>
                <w:rFonts w:hint="eastAsia"/>
              </w:rPr>
              <w:t>m</w:t>
            </w:r>
            <w:r>
              <w:rPr>
                <w:vertAlign w:val="superscript"/>
              </w:rPr>
              <w:t>3</w:t>
            </w:r>
            <w:r>
              <w:rPr>
                <w:rFonts w:hint="eastAsia"/>
              </w:rPr>
              <w:t>/</w:t>
            </w:r>
            <w:r>
              <w:t>h</w:t>
            </w:r>
            <w:r>
              <w:rPr>
                <w:rFonts w:hint="eastAsia"/>
              </w:rPr>
              <w:t>（单个破碎机/筛分机配套的集气罩的收集风量均为</w:t>
            </w:r>
            <w:r>
              <w:t>2000</w:t>
            </w:r>
            <w:r>
              <w:rPr>
                <w:rFonts w:hint="eastAsia"/>
              </w:rPr>
              <w:t>m</w:t>
            </w:r>
            <w:r>
              <w:rPr>
                <w:vertAlign w:val="superscript"/>
              </w:rPr>
              <w:t>3</w:t>
            </w:r>
            <w:r>
              <w:t>/h</w:t>
            </w:r>
            <w:r>
              <w:rPr>
                <w:rFonts w:hint="eastAsia"/>
              </w:rPr>
              <w:t>），则颗粒物排放浓度为</w:t>
            </w:r>
            <w:bookmarkStart w:id="270" w:name="_Hlk116339441"/>
            <w:r>
              <w:t>13.0</w:t>
            </w:r>
            <w:r>
              <w:rPr>
                <w:rFonts w:hint="eastAsia"/>
              </w:rPr>
              <w:t>mg</w:t>
            </w:r>
            <w:r>
              <w:t>/m</w:t>
            </w:r>
            <w:r>
              <w:rPr>
                <w:vertAlign w:val="superscript"/>
              </w:rPr>
              <w:t>3</w:t>
            </w:r>
            <w:bookmarkEnd w:id="270"/>
            <w:r>
              <w:rPr>
                <w:rFonts w:hint="eastAsia"/>
              </w:rPr>
              <w:t>，排放速率和排放浓度均能满足煤炭工业污染物排放标准》（G</w:t>
            </w:r>
            <w:r>
              <w:t>B20426-2006</w:t>
            </w:r>
            <w:r>
              <w:rPr>
                <w:rFonts w:hint="eastAsia"/>
              </w:rPr>
              <w:t>）（排放浓度≤</w:t>
            </w:r>
            <w:r>
              <w:t>80</w:t>
            </w:r>
            <w:r>
              <w:rPr>
                <w:rFonts w:hint="eastAsia"/>
              </w:rPr>
              <w:t>mg</w:t>
            </w:r>
            <w:r>
              <w:t>/m</w:t>
            </w:r>
            <w:r>
              <w:rPr>
                <w:vertAlign w:val="superscript"/>
              </w:rPr>
              <w:t>3</w:t>
            </w:r>
            <w:r>
              <w:rPr>
                <w:rFonts w:hint="eastAsia"/>
              </w:rPr>
              <w:t>），废气经湿法除尘设施处理达标后通过1</w:t>
            </w:r>
            <w:r>
              <w:t>5</w:t>
            </w:r>
            <w:r>
              <w:rPr>
                <w:rFonts w:hint="eastAsia"/>
              </w:rPr>
              <w:t>m排气筒（DA</w:t>
            </w:r>
            <w:r>
              <w:t>001</w:t>
            </w:r>
            <w:r>
              <w:rPr>
                <w:rFonts w:hint="eastAsia"/>
              </w:rPr>
              <w:t>）排放。</w:t>
            </w:r>
          </w:p>
          <w:p>
            <w:pPr>
              <w:ind w:firstLine="480"/>
            </w:pPr>
            <w:r>
              <w:rPr>
                <w:rFonts w:hint="eastAsia"/>
                <w:color w:val="000000"/>
              </w:rPr>
              <w:t>4）</w:t>
            </w:r>
            <w:r>
              <w:rPr>
                <w:rFonts w:hint="eastAsia"/>
              </w:rPr>
              <w:t>蜂窝煤原料搅拌及成型粉尘</w:t>
            </w:r>
          </w:p>
          <w:p>
            <w:pPr>
              <w:ind w:firstLine="480"/>
            </w:pPr>
            <w:r>
              <w:rPr>
                <w:rFonts w:hint="eastAsia"/>
              </w:rPr>
              <w:t>项目生产人员通过人工倾倒的方式进行下料工作，参考《工业逸散性粉尘控制技术》中的相关内容，在装卸时无控制措施的情况下颗粒物产生量为0</w:t>
            </w:r>
            <w:r>
              <w:t>.01</w:t>
            </w:r>
            <w:r>
              <w:rPr>
                <w:rFonts w:hint="eastAsia"/>
              </w:rPr>
              <w:t>kg/t，蜂窝煤工序使用煤8</w:t>
            </w:r>
            <w:r>
              <w:t>500</w:t>
            </w:r>
            <w:r>
              <w:rPr>
                <w:rFonts w:hint="eastAsia"/>
              </w:rPr>
              <w:t>t/a，则下料过程中粉尘产生量为0</w:t>
            </w:r>
            <w:r>
              <w:t>.0</w:t>
            </w:r>
            <w:r>
              <w:rPr>
                <w:rFonts w:hint="eastAsia"/>
              </w:rPr>
              <w:t>8</w:t>
            </w:r>
            <w:r>
              <w:t>5</w:t>
            </w:r>
            <w:r>
              <w:rPr>
                <w:rFonts w:hint="eastAsia"/>
              </w:rPr>
              <w:t>t/a。本项目公设有</w:t>
            </w:r>
            <w:r>
              <w:t>6</w:t>
            </w:r>
            <w:r>
              <w:rPr>
                <w:rFonts w:hint="eastAsia"/>
              </w:rPr>
              <w:t>台蜂窝煤成型机，每台蜂窝煤成型机一天上料时间为8h，则产生速率为0</w:t>
            </w:r>
            <w:r>
              <w:t>.035</w:t>
            </w:r>
            <w:r>
              <w:rPr>
                <w:rFonts w:hint="eastAsia"/>
              </w:rPr>
              <w:t>kg/h。蜂窝煤成型工序过程位于生产厂房内，其原料本身含水量较高，厂房内设置有喷雾洒水降尘，基本无粉尘产生。均在厂房内无组织排放。</w:t>
            </w:r>
          </w:p>
          <w:p>
            <w:pPr>
              <w:ind w:firstLine="480"/>
              <w:rPr>
                <w:color w:val="000000"/>
              </w:rPr>
            </w:pPr>
            <w:r>
              <w:rPr>
                <w:rFonts w:hint="eastAsia"/>
                <w:color w:val="000000"/>
              </w:rPr>
              <w:t>5）产品卸料粉尘</w:t>
            </w:r>
          </w:p>
          <w:p>
            <w:pPr>
              <w:ind w:firstLine="480"/>
              <w:rPr>
                <w:bCs/>
              </w:rPr>
            </w:pPr>
            <w:r>
              <w:rPr>
                <w:rFonts w:hint="eastAsia"/>
                <w:bCs/>
              </w:rPr>
              <w:t>产品装卸过程的起尘系数与物料落差、风速及物料含水率相关联，公式描述为：</w:t>
            </w:r>
          </w:p>
          <w:p>
            <w:pPr>
              <w:ind w:firstLine="2400" w:firstLineChars="1000"/>
            </w:pPr>
            <w:r>
              <w:t>Q=1133.33U</w:t>
            </w:r>
            <w:r>
              <w:rPr>
                <w:vertAlign w:val="superscript"/>
              </w:rPr>
              <w:t>1.6</w:t>
            </w:r>
            <w:r>
              <w:t>·H</w:t>
            </w:r>
            <w:r>
              <w:rPr>
                <w:vertAlign w:val="superscript"/>
              </w:rPr>
              <w:t>1.23</w:t>
            </w:r>
            <w:r>
              <w:t>·e</w:t>
            </w:r>
            <w:r>
              <w:rPr>
                <w:vertAlign w:val="superscript"/>
              </w:rPr>
              <w:t>-0.28w</w:t>
            </w:r>
          </w:p>
          <w:p>
            <w:pPr>
              <w:ind w:firstLine="480"/>
            </w:pPr>
            <w:bookmarkStart w:id="271" w:name="_Toc107415685"/>
            <w:bookmarkStart w:id="272" w:name="_Toc116339941"/>
            <w:bookmarkStart w:id="273" w:name="_Toc107409331"/>
            <w:r>
              <w:t>式中：</w:t>
            </w:r>
            <w:bookmarkEnd w:id="271"/>
            <w:bookmarkEnd w:id="272"/>
            <w:bookmarkEnd w:id="273"/>
          </w:p>
          <w:p>
            <w:pPr>
              <w:ind w:firstLine="480"/>
            </w:pPr>
            <w:r>
              <w:t>Q——物料起尘量，mg/s；</w:t>
            </w:r>
          </w:p>
          <w:p>
            <w:pPr>
              <w:ind w:firstLine="480"/>
            </w:pPr>
            <w:r>
              <w:t>H——物料落差，m</w:t>
            </w:r>
            <w:r>
              <w:rPr>
                <w:rFonts w:hint="eastAsia"/>
              </w:rPr>
              <w:t>，落差取</w:t>
            </w:r>
            <w:r>
              <w:t>1</w:t>
            </w:r>
            <w:r>
              <w:rPr>
                <w:rFonts w:hint="eastAsia"/>
              </w:rPr>
              <w:t>m</w:t>
            </w:r>
            <w:r>
              <w:t>；</w:t>
            </w:r>
          </w:p>
          <w:p>
            <w:pPr>
              <w:ind w:firstLine="480"/>
            </w:pPr>
            <w:r>
              <w:t>U——气象平均风速，m/s</w:t>
            </w:r>
            <w:r>
              <w:rPr>
                <w:rFonts w:hint="eastAsia"/>
              </w:rPr>
              <w:t>，室内静风</w:t>
            </w:r>
            <w:r>
              <w:t>风速取0.5m/s；</w:t>
            </w:r>
          </w:p>
          <w:p>
            <w:pPr>
              <w:ind w:firstLine="480"/>
            </w:pPr>
            <w:r>
              <w:t>W——物料含水率，%，</w:t>
            </w:r>
            <w:r>
              <w:rPr>
                <w:rFonts w:hint="eastAsia"/>
              </w:rPr>
              <w:t>煤球含</w:t>
            </w:r>
            <w:r>
              <w:t>水率</w:t>
            </w:r>
            <w:r>
              <w:rPr>
                <w:rFonts w:hint="eastAsia"/>
              </w:rPr>
              <w:t>约</w:t>
            </w:r>
            <w:r>
              <w:t>为30%。</w:t>
            </w:r>
          </w:p>
          <w:p>
            <w:pPr>
              <w:ind w:firstLine="480"/>
            </w:pPr>
            <w:r>
              <w:t>经计算为343.74mg/s</w:t>
            </w:r>
            <w:r>
              <w:rPr>
                <w:rFonts w:hint="eastAsia"/>
              </w:rPr>
              <w:t>，每日产品装卸作业时长约为</w:t>
            </w:r>
            <w:r>
              <w:t>8</w:t>
            </w:r>
            <w:r>
              <w:rPr>
                <w:rFonts w:hint="eastAsia"/>
              </w:rPr>
              <w:t>h，年工作时长为</w:t>
            </w:r>
            <w:r>
              <w:t>2400</w:t>
            </w:r>
            <w:r>
              <w:rPr>
                <w:rFonts w:hint="eastAsia"/>
              </w:rPr>
              <w:t>h，则总计颗粒物产生量为</w:t>
            </w:r>
            <w:r>
              <w:t>2.97</w:t>
            </w:r>
            <w:r>
              <w:rPr>
                <w:rFonts w:hint="eastAsia"/>
              </w:rPr>
              <w:t>t</w:t>
            </w:r>
            <w:r>
              <w:t>/a</w:t>
            </w:r>
            <w:r>
              <w:rPr>
                <w:rFonts w:hint="eastAsia"/>
              </w:rPr>
              <w:t>，项目采用雾化喷淋措施降低装卸粉尘的排放量，去除效率能达到8</w:t>
            </w:r>
            <w:r>
              <w:t>0%</w:t>
            </w:r>
            <w:r>
              <w:rPr>
                <w:rFonts w:hint="eastAsia"/>
              </w:rPr>
              <w:t>以上，则原料装卸作业颗粒物排放量为</w:t>
            </w:r>
            <w:r>
              <w:t>0.59</w:t>
            </w:r>
            <w:r>
              <w:rPr>
                <w:rFonts w:hint="eastAsia"/>
              </w:rPr>
              <w:t>t</w:t>
            </w:r>
            <w:r>
              <w:t>/a</w:t>
            </w:r>
            <w:r>
              <w:rPr>
                <w:rFonts w:hint="eastAsia"/>
              </w:rPr>
              <w:t>，均为无组织排放。</w:t>
            </w:r>
          </w:p>
          <w:p>
            <w:pPr>
              <w:ind w:firstLine="480"/>
            </w:pPr>
            <w:r>
              <w:t>6</w:t>
            </w:r>
            <w:r>
              <w:rPr>
                <w:rFonts w:hint="eastAsia"/>
              </w:rPr>
              <w:t>）产品堆场粉尘</w:t>
            </w:r>
          </w:p>
          <w:p>
            <w:pPr>
              <w:ind w:firstLine="480"/>
            </w:pPr>
            <w:bookmarkStart w:id="274" w:name="_Toc103201590"/>
            <w:r>
              <w:rPr>
                <w:rFonts w:hint="eastAsia"/>
              </w:rPr>
              <w:t>产品</w:t>
            </w:r>
            <w:r>
              <w:t>堆存过程中起尘系数与风速及物料表面湿度等因素相关联，公式描述为：</w:t>
            </w:r>
            <w:bookmarkEnd w:id="274"/>
          </w:p>
          <w:p>
            <w:pPr>
              <w:ind w:firstLine="480"/>
            </w:pPr>
            <m:oMathPara>
              <m:oMath>
                <m:r>
                  <m:rPr>
                    <m:sty m:val="p"/>
                  </m:rPr>
                  <w:rPr>
                    <w:rFonts w:ascii="Cambria Math" w:hAnsi="Cambria Math"/>
                  </w:rPr>
                  <m:t>Q=</m:t>
                </m:r>
                <m:sSup>
                  <m:sSupPr>
                    <m:ctrlPr>
                      <w:rPr>
                        <w:rFonts w:ascii="Cambria Math" w:hAnsi="Cambria Math"/>
                      </w:rPr>
                    </m:ctrlPr>
                  </m:sSupPr>
                  <m:e>
                    <m:r>
                      <m:rPr>
                        <m:sty m:val="p"/>
                      </m:rPr>
                      <w:rPr>
                        <w:rFonts w:ascii="Cambria Math" w:hAnsi="Cambria Math"/>
                      </w:rPr>
                      <m:t>（1-A）0.5α（U-</m:t>
                    </m:r>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ctrlPr>
                      <w:rPr>
                        <w:rFonts w:ascii="Cambria Math" w:hAnsi="Cambria Math"/>
                      </w:rPr>
                    </m:ctrlPr>
                  </m:e>
                  <m:sup>
                    <m:r>
                      <m:rPr>
                        <m:sty m:val="p"/>
                      </m:rPr>
                      <w:rPr>
                        <w:rFonts w:ascii="Cambria Math" w:hAnsi="Cambria Math"/>
                      </w:rPr>
                      <m:t>3</m:t>
                    </m:r>
                    <m:ctrlPr>
                      <w:rPr>
                        <w:rFonts w:ascii="Cambria Math" w:hAnsi="Cambria Math"/>
                      </w:rPr>
                    </m:ctrlPr>
                  </m:sup>
                </m:sSup>
                <m:r>
                  <m:rPr>
                    <m:sty m:val="p"/>
                  </m:rPr>
                  <w:rPr>
                    <w:rFonts w:ascii="Cambria Math" w:hAnsi="Cambria Math"/>
                  </w:rPr>
                  <m:t>S</m:t>
                </m:r>
              </m:oMath>
            </m:oMathPara>
          </w:p>
          <w:p>
            <w:pPr>
              <w:ind w:firstLine="480"/>
            </w:pPr>
            <m:oMathPara>
              <m:oMath>
                <m:sSub>
                  <m:sSubPr>
                    <m:ctrlPr>
                      <w:rPr>
                        <w:rFonts w:ascii="Cambria Math" w:hAnsi="Cambria Math"/>
                      </w:rPr>
                    </m:ctrlPr>
                  </m:sSubPr>
                  <m:e>
                    <m:r>
                      <m:rPr>
                        <m:sty m:val="p"/>
                      </m:rPr>
                      <w:rPr>
                        <w:rFonts w:ascii="Cambria Math" w:hAnsi="Cambria Math"/>
                      </w:rPr>
                      <m:t>U</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=0.03·</m:t>
                </m:r>
                <m:sSup>
                  <m:sSupPr>
                    <m:ctrlPr>
                      <w:rPr>
                        <w:rFonts w:ascii="Cambria Math" w:hAnsi="Cambria Math"/>
                      </w:rPr>
                    </m:ctrlPr>
                  </m:sSupPr>
                  <m:e>
                    <m:r>
                      <m:rPr>
                        <m:sty m:val="p"/>
                      </m:rPr>
                      <w:rPr>
                        <w:rFonts w:ascii="Cambria Math" w:hAnsi="Cambria Math"/>
                      </w:rPr>
                      <m:t>e</m:t>
                    </m:r>
                    <m:ctrlPr>
                      <w:rPr>
                        <w:rFonts w:ascii="Cambria Math" w:hAnsi="Cambria Math"/>
                      </w:rPr>
                    </m:ctrlPr>
                  </m:e>
                  <m:sup>
                    <m:r>
                      <m:rPr>
                        <m:sty m:val="p"/>
                      </m:rPr>
                      <w:rPr>
                        <w:rFonts w:ascii="Cambria Math" w:hAnsi="Cambria Math"/>
                      </w:rPr>
                      <m:t>0.5w</m:t>
                    </m:r>
                    <m:ctrlPr>
                      <w:rPr>
                        <w:rFonts w:ascii="Cambria Math" w:hAnsi="Cambria Math"/>
                      </w:rPr>
                    </m:ctrlPr>
                  </m:sup>
                </m:sSup>
                <m:r>
                  <m:rPr>
                    <m:sty m:val="p"/>
                  </m:rPr>
                  <w:rPr>
                    <w:rFonts w:ascii="Cambria Math" w:hAnsi="Cambria Math"/>
                  </w:rPr>
                  <m:t>+1.2</m:t>
                </m:r>
              </m:oMath>
            </m:oMathPara>
          </w:p>
          <w:p>
            <w:pPr>
              <w:ind w:firstLine="480"/>
            </w:pPr>
            <w:bookmarkStart w:id="275" w:name="_Toc103201593"/>
            <w:r>
              <w:t>式中：</w:t>
            </w:r>
            <w:bookmarkEnd w:id="275"/>
          </w:p>
          <w:p>
            <w:pPr>
              <w:ind w:firstLine="480"/>
            </w:pPr>
            <w:bookmarkStart w:id="276" w:name="_Toc103201594"/>
            <w:r>
              <w:t>Q——粉尘产生量，kg</w:t>
            </w:r>
            <w:r>
              <w:rPr>
                <w:rFonts w:hint="eastAsia"/>
              </w:rPr>
              <w:t>/</w:t>
            </w:r>
            <w:r>
              <w:t>h；</w:t>
            </w:r>
            <w:bookmarkEnd w:id="276"/>
          </w:p>
          <w:p>
            <w:pPr>
              <w:ind w:firstLine="480"/>
            </w:pPr>
            <w:bookmarkStart w:id="277" w:name="_Toc103201595"/>
            <w:r>
              <w:t>A——抑尘措施降尘系数，本次采用喷雾降尘，降尘系数取0.6；</w:t>
            </w:r>
            <w:bookmarkEnd w:id="277"/>
          </w:p>
          <w:p>
            <w:pPr>
              <w:ind w:firstLine="480"/>
            </w:pPr>
            <w:bookmarkStart w:id="278" w:name="_Toc103201596"/>
            <w:r>
              <w:t>α——货物类型起尘调节系数，取0.6；</w:t>
            </w:r>
            <w:bookmarkEnd w:id="278"/>
          </w:p>
          <w:p>
            <w:pPr>
              <w:ind w:firstLine="480"/>
            </w:pPr>
            <w:bookmarkStart w:id="279" w:name="_Toc103201597"/>
            <w:r>
              <w:t>U——风速，m/s，风速取0.5m/s；</w:t>
            </w:r>
            <w:bookmarkEnd w:id="279"/>
          </w:p>
          <w:p>
            <w:pPr>
              <w:ind w:firstLine="480"/>
            </w:pPr>
            <w:bookmarkStart w:id="280" w:name="_Toc103201598"/>
            <w:r>
              <w:t>U0——混合粒径颗粒的启动风速；</w:t>
            </w:r>
            <w:bookmarkEnd w:id="280"/>
          </w:p>
          <w:p>
            <w:pPr>
              <w:ind w:firstLine="480"/>
            </w:pPr>
            <w:bookmarkStart w:id="281" w:name="_Toc103201599"/>
            <w:r>
              <w:t>w——物料含水率，%，</w:t>
            </w:r>
            <w:r>
              <w:rPr>
                <w:rFonts w:hint="eastAsia"/>
              </w:rPr>
              <w:t>煤炭</w:t>
            </w:r>
            <w:r>
              <w:t>含水率</w:t>
            </w:r>
            <w:r>
              <w:rPr>
                <w:rFonts w:hint="eastAsia"/>
              </w:rPr>
              <w:t>约</w:t>
            </w:r>
            <w:r>
              <w:t>为15%；</w:t>
            </w:r>
            <w:bookmarkEnd w:id="281"/>
          </w:p>
          <w:p>
            <w:pPr>
              <w:ind w:firstLine="480"/>
            </w:pPr>
            <w:bookmarkStart w:id="282" w:name="_Toc103201600"/>
            <w:r>
              <w:t>S——堆场表面积，m</w:t>
            </w:r>
            <w:r>
              <w:rPr>
                <w:vertAlign w:val="superscript"/>
              </w:rPr>
              <w:t>2</w:t>
            </w:r>
            <w:r>
              <w:t>，本次取600m</w:t>
            </w:r>
            <w:r>
              <w:rPr>
                <w:vertAlign w:val="superscript"/>
              </w:rPr>
              <w:t>2</w:t>
            </w:r>
            <w:bookmarkEnd w:id="282"/>
          </w:p>
          <w:p>
            <w:pPr>
              <w:ind w:firstLine="480"/>
            </w:pPr>
            <w:r>
              <w:t>经计算混合粒径颗粒的启动风速为0.87m/s，</w:t>
            </w:r>
            <w:r>
              <w:rPr>
                <w:rFonts w:hint="eastAsia"/>
              </w:rPr>
              <w:t>产品堆场位于室内，静风风速为0</w:t>
            </w:r>
            <w:r>
              <w:t>.5</w:t>
            </w:r>
            <w:r>
              <w:rPr>
                <w:rFonts w:hint="eastAsia"/>
              </w:rPr>
              <w:t>m</w:t>
            </w:r>
            <w:r>
              <w:t>/s</w:t>
            </w:r>
            <w:r>
              <w:rPr>
                <w:rFonts w:hint="eastAsia"/>
              </w:rPr>
              <w:t>，达不到启动风速，因此本次不考虑产品堆场扬尘。</w:t>
            </w:r>
          </w:p>
          <w:p>
            <w:pPr>
              <w:ind w:firstLine="480"/>
              <w:rPr>
                <w:bCs/>
              </w:rPr>
            </w:pPr>
            <w:r>
              <w:rPr>
                <w:rFonts w:hint="eastAsia"/>
              </w:rPr>
              <w:t>（2）废气污染防治措施可行性分析</w:t>
            </w:r>
          </w:p>
          <w:p>
            <w:pPr>
              <w:ind w:firstLine="480"/>
              <w:rPr>
                <w:bCs/>
              </w:rPr>
            </w:pPr>
            <w:r>
              <w:rPr>
                <w:rFonts w:hint="eastAsia"/>
                <w:bCs/>
              </w:rPr>
              <w:t>1）有组织废气污染防治措施</w:t>
            </w:r>
          </w:p>
          <w:p>
            <w:pPr>
              <w:pStyle w:val="6"/>
              <w:ind w:firstLine="480"/>
              <w:rPr>
                <w:u w:val="single"/>
              </w:rPr>
            </w:pPr>
            <w:r>
              <w:rPr>
                <w:rFonts w:hint="eastAsia"/>
                <w:u w:val="single"/>
              </w:rPr>
              <w:t>本项目原料为原煤，含水率较高，且在原料堆存、破碎、筛分工段均采用雾化喷淋方式降低颗粒物产生，因此收集的废气含水率较高，不适合采用袋式除尘进行处理，因此采用湿法除尘工艺。</w:t>
            </w:r>
          </w:p>
          <w:p>
            <w:pPr>
              <w:ind w:firstLine="480"/>
              <w:rPr>
                <w:u w:val="single"/>
              </w:rPr>
            </w:pPr>
            <w:r>
              <w:rPr>
                <w:rFonts w:hint="eastAsia"/>
                <w:u w:val="single"/>
              </w:rPr>
              <w:t>湿法除尘：本项目破碎筛分废气采用湿法除尘，湿法除尘技术也叫洗涤式除尘技术，是一种利用水（或其他液体）与含尘气体相互接触，伴随有热、质的传递，经过洗涤使尘粒与气体分离的技术。</w:t>
            </w:r>
          </w:p>
          <w:p>
            <w:pPr>
              <w:ind w:firstLine="480"/>
              <w:rPr>
                <w:u w:val="single"/>
              </w:rPr>
            </w:pPr>
            <w:r>
              <w:rPr>
                <w:rFonts w:hint="eastAsia"/>
                <w:u w:val="single"/>
              </w:rPr>
              <w:t>湿法除尘目前广泛应用于国内工业除尘，其技术较为稳定，处理效率可观，一般能稳定达到8</w:t>
            </w:r>
            <w:r>
              <w:rPr>
                <w:u w:val="single"/>
              </w:rPr>
              <w:t>0%</w:t>
            </w:r>
            <w:r>
              <w:rPr>
                <w:rFonts w:hint="eastAsia"/>
                <w:u w:val="single"/>
              </w:rPr>
              <w:t>以上，根据前文分析，其颗粒物排放浓度低于1</w:t>
            </w:r>
            <w:r>
              <w:rPr>
                <w:u w:val="single"/>
              </w:rPr>
              <w:t>.0</w:t>
            </w:r>
            <w:r>
              <w:rPr>
                <w:rFonts w:hint="eastAsia"/>
                <w:u w:val="single"/>
              </w:rPr>
              <w:t>mg</w:t>
            </w:r>
            <w:r>
              <w:rPr>
                <w:u w:val="single"/>
              </w:rPr>
              <w:t>/m</w:t>
            </w:r>
            <w:r>
              <w:rPr>
                <w:u w:val="single"/>
                <w:vertAlign w:val="superscript"/>
              </w:rPr>
              <w:t>3</w:t>
            </w:r>
            <w:r>
              <w:rPr>
                <w:rFonts w:hint="eastAsia"/>
                <w:u w:val="single"/>
              </w:rPr>
              <w:t>，能够满足《煤炭工业污染物排放标准》（G</w:t>
            </w:r>
            <w:r>
              <w:rPr>
                <w:u w:val="single"/>
              </w:rPr>
              <w:t>B20426-2006</w:t>
            </w:r>
            <w:r>
              <w:rPr>
                <w:rFonts w:hint="eastAsia"/>
                <w:u w:val="single"/>
              </w:rPr>
              <w:t>）标准的要求，因此采用湿法除尘措施是可行的。</w:t>
            </w:r>
          </w:p>
          <w:p>
            <w:pPr>
              <w:ind w:firstLine="480"/>
              <w:rPr>
                <w:color w:val="000000"/>
              </w:rPr>
            </w:pPr>
            <w:r>
              <w:rPr>
                <w:rFonts w:hint="eastAsia"/>
                <w:color w:val="000000"/>
              </w:rPr>
              <w:t>2）无组织废气污染防治措施</w:t>
            </w:r>
          </w:p>
          <w:p>
            <w:pPr>
              <w:ind w:firstLine="480"/>
              <w:rPr>
                <w:color w:val="000000"/>
                <w:u w:val="single"/>
              </w:rPr>
            </w:pPr>
            <w:r>
              <w:rPr>
                <w:rFonts w:hint="eastAsia"/>
                <w:color w:val="000000"/>
                <w:u w:val="single"/>
              </w:rPr>
              <w:t>项目无组织扬尘产生节点主要包括原料堆场、生产车间及产品堆场，均设置雾化喷淋洒水降尘设施，原料堆场及产品堆场均设置</w:t>
            </w:r>
            <w:r>
              <w:rPr>
                <w:rFonts w:hint="eastAsia"/>
                <w:u w:val="single"/>
              </w:rPr>
              <w:t>2条雾化喷淋装置，长度为1</w:t>
            </w:r>
            <w:r>
              <w:rPr>
                <w:u w:val="single"/>
              </w:rPr>
              <w:t>00</w:t>
            </w:r>
            <w:r>
              <w:rPr>
                <w:rFonts w:hint="eastAsia"/>
                <w:u w:val="single"/>
              </w:rPr>
              <w:t>m，每隔</w:t>
            </w:r>
            <w:r>
              <w:rPr>
                <w:u w:val="single"/>
              </w:rPr>
              <w:t>10</w:t>
            </w:r>
            <w:r>
              <w:rPr>
                <w:rFonts w:hint="eastAsia"/>
                <w:u w:val="single"/>
              </w:rPr>
              <w:t>m设置一个喷淋头（单个喷淋头喷淋水量为3</w:t>
            </w:r>
            <w:r>
              <w:rPr>
                <w:u w:val="single"/>
              </w:rPr>
              <w:t>0L</w:t>
            </w:r>
            <w:r>
              <w:rPr>
                <w:rFonts w:hint="eastAsia"/>
                <w:u w:val="single"/>
              </w:rPr>
              <w:t>/h，喷淋压力为0</w:t>
            </w:r>
            <w:r>
              <w:rPr>
                <w:u w:val="single"/>
              </w:rPr>
              <w:t>.1M</w:t>
            </w:r>
            <w:r>
              <w:rPr>
                <w:rFonts w:hint="eastAsia"/>
                <w:u w:val="single"/>
              </w:rPr>
              <w:t>pa），每条线设</w:t>
            </w:r>
            <w:r>
              <w:rPr>
                <w:u w:val="single"/>
              </w:rPr>
              <w:t>10</w:t>
            </w:r>
            <w:r>
              <w:rPr>
                <w:rFonts w:hint="eastAsia"/>
                <w:u w:val="single"/>
              </w:rPr>
              <w:t>个；生产车间在破碎、筛分、输送过程中均设置喷雾器向生产线进行喷雾降尘，在厂房顶部设置2条雾化喷淋装置，长度为1</w:t>
            </w:r>
            <w:r>
              <w:rPr>
                <w:u w:val="single"/>
              </w:rPr>
              <w:t>00</w:t>
            </w:r>
            <w:r>
              <w:rPr>
                <w:rFonts w:hint="eastAsia"/>
                <w:u w:val="single"/>
              </w:rPr>
              <w:t>m，每隔5m设置一个喷淋头（单个喷淋头喷淋水量为3</w:t>
            </w:r>
            <w:r>
              <w:rPr>
                <w:u w:val="single"/>
              </w:rPr>
              <w:t>0L</w:t>
            </w:r>
            <w:r>
              <w:rPr>
                <w:rFonts w:hint="eastAsia"/>
                <w:u w:val="single"/>
              </w:rPr>
              <w:t>/h，喷淋压力为0</w:t>
            </w:r>
            <w:r>
              <w:rPr>
                <w:u w:val="single"/>
              </w:rPr>
              <w:t>.1M</w:t>
            </w:r>
            <w:r>
              <w:rPr>
                <w:rFonts w:hint="eastAsia"/>
                <w:u w:val="single"/>
              </w:rPr>
              <w:t>pa），每条线设2</w:t>
            </w:r>
            <w:r>
              <w:rPr>
                <w:u w:val="single"/>
              </w:rPr>
              <w:t>0</w:t>
            </w:r>
            <w:r>
              <w:rPr>
                <w:rFonts w:hint="eastAsia"/>
                <w:u w:val="single"/>
              </w:rPr>
              <w:t>个；</w:t>
            </w:r>
            <w:r>
              <w:rPr>
                <w:rFonts w:hint="eastAsia"/>
                <w:color w:val="000000"/>
                <w:u w:val="single"/>
              </w:rPr>
              <w:t>一方面增加原料及产品的湿度，降低产尘量，另一方面增加空气湿度并通过洒水的水雾将空气中的颗粒物进行吸附沉降，达到降尘效果。通过洒水降尘后，能大幅度降低无组织颗粒物产生及排放。</w:t>
            </w:r>
          </w:p>
          <w:p>
            <w:pPr>
              <w:ind w:firstLine="480"/>
              <w:rPr>
                <w:color w:val="000000"/>
                <w:u w:val="single"/>
              </w:rPr>
            </w:pPr>
            <w:r>
              <w:rPr>
                <w:rFonts w:hint="eastAsia"/>
                <w:color w:val="000000"/>
                <w:u w:val="single"/>
              </w:rPr>
              <w:t>3）车间无组织排放的安全生产</w:t>
            </w:r>
          </w:p>
          <w:p>
            <w:pPr>
              <w:ind w:firstLine="480"/>
              <w:rPr>
                <w:color w:val="000000"/>
                <w:u w:val="single"/>
              </w:rPr>
            </w:pPr>
            <w:r>
              <w:rPr>
                <w:rFonts w:hint="eastAsia"/>
                <w:color w:val="000000"/>
                <w:u w:val="single"/>
              </w:rPr>
              <w:t>车间内会产生一定量的煤尘无组织排放，煤尘会散布在空气中，经查阅资料，煤尘爆炸的下限浓度一般为30—50g/m</w:t>
            </w:r>
            <w:r>
              <w:rPr>
                <w:rFonts w:hint="eastAsia"/>
                <w:color w:val="000000"/>
                <w:u w:val="single"/>
                <w:vertAlign w:val="superscript"/>
              </w:rPr>
              <w:t>3</w:t>
            </w:r>
            <w:r>
              <w:rPr>
                <w:rFonts w:hint="eastAsia"/>
                <w:color w:val="000000"/>
                <w:u w:val="single"/>
              </w:rPr>
              <w:t>，且必须为空气较为干燥时。按本环评要求，产品堆场，成品堆场，生产车间均在厂房顶部设置雾化喷淋，通过洒水的水雾将空气中的颗粒物进行吸附沉降，并增加空气湿度，且破碎筛分工序采用集气罩收集，粉尘无组织排放量少。遂车间封闭采取本环评提出的相关措施后，煤尘爆炸风险基本为零。</w:t>
            </w:r>
          </w:p>
          <w:p>
            <w:pPr>
              <w:ind w:firstLine="0" w:firstLineChars="0"/>
              <w:rPr>
                <w:color w:val="000000"/>
              </w:rPr>
            </w:pPr>
            <w:r>
              <w:rPr>
                <w:rFonts w:hint="eastAsia"/>
                <w:color w:val="000000"/>
              </w:rPr>
              <w:t>（3）大气污染物排放量核算</w:t>
            </w:r>
          </w:p>
          <w:p>
            <w:pPr>
              <w:pStyle w:val="31"/>
            </w:pPr>
            <w:r>
              <w:t>表4-2大气排放口基本情况表</w:t>
            </w:r>
          </w:p>
          <w:tbl>
            <w:tblPr>
              <w:tblStyle w:val="17"/>
              <w:tblW w:w="7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82"/>
              <w:gridCol w:w="1346"/>
              <w:gridCol w:w="665"/>
              <w:gridCol w:w="662"/>
              <w:gridCol w:w="1397"/>
              <w:gridCol w:w="1230"/>
              <w:gridCol w:w="680"/>
              <w:gridCol w:w="868"/>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82" w:type="dxa"/>
                  <w:vMerge w:val="restart"/>
                  <w:vAlign w:val="center"/>
                </w:tcPr>
                <w:p>
                  <w:pPr>
                    <w:pStyle w:val="37"/>
                  </w:pPr>
                  <w:r>
                    <w:t>序号</w:t>
                  </w:r>
                </w:p>
              </w:tc>
              <w:tc>
                <w:tcPr>
                  <w:tcW w:w="1346" w:type="dxa"/>
                  <w:vMerge w:val="restart"/>
                  <w:vAlign w:val="center"/>
                </w:tcPr>
                <w:p>
                  <w:pPr>
                    <w:pStyle w:val="37"/>
                  </w:pPr>
                  <w:r>
                    <w:t>排放口名</w:t>
                  </w:r>
                </w:p>
                <w:p>
                  <w:pPr>
                    <w:pStyle w:val="37"/>
                  </w:pPr>
                  <w:r>
                    <w:t>称及编号</w:t>
                  </w:r>
                </w:p>
              </w:tc>
              <w:tc>
                <w:tcPr>
                  <w:tcW w:w="665" w:type="dxa"/>
                  <w:vMerge w:val="restart"/>
                  <w:vAlign w:val="center"/>
                </w:tcPr>
                <w:p>
                  <w:pPr>
                    <w:pStyle w:val="37"/>
                  </w:pPr>
                  <w:r>
                    <w:t>污染物种类</w:t>
                  </w:r>
                </w:p>
              </w:tc>
              <w:tc>
                <w:tcPr>
                  <w:tcW w:w="662" w:type="dxa"/>
                  <w:vMerge w:val="restart"/>
                  <w:vAlign w:val="center"/>
                </w:tcPr>
                <w:p>
                  <w:pPr>
                    <w:pStyle w:val="37"/>
                  </w:pPr>
                  <w:r>
                    <w:t>排放口类型</w:t>
                  </w:r>
                </w:p>
              </w:tc>
              <w:tc>
                <w:tcPr>
                  <w:tcW w:w="2627" w:type="dxa"/>
                  <w:gridSpan w:val="2"/>
                  <w:vAlign w:val="center"/>
                </w:tcPr>
                <w:p>
                  <w:pPr>
                    <w:pStyle w:val="37"/>
                  </w:pPr>
                  <w:r>
                    <w:t>排放口地理坐标</w:t>
                  </w:r>
                </w:p>
              </w:tc>
              <w:tc>
                <w:tcPr>
                  <w:tcW w:w="680" w:type="dxa"/>
                  <w:vMerge w:val="restart"/>
                  <w:vAlign w:val="center"/>
                </w:tcPr>
                <w:p>
                  <w:pPr>
                    <w:pStyle w:val="37"/>
                  </w:pPr>
                  <w:r>
                    <w:t>排气筒高度（m）</w:t>
                  </w:r>
                </w:p>
              </w:tc>
              <w:tc>
                <w:tcPr>
                  <w:tcW w:w="868" w:type="dxa"/>
                  <w:vMerge w:val="restart"/>
                  <w:vAlign w:val="center"/>
                </w:tcPr>
                <w:p>
                  <w:pPr>
                    <w:pStyle w:val="37"/>
                  </w:pPr>
                  <w:r>
                    <w:t>排气筒</w:t>
                  </w:r>
                </w:p>
                <w:p>
                  <w:pPr>
                    <w:pStyle w:val="37"/>
                  </w:pPr>
                  <w:r>
                    <w:t>出口内</w:t>
                  </w:r>
                </w:p>
                <w:p>
                  <w:pPr>
                    <w:pStyle w:val="37"/>
                  </w:pPr>
                  <w:r>
                    <w:t>径（m）</w:t>
                  </w:r>
                </w:p>
              </w:tc>
              <w:tc>
                <w:tcPr>
                  <w:tcW w:w="735" w:type="dxa"/>
                  <w:vMerge w:val="restart"/>
                  <w:vAlign w:val="center"/>
                </w:tcPr>
                <w:p>
                  <w:pPr>
                    <w:pStyle w:val="37"/>
                  </w:pPr>
                  <w:r>
                    <w:t>排气</w:t>
                  </w:r>
                </w:p>
                <w:p>
                  <w:pPr>
                    <w:pStyle w:val="37"/>
                  </w:pPr>
                  <w: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82" w:type="dxa"/>
                  <w:vMerge w:val="continue"/>
                  <w:vAlign w:val="center"/>
                </w:tcPr>
                <w:p>
                  <w:pPr>
                    <w:pStyle w:val="37"/>
                  </w:pPr>
                </w:p>
              </w:tc>
              <w:tc>
                <w:tcPr>
                  <w:tcW w:w="1346" w:type="dxa"/>
                  <w:vMerge w:val="continue"/>
                  <w:vAlign w:val="center"/>
                </w:tcPr>
                <w:p>
                  <w:pPr>
                    <w:pStyle w:val="37"/>
                  </w:pPr>
                </w:p>
              </w:tc>
              <w:tc>
                <w:tcPr>
                  <w:tcW w:w="665" w:type="dxa"/>
                  <w:vMerge w:val="continue"/>
                  <w:vAlign w:val="center"/>
                </w:tcPr>
                <w:p>
                  <w:pPr>
                    <w:pStyle w:val="37"/>
                  </w:pPr>
                </w:p>
              </w:tc>
              <w:tc>
                <w:tcPr>
                  <w:tcW w:w="662" w:type="dxa"/>
                  <w:vMerge w:val="continue"/>
                  <w:vAlign w:val="center"/>
                </w:tcPr>
                <w:p>
                  <w:pPr>
                    <w:pStyle w:val="37"/>
                  </w:pPr>
                </w:p>
              </w:tc>
              <w:tc>
                <w:tcPr>
                  <w:tcW w:w="1397" w:type="dxa"/>
                  <w:vAlign w:val="center"/>
                </w:tcPr>
                <w:p>
                  <w:pPr>
                    <w:pStyle w:val="37"/>
                  </w:pPr>
                  <w:r>
                    <w:t>经度</w:t>
                  </w:r>
                </w:p>
              </w:tc>
              <w:tc>
                <w:tcPr>
                  <w:tcW w:w="1230" w:type="dxa"/>
                  <w:vAlign w:val="center"/>
                </w:tcPr>
                <w:p>
                  <w:pPr>
                    <w:pStyle w:val="37"/>
                  </w:pPr>
                  <w:r>
                    <w:t>纬度</w:t>
                  </w:r>
                </w:p>
              </w:tc>
              <w:tc>
                <w:tcPr>
                  <w:tcW w:w="680" w:type="dxa"/>
                  <w:vMerge w:val="continue"/>
                  <w:vAlign w:val="center"/>
                </w:tcPr>
                <w:p>
                  <w:pPr>
                    <w:pStyle w:val="37"/>
                  </w:pPr>
                </w:p>
              </w:tc>
              <w:tc>
                <w:tcPr>
                  <w:tcW w:w="868" w:type="dxa"/>
                  <w:vMerge w:val="continue"/>
                  <w:vAlign w:val="center"/>
                </w:tcPr>
                <w:p>
                  <w:pPr>
                    <w:pStyle w:val="37"/>
                  </w:pPr>
                </w:p>
              </w:tc>
              <w:tc>
                <w:tcPr>
                  <w:tcW w:w="735"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0" w:hRule="atLeast"/>
                <w:jc w:val="center"/>
              </w:trPr>
              <w:tc>
                <w:tcPr>
                  <w:tcW w:w="282" w:type="dxa"/>
                  <w:vAlign w:val="center"/>
                </w:tcPr>
                <w:p>
                  <w:pPr>
                    <w:pStyle w:val="37"/>
                  </w:pPr>
                  <w:r>
                    <w:t>1</w:t>
                  </w:r>
                </w:p>
              </w:tc>
              <w:tc>
                <w:tcPr>
                  <w:tcW w:w="1346" w:type="dxa"/>
                  <w:vAlign w:val="center"/>
                </w:tcPr>
                <w:p>
                  <w:pPr>
                    <w:pStyle w:val="37"/>
                  </w:pPr>
                  <w:r>
                    <w:t>破碎、</w:t>
                  </w:r>
                </w:p>
                <w:p>
                  <w:pPr>
                    <w:pStyle w:val="37"/>
                  </w:pPr>
                  <w:r>
                    <w:t>筛分废气</w:t>
                  </w:r>
                </w:p>
                <w:p>
                  <w:pPr>
                    <w:pStyle w:val="37"/>
                  </w:pPr>
                  <w:r>
                    <w:t>（DA001）</w:t>
                  </w:r>
                </w:p>
              </w:tc>
              <w:tc>
                <w:tcPr>
                  <w:tcW w:w="665" w:type="dxa"/>
                  <w:vAlign w:val="center"/>
                </w:tcPr>
                <w:p>
                  <w:pPr>
                    <w:pStyle w:val="37"/>
                  </w:pPr>
                  <w:r>
                    <w:rPr>
                      <w:rFonts w:hint="eastAsia"/>
                    </w:rPr>
                    <w:t>颗粒物</w:t>
                  </w:r>
                </w:p>
              </w:tc>
              <w:tc>
                <w:tcPr>
                  <w:tcW w:w="662" w:type="dxa"/>
                  <w:vAlign w:val="center"/>
                </w:tcPr>
                <w:p>
                  <w:pPr>
                    <w:pStyle w:val="37"/>
                  </w:pPr>
                  <w:r>
                    <w:t>一般排放口</w:t>
                  </w:r>
                </w:p>
              </w:tc>
              <w:tc>
                <w:tcPr>
                  <w:tcW w:w="1397" w:type="dxa"/>
                  <w:vAlign w:val="center"/>
                </w:tcPr>
                <w:p>
                  <w:pPr>
                    <w:pStyle w:val="37"/>
                  </w:pPr>
                  <w:r>
                    <w:t>113.46915185</w:t>
                  </w:r>
                </w:p>
              </w:tc>
              <w:tc>
                <w:tcPr>
                  <w:tcW w:w="1230" w:type="dxa"/>
                  <w:vAlign w:val="center"/>
                </w:tcPr>
                <w:p>
                  <w:pPr>
                    <w:pStyle w:val="37"/>
                  </w:pPr>
                  <w:r>
                    <w:t>27.29639590</w:t>
                  </w:r>
                </w:p>
              </w:tc>
              <w:tc>
                <w:tcPr>
                  <w:tcW w:w="680" w:type="dxa"/>
                  <w:vAlign w:val="center"/>
                </w:tcPr>
                <w:p>
                  <w:pPr>
                    <w:pStyle w:val="37"/>
                  </w:pPr>
                  <w:r>
                    <w:t>15</w:t>
                  </w:r>
                </w:p>
              </w:tc>
              <w:tc>
                <w:tcPr>
                  <w:tcW w:w="868" w:type="dxa"/>
                  <w:vAlign w:val="center"/>
                </w:tcPr>
                <w:p>
                  <w:pPr>
                    <w:pStyle w:val="37"/>
                  </w:pPr>
                  <w:r>
                    <w:rPr>
                      <w:rFonts w:hint="eastAsia"/>
                    </w:rPr>
                    <w:t>0.4</w:t>
                  </w:r>
                </w:p>
              </w:tc>
              <w:tc>
                <w:tcPr>
                  <w:tcW w:w="735" w:type="dxa"/>
                  <w:vAlign w:val="center"/>
                </w:tcPr>
                <w:p>
                  <w:pPr>
                    <w:pStyle w:val="37"/>
                  </w:pPr>
                  <w:r>
                    <w:t>25</w:t>
                  </w:r>
                </w:p>
              </w:tc>
            </w:tr>
          </w:tbl>
          <w:p>
            <w:pPr>
              <w:pStyle w:val="31"/>
            </w:pPr>
            <w:r>
              <w:t>表4-3</w:t>
            </w:r>
            <w:r>
              <w:rPr>
                <w:rFonts w:hint="eastAsia"/>
              </w:rPr>
              <w:t>大气污染物有组织排放量核算表</w:t>
            </w:r>
          </w:p>
          <w:tbl>
            <w:tblPr>
              <w:tblStyle w:val="17"/>
              <w:tblW w:w="7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280"/>
              <w:gridCol w:w="1125"/>
              <w:gridCol w:w="1586"/>
              <w:gridCol w:w="1436"/>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1" w:type="dxa"/>
                  <w:vAlign w:val="center"/>
                </w:tcPr>
                <w:p>
                  <w:pPr>
                    <w:pStyle w:val="37"/>
                  </w:pPr>
                  <w:r>
                    <w:t>序号</w:t>
                  </w:r>
                </w:p>
              </w:tc>
              <w:tc>
                <w:tcPr>
                  <w:tcW w:w="1280" w:type="dxa"/>
                  <w:vAlign w:val="center"/>
                </w:tcPr>
                <w:p>
                  <w:pPr>
                    <w:pStyle w:val="37"/>
                  </w:pPr>
                  <w:r>
                    <w:t>排放口</w:t>
                  </w:r>
                </w:p>
                <w:p>
                  <w:pPr>
                    <w:pStyle w:val="37"/>
                  </w:pPr>
                  <w:r>
                    <w:t>编号</w:t>
                  </w:r>
                </w:p>
              </w:tc>
              <w:tc>
                <w:tcPr>
                  <w:tcW w:w="1125" w:type="dxa"/>
                  <w:vAlign w:val="center"/>
                </w:tcPr>
                <w:p>
                  <w:pPr>
                    <w:pStyle w:val="37"/>
                  </w:pPr>
                  <w:r>
                    <w:t>污染物</w:t>
                  </w:r>
                </w:p>
              </w:tc>
              <w:tc>
                <w:tcPr>
                  <w:tcW w:w="1586" w:type="dxa"/>
                  <w:vAlign w:val="center"/>
                </w:tcPr>
                <w:p>
                  <w:pPr>
                    <w:pStyle w:val="37"/>
                  </w:pPr>
                  <w:r>
                    <w:t>核算排放</w:t>
                  </w:r>
                </w:p>
                <w:p>
                  <w:pPr>
                    <w:pStyle w:val="37"/>
                  </w:pPr>
                  <w:r>
                    <w:t>浓度</w:t>
                  </w:r>
                  <w:r>
                    <w:rPr>
                      <w:rFonts w:hint="eastAsia"/>
                    </w:rPr>
                    <w:t>m</w:t>
                  </w:r>
                  <w:r>
                    <w:t>g/m</w:t>
                  </w:r>
                  <w:r>
                    <w:rPr>
                      <w:vertAlign w:val="superscript"/>
                    </w:rPr>
                    <w:t>3</w:t>
                  </w:r>
                </w:p>
              </w:tc>
              <w:tc>
                <w:tcPr>
                  <w:tcW w:w="1436" w:type="dxa"/>
                  <w:vAlign w:val="center"/>
                </w:tcPr>
                <w:p>
                  <w:pPr>
                    <w:pStyle w:val="37"/>
                  </w:pPr>
                  <w:r>
                    <w:t>核算排放</w:t>
                  </w:r>
                </w:p>
                <w:p>
                  <w:pPr>
                    <w:pStyle w:val="37"/>
                  </w:pPr>
                  <w:r>
                    <w:t>速率kg/h</w:t>
                  </w:r>
                </w:p>
              </w:tc>
              <w:tc>
                <w:tcPr>
                  <w:tcW w:w="1477" w:type="dxa"/>
                  <w:vAlign w:val="center"/>
                </w:tcPr>
                <w:p>
                  <w:pPr>
                    <w:pStyle w:val="37"/>
                  </w:pPr>
                  <w:r>
                    <w:t>核算年</w:t>
                  </w:r>
                </w:p>
                <w:p>
                  <w:pPr>
                    <w:pStyle w:val="37"/>
                  </w:pPr>
                  <w: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5" w:type="dxa"/>
                  <w:gridSpan w:val="6"/>
                  <w:vAlign w:val="center"/>
                </w:tcPr>
                <w:p>
                  <w:pPr>
                    <w:pStyle w:val="37"/>
                  </w:pPr>
                  <w: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1" w:type="dxa"/>
                  <w:vAlign w:val="center"/>
                </w:tcPr>
                <w:p>
                  <w:pPr>
                    <w:pStyle w:val="37"/>
                  </w:pPr>
                  <w:r>
                    <w:t>1</w:t>
                  </w:r>
                </w:p>
              </w:tc>
              <w:tc>
                <w:tcPr>
                  <w:tcW w:w="1280" w:type="dxa"/>
                  <w:vAlign w:val="center"/>
                </w:tcPr>
                <w:p>
                  <w:pPr>
                    <w:pStyle w:val="37"/>
                  </w:pPr>
                  <w:r>
                    <w:t>DA001</w:t>
                  </w:r>
                </w:p>
              </w:tc>
              <w:tc>
                <w:tcPr>
                  <w:tcW w:w="1125" w:type="dxa"/>
                  <w:vAlign w:val="center"/>
                </w:tcPr>
                <w:p>
                  <w:pPr>
                    <w:pStyle w:val="37"/>
                  </w:pPr>
                  <w:r>
                    <w:t>颗粒物</w:t>
                  </w:r>
                </w:p>
              </w:tc>
              <w:tc>
                <w:tcPr>
                  <w:tcW w:w="1586" w:type="dxa"/>
                  <w:vAlign w:val="center"/>
                </w:tcPr>
                <w:p>
                  <w:pPr>
                    <w:pStyle w:val="37"/>
                  </w:pPr>
                  <w:r>
                    <w:t>13</w:t>
                  </w:r>
                </w:p>
              </w:tc>
              <w:tc>
                <w:tcPr>
                  <w:tcW w:w="1436" w:type="dxa"/>
                  <w:vAlign w:val="center"/>
                </w:tcPr>
                <w:p>
                  <w:pPr>
                    <w:pStyle w:val="37"/>
                  </w:pPr>
                  <w:r>
                    <w:t>0.104</w:t>
                  </w:r>
                </w:p>
              </w:tc>
              <w:tc>
                <w:tcPr>
                  <w:tcW w:w="1477" w:type="dxa"/>
                  <w:vAlign w:val="center"/>
                </w:tcPr>
                <w:p>
                  <w:pPr>
                    <w:pStyle w:val="37"/>
                  </w:pPr>
                  <w: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1" w:type="dxa"/>
                  <w:gridSpan w:val="2"/>
                  <w:vAlign w:val="center"/>
                </w:tcPr>
                <w:p>
                  <w:pPr>
                    <w:pStyle w:val="37"/>
                  </w:pPr>
                  <w:r>
                    <w:t>一般排放口合计</w:t>
                  </w:r>
                </w:p>
              </w:tc>
              <w:tc>
                <w:tcPr>
                  <w:tcW w:w="4147" w:type="dxa"/>
                  <w:gridSpan w:val="3"/>
                  <w:vAlign w:val="center"/>
                </w:tcPr>
                <w:p>
                  <w:pPr>
                    <w:pStyle w:val="37"/>
                  </w:pPr>
                  <w:r>
                    <w:t>颗粒物</w:t>
                  </w:r>
                </w:p>
              </w:tc>
              <w:tc>
                <w:tcPr>
                  <w:tcW w:w="1477" w:type="dxa"/>
                  <w:vAlign w:val="center"/>
                </w:tcPr>
                <w:p>
                  <w:pPr>
                    <w:pStyle w:val="37"/>
                  </w:pPr>
                  <w:r>
                    <w:t>0.25</w:t>
                  </w:r>
                </w:p>
              </w:tc>
            </w:tr>
          </w:tbl>
          <w:p>
            <w:pPr>
              <w:pStyle w:val="31"/>
            </w:pPr>
            <w:r>
              <w:t>表4-4</w:t>
            </w:r>
            <w:r>
              <w:rPr>
                <w:rFonts w:hint="eastAsia"/>
              </w:rPr>
              <w:t>大气污染物无组织排放量核算表</w:t>
            </w:r>
          </w:p>
          <w:tbl>
            <w:tblPr>
              <w:tblStyle w:val="17"/>
              <w:tblW w:w="7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12"/>
              <w:gridCol w:w="675"/>
              <w:gridCol w:w="598"/>
              <w:gridCol w:w="934"/>
              <w:gridCol w:w="2235"/>
              <w:gridCol w:w="1262"/>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restart"/>
                  <w:vAlign w:val="center"/>
                </w:tcPr>
                <w:p>
                  <w:pPr>
                    <w:pStyle w:val="37"/>
                  </w:pPr>
                  <w:bookmarkStart w:id="283" w:name="_Hlk116387024"/>
                  <w:r>
                    <w:t>序号</w:t>
                  </w:r>
                </w:p>
              </w:tc>
              <w:tc>
                <w:tcPr>
                  <w:tcW w:w="812" w:type="dxa"/>
                  <w:vMerge w:val="restart"/>
                  <w:vAlign w:val="center"/>
                </w:tcPr>
                <w:p>
                  <w:pPr>
                    <w:pStyle w:val="37"/>
                  </w:pPr>
                  <w:r>
                    <w:t>排放口编号</w:t>
                  </w:r>
                </w:p>
              </w:tc>
              <w:tc>
                <w:tcPr>
                  <w:tcW w:w="675" w:type="dxa"/>
                  <w:vMerge w:val="restart"/>
                  <w:vAlign w:val="center"/>
                </w:tcPr>
                <w:p>
                  <w:pPr>
                    <w:pStyle w:val="37"/>
                  </w:pPr>
                  <w:r>
                    <w:t>产污环节</w:t>
                  </w:r>
                </w:p>
              </w:tc>
              <w:tc>
                <w:tcPr>
                  <w:tcW w:w="598" w:type="dxa"/>
                  <w:vMerge w:val="restart"/>
                  <w:vAlign w:val="center"/>
                </w:tcPr>
                <w:p>
                  <w:pPr>
                    <w:pStyle w:val="37"/>
                  </w:pPr>
                  <w:r>
                    <w:t>污染物</w:t>
                  </w:r>
                </w:p>
              </w:tc>
              <w:tc>
                <w:tcPr>
                  <w:tcW w:w="934" w:type="dxa"/>
                  <w:vMerge w:val="restart"/>
                  <w:vAlign w:val="center"/>
                </w:tcPr>
                <w:p>
                  <w:pPr>
                    <w:pStyle w:val="37"/>
                  </w:pPr>
                  <w:r>
                    <w:t>主要污染防治措施</w:t>
                  </w:r>
                </w:p>
              </w:tc>
              <w:tc>
                <w:tcPr>
                  <w:tcW w:w="3497" w:type="dxa"/>
                  <w:gridSpan w:val="2"/>
                  <w:vAlign w:val="center"/>
                </w:tcPr>
                <w:p>
                  <w:pPr>
                    <w:pStyle w:val="37"/>
                  </w:pPr>
                  <w:r>
                    <w:t>国家或地方污染物排放标准</w:t>
                  </w:r>
                </w:p>
              </w:tc>
              <w:tc>
                <w:tcPr>
                  <w:tcW w:w="898" w:type="dxa"/>
                  <w:vMerge w:val="restart"/>
                  <w:vAlign w:val="center"/>
                </w:tcPr>
                <w:p>
                  <w:pPr>
                    <w:pStyle w:val="37"/>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1" w:type="dxa"/>
                  <w:vMerge w:val="continue"/>
                  <w:vAlign w:val="center"/>
                </w:tcPr>
                <w:p>
                  <w:pPr>
                    <w:pStyle w:val="37"/>
                  </w:pPr>
                </w:p>
              </w:tc>
              <w:tc>
                <w:tcPr>
                  <w:tcW w:w="812" w:type="dxa"/>
                  <w:vMerge w:val="continue"/>
                  <w:vAlign w:val="center"/>
                </w:tcPr>
                <w:p>
                  <w:pPr>
                    <w:pStyle w:val="37"/>
                  </w:pPr>
                </w:p>
              </w:tc>
              <w:tc>
                <w:tcPr>
                  <w:tcW w:w="675" w:type="dxa"/>
                  <w:vMerge w:val="continue"/>
                  <w:vAlign w:val="center"/>
                </w:tcPr>
                <w:p>
                  <w:pPr>
                    <w:pStyle w:val="37"/>
                  </w:pPr>
                </w:p>
              </w:tc>
              <w:tc>
                <w:tcPr>
                  <w:tcW w:w="598" w:type="dxa"/>
                  <w:vMerge w:val="continue"/>
                  <w:vAlign w:val="center"/>
                </w:tcPr>
                <w:p>
                  <w:pPr>
                    <w:pStyle w:val="37"/>
                  </w:pPr>
                </w:p>
              </w:tc>
              <w:tc>
                <w:tcPr>
                  <w:tcW w:w="934" w:type="dxa"/>
                  <w:vMerge w:val="continue"/>
                  <w:vAlign w:val="center"/>
                </w:tcPr>
                <w:p>
                  <w:pPr>
                    <w:pStyle w:val="37"/>
                  </w:pPr>
                </w:p>
              </w:tc>
              <w:tc>
                <w:tcPr>
                  <w:tcW w:w="2235" w:type="dxa"/>
                  <w:vAlign w:val="center"/>
                </w:tcPr>
                <w:p>
                  <w:pPr>
                    <w:pStyle w:val="37"/>
                  </w:pPr>
                  <w:r>
                    <w:t>标准名称</w:t>
                  </w:r>
                </w:p>
              </w:tc>
              <w:tc>
                <w:tcPr>
                  <w:tcW w:w="1262" w:type="dxa"/>
                  <w:vAlign w:val="center"/>
                </w:tcPr>
                <w:p>
                  <w:pPr>
                    <w:pStyle w:val="37"/>
                  </w:pPr>
                  <w:r>
                    <w:t>浓度限值（µg/m3）</w:t>
                  </w:r>
                </w:p>
              </w:tc>
              <w:tc>
                <w:tcPr>
                  <w:tcW w:w="898" w:type="dxa"/>
                  <w:vMerge w:val="continue"/>
                  <w:vAlign w:val="center"/>
                </w:tcPr>
                <w:p>
                  <w:pPr>
                    <w:pStyle w:val="3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1" w:type="dxa"/>
                  <w:vAlign w:val="center"/>
                </w:tcPr>
                <w:p>
                  <w:pPr>
                    <w:pStyle w:val="37"/>
                  </w:pPr>
                  <w:r>
                    <w:t>1</w:t>
                  </w:r>
                </w:p>
              </w:tc>
              <w:tc>
                <w:tcPr>
                  <w:tcW w:w="812" w:type="dxa"/>
                  <w:vAlign w:val="center"/>
                </w:tcPr>
                <w:p>
                  <w:pPr>
                    <w:pStyle w:val="37"/>
                  </w:pPr>
                  <w:r>
                    <w:t>MY01</w:t>
                  </w:r>
                </w:p>
              </w:tc>
              <w:tc>
                <w:tcPr>
                  <w:tcW w:w="675" w:type="dxa"/>
                  <w:vAlign w:val="center"/>
                </w:tcPr>
                <w:p>
                  <w:pPr>
                    <w:pStyle w:val="37"/>
                  </w:pPr>
                  <w:r>
                    <w:rPr>
                      <w:rFonts w:hint="eastAsia"/>
                    </w:rPr>
                    <w:t>原料装卸</w:t>
                  </w:r>
                </w:p>
              </w:tc>
              <w:tc>
                <w:tcPr>
                  <w:tcW w:w="598" w:type="dxa"/>
                  <w:vAlign w:val="center"/>
                </w:tcPr>
                <w:p>
                  <w:pPr>
                    <w:pStyle w:val="37"/>
                  </w:pPr>
                  <w:r>
                    <w:t>颗粒物</w:t>
                  </w:r>
                </w:p>
              </w:tc>
              <w:tc>
                <w:tcPr>
                  <w:tcW w:w="934" w:type="dxa"/>
                  <w:vAlign w:val="center"/>
                </w:tcPr>
                <w:p>
                  <w:pPr>
                    <w:pStyle w:val="37"/>
                  </w:pPr>
                  <w:r>
                    <w:rPr>
                      <w:rFonts w:hint="eastAsia"/>
                    </w:rPr>
                    <w:t>雾化喷淋</w:t>
                  </w:r>
                </w:p>
              </w:tc>
              <w:tc>
                <w:tcPr>
                  <w:tcW w:w="2235" w:type="dxa"/>
                  <w:vAlign w:val="center"/>
                </w:tcPr>
                <w:p>
                  <w:pPr>
                    <w:pStyle w:val="37"/>
                  </w:pPr>
                  <w:r>
                    <w:rPr>
                      <w:rFonts w:hint="eastAsia"/>
                    </w:rPr>
                    <w:t>《煤炭工业污染物排放标准》（GB20426-2006）</w:t>
                  </w:r>
                </w:p>
              </w:tc>
              <w:tc>
                <w:tcPr>
                  <w:tcW w:w="1262" w:type="dxa"/>
                  <w:vAlign w:val="center"/>
                </w:tcPr>
                <w:p>
                  <w:pPr>
                    <w:pStyle w:val="37"/>
                  </w:pPr>
                  <w:r>
                    <w:t>1000</w:t>
                  </w:r>
                </w:p>
              </w:tc>
              <w:tc>
                <w:tcPr>
                  <w:tcW w:w="898" w:type="dxa"/>
                  <w:vAlign w:val="center"/>
                </w:tcPr>
                <w:p>
                  <w:pPr>
                    <w:pStyle w:val="37"/>
                  </w:pPr>
                  <w: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1" w:type="dxa"/>
                  <w:vAlign w:val="center"/>
                </w:tcPr>
                <w:p>
                  <w:pPr>
                    <w:pStyle w:val="37"/>
                  </w:pPr>
                  <w:r>
                    <w:t>2</w:t>
                  </w:r>
                </w:p>
              </w:tc>
              <w:tc>
                <w:tcPr>
                  <w:tcW w:w="812" w:type="dxa"/>
                  <w:vAlign w:val="center"/>
                </w:tcPr>
                <w:p>
                  <w:pPr>
                    <w:pStyle w:val="37"/>
                  </w:pPr>
                  <w:r>
                    <w:t>MY02</w:t>
                  </w:r>
                </w:p>
              </w:tc>
              <w:tc>
                <w:tcPr>
                  <w:tcW w:w="675" w:type="dxa"/>
                  <w:vAlign w:val="center"/>
                </w:tcPr>
                <w:p>
                  <w:pPr>
                    <w:pStyle w:val="37"/>
                  </w:pPr>
                  <w:r>
                    <w:rPr>
                      <w:rFonts w:hint="eastAsia"/>
                    </w:rPr>
                    <w:t>生产车间</w:t>
                  </w:r>
                </w:p>
              </w:tc>
              <w:tc>
                <w:tcPr>
                  <w:tcW w:w="598" w:type="dxa"/>
                  <w:vAlign w:val="center"/>
                </w:tcPr>
                <w:p>
                  <w:pPr>
                    <w:pStyle w:val="37"/>
                  </w:pPr>
                  <w:r>
                    <w:t>颗粒物</w:t>
                  </w:r>
                </w:p>
              </w:tc>
              <w:tc>
                <w:tcPr>
                  <w:tcW w:w="934" w:type="dxa"/>
                  <w:vAlign w:val="center"/>
                </w:tcPr>
                <w:p>
                  <w:pPr>
                    <w:pStyle w:val="37"/>
                  </w:pPr>
                  <w:r>
                    <w:rPr>
                      <w:rFonts w:hint="eastAsia"/>
                    </w:rPr>
                    <w:t>湿法除尘；洒水降尘</w:t>
                  </w:r>
                </w:p>
              </w:tc>
              <w:tc>
                <w:tcPr>
                  <w:tcW w:w="2235" w:type="dxa"/>
                  <w:vAlign w:val="center"/>
                </w:tcPr>
                <w:p>
                  <w:pPr>
                    <w:pStyle w:val="37"/>
                  </w:pPr>
                  <w:r>
                    <w:rPr>
                      <w:rFonts w:hint="eastAsia"/>
                    </w:rPr>
                    <w:t>《煤炭工业污染物排放标准》（GB20426-2006）</w:t>
                  </w:r>
                </w:p>
              </w:tc>
              <w:tc>
                <w:tcPr>
                  <w:tcW w:w="1262" w:type="dxa"/>
                  <w:vAlign w:val="center"/>
                </w:tcPr>
                <w:p>
                  <w:pPr>
                    <w:pStyle w:val="37"/>
                  </w:pPr>
                  <w:r>
                    <w:t>1000</w:t>
                  </w:r>
                </w:p>
              </w:tc>
              <w:tc>
                <w:tcPr>
                  <w:tcW w:w="898" w:type="dxa"/>
                  <w:vAlign w:val="center"/>
                </w:tcPr>
                <w:p>
                  <w:pPr>
                    <w:pStyle w:val="37"/>
                  </w:pPr>
                  <w: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451" w:type="dxa"/>
                  <w:vAlign w:val="center"/>
                </w:tcPr>
                <w:p>
                  <w:pPr>
                    <w:pStyle w:val="37"/>
                  </w:pPr>
                  <w:r>
                    <w:t>3</w:t>
                  </w:r>
                </w:p>
              </w:tc>
              <w:tc>
                <w:tcPr>
                  <w:tcW w:w="812" w:type="dxa"/>
                  <w:vAlign w:val="center"/>
                </w:tcPr>
                <w:p>
                  <w:pPr>
                    <w:pStyle w:val="37"/>
                  </w:pPr>
                  <w:r>
                    <w:t>MY03</w:t>
                  </w:r>
                </w:p>
              </w:tc>
              <w:tc>
                <w:tcPr>
                  <w:tcW w:w="675" w:type="dxa"/>
                  <w:vAlign w:val="center"/>
                </w:tcPr>
                <w:p>
                  <w:pPr>
                    <w:pStyle w:val="37"/>
                  </w:pPr>
                  <w:r>
                    <w:rPr>
                      <w:rFonts w:hint="eastAsia"/>
                    </w:rPr>
                    <w:t>产品装卸</w:t>
                  </w:r>
                </w:p>
              </w:tc>
              <w:tc>
                <w:tcPr>
                  <w:tcW w:w="598" w:type="dxa"/>
                  <w:vAlign w:val="center"/>
                </w:tcPr>
                <w:p>
                  <w:pPr>
                    <w:pStyle w:val="37"/>
                  </w:pPr>
                  <w:r>
                    <w:t>颗粒物</w:t>
                  </w:r>
                </w:p>
              </w:tc>
              <w:tc>
                <w:tcPr>
                  <w:tcW w:w="934" w:type="dxa"/>
                  <w:vAlign w:val="center"/>
                </w:tcPr>
                <w:p>
                  <w:pPr>
                    <w:pStyle w:val="37"/>
                  </w:pPr>
                  <w:r>
                    <w:rPr>
                      <w:rFonts w:hint="eastAsia"/>
                    </w:rPr>
                    <w:t>雾化喷淋</w:t>
                  </w:r>
                </w:p>
              </w:tc>
              <w:tc>
                <w:tcPr>
                  <w:tcW w:w="2235" w:type="dxa"/>
                  <w:vAlign w:val="center"/>
                </w:tcPr>
                <w:p>
                  <w:pPr>
                    <w:pStyle w:val="37"/>
                  </w:pPr>
                  <w:r>
                    <w:rPr>
                      <w:rFonts w:hint="eastAsia"/>
                    </w:rPr>
                    <w:t>《煤炭工业污染物排放标准》（GB20426-2006）</w:t>
                  </w:r>
                </w:p>
              </w:tc>
              <w:tc>
                <w:tcPr>
                  <w:tcW w:w="1262" w:type="dxa"/>
                  <w:vAlign w:val="center"/>
                </w:tcPr>
                <w:p>
                  <w:pPr>
                    <w:pStyle w:val="37"/>
                  </w:pPr>
                  <w:r>
                    <w:t>1000</w:t>
                  </w:r>
                </w:p>
              </w:tc>
              <w:tc>
                <w:tcPr>
                  <w:tcW w:w="898" w:type="dxa"/>
                  <w:vAlign w:val="center"/>
                </w:tcPr>
                <w:p>
                  <w:pPr>
                    <w:pStyle w:val="37"/>
                  </w:pPr>
                  <w: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65" w:type="dxa"/>
                  <w:gridSpan w:val="8"/>
                  <w:vAlign w:val="center"/>
                </w:tcPr>
                <w:p>
                  <w:pPr>
                    <w:pStyle w:val="37"/>
                  </w:pPr>
                  <w: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gridSpan w:val="4"/>
                  <w:vAlign w:val="center"/>
                </w:tcPr>
                <w:p>
                  <w:pPr>
                    <w:pStyle w:val="37"/>
                  </w:pPr>
                  <w:r>
                    <w:t>无组织排放总计</w:t>
                  </w:r>
                </w:p>
              </w:tc>
              <w:tc>
                <w:tcPr>
                  <w:tcW w:w="4431" w:type="dxa"/>
                  <w:gridSpan w:val="3"/>
                  <w:vAlign w:val="center"/>
                </w:tcPr>
                <w:p>
                  <w:pPr>
                    <w:pStyle w:val="37"/>
                  </w:pPr>
                  <w:r>
                    <w:t>颗粒物</w:t>
                  </w:r>
                </w:p>
              </w:tc>
              <w:tc>
                <w:tcPr>
                  <w:tcW w:w="898" w:type="dxa"/>
                  <w:vAlign w:val="center"/>
                </w:tcPr>
                <w:p>
                  <w:pPr>
                    <w:pStyle w:val="37"/>
                  </w:pPr>
                  <w:r>
                    <w:t>0.97</w:t>
                  </w:r>
                </w:p>
              </w:tc>
            </w:tr>
            <w:bookmarkEnd w:id="283"/>
          </w:tbl>
          <w:p>
            <w:pPr>
              <w:pStyle w:val="31"/>
            </w:pPr>
            <w:r>
              <w:t>表4-5</w:t>
            </w:r>
            <w:r>
              <w:rPr>
                <w:rFonts w:hint="eastAsia"/>
              </w:rPr>
              <w:t>大气污染物年排放量核算表</w:t>
            </w:r>
          </w:p>
          <w:tbl>
            <w:tblPr>
              <w:tblStyle w:val="17"/>
              <w:tblW w:w="7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1"/>
              <w:gridCol w:w="2610"/>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611" w:type="dxa"/>
                  <w:vAlign w:val="center"/>
                </w:tcPr>
                <w:p>
                  <w:pPr>
                    <w:pStyle w:val="37"/>
                  </w:pPr>
                  <w:bookmarkStart w:id="284" w:name="_Hlk116387236"/>
                  <w:r>
                    <w:t>序号</w:t>
                  </w:r>
                </w:p>
              </w:tc>
              <w:tc>
                <w:tcPr>
                  <w:tcW w:w="2610" w:type="dxa"/>
                  <w:vAlign w:val="center"/>
                </w:tcPr>
                <w:p>
                  <w:pPr>
                    <w:pStyle w:val="37"/>
                  </w:pPr>
                  <w:r>
                    <w:t>污染物</w:t>
                  </w:r>
                </w:p>
              </w:tc>
              <w:tc>
                <w:tcPr>
                  <w:tcW w:w="2644" w:type="dxa"/>
                  <w:vAlign w:val="center"/>
                </w:tcPr>
                <w:p>
                  <w:pPr>
                    <w:pStyle w:val="37"/>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611" w:type="dxa"/>
                  <w:vAlign w:val="center"/>
                </w:tcPr>
                <w:p>
                  <w:pPr>
                    <w:pStyle w:val="37"/>
                  </w:pPr>
                  <w:r>
                    <w:t>1</w:t>
                  </w:r>
                </w:p>
              </w:tc>
              <w:tc>
                <w:tcPr>
                  <w:tcW w:w="2610" w:type="dxa"/>
                  <w:vAlign w:val="center"/>
                </w:tcPr>
                <w:p>
                  <w:pPr>
                    <w:pStyle w:val="37"/>
                  </w:pPr>
                  <w:r>
                    <w:t>颗粒物</w:t>
                  </w:r>
                </w:p>
              </w:tc>
              <w:tc>
                <w:tcPr>
                  <w:tcW w:w="2644" w:type="dxa"/>
                  <w:vAlign w:val="center"/>
                </w:tcPr>
                <w:p>
                  <w:pPr>
                    <w:pStyle w:val="37"/>
                    <w:rPr>
                      <w:spacing w:val="6"/>
                    </w:rPr>
                  </w:pPr>
                  <w:bookmarkStart w:id="285" w:name="_Hlk107412458"/>
                  <w:r>
                    <w:t>1.</w:t>
                  </w:r>
                  <w:bookmarkEnd w:id="285"/>
                  <w:r>
                    <w:t>22</w:t>
                  </w:r>
                </w:p>
              </w:tc>
            </w:tr>
            <w:bookmarkEnd w:id="284"/>
          </w:tbl>
          <w:p>
            <w:pPr>
              <w:ind w:firstLine="480"/>
            </w:pPr>
            <w:r>
              <w:rPr>
                <w:rFonts w:hint="eastAsia"/>
              </w:rPr>
              <w:t>（4）废气</w:t>
            </w:r>
            <w:r>
              <w:t>监测计划</w:t>
            </w:r>
          </w:p>
          <w:p>
            <w:pPr>
              <w:ind w:firstLine="480"/>
            </w:pPr>
            <w:r>
              <w:rPr>
                <w:rFonts w:hint="eastAsia"/>
              </w:rPr>
              <w:t>依据</w:t>
            </w:r>
            <w:r>
              <w:t>《</w:t>
            </w:r>
            <w:r>
              <w:rPr>
                <w:rFonts w:hint="eastAsia"/>
              </w:rPr>
              <w:t>排污单位自行监测技术指南总则</w:t>
            </w:r>
            <w:r>
              <w:t>》（HJ8</w:t>
            </w:r>
            <w:r>
              <w:rPr>
                <w:rFonts w:hint="eastAsia"/>
              </w:rPr>
              <w:t>19</w:t>
            </w:r>
            <w:r>
              <w:t>-2017）</w:t>
            </w:r>
            <w:r>
              <w:rPr>
                <w:rFonts w:hint="eastAsia"/>
              </w:rPr>
              <w:t>，</w:t>
            </w:r>
            <w:r>
              <w:t>制定</w:t>
            </w:r>
            <w:r>
              <w:rPr>
                <w:rFonts w:hint="eastAsia"/>
              </w:rPr>
              <w:t>本项目营运期厂界无组织颗粒物需采取的自行监测</w:t>
            </w:r>
            <w:r>
              <w:t>计划</w:t>
            </w:r>
            <w:r>
              <w:rPr>
                <w:rFonts w:hint="eastAsia"/>
              </w:rPr>
              <w:t>要求，见表4</w:t>
            </w:r>
            <w:r>
              <w:t>-6。</w:t>
            </w:r>
          </w:p>
          <w:p>
            <w:pPr>
              <w:pStyle w:val="31"/>
            </w:pPr>
            <w:r>
              <w:t>表4-6</w:t>
            </w:r>
            <w:r>
              <w:rPr>
                <w:rFonts w:hint="eastAsia"/>
              </w:rPr>
              <w:t>废气</w:t>
            </w:r>
            <w:r>
              <w:t>污染源监测计划表</w:t>
            </w:r>
          </w:p>
          <w:tbl>
            <w:tblPr>
              <w:tblStyle w:val="17"/>
              <w:tblW w:w="785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1135"/>
              <w:gridCol w:w="1518"/>
              <w:gridCol w:w="1410"/>
              <w:gridCol w:w="1408"/>
              <w:gridCol w:w="23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97" w:hRule="atLeast"/>
                <w:jc w:val="center"/>
              </w:trPr>
              <w:tc>
                <w:tcPr>
                  <w:tcW w:w="1135" w:type="dxa"/>
                  <w:tcBorders>
                    <w:right w:val="single" w:color="auto" w:sz="4" w:space="0"/>
                  </w:tcBorders>
                  <w:vAlign w:val="center"/>
                </w:tcPr>
                <w:p>
                  <w:pPr>
                    <w:pStyle w:val="37"/>
                    <w:jc w:val="center"/>
                  </w:pPr>
                  <w:r>
                    <w:rPr>
                      <w:rFonts w:hint="eastAsia"/>
                    </w:rPr>
                    <w:t>监测时期</w:t>
                  </w:r>
                </w:p>
              </w:tc>
              <w:tc>
                <w:tcPr>
                  <w:tcW w:w="1518" w:type="dxa"/>
                  <w:tcBorders>
                    <w:left w:val="single" w:color="auto" w:sz="4" w:space="0"/>
                  </w:tcBorders>
                  <w:vAlign w:val="center"/>
                </w:tcPr>
                <w:p>
                  <w:pPr>
                    <w:pStyle w:val="37"/>
                    <w:jc w:val="center"/>
                  </w:pPr>
                  <w:r>
                    <w:rPr>
                      <w:rFonts w:hint="eastAsia"/>
                    </w:rPr>
                    <w:t>监测布点</w:t>
                  </w:r>
                </w:p>
              </w:tc>
              <w:tc>
                <w:tcPr>
                  <w:tcW w:w="1410" w:type="dxa"/>
                  <w:vAlign w:val="center"/>
                </w:tcPr>
                <w:p>
                  <w:pPr>
                    <w:pStyle w:val="37"/>
                    <w:jc w:val="center"/>
                  </w:pPr>
                  <w:r>
                    <w:rPr>
                      <w:rFonts w:hint="eastAsia"/>
                    </w:rPr>
                    <w:t>监测指标</w:t>
                  </w:r>
                </w:p>
              </w:tc>
              <w:tc>
                <w:tcPr>
                  <w:tcW w:w="1408" w:type="dxa"/>
                  <w:vAlign w:val="center"/>
                </w:tcPr>
                <w:p>
                  <w:pPr>
                    <w:pStyle w:val="37"/>
                    <w:jc w:val="center"/>
                  </w:pPr>
                  <w:r>
                    <w:rPr>
                      <w:rFonts w:hint="eastAsia"/>
                    </w:rPr>
                    <w:t>最低监测频次</w:t>
                  </w:r>
                </w:p>
              </w:tc>
              <w:tc>
                <w:tcPr>
                  <w:tcW w:w="2388" w:type="dxa"/>
                  <w:vAlign w:val="center"/>
                </w:tcPr>
                <w:p>
                  <w:pPr>
                    <w:pStyle w:val="37"/>
                    <w:jc w:val="center"/>
                  </w:pPr>
                  <w:r>
                    <w:rPr>
                      <w:rFonts w:hint="eastAsia"/>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97" w:hRule="atLeast"/>
                <w:jc w:val="center"/>
              </w:trPr>
              <w:tc>
                <w:tcPr>
                  <w:tcW w:w="1135" w:type="dxa"/>
                  <w:tcBorders>
                    <w:right w:val="single" w:color="auto" w:sz="4" w:space="0"/>
                  </w:tcBorders>
                  <w:vAlign w:val="center"/>
                </w:tcPr>
                <w:p>
                  <w:pPr>
                    <w:pStyle w:val="37"/>
                    <w:jc w:val="center"/>
                  </w:pPr>
                  <w:r>
                    <w:rPr>
                      <w:rFonts w:hint="eastAsia"/>
                    </w:rPr>
                    <w:t>营运期</w:t>
                  </w:r>
                </w:p>
              </w:tc>
              <w:tc>
                <w:tcPr>
                  <w:tcW w:w="1518" w:type="dxa"/>
                  <w:tcBorders>
                    <w:left w:val="single" w:color="auto" w:sz="4" w:space="0"/>
                  </w:tcBorders>
                  <w:vAlign w:val="center"/>
                </w:tcPr>
                <w:p>
                  <w:pPr>
                    <w:pStyle w:val="37"/>
                    <w:jc w:val="center"/>
                  </w:pPr>
                  <w:r>
                    <w:rPr>
                      <w:rFonts w:hint="eastAsia"/>
                    </w:rPr>
                    <w:t>厂界</w:t>
                  </w:r>
                </w:p>
              </w:tc>
              <w:tc>
                <w:tcPr>
                  <w:tcW w:w="1410" w:type="dxa"/>
                  <w:vAlign w:val="center"/>
                </w:tcPr>
                <w:p>
                  <w:pPr>
                    <w:pStyle w:val="37"/>
                    <w:jc w:val="center"/>
                  </w:pPr>
                  <w:r>
                    <w:rPr>
                      <w:rFonts w:hint="eastAsia"/>
                    </w:rPr>
                    <w:t>颗粒物</w:t>
                  </w:r>
                </w:p>
              </w:tc>
              <w:tc>
                <w:tcPr>
                  <w:tcW w:w="1408" w:type="dxa"/>
                  <w:vAlign w:val="center"/>
                </w:tcPr>
                <w:p>
                  <w:pPr>
                    <w:pStyle w:val="37"/>
                    <w:jc w:val="center"/>
                  </w:pPr>
                  <w:r>
                    <w:rPr>
                      <w:rFonts w:hint="eastAsia"/>
                    </w:rPr>
                    <w:t>1次/年</w:t>
                  </w:r>
                </w:p>
              </w:tc>
              <w:tc>
                <w:tcPr>
                  <w:tcW w:w="2388" w:type="dxa"/>
                  <w:vAlign w:val="center"/>
                </w:tcPr>
                <w:p>
                  <w:pPr>
                    <w:pStyle w:val="37"/>
                    <w:jc w:val="center"/>
                  </w:pPr>
                  <w:r>
                    <w:rPr>
                      <w:rFonts w:hint="eastAsia"/>
                    </w:rPr>
                    <w:t>《煤炭工业污染物排放标准》（G</w:t>
                  </w:r>
                  <w:r>
                    <w:t>B20426-2006</w:t>
                  </w:r>
                  <w:r>
                    <w:rPr>
                      <w:rFonts w:hint="eastAsia"/>
                    </w:rPr>
                    <w:t>）</w:t>
                  </w:r>
                </w:p>
              </w:tc>
            </w:tr>
          </w:tbl>
          <w:p>
            <w:pPr>
              <w:pStyle w:val="4"/>
            </w:pPr>
            <w:bookmarkStart w:id="286" w:name="_Toc107409332"/>
            <w:bookmarkStart w:id="287" w:name="_Toc106531361"/>
            <w:bookmarkStart w:id="288" w:name="_Toc107343596"/>
            <w:bookmarkStart w:id="289" w:name="_Toc116339942"/>
            <w:bookmarkStart w:id="290" w:name="_Toc107415686"/>
            <w:bookmarkStart w:id="291" w:name="_Toc107343410"/>
            <w:r>
              <w:rPr>
                <w:rFonts w:cs="Times New Roman"/>
                <w:szCs w:val="21"/>
              </w:rPr>
              <w:t>3</w:t>
            </w:r>
            <w:r>
              <w:rPr>
                <w:rFonts w:hint="eastAsia" w:cs="Times New Roman"/>
                <w:szCs w:val="21"/>
              </w:rPr>
              <w:t>、</w:t>
            </w:r>
            <w:r>
              <w:t>声环境影响和保护措施</w:t>
            </w:r>
            <w:bookmarkEnd w:id="286"/>
            <w:bookmarkEnd w:id="287"/>
            <w:bookmarkEnd w:id="288"/>
            <w:bookmarkEnd w:id="289"/>
            <w:bookmarkEnd w:id="290"/>
            <w:bookmarkEnd w:id="291"/>
          </w:p>
          <w:p>
            <w:pPr>
              <w:ind w:firstLine="480"/>
              <w:rPr>
                <w:u w:val="single"/>
              </w:rPr>
            </w:pPr>
            <w:r>
              <w:rPr>
                <w:rFonts w:hint="eastAsia"/>
                <w:u w:val="single"/>
              </w:rPr>
              <w:t>（1）</w:t>
            </w:r>
            <w:r>
              <w:rPr>
                <w:u w:val="single"/>
              </w:rPr>
              <w:t>噪声污染源分析</w:t>
            </w:r>
          </w:p>
          <w:p>
            <w:pPr>
              <w:ind w:firstLine="480"/>
              <w:rPr>
                <w:u w:val="single"/>
              </w:rPr>
            </w:pPr>
            <w:r>
              <w:rPr>
                <w:rFonts w:hint="eastAsia"/>
                <w:u w:val="single"/>
              </w:rPr>
              <w:t>项目的噪声来源于破碎机、筛分机、蜂窝煤成型机等，</w:t>
            </w:r>
            <w:r>
              <w:rPr>
                <w:rFonts w:hint="eastAsia"/>
                <w:szCs w:val="21"/>
                <w:u w:val="single"/>
              </w:rPr>
              <w:t>设备</w:t>
            </w:r>
            <w:r>
              <w:rPr>
                <w:rFonts w:hint="eastAsia"/>
                <w:u w:val="single"/>
              </w:rPr>
              <w:t>噪声源强及降噪措施详见下表：</w:t>
            </w:r>
          </w:p>
          <w:p>
            <w:pPr>
              <w:pStyle w:val="31"/>
              <w:rPr>
                <w:u w:val="single"/>
              </w:rPr>
            </w:pPr>
            <w:r>
              <w:rPr>
                <w:rFonts w:hint="eastAsia"/>
                <w:u w:val="single"/>
              </w:rPr>
              <w:t>表4</w:t>
            </w:r>
            <w:r>
              <w:rPr>
                <w:u w:val="single"/>
              </w:rPr>
              <w:t>-7</w:t>
            </w:r>
            <w:r>
              <w:rPr>
                <w:rFonts w:hint="eastAsia"/>
                <w:u w:val="single"/>
              </w:rPr>
              <w:t>主要设备噪声源强一览表</w:t>
            </w:r>
          </w:p>
          <w:tbl>
            <w:tblPr>
              <w:tblStyle w:val="17"/>
              <w:tblW w:w="785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
            <w:tblGrid>
              <w:gridCol w:w="1205"/>
              <w:gridCol w:w="449"/>
              <w:gridCol w:w="1210"/>
              <w:gridCol w:w="453"/>
              <w:gridCol w:w="563"/>
              <w:gridCol w:w="453"/>
              <w:gridCol w:w="453"/>
              <w:gridCol w:w="1119"/>
              <w:gridCol w:w="1001"/>
              <w:gridCol w:w="9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Merge w:val="restart"/>
                  <w:vAlign w:val="center"/>
                </w:tcPr>
                <w:p>
                  <w:pPr>
                    <w:pStyle w:val="37"/>
                    <w:jc w:val="center"/>
                    <w:rPr>
                      <w:u w:val="none"/>
                    </w:rPr>
                  </w:pPr>
                  <w:r>
                    <w:rPr>
                      <w:rFonts w:hint="eastAsia"/>
                      <w:u w:val="none"/>
                    </w:rPr>
                    <w:t>设备名称</w:t>
                  </w:r>
                </w:p>
              </w:tc>
              <w:tc>
                <w:tcPr>
                  <w:tcW w:w="449" w:type="dxa"/>
                  <w:vMerge w:val="restart"/>
                  <w:vAlign w:val="center"/>
                </w:tcPr>
                <w:p>
                  <w:pPr>
                    <w:pStyle w:val="37"/>
                    <w:jc w:val="center"/>
                    <w:rPr>
                      <w:u w:val="none"/>
                    </w:rPr>
                  </w:pPr>
                  <w:r>
                    <w:rPr>
                      <w:rFonts w:hint="eastAsia"/>
                      <w:u w:val="none"/>
                    </w:rPr>
                    <w:t>数量</w:t>
                  </w:r>
                </w:p>
              </w:tc>
              <w:tc>
                <w:tcPr>
                  <w:tcW w:w="1210" w:type="dxa"/>
                  <w:vMerge w:val="restart"/>
                  <w:vAlign w:val="center"/>
                </w:tcPr>
                <w:p>
                  <w:pPr>
                    <w:pStyle w:val="37"/>
                    <w:jc w:val="center"/>
                    <w:rPr>
                      <w:u w:val="none"/>
                    </w:rPr>
                  </w:pPr>
                  <w:r>
                    <w:rPr>
                      <w:rFonts w:hint="eastAsia"/>
                      <w:u w:val="none"/>
                    </w:rPr>
                    <w:t>噪声值</w:t>
                  </w:r>
                </w:p>
                <w:p>
                  <w:pPr>
                    <w:pStyle w:val="37"/>
                    <w:jc w:val="center"/>
                    <w:rPr>
                      <w:u w:val="none"/>
                    </w:rPr>
                  </w:pPr>
                  <w:r>
                    <w:rPr>
                      <w:rFonts w:hint="eastAsia"/>
                      <w:u w:val="none"/>
                    </w:rPr>
                    <w:t>dB（</w:t>
                  </w:r>
                  <w:r>
                    <w:rPr>
                      <w:u w:val="none"/>
                    </w:rPr>
                    <w:t>A</w:t>
                  </w:r>
                  <w:r>
                    <w:rPr>
                      <w:rFonts w:hint="eastAsia"/>
                      <w:u w:val="none"/>
                    </w:rPr>
                    <w:t>）</w:t>
                  </w:r>
                </w:p>
              </w:tc>
              <w:tc>
                <w:tcPr>
                  <w:tcW w:w="3041" w:type="dxa"/>
                  <w:gridSpan w:val="5"/>
                  <w:vAlign w:val="center"/>
                </w:tcPr>
                <w:p>
                  <w:pPr>
                    <w:pStyle w:val="37"/>
                    <w:jc w:val="center"/>
                    <w:rPr>
                      <w:u w:val="none"/>
                    </w:rPr>
                  </w:pPr>
                  <w:r>
                    <w:rPr>
                      <w:rFonts w:hint="eastAsia"/>
                      <w:u w:val="none"/>
                    </w:rPr>
                    <w:t>距厂界最近距离（m）</w:t>
                  </w:r>
                </w:p>
              </w:tc>
              <w:tc>
                <w:tcPr>
                  <w:tcW w:w="1001" w:type="dxa"/>
                  <w:vMerge w:val="restart"/>
                  <w:vAlign w:val="center"/>
                </w:tcPr>
                <w:p>
                  <w:pPr>
                    <w:pStyle w:val="37"/>
                    <w:jc w:val="center"/>
                    <w:rPr>
                      <w:u w:val="none"/>
                    </w:rPr>
                  </w:pPr>
                  <w:r>
                    <w:rPr>
                      <w:rFonts w:hint="eastAsia"/>
                      <w:u w:val="none"/>
                    </w:rPr>
                    <w:t>治理措施</w:t>
                  </w:r>
                </w:p>
              </w:tc>
              <w:tc>
                <w:tcPr>
                  <w:tcW w:w="953" w:type="dxa"/>
                  <w:vMerge w:val="restart"/>
                  <w:vAlign w:val="center"/>
                </w:tcPr>
                <w:p>
                  <w:pPr>
                    <w:pStyle w:val="37"/>
                    <w:jc w:val="center"/>
                    <w:rPr>
                      <w:u w:val="none"/>
                    </w:rPr>
                  </w:pPr>
                  <w:r>
                    <w:rPr>
                      <w:rFonts w:hint="eastAsia"/>
                      <w:u w:val="none"/>
                    </w:rPr>
                    <w:t>降噪效果dB</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Merge w:val="continue"/>
                  <w:vAlign w:val="center"/>
                </w:tcPr>
                <w:p>
                  <w:pPr>
                    <w:pStyle w:val="37"/>
                    <w:jc w:val="center"/>
                    <w:rPr>
                      <w:u w:val="none"/>
                    </w:rPr>
                  </w:pPr>
                </w:p>
              </w:tc>
              <w:tc>
                <w:tcPr>
                  <w:tcW w:w="449" w:type="dxa"/>
                  <w:vMerge w:val="continue"/>
                  <w:vAlign w:val="center"/>
                </w:tcPr>
                <w:p>
                  <w:pPr>
                    <w:pStyle w:val="37"/>
                    <w:jc w:val="center"/>
                    <w:rPr>
                      <w:u w:val="none"/>
                    </w:rPr>
                  </w:pPr>
                </w:p>
              </w:tc>
              <w:tc>
                <w:tcPr>
                  <w:tcW w:w="1210" w:type="dxa"/>
                  <w:vMerge w:val="continue"/>
                  <w:vAlign w:val="center"/>
                </w:tcPr>
                <w:p>
                  <w:pPr>
                    <w:pStyle w:val="37"/>
                    <w:jc w:val="center"/>
                    <w:rPr>
                      <w:u w:val="none"/>
                    </w:rPr>
                  </w:pPr>
                </w:p>
              </w:tc>
              <w:tc>
                <w:tcPr>
                  <w:tcW w:w="453" w:type="dxa"/>
                  <w:vAlign w:val="center"/>
                </w:tcPr>
                <w:p>
                  <w:pPr>
                    <w:pStyle w:val="37"/>
                    <w:jc w:val="center"/>
                    <w:rPr>
                      <w:u w:val="none"/>
                    </w:rPr>
                  </w:pPr>
                  <w:r>
                    <w:rPr>
                      <w:rFonts w:hint="eastAsia"/>
                      <w:u w:val="none"/>
                    </w:rPr>
                    <w:t>E</w:t>
                  </w:r>
                </w:p>
              </w:tc>
              <w:tc>
                <w:tcPr>
                  <w:tcW w:w="563" w:type="dxa"/>
                  <w:vAlign w:val="center"/>
                </w:tcPr>
                <w:p>
                  <w:pPr>
                    <w:pStyle w:val="37"/>
                    <w:jc w:val="center"/>
                    <w:rPr>
                      <w:u w:val="none"/>
                    </w:rPr>
                  </w:pPr>
                  <w:r>
                    <w:rPr>
                      <w:rFonts w:hint="eastAsia"/>
                      <w:u w:val="none"/>
                    </w:rPr>
                    <w:t>S</w:t>
                  </w:r>
                </w:p>
              </w:tc>
              <w:tc>
                <w:tcPr>
                  <w:tcW w:w="453" w:type="dxa"/>
                  <w:vAlign w:val="center"/>
                </w:tcPr>
                <w:p>
                  <w:pPr>
                    <w:pStyle w:val="37"/>
                    <w:jc w:val="center"/>
                    <w:rPr>
                      <w:u w:val="none"/>
                    </w:rPr>
                  </w:pPr>
                  <w:r>
                    <w:rPr>
                      <w:rFonts w:hint="eastAsia"/>
                      <w:u w:val="none"/>
                    </w:rPr>
                    <w:t>W</w:t>
                  </w:r>
                </w:p>
              </w:tc>
              <w:tc>
                <w:tcPr>
                  <w:tcW w:w="453" w:type="dxa"/>
                  <w:vAlign w:val="center"/>
                </w:tcPr>
                <w:p>
                  <w:pPr>
                    <w:pStyle w:val="37"/>
                    <w:jc w:val="center"/>
                    <w:rPr>
                      <w:u w:val="none"/>
                    </w:rPr>
                  </w:pPr>
                  <w:r>
                    <w:rPr>
                      <w:rFonts w:hint="eastAsia"/>
                      <w:u w:val="none"/>
                    </w:rPr>
                    <w:t>N</w:t>
                  </w:r>
                </w:p>
              </w:tc>
              <w:tc>
                <w:tcPr>
                  <w:tcW w:w="1119" w:type="dxa"/>
                  <w:vAlign w:val="center"/>
                </w:tcPr>
                <w:p>
                  <w:pPr>
                    <w:pStyle w:val="37"/>
                    <w:jc w:val="center"/>
                    <w:rPr>
                      <w:u w:val="none"/>
                    </w:rPr>
                  </w:pPr>
                  <w:r>
                    <w:rPr>
                      <w:rFonts w:hint="eastAsia"/>
                      <w:u w:val="none"/>
                    </w:rPr>
                    <w:t>宁家坪镇居民点</w:t>
                  </w:r>
                </w:p>
              </w:tc>
              <w:tc>
                <w:tcPr>
                  <w:tcW w:w="1001" w:type="dxa"/>
                  <w:vMerge w:val="continue"/>
                  <w:vAlign w:val="center"/>
                </w:tcPr>
                <w:p>
                  <w:pPr>
                    <w:pStyle w:val="37"/>
                    <w:jc w:val="center"/>
                    <w:rPr>
                      <w:u w:val="none"/>
                    </w:rPr>
                  </w:pPr>
                </w:p>
              </w:tc>
              <w:tc>
                <w:tcPr>
                  <w:tcW w:w="953" w:type="dxa"/>
                  <w:vMerge w:val="continue"/>
                  <w:vAlign w:val="center"/>
                </w:tcPr>
                <w:p>
                  <w:pPr>
                    <w:pStyle w:val="37"/>
                    <w:jc w:val="center"/>
                    <w:rPr>
                      <w:u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Align w:val="center"/>
                </w:tcPr>
                <w:p>
                  <w:pPr>
                    <w:pStyle w:val="37"/>
                    <w:jc w:val="center"/>
                    <w:rPr>
                      <w:u w:val="none"/>
                    </w:rPr>
                  </w:pPr>
                  <w:r>
                    <w:rPr>
                      <w:rFonts w:hint="eastAsia"/>
                      <w:u w:val="none"/>
                    </w:rPr>
                    <w:t>破碎机</w:t>
                  </w:r>
                </w:p>
              </w:tc>
              <w:tc>
                <w:tcPr>
                  <w:tcW w:w="449" w:type="dxa"/>
                  <w:vAlign w:val="center"/>
                </w:tcPr>
                <w:p>
                  <w:pPr>
                    <w:pStyle w:val="37"/>
                    <w:jc w:val="center"/>
                    <w:rPr>
                      <w:u w:val="none"/>
                    </w:rPr>
                  </w:pPr>
                  <w:r>
                    <w:rPr>
                      <w:u w:val="none"/>
                    </w:rPr>
                    <w:t>2</w:t>
                  </w:r>
                </w:p>
              </w:tc>
              <w:tc>
                <w:tcPr>
                  <w:tcW w:w="1210" w:type="dxa"/>
                  <w:vAlign w:val="center"/>
                </w:tcPr>
                <w:p>
                  <w:pPr>
                    <w:pStyle w:val="37"/>
                    <w:jc w:val="center"/>
                    <w:rPr>
                      <w:u w:val="none"/>
                    </w:rPr>
                  </w:pPr>
                  <w:r>
                    <w:rPr>
                      <w:u w:val="none"/>
                    </w:rPr>
                    <w:t>100</w:t>
                  </w:r>
                </w:p>
              </w:tc>
              <w:tc>
                <w:tcPr>
                  <w:tcW w:w="453" w:type="dxa"/>
                  <w:vAlign w:val="center"/>
                </w:tcPr>
                <w:p>
                  <w:pPr>
                    <w:pStyle w:val="37"/>
                    <w:jc w:val="center"/>
                    <w:rPr>
                      <w:u w:val="none"/>
                    </w:rPr>
                  </w:pPr>
                  <w:r>
                    <w:rPr>
                      <w:rFonts w:hint="eastAsia"/>
                      <w:u w:val="none"/>
                    </w:rPr>
                    <w:t>6</w:t>
                  </w:r>
                  <w:r>
                    <w:rPr>
                      <w:u w:val="none"/>
                    </w:rPr>
                    <w:t>0</w:t>
                  </w:r>
                </w:p>
              </w:tc>
              <w:tc>
                <w:tcPr>
                  <w:tcW w:w="563" w:type="dxa"/>
                  <w:vAlign w:val="center"/>
                </w:tcPr>
                <w:p>
                  <w:pPr>
                    <w:pStyle w:val="37"/>
                    <w:jc w:val="center"/>
                    <w:rPr>
                      <w:u w:val="none"/>
                    </w:rPr>
                  </w:pPr>
                  <w:r>
                    <w:rPr>
                      <w:rFonts w:hint="eastAsia"/>
                      <w:u w:val="none"/>
                    </w:rPr>
                    <w:t>1</w:t>
                  </w:r>
                  <w:r>
                    <w:rPr>
                      <w:u w:val="none"/>
                    </w:rPr>
                    <w:t>17</w:t>
                  </w:r>
                </w:p>
              </w:tc>
              <w:tc>
                <w:tcPr>
                  <w:tcW w:w="453" w:type="dxa"/>
                  <w:vAlign w:val="center"/>
                </w:tcPr>
                <w:p>
                  <w:pPr>
                    <w:pStyle w:val="37"/>
                    <w:jc w:val="center"/>
                    <w:rPr>
                      <w:u w:val="none"/>
                    </w:rPr>
                  </w:pPr>
                  <w:r>
                    <w:rPr>
                      <w:rFonts w:hint="eastAsia"/>
                      <w:u w:val="none"/>
                    </w:rPr>
                    <w:t>4</w:t>
                  </w:r>
                  <w:r>
                    <w:rPr>
                      <w:u w:val="none"/>
                    </w:rPr>
                    <w:t>0</w:t>
                  </w:r>
                </w:p>
              </w:tc>
              <w:tc>
                <w:tcPr>
                  <w:tcW w:w="453" w:type="dxa"/>
                  <w:vAlign w:val="center"/>
                </w:tcPr>
                <w:p>
                  <w:pPr>
                    <w:pStyle w:val="37"/>
                    <w:jc w:val="center"/>
                    <w:rPr>
                      <w:u w:val="none"/>
                    </w:rPr>
                  </w:pPr>
                  <w:r>
                    <w:rPr>
                      <w:rFonts w:hint="eastAsia"/>
                      <w:u w:val="none"/>
                    </w:rPr>
                    <w:t>2</w:t>
                  </w:r>
                  <w:r>
                    <w:rPr>
                      <w:u w:val="none"/>
                    </w:rPr>
                    <w:t>0</w:t>
                  </w:r>
                </w:p>
              </w:tc>
              <w:tc>
                <w:tcPr>
                  <w:tcW w:w="1119" w:type="dxa"/>
                  <w:vAlign w:val="center"/>
                </w:tcPr>
                <w:p>
                  <w:pPr>
                    <w:pStyle w:val="37"/>
                    <w:jc w:val="center"/>
                    <w:rPr>
                      <w:u w:val="none"/>
                    </w:rPr>
                  </w:pPr>
                  <w:r>
                    <w:rPr>
                      <w:rFonts w:hint="eastAsia"/>
                      <w:u w:val="none"/>
                    </w:rPr>
                    <w:t>8</w:t>
                  </w:r>
                  <w:r>
                    <w:rPr>
                      <w:u w:val="none"/>
                    </w:rPr>
                    <w:t>0</w:t>
                  </w:r>
                </w:p>
              </w:tc>
              <w:tc>
                <w:tcPr>
                  <w:tcW w:w="1001" w:type="dxa"/>
                  <w:vAlign w:val="center"/>
                </w:tcPr>
                <w:p>
                  <w:pPr>
                    <w:pStyle w:val="37"/>
                    <w:jc w:val="center"/>
                    <w:rPr>
                      <w:u w:val="none"/>
                    </w:rPr>
                  </w:pPr>
                  <w:r>
                    <w:rPr>
                      <w:rFonts w:hint="eastAsia"/>
                      <w:u w:val="none"/>
                    </w:rPr>
                    <w:t>减震，隔声</w:t>
                  </w:r>
                </w:p>
              </w:tc>
              <w:tc>
                <w:tcPr>
                  <w:tcW w:w="953" w:type="dxa"/>
                  <w:vAlign w:val="center"/>
                </w:tcPr>
                <w:p>
                  <w:pPr>
                    <w:pStyle w:val="37"/>
                    <w:jc w:val="center"/>
                    <w:rPr>
                      <w:u w:val="none"/>
                    </w:rPr>
                  </w:pPr>
                  <w:r>
                    <w:rPr>
                      <w:u w:val="none"/>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Align w:val="center"/>
                </w:tcPr>
                <w:p>
                  <w:pPr>
                    <w:pStyle w:val="37"/>
                    <w:jc w:val="center"/>
                    <w:rPr>
                      <w:u w:val="none"/>
                    </w:rPr>
                  </w:pPr>
                  <w:r>
                    <w:rPr>
                      <w:rFonts w:hint="eastAsia"/>
                      <w:u w:val="none"/>
                    </w:rPr>
                    <w:t>筛分机</w:t>
                  </w:r>
                </w:p>
              </w:tc>
              <w:tc>
                <w:tcPr>
                  <w:tcW w:w="449" w:type="dxa"/>
                  <w:vAlign w:val="center"/>
                </w:tcPr>
                <w:p>
                  <w:pPr>
                    <w:pStyle w:val="37"/>
                    <w:jc w:val="center"/>
                    <w:rPr>
                      <w:u w:val="none"/>
                    </w:rPr>
                  </w:pPr>
                  <w:r>
                    <w:rPr>
                      <w:u w:val="none"/>
                    </w:rPr>
                    <w:t>2</w:t>
                  </w:r>
                </w:p>
              </w:tc>
              <w:tc>
                <w:tcPr>
                  <w:tcW w:w="1210" w:type="dxa"/>
                  <w:vAlign w:val="center"/>
                </w:tcPr>
                <w:p>
                  <w:pPr>
                    <w:pStyle w:val="37"/>
                    <w:jc w:val="center"/>
                    <w:rPr>
                      <w:u w:val="none"/>
                    </w:rPr>
                  </w:pPr>
                  <w:r>
                    <w:rPr>
                      <w:rFonts w:hint="eastAsia"/>
                      <w:u w:val="none"/>
                    </w:rPr>
                    <w:t>9</w:t>
                  </w:r>
                  <w:r>
                    <w:rPr>
                      <w:u w:val="none"/>
                    </w:rPr>
                    <w:t>5</w:t>
                  </w:r>
                </w:p>
              </w:tc>
              <w:tc>
                <w:tcPr>
                  <w:tcW w:w="453" w:type="dxa"/>
                  <w:vAlign w:val="center"/>
                </w:tcPr>
                <w:p>
                  <w:pPr>
                    <w:pStyle w:val="37"/>
                    <w:jc w:val="center"/>
                    <w:rPr>
                      <w:u w:val="none"/>
                    </w:rPr>
                  </w:pPr>
                  <w:r>
                    <w:rPr>
                      <w:rFonts w:hint="eastAsia"/>
                      <w:u w:val="none"/>
                    </w:rPr>
                    <w:t>4</w:t>
                  </w:r>
                  <w:r>
                    <w:rPr>
                      <w:u w:val="none"/>
                    </w:rPr>
                    <w:t>0</w:t>
                  </w:r>
                </w:p>
              </w:tc>
              <w:tc>
                <w:tcPr>
                  <w:tcW w:w="563" w:type="dxa"/>
                  <w:vAlign w:val="center"/>
                </w:tcPr>
                <w:p>
                  <w:pPr>
                    <w:pStyle w:val="37"/>
                    <w:jc w:val="center"/>
                    <w:rPr>
                      <w:u w:val="none"/>
                    </w:rPr>
                  </w:pPr>
                  <w:r>
                    <w:rPr>
                      <w:rFonts w:hint="eastAsia"/>
                      <w:u w:val="none"/>
                    </w:rPr>
                    <w:t>1</w:t>
                  </w:r>
                  <w:r>
                    <w:rPr>
                      <w:u w:val="none"/>
                    </w:rPr>
                    <w:t>20</w:t>
                  </w:r>
                </w:p>
              </w:tc>
              <w:tc>
                <w:tcPr>
                  <w:tcW w:w="453" w:type="dxa"/>
                  <w:vAlign w:val="center"/>
                </w:tcPr>
                <w:p>
                  <w:pPr>
                    <w:pStyle w:val="37"/>
                    <w:jc w:val="center"/>
                    <w:rPr>
                      <w:u w:val="none"/>
                    </w:rPr>
                  </w:pPr>
                  <w:r>
                    <w:rPr>
                      <w:u w:val="none"/>
                    </w:rPr>
                    <w:t>63</w:t>
                  </w:r>
                </w:p>
              </w:tc>
              <w:tc>
                <w:tcPr>
                  <w:tcW w:w="453" w:type="dxa"/>
                  <w:vAlign w:val="center"/>
                </w:tcPr>
                <w:p>
                  <w:pPr>
                    <w:pStyle w:val="37"/>
                    <w:jc w:val="center"/>
                    <w:rPr>
                      <w:u w:val="none"/>
                    </w:rPr>
                  </w:pPr>
                  <w:r>
                    <w:rPr>
                      <w:rFonts w:hint="eastAsia"/>
                      <w:u w:val="none"/>
                    </w:rPr>
                    <w:t>2</w:t>
                  </w:r>
                  <w:r>
                    <w:rPr>
                      <w:u w:val="none"/>
                    </w:rPr>
                    <w:t>0</w:t>
                  </w:r>
                </w:p>
              </w:tc>
              <w:tc>
                <w:tcPr>
                  <w:tcW w:w="1119" w:type="dxa"/>
                  <w:vAlign w:val="center"/>
                </w:tcPr>
                <w:p>
                  <w:pPr>
                    <w:pStyle w:val="37"/>
                    <w:jc w:val="center"/>
                    <w:rPr>
                      <w:u w:val="none"/>
                    </w:rPr>
                  </w:pPr>
                  <w:r>
                    <w:rPr>
                      <w:rFonts w:hint="eastAsia"/>
                      <w:u w:val="none"/>
                    </w:rPr>
                    <w:t>8</w:t>
                  </w:r>
                  <w:r>
                    <w:rPr>
                      <w:u w:val="none"/>
                    </w:rPr>
                    <w:t>0</w:t>
                  </w:r>
                </w:p>
              </w:tc>
              <w:tc>
                <w:tcPr>
                  <w:tcW w:w="1001" w:type="dxa"/>
                  <w:vAlign w:val="center"/>
                </w:tcPr>
                <w:p>
                  <w:pPr>
                    <w:pStyle w:val="37"/>
                    <w:jc w:val="center"/>
                    <w:rPr>
                      <w:u w:val="none"/>
                    </w:rPr>
                  </w:pPr>
                  <w:r>
                    <w:rPr>
                      <w:rFonts w:hint="eastAsia"/>
                      <w:u w:val="none"/>
                    </w:rPr>
                    <w:t>减震，隔声</w:t>
                  </w:r>
                </w:p>
              </w:tc>
              <w:tc>
                <w:tcPr>
                  <w:tcW w:w="953" w:type="dxa"/>
                  <w:vAlign w:val="center"/>
                </w:tcPr>
                <w:p>
                  <w:pPr>
                    <w:pStyle w:val="37"/>
                    <w:jc w:val="center"/>
                    <w:rPr>
                      <w:u w:val="none"/>
                    </w:rPr>
                  </w:pPr>
                  <w:r>
                    <w:rPr>
                      <w:u w:val="none"/>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Align w:val="center"/>
                </w:tcPr>
                <w:p>
                  <w:pPr>
                    <w:pStyle w:val="37"/>
                    <w:jc w:val="center"/>
                    <w:rPr>
                      <w:u w:val="none"/>
                    </w:rPr>
                  </w:pPr>
                  <w:r>
                    <w:rPr>
                      <w:rFonts w:hint="eastAsia"/>
                      <w:u w:val="none"/>
                    </w:rPr>
                    <w:t>蜂窝煤成型机</w:t>
                  </w:r>
                </w:p>
              </w:tc>
              <w:tc>
                <w:tcPr>
                  <w:tcW w:w="449" w:type="dxa"/>
                  <w:vAlign w:val="center"/>
                </w:tcPr>
                <w:p>
                  <w:pPr>
                    <w:pStyle w:val="37"/>
                    <w:jc w:val="center"/>
                    <w:rPr>
                      <w:u w:val="none"/>
                    </w:rPr>
                  </w:pPr>
                  <w:r>
                    <w:rPr>
                      <w:rFonts w:hint="eastAsia"/>
                      <w:u w:val="none"/>
                    </w:rPr>
                    <w:t>6</w:t>
                  </w:r>
                </w:p>
              </w:tc>
              <w:tc>
                <w:tcPr>
                  <w:tcW w:w="1210" w:type="dxa"/>
                  <w:vAlign w:val="center"/>
                </w:tcPr>
                <w:p>
                  <w:pPr>
                    <w:pStyle w:val="37"/>
                    <w:jc w:val="center"/>
                    <w:rPr>
                      <w:u w:val="none"/>
                    </w:rPr>
                  </w:pPr>
                  <w:r>
                    <w:rPr>
                      <w:rFonts w:hint="eastAsia"/>
                      <w:u w:val="none"/>
                    </w:rPr>
                    <w:t>8</w:t>
                  </w:r>
                  <w:r>
                    <w:rPr>
                      <w:u w:val="none"/>
                    </w:rPr>
                    <w:t>0</w:t>
                  </w:r>
                </w:p>
              </w:tc>
              <w:tc>
                <w:tcPr>
                  <w:tcW w:w="453" w:type="dxa"/>
                  <w:vAlign w:val="center"/>
                </w:tcPr>
                <w:p>
                  <w:pPr>
                    <w:pStyle w:val="37"/>
                    <w:jc w:val="center"/>
                    <w:rPr>
                      <w:u w:val="none"/>
                    </w:rPr>
                  </w:pPr>
                  <w:r>
                    <w:rPr>
                      <w:rFonts w:hint="eastAsia"/>
                      <w:u w:val="none"/>
                    </w:rPr>
                    <w:t>5</w:t>
                  </w:r>
                  <w:r>
                    <w:rPr>
                      <w:u w:val="none"/>
                    </w:rPr>
                    <w:t>4</w:t>
                  </w:r>
                </w:p>
              </w:tc>
              <w:tc>
                <w:tcPr>
                  <w:tcW w:w="563" w:type="dxa"/>
                  <w:vAlign w:val="center"/>
                </w:tcPr>
                <w:p>
                  <w:pPr>
                    <w:pStyle w:val="37"/>
                    <w:jc w:val="center"/>
                    <w:rPr>
                      <w:u w:val="none"/>
                    </w:rPr>
                  </w:pPr>
                  <w:r>
                    <w:rPr>
                      <w:rFonts w:hint="eastAsia"/>
                      <w:u w:val="none"/>
                    </w:rPr>
                    <w:t>1</w:t>
                  </w:r>
                  <w:r>
                    <w:rPr>
                      <w:u w:val="none"/>
                    </w:rPr>
                    <w:t>00</w:t>
                  </w:r>
                </w:p>
              </w:tc>
              <w:tc>
                <w:tcPr>
                  <w:tcW w:w="453" w:type="dxa"/>
                  <w:vAlign w:val="center"/>
                </w:tcPr>
                <w:p>
                  <w:pPr>
                    <w:pStyle w:val="37"/>
                    <w:jc w:val="center"/>
                    <w:rPr>
                      <w:u w:val="none"/>
                    </w:rPr>
                  </w:pPr>
                  <w:r>
                    <w:rPr>
                      <w:rFonts w:hint="eastAsia"/>
                      <w:u w:val="none"/>
                    </w:rPr>
                    <w:t>4</w:t>
                  </w:r>
                  <w:r>
                    <w:rPr>
                      <w:u w:val="none"/>
                    </w:rPr>
                    <w:t>0</w:t>
                  </w:r>
                </w:p>
              </w:tc>
              <w:tc>
                <w:tcPr>
                  <w:tcW w:w="453" w:type="dxa"/>
                  <w:vAlign w:val="center"/>
                </w:tcPr>
                <w:p>
                  <w:pPr>
                    <w:pStyle w:val="37"/>
                    <w:jc w:val="center"/>
                    <w:rPr>
                      <w:u w:val="none"/>
                    </w:rPr>
                  </w:pPr>
                  <w:r>
                    <w:rPr>
                      <w:rFonts w:hint="eastAsia"/>
                      <w:u w:val="none"/>
                    </w:rPr>
                    <w:t>5</w:t>
                  </w:r>
                  <w:r>
                    <w:rPr>
                      <w:u w:val="none"/>
                    </w:rPr>
                    <w:t>0</w:t>
                  </w:r>
                </w:p>
              </w:tc>
              <w:tc>
                <w:tcPr>
                  <w:tcW w:w="1119" w:type="dxa"/>
                  <w:vAlign w:val="center"/>
                </w:tcPr>
                <w:p>
                  <w:pPr>
                    <w:pStyle w:val="37"/>
                    <w:jc w:val="center"/>
                    <w:rPr>
                      <w:u w:val="none"/>
                    </w:rPr>
                  </w:pPr>
                  <w:r>
                    <w:rPr>
                      <w:rFonts w:hint="eastAsia"/>
                      <w:u w:val="none"/>
                    </w:rPr>
                    <w:t>7</w:t>
                  </w:r>
                  <w:r>
                    <w:rPr>
                      <w:u w:val="none"/>
                    </w:rPr>
                    <w:t>0</w:t>
                  </w:r>
                </w:p>
              </w:tc>
              <w:tc>
                <w:tcPr>
                  <w:tcW w:w="1001" w:type="dxa"/>
                  <w:vAlign w:val="center"/>
                </w:tcPr>
                <w:p>
                  <w:pPr>
                    <w:pStyle w:val="37"/>
                    <w:jc w:val="center"/>
                    <w:rPr>
                      <w:u w:val="none"/>
                    </w:rPr>
                  </w:pPr>
                  <w:r>
                    <w:rPr>
                      <w:rFonts w:hint="eastAsia"/>
                      <w:u w:val="none"/>
                    </w:rPr>
                    <w:t>减震，隔声</w:t>
                  </w:r>
                </w:p>
              </w:tc>
              <w:tc>
                <w:tcPr>
                  <w:tcW w:w="953" w:type="dxa"/>
                  <w:vAlign w:val="center"/>
                </w:tcPr>
                <w:p>
                  <w:pPr>
                    <w:pStyle w:val="37"/>
                    <w:jc w:val="center"/>
                    <w:rPr>
                      <w:u w:val="none"/>
                    </w:rPr>
                  </w:pPr>
                  <w:r>
                    <w:rPr>
                      <w:u w:val="none"/>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Align w:val="center"/>
                </w:tcPr>
                <w:p>
                  <w:pPr>
                    <w:pStyle w:val="37"/>
                    <w:jc w:val="center"/>
                    <w:rPr>
                      <w:u w:val="none"/>
                    </w:rPr>
                  </w:pPr>
                  <w:r>
                    <w:rPr>
                      <w:rFonts w:hint="eastAsia"/>
                      <w:u w:val="none"/>
                    </w:rPr>
                    <w:t>抽水泵</w:t>
                  </w:r>
                </w:p>
              </w:tc>
              <w:tc>
                <w:tcPr>
                  <w:tcW w:w="449" w:type="dxa"/>
                  <w:vAlign w:val="center"/>
                </w:tcPr>
                <w:p>
                  <w:pPr>
                    <w:pStyle w:val="37"/>
                    <w:jc w:val="center"/>
                    <w:rPr>
                      <w:u w:val="none"/>
                    </w:rPr>
                  </w:pPr>
                  <w:r>
                    <w:rPr>
                      <w:rFonts w:hint="eastAsia"/>
                      <w:u w:val="none"/>
                    </w:rPr>
                    <w:t>4</w:t>
                  </w:r>
                </w:p>
              </w:tc>
              <w:tc>
                <w:tcPr>
                  <w:tcW w:w="1210" w:type="dxa"/>
                  <w:vAlign w:val="center"/>
                </w:tcPr>
                <w:p>
                  <w:pPr>
                    <w:pStyle w:val="37"/>
                    <w:jc w:val="center"/>
                    <w:rPr>
                      <w:u w:val="none"/>
                    </w:rPr>
                  </w:pPr>
                  <w:r>
                    <w:rPr>
                      <w:rFonts w:hint="eastAsia"/>
                      <w:u w:val="none"/>
                    </w:rPr>
                    <w:t>6</w:t>
                  </w:r>
                  <w:r>
                    <w:rPr>
                      <w:u w:val="none"/>
                    </w:rPr>
                    <w:t>5</w:t>
                  </w:r>
                </w:p>
              </w:tc>
              <w:tc>
                <w:tcPr>
                  <w:tcW w:w="453" w:type="dxa"/>
                  <w:vAlign w:val="center"/>
                </w:tcPr>
                <w:p>
                  <w:pPr>
                    <w:pStyle w:val="37"/>
                    <w:jc w:val="center"/>
                    <w:rPr>
                      <w:u w:val="none"/>
                    </w:rPr>
                  </w:pPr>
                  <w:r>
                    <w:rPr>
                      <w:rFonts w:hint="eastAsia"/>
                      <w:u w:val="none"/>
                    </w:rPr>
                    <w:t>3</w:t>
                  </w:r>
                  <w:r>
                    <w:rPr>
                      <w:u w:val="none"/>
                    </w:rPr>
                    <w:t>0</w:t>
                  </w:r>
                </w:p>
              </w:tc>
              <w:tc>
                <w:tcPr>
                  <w:tcW w:w="563" w:type="dxa"/>
                  <w:vAlign w:val="center"/>
                </w:tcPr>
                <w:p>
                  <w:pPr>
                    <w:pStyle w:val="37"/>
                    <w:jc w:val="center"/>
                    <w:rPr>
                      <w:u w:val="none"/>
                    </w:rPr>
                  </w:pPr>
                  <w:r>
                    <w:rPr>
                      <w:rFonts w:hint="eastAsia"/>
                      <w:u w:val="none"/>
                    </w:rPr>
                    <w:t>4</w:t>
                  </w:r>
                  <w:r>
                    <w:rPr>
                      <w:u w:val="none"/>
                    </w:rPr>
                    <w:t>2</w:t>
                  </w:r>
                </w:p>
              </w:tc>
              <w:tc>
                <w:tcPr>
                  <w:tcW w:w="453" w:type="dxa"/>
                  <w:vAlign w:val="center"/>
                </w:tcPr>
                <w:p>
                  <w:pPr>
                    <w:pStyle w:val="37"/>
                    <w:jc w:val="center"/>
                    <w:rPr>
                      <w:u w:val="none"/>
                    </w:rPr>
                  </w:pPr>
                  <w:r>
                    <w:rPr>
                      <w:rFonts w:hint="eastAsia"/>
                      <w:u w:val="none"/>
                    </w:rPr>
                    <w:t>5</w:t>
                  </w:r>
                  <w:r>
                    <w:rPr>
                      <w:u w:val="none"/>
                    </w:rPr>
                    <w:t>0</w:t>
                  </w:r>
                </w:p>
              </w:tc>
              <w:tc>
                <w:tcPr>
                  <w:tcW w:w="453" w:type="dxa"/>
                  <w:vAlign w:val="center"/>
                </w:tcPr>
                <w:p>
                  <w:pPr>
                    <w:pStyle w:val="37"/>
                    <w:jc w:val="center"/>
                    <w:rPr>
                      <w:u w:val="none"/>
                    </w:rPr>
                  </w:pPr>
                  <w:r>
                    <w:rPr>
                      <w:rFonts w:hint="eastAsia"/>
                      <w:u w:val="none"/>
                    </w:rPr>
                    <w:t>5</w:t>
                  </w:r>
                  <w:r>
                    <w:rPr>
                      <w:u w:val="none"/>
                    </w:rPr>
                    <w:t>6</w:t>
                  </w:r>
                </w:p>
              </w:tc>
              <w:tc>
                <w:tcPr>
                  <w:tcW w:w="1119" w:type="dxa"/>
                  <w:vAlign w:val="center"/>
                </w:tcPr>
                <w:p>
                  <w:pPr>
                    <w:pStyle w:val="37"/>
                    <w:jc w:val="center"/>
                    <w:rPr>
                      <w:u w:val="none"/>
                    </w:rPr>
                  </w:pPr>
                  <w:r>
                    <w:rPr>
                      <w:rFonts w:hint="eastAsia"/>
                      <w:u w:val="none"/>
                    </w:rPr>
                    <w:t>7</w:t>
                  </w:r>
                  <w:r>
                    <w:rPr>
                      <w:u w:val="none"/>
                    </w:rPr>
                    <w:t>0</w:t>
                  </w:r>
                </w:p>
              </w:tc>
              <w:tc>
                <w:tcPr>
                  <w:tcW w:w="1001" w:type="dxa"/>
                  <w:vAlign w:val="center"/>
                </w:tcPr>
                <w:p>
                  <w:pPr>
                    <w:pStyle w:val="37"/>
                    <w:jc w:val="center"/>
                    <w:rPr>
                      <w:u w:val="none"/>
                    </w:rPr>
                  </w:pPr>
                  <w:r>
                    <w:rPr>
                      <w:rFonts w:hint="eastAsia"/>
                      <w:u w:val="none"/>
                    </w:rPr>
                    <w:t>减震，隔声</w:t>
                  </w:r>
                </w:p>
              </w:tc>
              <w:tc>
                <w:tcPr>
                  <w:tcW w:w="953" w:type="dxa"/>
                  <w:vAlign w:val="center"/>
                </w:tcPr>
                <w:p>
                  <w:pPr>
                    <w:pStyle w:val="37"/>
                    <w:jc w:val="center"/>
                    <w:rPr>
                      <w:u w:val="none"/>
                    </w:rPr>
                  </w:pPr>
                  <w:r>
                    <w:rPr>
                      <w:u w:val="none"/>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Align w:val="center"/>
                </w:tcPr>
                <w:p>
                  <w:pPr>
                    <w:pStyle w:val="37"/>
                    <w:jc w:val="center"/>
                    <w:rPr>
                      <w:u w:val="none"/>
                    </w:rPr>
                  </w:pPr>
                  <w:r>
                    <w:rPr>
                      <w:rFonts w:hint="eastAsia"/>
                      <w:u w:val="none"/>
                    </w:rPr>
                    <w:t>风机</w:t>
                  </w:r>
                </w:p>
              </w:tc>
              <w:tc>
                <w:tcPr>
                  <w:tcW w:w="449" w:type="dxa"/>
                  <w:vAlign w:val="center"/>
                </w:tcPr>
                <w:p>
                  <w:pPr>
                    <w:pStyle w:val="37"/>
                    <w:jc w:val="center"/>
                    <w:rPr>
                      <w:u w:val="none"/>
                    </w:rPr>
                  </w:pPr>
                  <w:r>
                    <w:rPr>
                      <w:rFonts w:hint="eastAsia"/>
                      <w:u w:val="none"/>
                    </w:rPr>
                    <w:t>4</w:t>
                  </w:r>
                </w:p>
              </w:tc>
              <w:tc>
                <w:tcPr>
                  <w:tcW w:w="1210" w:type="dxa"/>
                  <w:vAlign w:val="center"/>
                </w:tcPr>
                <w:p>
                  <w:pPr>
                    <w:pStyle w:val="37"/>
                    <w:jc w:val="center"/>
                    <w:rPr>
                      <w:u w:val="none"/>
                    </w:rPr>
                  </w:pPr>
                  <w:r>
                    <w:rPr>
                      <w:rFonts w:hint="eastAsia"/>
                      <w:u w:val="none"/>
                    </w:rPr>
                    <w:t>8</w:t>
                  </w:r>
                  <w:r>
                    <w:rPr>
                      <w:u w:val="none"/>
                    </w:rPr>
                    <w:t>5</w:t>
                  </w:r>
                </w:p>
              </w:tc>
              <w:tc>
                <w:tcPr>
                  <w:tcW w:w="453" w:type="dxa"/>
                  <w:vAlign w:val="center"/>
                </w:tcPr>
                <w:p>
                  <w:pPr>
                    <w:pStyle w:val="37"/>
                    <w:jc w:val="center"/>
                    <w:rPr>
                      <w:u w:val="none"/>
                    </w:rPr>
                  </w:pPr>
                  <w:r>
                    <w:rPr>
                      <w:rFonts w:hint="eastAsia"/>
                      <w:u w:val="none"/>
                    </w:rPr>
                    <w:t>7</w:t>
                  </w:r>
                  <w:r>
                    <w:rPr>
                      <w:u w:val="none"/>
                    </w:rPr>
                    <w:t>0</w:t>
                  </w:r>
                </w:p>
              </w:tc>
              <w:tc>
                <w:tcPr>
                  <w:tcW w:w="563" w:type="dxa"/>
                  <w:vAlign w:val="center"/>
                </w:tcPr>
                <w:p>
                  <w:pPr>
                    <w:pStyle w:val="37"/>
                    <w:jc w:val="center"/>
                    <w:rPr>
                      <w:u w:val="none"/>
                    </w:rPr>
                  </w:pPr>
                  <w:r>
                    <w:rPr>
                      <w:rFonts w:hint="eastAsia"/>
                      <w:u w:val="none"/>
                    </w:rPr>
                    <w:t>1</w:t>
                  </w:r>
                  <w:r>
                    <w:rPr>
                      <w:u w:val="none"/>
                    </w:rPr>
                    <w:t>50</w:t>
                  </w:r>
                </w:p>
              </w:tc>
              <w:tc>
                <w:tcPr>
                  <w:tcW w:w="453" w:type="dxa"/>
                  <w:vAlign w:val="center"/>
                </w:tcPr>
                <w:p>
                  <w:pPr>
                    <w:pStyle w:val="37"/>
                    <w:jc w:val="center"/>
                    <w:rPr>
                      <w:u w:val="none"/>
                    </w:rPr>
                  </w:pPr>
                  <w:r>
                    <w:rPr>
                      <w:rFonts w:hint="eastAsia"/>
                      <w:u w:val="none"/>
                    </w:rPr>
                    <w:t>4</w:t>
                  </w:r>
                  <w:r>
                    <w:rPr>
                      <w:u w:val="none"/>
                    </w:rPr>
                    <w:t>0</w:t>
                  </w:r>
                </w:p>
              </w:tc>
              <w:tc>
                <w:tcPr>
                  <w:tcW w:w="453" w:type="dxa"/>
                  <w:vAlign w:val="center"/>
                </w:tcPr>
                <w:p>
                  <w:pPr>
                    <w:pStyle w:val="37"/>
                    <w:jc w:val="center"/>
                    <w:rPr>
                      <w:u w:val="none"/>
                    </w:rPr>
                  </w:pPr>
                  <w:r>
                    <w:rPr>
                      <w:rFonts w:hint="eastAsia"/>
                      <w:u w:val="none"/>
                    </w:rPr>
                    <w:t>3</w:t>
                  </w:r>
                  <w:r>
                    <w:rPr>
                      <w:u w:val="none"/>
                    </w:rPr>
                    <w:t>0</w:t>
                  </w:r>
                </w:p>
              </w:tc>
              <w:tc>
                <w:tcPr>
                  <w:tcW w:w="1119" w:type="dxa"/>
                  <w:vAlign w:val="center"/>
                </w:tcPr>
                <w:p>
                  <w:pPr>
                    <w:pStyle w:val="37"/>
                    <w:jc w:val="center"/>
                    <w:rPr>
                      <w:u w:val="none"/>
                    </w:rPr>
                  </w:pPr>
                  <w:r>
                    <w:rPr>
                      <w:rFonts w:hint="eastAsia"/>
                      <w:u w:val="none"/>
                    </w:rPr>
                    <w:t>9</w:t>
                  </w:r>
                  <w:r>
                    <w:rPr>
                      <w:u w:val="none"/>
                    </w:rPr>
                    <w:t>0</w:t>
                  </w:r>
                </w:p>
              </w:tc>
              <w:tc>
                <w:tcPr>
                  <w:tcW w:w="1001" w:type="dxa"/>
                  <w:vAlign w:val="center"/>
                </w:tcPr>
                <w:p>
                  <w:pPr>
                    <w:pStyle w:val="37"/>
                    <w:jc w:val="center"/>
                    <w:rPr>
                      <w:u w:val="none"/>
                    </w:rPr>
                  </w:pPr>
                  <w:r>
                    <w:rPr>
                      <w:rFonts w:hint="eastAsia"/>
                      <w:u w:val="none"/>
                    </w:rPr>
                    <w:t>减震，隔声</w:t>
                  </w:r>
                </w:p>
              </w:tc>
              <w:tc>
                <w:tcPr>
                  <w:tcW w:w="953" w:type="dxa"/>
                  <w:vAlign w:val="center"/>
                </w:tcPr>
                <w:p>
                  <w:pPr>
                    <w:pStyle w:val="37"/>
                    <w:jc w:val="center"/>
                    <w:rPr>
                      <w:u w:val="none"/>
                    </w:rPr>
                  </w:pPr>
                  <w:r>
                    <w:rPr>
                      <w:u w:val="none"/>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08" w:type="dxa"/>
                  <w:bottom w:w="15" w:type="dxa"/>
                  <w:right w:w="108" w:type="dxa"/>
                </w:tblCellMar>
              </w:tblPrEx>
              <w:trPr>
                <w:trHeight w:val="20" w:hRule="atLeast"/>
                <w:jc w:val="center"/>
              </w:trPr>
              <w:tc>
                <w:tcPr>
                  <w:tcW w:w="1205" w:type="dxa"/>
                  <w:vAlign w:val="center"/>
                </w:tcPr>
                <w:p>
                  <w:pPr>
                    <w:pStyle w:val="37"/>
                    <w:jc w:val="center"/>
                    <w:rPr>
                      <w:u w:val="none"/>
                    </w:rPr>
                  </w:pPr>
                  <w:r>
                    <w:rPr>
                      <w:rFonts w:hint="eastAsia"/>
                      <w:u w:val="none"/>
                    </w:rPr>
                    <w:t>铲车</w:t>
                  </w:r>
                </w:p>
              </w:tc>
              <w:tc>
                <w:tcPr>
                  <w:tcW w:w="449" w:type="dxa"/>
                  <w:vAlign w:val="center"/>
                </w:tcPr>
                <w:p>
                  <w:pPr>
                    <w:pStyle w:val="37"/>
                    <w:jc w:val="center"/>
                    <w:rPr>
                      <w:u w:val="none"/>
                    </w:rPr>
                  </w:pPr>
                  <w:r>
                    <w:rPr>
                      <w:rFonts w:hint="eastAsia"/>
                      <w:u w:val="none"/>
                    </w:rPr>
                    <w:t>2</w:t>
                  </w:r>
                </w:p>
              </w:tc>
              <w:tc>
                <w:tcPr>
                  <w:tcW w:w="1210" w:type="dxa"/>
                  <w:vAlign w:val="center"/>
                </w:tcPr>
                <w:p>
                  <w:pPr>
                    <w:pStyle w:val="37"/>
                    <w:jc w:val="center"/>
                    <w:rPr>
                      <w:u w:val="none"/>
                    </w:rPr>
                  </w:pPr>
                  <w:r>
                    <w:rPr>
                      <w:rFonts w:hint="eastAsia"/>
                      <w:u w:val="none"/>
                    </w:rPr>
                    <w:t>8</w:t>
                  </w:r>
                  <w:r>
                    <w:rPr>
                      <w:u w:val="none"/>
                    </w:rPr>
                    <w:t>5</w:t>
                  </w:r>
                </w:p>
              </w:tc>
              <w:tc>
                <w:tcPr>
                  <w:tcW w:w="453" w:type="dxa"/>
                  <w:vAlign w:val="center"/>
                </w:tcPr>
                <w:p>
                  <w:pPr>
                    <w:pStyle w:val="37"/>
                    <w:jc w:val="center"/>
                    <w:rPr>
                      <w:u w:val="none"/>
                    </w:rPr>
                  </w:pPr>
                  <w:r>
                    <w:rPr>
                      <w:rFonts w:hint="eastAsia"/>
                      <w:u w:val="none"/>
                    </w:rPr>
                    <w:t>5</w:t>
                  </w:r>
                  <w:r>
                    <w:rPr>
                      <w:u w:val="none"/>
                    </w:rPr>
                    <w:t>0</w:t>
                  </w:r>
                </w:p>
              </w:tc>
              <w:tc>
                <w:tcPr>
                  <w:tcW w:w="563" w:type="dxa"/>
                  <w:vAlign w:val="center"/>
                </w:tcPr>
                <w:p>
                  <w:pPr>
                    <w:pStyle w:val="37"/>
                    <w:jc w:val="center"/>
                    <w:rPr>
                      <w:u w:val="none"/>
                    </w:rPr>
                  </w:pPr>
                  <w:r>
                    <w:rPr>
                      <w:rFonts w:hint="eastAsia"/>
                      <w:u w:val="none"/>
                    </w:rPr>
                    <w:t>1</w:t>
                  </w:r>
                  <w:r>
                    <w:rPr>
                      <w:u w:val="none"/>
                    </w:rPr>
                    <w:t>00</w:t>
                  </w:r>
                </w:p>
              </w:tc>
              <w:tc>
                <w:tcPr>
                  <w:tcW w:w="453" w:type="dxa"/>
                  <w:vAlign w:val="center"/>
                </w:tcPr>
                <w:p>
                  <w:pPr>
                    <w:pStyle w:val="37"/>
                    <w:jc w:val="center"/>
                    <w:rPr>
                      <w:u w:val="none"/>
                    </w:rPr>
                  </w:pPr>
                  <w:r>
                    <w:rPr>
                      <w:rFonts w:hint="eastAsia"/>
                      <w:u w:val="none"/>
                    </w:rPr>
                    <w:t>3</w:t>
                  </w:r>
                  <w:r>
                    <w:rPr>
                      <w:u w:val="none"/>
                    </w:rPr>
                    <w:t>0</w:t>
                  </w:r>
                </w:p>
              </w:tc>
              <w:tc>
                <w:tcPr>
                  <w:tcW w:w="453" w:type="dxa"/>
                  <w:vAlign w:val="center"/>
                </w:tcPr>
                <w:p>
                  <w:pPr>
                    <w:pStyle w:val="37"/>
                    <w:jc w:val="center"/>
                    <w:rPr>
                      <w:u w:val="none"/>
                    </w:rPr>
                  </w:pPr>
                  <w:r>
                    <w:rPr>
                      <w:rFonts w:hint="eastAsia"/>
                      <w:u w:val="none"/>
                    </w:rPr>
                    <w:t>5</w:t>
                  </w:r>
                  <w:r>
                    <w:rPr>
                      <w:u w:val="none"/>
                    </w:rPr>
                    <w:t>0</w:t>
                  </w:r>
                </w:p>
              </w:tc>
              <w:tc>
                <w:tcPr>
                  <w:tcW w:w="1119" w:type="dxa"/>
                  <w:vAlign w:val="center"/>
                </w:tcPr>
                <w:p>
                  <w:pPr>
                    <w:pStyle w:val="37"/>
                    <w:jc w:val="center"/>
                    <w:rPr>
                      <w:u w:val="none"/>
                    </w:rPr>
                  </w:pPr>
                  <w:r>
                    <w:rPr>
                      <w:rFonts w:hint="eastAsia"/>
                      <w:u w:val="none"/>
                    </w:rPr>
                    <w:t>8</w:t>
                  </w:r>
                  <w:r>
                    <w:rPr>
                      <w:u w:val="none"/>
                    </w:rPr>
                    <w:t>0</w:t>
                  </w:r>
                </w:p>
              </w:tc>
              <w:tc>
                <w:tcPr>
                  <w:tcW w:w="1001" w:type="dxa"/>
                  <w:vAlign w:val="center"/>
                </w:tcPr>
                <w:p>
                  <w:pPr>
                    <w:pStyle w:val="37"/>
                    <w:jc w:val="center"/>
                    <w:rPr>
                      <w:u w:val="none"/>
                    </w:rPr>
                  </w:pPr>
                  <w:r>
                    <w:rPr>
                      <w:rFonts w:hint="eastAsia"/>
                      <w:u w:val="none"/>
                    </w:rPr>
                    <w:t>减震，隔声</w:t>
                  </w:r>
                </w:p>
              </w:tc>
              <w:tc>
                <w:tcPr>
                  <w:tcW w:w="953" w:type="dxa"/>
                  <w:vAlign w:val="center"/>
                </w:tcPr>
                <w:p>
                  <w:pPr>
                    <w:pStyle w:val="37"/>
                    <w:jc w:val="center"/>
                    <w:rPr>
                      <w:u w:val="none"/>
                    </w:rPr>
                  </w:pPr>
                  <w:r>
                    <w:rPr>
                      <w:u w:val="none"/>
                    </w:rPr>
                    <w:t>20</w:t>
                  </w:r>
                </w:p>
              </w:tc>
            </w:tr>
          </w:tbl>
          <w:p>
            <w:pPr>
              <w:ind w:firstLine="480"/>
              <w:rPr>
                <w:u w:val="single"/>
              </w:rPr>
            </w:pPr>
            <w:r>
              <w:rPr>
                <w:u w:val="single"/>
              </w:rPr>
              <w:t>项目营运期噪声主要来源于生产加工设备产生的机械噪声，项目拟采用</w:t>
            </w:r>
            <w:r>
              <w:rPr>
                <w:rFonts w:hint="eastAsia"/>
                <w:u w:val="single"/>
              </w:rPr>
              <w:t>封闭厂房</w:t>
            </w:r>
            <w:r>
              <w:rPr>
                <w:u w:val="single"/>
              </w:rPr>
              <w:t>隔声</w:t>
            </w:r>
            <w:r>
              <w:rPr>
                <w:rFonts w:hint="eastAsia"/>
                <w:u w:val="single"/>
              </w:rPr>
              <w:t>、</w:t>
            </w:r>
            <w:r>
              <w:rPr>
                <w:u w:val="single"/>
              </w:rPr>
              <w:t>减振等降噪措施，降噪效果约20dB(A)。</w:t>
            </w:r>
          </w:p>
          <w:p>
            <w:pPr>
              <w:ind w:firstLine="480"/>
              <w:rPr>
                <w:u w:val="single"/>
              </w:rPr>
            </w:pPr>
            <w:r>
              <w:rPr>
                <w:u w:val="single"/>
              </w:rPr>
              <w:t>本项目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pPr>
              <w:ind w:firstLine="480"/>
              <w:jc w:val="center"/>
              <w:rPr>
                <w:b/>
                <w:bCs/>
                <w:u w:val="single"/>
              </w:rPr>
            </w:pPr>
            <m:oMathPara>
              <m:oMath>
                <m:sSub>
                  <m:sSubPr>
                    <m:ctrlPr>
                      <w:rPr>
                        <w:rFonts w:ascii="Cambria Math" w:hAnsi="Cambria Math"/>
                        <w:i/>
                        <w:u w:val="single"/>
                      </w:rPr>
                    </m:ctrlPr>
                  </m:sSubPr>
                  <m:e>
                    <m:r>
                      <w:rPr>
                        <w:rFonts w:ascii="Cambria Math" w:hAnsi="Cambria Math"/>
                        <w:u w:val="single"/>
                      </w:rPr>
                      <m:t>L</m:t>
                    </m:r>
                    <m:ctrlPr>
                      <w:rPr>
                        <w:rFonts w:ascii="Cambria Math" w:hAnsi="Cambria Math"/>
                        <w:i/>
                        <w:u w:val="single"/>
                      </w:rPr>
                    </m:ctrlPr>
                  </m:e>
                  <m:sub>
                    <m:r>
                      <w:rPr>
                        <w:rFonts w:ascii="Cambria Math" w:hAnsi="Cambria Math"/>
                        <w:u w:val="single"/>
                      </w:rPr>
                      <m:t>p2</m:t>
                    </m:r>
                    <m:ctrlPr>
                      <w:rPr>
                        <w:rFonts w:ascii="Cambria Math" w:hAnsi="Cambria Math"/>
                        <w:i/>
                        <w:u w:val="single"/>
                      </w:rPr>
                    </m:ctrlP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L</m:t>
                    </m:r>
                    <m:ctrlPr>
                      <w:rPr>
                        <w:rFonts w:ascii="Cambria Math" w:hAnsi="Cambria Math"/>
                        <w:i/>
                        <w:u w:val="single"/>
                      </w:rPr>
                    </m:ctrlPr>
                  </m:e>
                  <m:sub>
                    <m:r>
                      <w:rPr>
                        <w:rFonts w:ascii="Cambria Math" w:hAnsi="Cambria Math"/>
                        <w:u w:val="single"/>
                      </w:rPr>
                      <m:t>p1</m:t>
                    </m:r>
                    <m:ctrlPr>
                      <w:rPr>
                        <w:rFonts w:ascii="Cambria Math" w:hAnsi="Cambria Math"/>
                        <w:i/>
                        <w:u w:val="single"/>
                      </w:rPr>
                    </m:ctrlPr>
                  </m:sub>
                </m:sSub>
                <m:r>
                  <w:rPr>
                    <w:rFonts w:ascii="Cambria Math" w:hAnsi="Cambria Math"/>
                    <w:u w:val="single"/>
                  </w:rPr>
                  <m:t>-(TL+6)</m:t>
                </m:r>
              </m:oMath>
            </m:oMathPara>
          </w:p>
          <w:p>
            <w:pPr>
              <w:ind w:firstLine="480"/>
              <w:rPr>
                <w:u w:val="single"/>
              </w:rPr>
            </w:pPr>
            <w:r>
              <w:rPr>
                <w:u w:val="single"/>
              </w:rPr>
              <w:t>式中：L</w:t>
            </w:r>
            <w:r>
              <w:rPr>
                <w:u w:val="single"/>
                <w:vertAlign w:val="subscript"/>
              </w:rPr>
              <w:t>p1</w:t>
            </w:r>
            <w:r>
              <w:rPr>
                <w:u w:val="single"/>
              </w:rPr>
              <w:t>——靠近开口处（或窗户）室内某倍频带的声压级或A声级，dB；</w:t>
            </w:r>
          </w:p>
          <w:p>
            <w:pPr>
              <w:ind w:firstLine="1200" w:firstLineChars="500"/>
              <w:rPr>
                <w:u w:val="single"/>
              </w:rPr>
            </w:pPr>
            <w:r>
              <w:rPr>
                <w:u w:val="single"/>
              </w:rPr>
              <w:t>L</w:t>
            </w:r>
            <w:r>
              <w:rPr>
                <w:u w:val="single"/>
                <w:vertAlign w:val="subscript"/>
              </w:rPr>
              <w:t>p2</w:t>
            </w:r>
            <w:r>
              <w:rPr>
                <w:u w:val="single"/>
              </w:rPr>
              <w:t>——靠近开口处（或窗户）室外某倍频带的声压级或A声级，dB；</w:t>
            </w:r>
          </w:p>
          <w:p>
            <w:pPr>
              <w:ind w:firstLine="1200" w:firstLineChars="500"/>
              <w:rPr>
                <w:u w:val="single"/>
              </w:rPr>
            </w:pPr>
            <w:r>
              <w:rPr>
                <w:u w:val="single"/>
              </w:rPr>
              <w:t>TL——隔墙（或窗户）倍频带或A声级的隔声量，dB。</w:t>
            </w:r>
          </w:p>
          <w:p>
            <w:pPr>
              <w:ind w:firstLine="480"/>
              <w:rPr>
                <w:u w:val="single"/>
              </w:rPr>
            </w:pPr>
            <w:r>
              <w:rPr>
                <w:u w:val="single"/>
              </w:rPr>
              <w:t>将各设备简化为点声源后，各设备距离项目厂界距离情况如下：</w:t>
            </w:r>
          </w:p>
          <w:p>
            <w:pPr>
              <w:pStyle w:val="31"/>
              <w:rPr>
                <w:u w:val="single"/>
              </w:rPr>
            </w:pPr>
            <w:r>
              <w:rPr>
                <w:u w:val="single"/>
              </w:rPr>
              <w:t>表4-8各设备距离厂界距离表</w:t>
            </w:r>
          </w:p>
          <w:tbl>
            <w:tblPr>
              <w:tblStyle w:val="17"/>
              <w:tblW w:w="785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374"/>
              <w:gridCol w:w="1043"/>
              <w:gridCol w:w="1046"/>
              <w:gridCol w:w="1037"/>
              <w:gridCol w:w="784"/>
              <w:gridCol w:w="15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vMerge w:val="restart"/>
                  <w:tcBorders>
                    <w:top w:val="single" w:color="auto" w:sz="4" w:space="0"/>
                    <w:left w:val="single" w:color="auto" w:sz="4" w:space="0"/>
                    <w:bottom w:val="single" w:color="auto" w:sz="4" w:space="0"/>
                  </w:tcBorders>
                  <w:vAlign w:val="center"/>
                </w:tcPr>
                <w:p>
                  <w:pPr>
                    <w:pStyle w:val="37"/>
                    <w:jc w:val="center"/>
                  </w:pPr>
                  <w:r>
                    <w:t>设备名称</w:t>
                  </w:r>
                </w:p>
              </w:tc>
              <w:tc>
                <w:tcPr>
                  <w:tcW w:w="3910" w:type="dxa"/>
                  <w:gridSpan w:val="4"/>
                  <w:tcBorders>
                    <w:top w:val="single" w:color="auto" w:sz="4" w:space="0"/>
                    <w:bottom w:val="single" w:color="auto" w:sz="4" w:space="0"/>
                  </w:tcBorders>
                  <w:vAlign w:val="center"/>
                </w:tcPr>
                <w:p>
                  <w:pPr>
                    <w:pStyle w:val="37"/>
                    <w:jc w:val="center"/>
                  </w:pPr>
                  <w:r>
                    <w:t>距各厂界最近距离（m）</w:t>
                  </w:r>
                </w:p>
              </w:tc>
              <w:tc>
                <w:tcPr>
                  <w:tcW w:w="1571" w:type="dxa"/>
                  <w:tcBorders>
                    <w:top w:val="single" w:color="auto" w:sz="4" w:space="0"/>
                    <w:bottom w:val="single" w:color="auto" w:sz="4" w:space="0"/>
                  </w:tcBorders>
                  <w:vAlign w:val="center"/>
                </w:tcPr>
                <w:p>
                  <w:pPr>
                    <w:pStyle w:val="37"/>
                    <w:jc w:val="center"/>
                  </w:pPr>
                  <w:r>
                    <w:t>距敏感点距离（</w:t>
                  </w:r>
                  <w:r>
                    <w:rPr>
                      <w:rFonts w:hint="eastAsia"/>
                    </w:rPr>
                    <w:t>m</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vMerge w:val="continue"/>
                  <w:tcBorders>
                    <w:top w:val="single" w:color="auto" w:sz="4" w:space="0"/>
                    <w:left w:val="single" w:color="auto" w:sz="4" w:space="0"/>
                    <w:bottom w:val="single" w:color="auto" w:sz="4" w:space="0"/>
                  </w:tcBorders>
                  <w:vAlign w:val="center"/>
                </w:tcPr>
                <w:p>
                  <w:pPr>
                    <w:pStyle w:val="37"/>
                    <w:jc w:val="center"/>
                  </w:pPr>
                </w:p>
              </w:tc>
              <w:tc>
                <w:tcPr>
                  <w:tcW w:w="1043" w:type="dxa"/>
                  <w:tcBorders>
                    <w:top w:val="single" w:color="auto" w:sz="4" w:space="0"/>
                    <w:bottom w:val="single" w:color="auto" w:sz="4" w:space="0"/>
                  </w:tcBorders>
                  <w:vAlign w:val="center"/>
                </w:tcPr>
                <w:p>
                  <w:pPr>
                    <w:pStyle w:val="37"/>
                    <w:jc w:val="center"/>
                  </w:pPr>
                  <w:r>
                    <w:t>E</w:t>
                  </w:r>
                </w:p>
              </w:tc>
              <w:tc>
                <w:tcPr>
                  <w:tcW w:w="1046" w:type="dxa"/>
                  <w:tcBorders>
                    <w:top w:val="single" w:color="auto" w:sz="4" w:space="0"/>
                    <w:bottom w:val="single" w:color="auto" w:sz="4" w:space="0"/>
                  </w:tcBorders>
                  <w:vAlign w:val="center"/>
                </w:tcPr>
                <w:p>
                  <w:pPr>
                    <w:pStyle w:val="37"/>
                    <w:jc w:val="center"/>
                  </w:pPr>
                  <w:r>
                    <w:t>S</w:t>
                  </w:r>
                </w:p>
              </w:tc>
              <w:tc>
                <w:tcPr>
                  <w:tcW w:w="1037" w:type="dxa"/>
                  <w:tcBorders>
                    <w:top w:val="single" w:color="auto" w:sz="4" w:space="0"/>
                    <w:bottom w:val="single" w:color="auto" w:sz="4" w:space="0"/>
                  </w:tcBorders>
                  <w:vAlign w:val="center"/>
                </w:tcPr>
                <w:p>
                  <w:pPr>
                    <w:pStyle w:val="37"/>
                    <w:jc w:val="center"/>
                  </w:pPr>
                  <w:r>
                    <w:t>W</w:t>
                  </w:r>
                </w:p>
              </w:tc>
              <w:tc>
                <w:tcPr>
                  <w:tcW w:w="784" w:type="dxa"/>
                  <w:tcBorders>
                    <w:top w:val="single" w:color="auto" w:sz="4" w:space="0"/>
                    <w:bottom w:val="single" w:color="auto" w:sz="4" w:space="0"/>
                  </w:tcBorders>
                  <w:vAlign w:val="center"/>
                </w:tcPr>
                <w:p>
                  <w:pPr>
                    <w:pStyle w:val="37"/>
                    <w:jc w:val="center"/>
                  </w:pPr>
                  <w:r>
                    <w:t>N</w:t>
                  </w:r>
                </w:p>
              </w:tc>
              <w:tc>
                <w:tcPr>
                  <w:tcW w:w="1571" w:type="dxa"/>
                  <w:tcBorders>
                    <w:top w:val="single" w:color="auto" w:sz="4" w:space="0"/>
                    <w:bottom w:val="single" w:color="auto" w:sz="4" w:space="0"/>
                  </w:tcBorders>
                  <w:vAlign w:val="center"/>
                </w:tcPr>
                <w:p>
                  <w:pPr>
                    <w:pStyle w:val="37"/>
                    <w:jc w:val="center"/>
                  </w:pPr>
                  <w:r>
                    <w:rPr>
                      <w:rFonts w:hint="eastAsia"/>
                    </w:rPr>
                    <w:t>宁家坪镇居民点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tcBorders>
                    <w:top w:val="single" w:color="auto" w:sz="4" w:space="0"/>
                    <w:left w:val="single" w:color="auto" w:sz="4" w:space="0"/>
                    <w:bottom w:val="single" w:color="auto" w:sz="4" w:space="0"/>
                  </w:tcBorders>
                  <w:vAlign w:val="center"/>
                </w:tcPr>
                <w:p>
                  <w:pPr>
                    <w:pStyle w:val="37"/>
                    <w:jc w:val="center"/>
                  </w:pPr>
                  <w:r>
                    <w:rPr>
                      <w:rFonts w:hint="eastAsia"/>
                    </w:rPr>
                    <w:t>破碎机</w:t>
                  </w:r>
                </w:p>
              </w:tc>
              <w:tc>
                <w:tcPr>
                  <w:tcW w:w="1043" w:type="dxa"/>
                  <w:tcBorders>
                    <w:top w:val="single" w:color="auto" w:sz="4" w:space="0"/>
                    <w:bottom w:val="single" w:color="auto" w:sz="4" w:space="0"/>
                  </w:tcBorders>
                  <w:vAlign w:val="center"/>
                </w:tcPr>
                <w:p>
                  <w:pPr>
                    <w:pStyle w:val="37"/>
                    <w:jc w:val="center"/>
                  </w:pPr>
                  <w:r>
                    <w:rPr>
                      <w:rFonts w:hint="eastAsia"/>
                    </w:rPr>
                    <w:t>6</w:t>
                  </w:r>
                  <w:r>
                    <w:t>0</w:t>
                  </w:r>
                </w:p>
              </w:tc>
              <w:tc>
                <w:tcPr>
                  <w:tcW w:w="1046" w:type="dxa"/>
                  <w:tcBorders>
                    <w:top w:val="single" w:color="auto" w:sz="4" w:space="0"/>
                    <w:bottom w:val="single" w:color="auto" w:sz="4" w:space="0"/>
                  </w:tcBorders>
                  <w:vAlign w:val="center"/>
                </w:tcPr>
                <w:p>
                  <w:pPr>
                    <w:pStyle w:val="37"/>
                    <w:jc w:val="center"/>
                  </w:pPr>
                  <w:r>
                    <w:rPr>
                      <w:rFonts w:hint="eastAsia"/>
                    </w:rPr>
                    <w:t>1</w:t>
                  </w:r>
                  <w:r>
                    <w:t>17</w:t>
                  </w:r>
                </w:p>
              </w:tc>
              <w:tc>
                <w:tcPr>
                  <w:tcW w:w="1037" w:type="dxa"/>
                  <w:tcBorders>
                    <w:top w:val="single" w:color="auto" w:sz="4" w:space="0"/>
                    <w:bottom w:val="single" w:color="auto" w:sz="4" w:space="0"/>
                  </w:tcBorders>
                  <w:vAlign w:val="center"/>
                </w:tcPr>
                <w:p>
                  <w:pPr>
                    <w:pStyle w:val="37"/>
                    <w:jc w:val="center"/>
                  </w:pPr>
                  <w:r>
                    <w:rPr>
                      <w:rFonts w:hint="eastAsia"/>
                    </w:rPr>
                    <w:t>4</w:t>
                  </w:r>
                  <w:r>
                    <w:t>0</w:t>
                  </w:r>
                </w:p>
              </w:tc>
              <w:tc>
                <w:tcPr>
                  <w:tcW w:w="784" w:type="dxa"/>
                  <w:tcBorders>
                    <w:top w:val="single" w:color="auto" w:sz="4" w:space="0"/>
                    <w:bottom w:val="single" w:color="auto" w:sz="4" w:space="0"/>
                  </w:tcBorders>
                  <w:vAlign w:val="center"/>
                </w:tcPr>
                <w:p>
                  <w:pPr>
                    <w:pStyle w:val="37"/>
                    <w:jc w:val="center"/>
                  </w:pPr>
                  <w:r>
                    <w:rPr>
                      <w:rFonts w:hint="eastAsia"/>
                    </w:rPr>
                    <w:t>2</w:t>
                  </w:r>
                  <w:r>
                    <w:t>0</w:t>
                  </w:r>
                </w:p>
              </w:tc>
              <w:tc>
                <w:tcPr>
                  <w:tcW w:w="1571" w:type="dxa"/>
                  <w:tcBorders>
                    <w:top w:val="single" w:color="auto" w:sz="4" w:space="0"/>
                    <w:bottom w:val="single" w:color="auto" w:sz="4" w:space="0"/>
                  </w:tcBorders>
                  <w:vAlign w:val="center"/>
                </w:tcPr>
                <w:p>
                  <w:pPr>
                    <w:pStyle w:val="37"/>
                    <w:jc w:val="center"/>
                  </w:pPr>
                  <w:r>
                    <w:rPr>
                      <w:rFonts w:hint="eastAsia"/>
                    </w:rPr>
                    <w:t>8</w:t>
                  </w:r>
                  <w: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tcBorders>
                    <w:top w:val="single" w:color="auto" w:sz="4" w:space="0"/>
                    <w:left w:val="single" w:color="auto" w:sz="4" w:space="0"/>
                    <w:bottom w:val="single" w:color="auto" w:sz="4" w:space="0"/>
                  </w:tcBorders>
                  <w:vAlign w:val="center"/>
                </w:tcPr>
                <w:p>
                  <w:pPr>
                    <w:pStyle w:val="37"/>
                    <w:jc w:val="center"/>
                  </w:pPr>
                  <w:r>
                    <w:rPr>
                      <w:rFonts w:hint="eastAsia"/>
                    </w:rPr>
                    <w:t>筛分机</w:t>
                  </w:r>
                </w:p>
              </w:tc>
              <w:tc>
                <w:tcPr>
                  <w:tcW w:w="1043" w:type="dxa"/>
                  <w:tcBorders>
                    <w:top w:val="single" w:color="auto" w:sz="4" w:space="0"/>
                    <w:bottom w:val="single" w:color="auto" w:sz="4" w:space="0"/>
                  </w:tcBorders>
                  <w:vAlign w:val="center"/>
                </w:tcPr>
                <w:p>
                  <w:pPr>
                    <w:pStyle w:val="37"/>
                    <w:jc w:val="center"/>
                  </w:pPr>
                  <w:r>
                    <w:rPr>
                      <w:rFonts w:hint="eastAsia"/>
                    </w:rPr>
                    <w:t>4</w:t>
                  </w:r>
                  <w:r>
                    <w:t>0</w:t>
                  </w:r>
                </w:p>
              </w:tc>
              <w:tc>
                <w:tcPr>
                  <w:tcW w:w="1046" w:type="dxa"/>
                  <w:tcBorders>
                    <w:top w:val="single" w:color="auto" w:sz="4" w:space="0"/>
                    <w:bottom w:val="single" w:color="auto" w:sz="4" w:space="0"/>
                  </w:tcBorders>
                  <w:vAlign w:val="center"/>
                </w:tcPr>
                <w:p>
                  <w:pPr>
                    <w:pStyle w:val="37"/>
                    <w:jc w:val="center"/>
                  </w:pPr>
                  <w:r>
                    <w:rPr>
                      <w:rFonts w:hint="eastAsia"/>
                    </w:rPr>
                    <w:t>1</w:t>
                  </w:r>
                  <w:r>
                    <w:t>20</w:t>
                  </w:r>
                </w:p>
              </w:tc>
              <w:tc>
                <w:tcPr>
                  <w:tcW w:w="1037" w:type="dxa"/>
                  <w:tcBorders>
                    <w:top w:val="single" w:color="auto" w:sz="4" w:space="0"/>
                    <w:bottom w:val="single" w:color="auto" w:sz="4" w:space="0"/>
                  </w:tcBorders>
                  <w:vAlign w:val="center"/>
                </w:tcPr>
                <w:p>
                  <w:pPr>
                    <w:pStyle w:val="37"/>
                    <w:jc w:val="center"/>
                  </w:pPr>
                  <w:r>
                    <w:t>63</w:t>
                  </w:r>
                </w:p>
              </w:tc>
              <w:tc>
                <w:tcPr>
                  <w:tcW w:w="784" w:type="dxa"/>
                  <w:tcBorders>
                    <w:top w:val="single" w:color="auto" w:sz="4" w:space="0"/>
                    <w:bottom w:val="single" w:color="auto" w:sz="4" w:space="0"/>
                  </w:tcBorders>
                  <w:vAlign w:val="center"/>
                </w:tcPr>
                <w:p>
                  <w:pPr>
                    <w:pStyle w:val="37"/>
                    <w:jc w:val="center"/>
                  </w:pPr>
                  <w:r>
                    <w:rPr>
                      <w:rFonts w:hint="eastAsia"/>
                    </w:rPr>
                    <w:t>2</w:t>
                  </w:r>
                  <w:r>
                    <w:t>0</w:t>
                  </w:r>
                </w:p>
              </w:tc>
              <w:tc>
                <w:tcPr>
                  <w:tcW w:w="1571" w:type="dxa"/>
                  <w:tcBorders>
                    <w:top w:val="single" w:color="auto" w:sz="4" w:space="0"/>
                    <w:bottom w:val="single" w:color="auto" w:sz="4" w:space="0"/>
                  </w:tcBorders>
                  <w:vAlign w:val="center"/>
                </w:tcPr>
                <w:p>
                  <w:pPr>
                    <w:pStyle w:val="37"/>
                    <w:jc w:val="center"/>
                  </w:pPr>
                  <w:r>
                    <w:rPr>
                      <w:rFonts w:hint="eastAsia"/>
                    </w:rPr>
                    <w:t>8</w:t>
                  </w:r>
                  <w: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tcBorders>
                    <w:top w:val="single" w:color="auto" w:sz="4" w:space="0"/>
                    <w:left w:val="single" w:color="auto" w:sz="4" w:space="0"/>
                    <w:bottom w:val="single" w:color="auto" w:sz="4" w:space="0"/>
                  </w:tcBorders>
                  <w:vAlign w:val="center"/>
                </w:tcPr>
                <w:p>
                  <w:pPr>
                    <w:pStyle w:val="37"/>
                    <w:jc w:val="center"/>
                  </w:pPr>
                  <w:r>
                    <w:rPr>
                      <w:rFonts w:hint="eastAsia"/>
                    </w:rPr>
                    <w:t>蜂窝煤成型机</w:t>
                  </w:r>
                </w:p>
              </w:tc>
              <w:tc>
                <w:tcPr>
                  <w:tcW w:w="1043" w:type="dxa"/>
                  <w:tcBorders>
                    <w:top w:val="single" w:color="auto" w:sz="4" w:space="0"/>
                    <w:bottom w:val="single" w:color="auto" w:sz="4" w:space="0"/>
                  </w:tcBorders>
                  <w:vAlign w:val="center"/>
                </w:tcPr>
                <w:p>
                  <w:pPr>
                    <w:pStyle w:val="37"/>
                    <w:jc w:val="center"/>
                  </w:pPr>
                  <w:r>
                    <w:rPr>
                      <w:rFonts w:hint="eastAsia"/>
                    </w:rPr>
                    <w:t>5</w:t>
                  </w:r>
                  <w:r>
                    <w:t>4</w:t>
                  </w:r>
                </w:p>
              </w:tc>
              <w:tc>
                <w:tcPr>
                  <w:tcW w:w="1046" w:type="dxa"/>
                  <w:tcBorders>
                    <w:top w:val="single" w:color="auto" w:sz="4" w:space="0"/>
                    <w:bottom w:val="single" w:color="auto" w:sz="4" w:space="0"/>
                  </w:tcBorders>
                  <w:vAlign w:val="center"/>
                </w:tcPr>
                <w:p>
                  <w:pPr>
                    <w:pStyle w:val="37"/>
                    <w:jc w:val="center"/>
                  </w:pPr>
                  <w:r>
                    <w:rPr>
                      <w:rFonts w:hint="eastAsia"/>
                    </w:rPr>
                    <w:t>1</w:t>
                  </w:r>
                  <w:r>
                    <w:t>00</w:t>
                  </w:r>
                </w:p>
              </w:tc>
              <w:tc>
                <w:tcPr>
                  <w:tcW w:w="1037" w:type="dxa"/>
                  <w:tcBorders>
                    <w:top w:val="single" w:color="auto" w:sz="4" w:space="0"/>
                    <w:bottom w:val="single" w:color="auto" w:sz="4" w:space="0"/>
                  </w:tcBorders>
                  <w:vAlign w:val="center"/>
                </w:tcPr>
                <w:p>
                  <w:pPr>
                    <w:pStyle w:val="37"/>
                    <w:jc w:val="center"/>
                  </w:pPr>
                  <w:r>
                    <w:rPr>
                      <w:rFonts w:hint="eastAsia"/>
                    </w:rPr>
                    <w:t>4</w:t>
                  </w:r>
                  <w:r>
                    <w:t>0</w:t>
                  </w:r>
                </w:p>
              </w:tc>
              <w:tc>
                <w:tcPr>
                  <w:tcW w:w="784" w:type="dxa"/>
                  <w:tcBorders>
                    <w:top w:val="single" w:color="auto" w:sz="4" w:space="0"/>
                    <w:bottom w:val="single" w:color="auto" w:sz="4" w:space="0"/>
                  </w:tcBorders>
                  <w:vAlign w:val="center"/>
                </w:tcPr>
                <w:p>
                  <w:pPr>
                    <w:pStyle w:val="37"/>
                    <w:jc w:val="center"/>
                  </w:pPr>
                  <w:r>
                    <w:rPr>
                      <w:rFonts w:hint="eastAsia"/>
                    </w:rPr>
                    <w:t>5</w:t>
                  </w:r>
                  <w:r>
                    <w:t>0</w:t>
                  </w:r>
                </w:p>
              </w:tc>
              <w:tc>
                <w:tcPr>
                  <w:tcW w:w="1571" w:type="dxa"/>
                  <w:tcBorders>
                    <w:top w:val="single" w:color="auto" w:sz="4" w:space="0"/>
                    <w:bottom w:val="single" w:color="auto" w:sz="4" w:space="0"/>
                  </w:tcBorders>
                  <w:vAlign w:val="center"/>
                </w:tcPr>
                <w:p>
                  <w:pPr>
                    <w:pStyle w:val="37"/>
                    <w:jc w:val="center"/>
                  </w:pPr>
                  <w:r>
                    <w:rPr>
                      <w:rFonts w:hint="eastAsia"/>
                    </w:rPr>
                    <w:t>7</w:t>
                  </w:r>
                  <w: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tcBorders>
                    <w:top w:val="single" w:color="auto" w:sz="4" w:space="0"/>
                    <w:left w:val="single" w:color="auto" w:sz="4" w:space="0"/>
                    <w:bottom w:val="single" w:color="auto" w:sz="4" w:space="0"/>
                  </w:tcBorders>
                  <w:vAlign w:val="center"/>
                </w:tcPr>
                <w:p>
                  <w:pPr>
                    <w:pStyle w:val="37"/>
                    <w:jc w:val="center"/>
                  </w:pPr>
                  <w:r>
                    <w:rPr>
                      <w:rFonts w:hint="eastAsia"/>
                    </w:rPr>
                    <w:t>抽水泵</w:t>
                  </w:r>
                </w:p>
              </w:tc>
              <w:tc>
                <w:tcPr>
                  <w:tcW w:w="1043" w:type="dxa"/>
                  <w:tcBorders>
                    <w:top w:val="single" w:color="auto" w:sz="4" w:space="0"/>
                    <w:bottom w:val="single" w:color="auto" w:sz="4" w:space="0"/>
                  </w:tcBorders>
                  <w:vAlign w:val="center"/>
                </w:tcPr>
                <w:p>
                  <w:pPr>
                    <w:pStyle w:val="37"/>
                    <w:jc w:val="center"/>
                  </w:pPr>
                  <w:r>
                    <w:rPr>
                      <w:rFonts w:hint="eastAsia"/>
                    </w:rPr>
                    <w:t>3</w:t>
                  </w:r>
                  <w:r>
                    <w:t>0</w:t>
                  </w:r>
                </w:p>
              </w:tc>
              <w:tc>
                <w:tcPr>
                  <w:tcW w:w="1046" w:type="dxa"/>
                  <w:tcBorders>
                    <w:top w:val="single" w:color="auto" w:sz="4" w:space="0"/>
                    <w:bottom w:val="single" w:color="auto" w:sz="4" w:space="0"/>
                  </w:tcBorders>
                  <w:vAlign w:val="center"/>
                </w:tcPr>
                <w:p>
                  <w:pPr>
                    <w:pStyle w:val="37"/>
                    <w:jc w:val="center"/>
                  </w:pPr>
                  <w:r>
                    <w:rPr>
                      <w:rFonts w:hint="eastAsia"/>
                    </w:rPr>
                    <w:t>4</w:t>
                  </w:r>
                  <w:r>
                    <w:t>2</w:t>
                  </w:r>
                </w:p>
              </w:tc>
              <w:tc>
                <w:tcPr>
                  <w:tcW w:w="1037" w:type="dxa"/>
                  <w:tcBorders>
                    <w:top w:val="single" w:color="auto" w:sz="4" w:space="0"/>
                    <w:bottom w:val="single" w:color="auto" w:sz="4" w:space="0"/>
                  </w:tcBorders>
                  <w:vAlign w:val="center"/>
                </w:tcPr>
                <w:p>
                  <w:pPr>
                    <w:pStyle w:val="37"/>
                    <w:jc w:val="center"/>
                  </w:pPr>
                  <w:r>
                    <w:rPr>
                      <w:rFonts w:hint="eastAsia"/>
                    </w:rPr>
                    <w:t>5</w:t>
                  </w:r>
                  <w:r>
                    <w:t>0</w:t>
                  </w:r>
                </w:p>
              </w:tc>
              <w:tc>
                <w:tcPr>
                  <w:tcW w:w="784" w:type="dxa"/>
                  <w:tcBorders>
                    <w:top w:val="single" w:color="auto" w:sz="4" w:space="0"/>
                    <w:bottom w:val="single" w:color="auto" w:sz="4" w:space="0"/>
                  </w:tcBorders>
                  <w:vAlign w:val="center"/>
                </w:tcPr>
                <w:p>
                  <w:pPr>
                    <w:pStyle w:val="37"/>
                    <w:jc w:val="center"/>
                  </w:pPr>
                  <w:r>
                    <w:rPr>
                      <w:rFonts w:hint="eastAsia"/>
                    </w:rPr>
                    <w:t>5</w:t>
                  </w:r>
                  <w:r>
                    <w:t>6</w:t>
                  </w:r>
                </w:p>
              </w:tc>
              <w:tc>
                <w:tcPr>
                  <w:tcW w:w="1571" w:type="dxa"/>
                  <w:tcBorders>
                    <w:top w:val="single" w:color="auto" w:sz="4" w:space="0"/>
                    <w:bottom w:val="single" w:color="auto" w:sz="4" w:space="0"/>
                  </w:tcBorders>
                  <w:vAlign w:val="center"/>
                </w:tcPr>
                <w:p>
                  <w:pPr>
                    <w:pStyle w:val="37"/>
                    <w:jc w:val="center"/>
                  </w:pPr>
                  <w:r>
                    <w:rPr>
                      <w:rFonts w:hint="eastAsia"/>
                    </w:rPr>
                    <w:t>7</w:t>
                  </w:r>
                  <w: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tcBorders>
                    <w:top w:val="single" w:color="auto" w:sz="4" w:space="0"/>
                    <w:left w:val="single" w:color="auto" w:sz="4" w:space="0"/>
                    <w:bottom w:val="single" w:color="auto" w:sz="4" w:space="0"/>
                  </w:tcBorders>
                  <w:vAlign w:val="center"/>
                </w:tcPr>
                <w:p>
                  <w:pPr>
                    <w:pStyle w:val="37"/>
                    <w:jc w:val="center"/>
                  </w:pPr>
                  <w:r>
                    <w:rPr>
                      <w:rFonts w:hint="eastAsia"/>
                    </w:rPr>
                    <w:t>风机</w:t>
                  </w:r>
                </w:p>
              </w:tc>
              <w:tc>
                <w:tcPr>
                  <w:tcW w:w="1043" w:type="dxa"/>
                  <w:tcBorders>
                    <w:top w:val="single" w:color="auto" w:sz="4" w:space="0"/>
                    <w:bottom w:val="single" w:color="auto" w:sz="4" w:space="0"/>
                  </w:tcBorders>
                  <w:vAlign w:val="center"/>
                </w:tcPr>
                <w:p>
                  <w:pPr>
                    <w:pStyle w:val="37"/>
                    <w:jc w:val="center"/>
                  </w:pPr>
                  <w:r>
                    <w:rPr>
                      <w:rFonts w:hint="eastAsia"/>
                    </w:rPr>
                    <w:t>7</w:t>
                  </w:r>
                  <w:r>
                    <w:t>0</w:t>
                  </w:r>
                </w:p>
              </w:tc>
              <w:tc>
                <w:tcPr>
                  <w:tcW w:w="1046" w:type="dxa"/>
                  <w:tcBorders>
                    <w:top w:val="single" w:color="auto" w:sz="4" w:space="0"/>
                    <w:bottom w:val="single" w:color="auto" w:sz="4" w:space="0"/>
                  </w:tcBorders>
                  <w:vAlign w:val="center"/>
                </w:tcPr>
                <w:p>
                  <w:pPr>
                    <w:pStyle w:val="37"/>
                    <w:jc w:val="center"/>
                  </w:pPr>
                  <w:r>
                    <w:rPr>
                      <w:rFonts w:hint="eastAsia"/>
                    </w:rPr>
                    <w:t>1</w:t>
                  </w:r>
                  <w:r>
                    <w:t>50</w:t>
                  </w:r>
                </w:p>
              </w:tc>
              <w:tc>
                <w:tcPr>
                  <w:tcW w:w="1037" w:type="dxa"/>
                  <w:tcBorders>
                    <w:top w:val="single" w:color="auto" w:sz="4" w:space="0"/>
                    <w:bottom w:val="single" w:color="auto" w:sz="4" w:space="0"/>
                  </w:tcBorders>
                  <w:vAlign w:val="center"/>
                </w:tcPr>
                <w:p>
                  <w:pPr>
                    <w:pStyle w:val="37"/>
                    <w:jc w:val="center"/>
                  </w:pPr>
                  <w:r>
                    <w:rPr>
                      <w:rFonts w:hint="eastAsia"/>
                    </w:rPr>
                    <w:t>4</w:t>
                  </w:r>
                  <w:r>
                    <w:t>0</w:t>
                  </w:r>
                </w:p>
              </w:tc>
              <w:tc>
                <w:tcPr>
                  <w:tcW w:w="784" w:type="dxa"/>
                  <w:tcBorders>
                    <w:top w:val="single" w:color="auto" w:sz="4" w:space="0"/>
                    <w:bottom w:val="single" w:color="auto" w:sz="4" w:space="0"/>
                  </w:tcBorders>
                  <w:vAlign w:val="center"/>
                </w:tcPr>
                <w:p>
                  <w:pPr>
                    <w:pStyle w:val="37"/>
                    <w:jc w:val="center"/>
                  </w:pPr>
                  <w:r>
                    <w:rPr>
                      <w:rFonts w:hint="eastAsia"/>
                    </w:rPr>
                    <w:t>3</w:t>
                  </w:r>
                  <w:r>
                    <w:t>0</w:t>
                  </w:r>
                </w:p>
              </w:tc>
              <w:tc>
                <w:tcPr>
                  <w:tcW w:w="1571" w:type="dxa"/>
                  <w:tcBorders>
                    <w:top w:val="single" w:color="auto" w:sz="4" w:space="0"/>
                    <w:bottom w:val="single" w:color="auto" w:sz="4" w:space="0"/>
                  </w:tcBorders>
                  <w:vAlign w:val="center"/>
                </w:tcPr>
                <w:p>
                  <w:pPr>
                    <w:pStyle w:val="37"/>
                    <w:jc w:val="center"/>
                  </w:pPr>
                  <w:r>
                    <w:rPr>
                      <w:rFonts w:hint="eastAsia"/>
                    </w:rPr>
                    <w:t>9</w:t>
                  </w:r>
                  <w: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Ex>
              <w:trPr>
                <w:trHeight w:val="20" w:hRule="atLeast"/>
                <w:jc w:val="center"/>
              </w:trPr>
              <w:tc>
                <w:tcPr>
                  <w:tcW w:w="2374" w:type="dxa"/>
                  <w:tcBorders>
                    <w:top w:val="single" w:color="auto" w:sz="4" w:space="0"/>
                    <w:left w:val="single" w:color="auto" w:sz="4" w:space="0"/>
                    <w:bottom w:val="single" w:color="auto" w:sz="4" w:space="0"/>
                  </w:tcBorders>
                  <w:vAlign w:val="center"/>
                </w:tcPr>
                <w:p>
                  <w:pPr>
                    <w:pStyle w:val="37"/>
                    <w:jc w:val="center"/>
                  </w:pPr>
                  <w:r>
                    <w:rPr>
                      <w:rFonts w:hint="eastAsia"/>
                    </w:rPr>
                    <w:t>铲车</w:t>
                  </w:r>
                </w:p>
              </w:tc>
              <w:tc>
                <w:tcPr>
                  <w:tcW w:w="1043" w:type="dxa"/>
                  <w:tcBorders>
                    <w:top w:val="single" w:color="auto" w:sz="4" w:space="0"/>
                    <w:bottom w:val="single" w:color="auto" w:sz="4" w:space="0"/>
                  </w:tcBorders>
                  <w:vAlign w:val="center"/>
                </w:tcPr>
                <w:p>
                  <w:pPr>
                    <w:pStyle w:val="37"/>
                    <w:jc w:val="center"/>
                  </w:pPr>
                  <w:r>
                    <w:rPr>
                      <w:rFonts w:hint="eastAsia"/>
                    </w:rPr>
                    <w:t>5</w:t>
                  </w:r>
                  <w:r>
                    <w:t>0</w:t>
                  </w:r>
                </w:p>
              </w:tc>
              <w:tc>
                <w:tcPr>
                  <w:tcW w:w="1046" w:type="dxa"/>
                  <w:tcBorders>
                    <w:top w:val="single" w:color="auto" w:sz="4" w:space="0"/>
                    <w:bottom w:val="single" w:color="auto" w:sz="4" w:space="0"/>
                  </w:tcBorders>
                  <w:vAlign w:val="center"/>
                </w:tcPr>
                <w:p>
                  <w:pPr>
                    <w:pStyle w:val="37"/>
                    <w:jc w:val="center"/>
                  </w:pPr>
                  <w:r>
                    <w:rPr>
                      <w:rFonts w:hint="eastAsia"/>
                    </w:rPr>
                    <w:t>1</w:t>
                  </w:r>
                  <w:r>
                    <w:t>00</w:t>
                  </w:r>
                </w:p>
              </w:tc>
              <w:tc>
                <w:tcPr>
                  <w:tcW w:w="1037" w:type="dxa"/>
                  <w:tcBorders>
                    <w:top w:val="single" w:color="auto" w:sz="4" w:space="0"/>
                    <w:bottom w:val="single" w:color="auto" w:sz="4" w:space="0"/>
                  </w:tcBorders>
                  <w:vAlign w:val="center"/>
                </w:tcPr>
                <w:p>
                  <w:pPr>
                    <w:pStyle w:val="37"/>
                    <w:jc w:val="center"/>
                  </w:pPr>
                  <w:r>
                    <w:rPr>
                      <w:rFonts w:hint="eastAsia"/>
                    </w:rPr>
                    <w:t>3</w:t>
                  </w:r>
                  <w:r>
                    <w:t>0</w:t>
                  </w:r>
                </w:p>
              </w:tc>
              <w:tc>
                <w:tcPr>
                  <w:tcW w:w="784" w:type="dxa"/>
                  <w:tcBorders>
                    <w:top w:val="single" w:color="auto" w:sz="4" w:space="0"/>
                    <w:bottom w:val="single" w:color="auto" w:sz="4" w:space="0"/>
                  </w:tcBorders>
                  <w:vAlign w:val="center"/>
                </w:tcPr>
                <w:p>
                  <w:pPr>
                    <w:pStyle w:val="37"/>
                    <w:jc w:val="center"/>
                  </w:pPr>
                  <w:r>
                    <w:rPr>
                      <w:rFonts w:hint="eastAsia"/>
                    </w:rPr>
                    <w:t>5</w:t>
                  </w:r>
                  <w:r>
                    <w:t>0</w:t>
                  </w:r>
                </w:p>
              </w:tc>
              <w:tc>
                <w:tcPr>
                  <w:tcW w:w="1571" w:type="dxa"/>
                  <w:tcBorders>
                    <w:top w:val="single" w:color="auto" w:sz="4" w:space="0"/>
                    <w:bottom w:val="single" w:color="auto" w:sz="4" w:space="0"/>
                  </w:tcBorders>
                  <w:vAlign w:val="center"/>
                </w:tcPr>
                <w:p>
                  <w:pPr>
                    <w:pStyle w:val="37"/>
                    <w:jc w:val="center"/>
                  </w:pPr>
                  <w:r>
                    <w:rPr>
                      <w:rFonts w:hint="eastAsia"/>
                    </w:rPr>
                    <w:t>8</w:t>
                  </w:r>
                  <w:r>
                    <w:t>0</w:t>
                  </w:r>
                </w:p>
              </w:tc>
            </w:tr>
          </w:tbl>
          <w:p>
            <w:pPr>
              <w:ind w:firstLine="480"/>
              <w:rPr>
                <w:u w:val="single"/>
              </w:rPr>
            </w:pPr>
            <w:r>
              <w:rPr>
                <w:u w:val="single"/>
              </w:rPr>
              <w:t>采用点声源距离衰减模式及多声源叠加模式可计算出靠近开口处（或窗户）室内某倍频带的声压级或A声级，计算公式如下：</w:t>
            </w:r>
          </w:p>
          <w:p>
            <w:pPr>
              <w:ind w:firstLine="480"/>
              <w:rPr>
                <w:u w:val="single"/>
              </w:rPr>
            </w:pPr>
            <w:r>
              <w:rPr>
                <w:u w:val="single"/>
              </w:rPr>
              <w:t>1）点声源距离衰减模式</w:t>
            </w:r>
          </w:p>
          <w:p>
            <w:pPr>
              <w:pStyle w:val="16"/>
              <w:kinsoku w:val="0"/>
              <w:overflowPunct w:val="0"/>
              <w:autoSpaceDE w:val="0"/>
              <w:autoSpaceDN w:val="0"/>
              <w:ind w:firstLine="210"/>
              <w:jc w:val="center"/>
              <w:rPr>
                <w:sz w:val="21"/>
                <w:u w:val="single"/>
              </w:rPr>
            </w:pPr>
            <w:r>
              <w:rPr>
                <w:sz w:val="21"/>
                <w:u w:val="single"/>
              </w:rPr>
              <w:object>
                <v:shape id="_x0000_i1029" o:spt="75" type="#_x0000_t75" style="height:34.5pt;width:121.5pt;" o:ole="t" fillcolor="#ACA899" filled="f" o:preferrelative="t" stroked="f" coordsize="21600,21600">
                  <v:path/>
                  <v:fill on="f" focussize="0,0"/>
                  <v:stroke on="f" joinstyle="miter"/>
                  <v:imagedata r:id="rId21" o:title=""/>
                  <o:lock v:ext="edit" aspectratio="t"/>
                  <w10:wrap type="none"/>
                  <w10:anchorlock/>
                </v:shape>
                <o:OLEObject Type="Embed" ProgID="Equation.3" ShapeID="_x0000_i1029" DrawAspect="Content" ObjectID="_1468075729" r:id="rId20">
                  <o:LockedField>false</o:LockedField>
                </o:OLEObject>
              </w:object>
            </w:r>
            <w:r>
              <w:rPr>
                <w:sz w:val="21"/>
                <w:u w:val="single"/>
              </w:rPr>
              <w:t>dB(A)</w:t>
            </w:r>
          </w:p>
          <w:p>
            <w:pPr>
              <w:kinsoku w:val="0"/>
              <w:overflowPunct w:val="0"/>
              <w:autoSpaceDE w:val="0"/>
              <w:autoSpaceDN w:val="0"/>
              <w:ind w:firstLine="480"/>
              <w:rPr>
                <w:u w:val="single"/>
              </w:rPr>
            </w:pPr>
            <w:r>
              <w:rPr>
                <w:u w:val="single"/>
              </w:rPr>
              <w:t>K个噪声源的合成声级</w:t>
            </w:r>
          </w:p>
          <w:p>
            <w:pPr>
              <w:pStyle w:val="16"/>
              <w:kinsoku w:val="0"/>
              <w:overflowPunct w:val="0"/>
              <w:autoSpaceDE w:val="0"/>
              <w:autoSpaceDN w:val="0"/>
              <w:ind w:firstLine="210"/>
              <w:jc w:val="center"/>
              <w:rPr>
                <w:sz w:val="21"/>
                <w:u w:val="single"/>
              </w:rPr>
            </w:pPr>
            <w:r>
              <w:rPr>
                <w:sz w:val="21"/>
                <w:u w:val="single"/>
              </w:rPr>
              <w:object>
                <v:shape id="_x0000_i1030" o:spt="75" type="#_x0000_t75" style="height:37.5pt;width:110.25pt;" o:ole="t" fillcolor="#ACA899"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r>
              <w:rPr>
                <w:sz w:val="21"/>
                <w:u w:val="single"/>
              </w:rPr>
              <w:t>dB(A)</w:t>
            </w:r>
          </w:p>
          <w:p>
            <w:pPr>
              <w:kinsoku w:val="0"/>
              <w:overflowPunct w:val="0"/>
              <w:autoSpaceDE w:val="0"/>
              <w:autoSpaceDN w:val="0"/>
              <w:ind w:firstLine="480"/>
              <w:rPr>
                <w:u w:val="single"/>
              </w:rPr>
            </w:pPr>
            <w:r>
              <w:rPr>
                <w:u w:val="single"/>
              </w:rPr>
              <w:t>式中：L</w:t>
            </w:r>
            <w:r>
              <w:rPr>
                <w:u w:val="single"/>
                <w:vertAlign w:val="subscript"/>
              </w:rPr>
              <w:t>pi</w:t>
            </w:r>
            <w:r>
              <w:rPr>
                <w:u w:val="single"/>
              </w:rPr>
              <w:t>——第i个噪声源噪声的距离的衰减值，dB(A)；</w:t>
            </w:r>
          </w:p>
          <w:p>
            <w:pPr>
              <w:kinsoku w:val="0"/>
              <w:overflowPunct w:val="0"/>
              <w:autoSpaceDE w:val="0"/>
              <w:autoSpaceDN w:val="0"/>
              <w:ind w:firstLine="480"/>
              <w:rPr>
                <w:u w:val="single"/>
              </w:rPr>
            </w:pPr>
            <w:r>
              <w:rPr>
                <w:u w:val="single"/>
              </w:rPr>
              <w:t>L</w:t>
            </w:r>
            <w:r>
              <w:rPr>
                <w:u w:val="single"/>
                <w:vertAlign w:val="subscript"/>
              </w:rPr>
              <w:t>oi</w:t>
            </w:r>
            <w:r>
              <w:rPr>
                <w:u w:val="single"/>
              </w:rPr>
              <w:t>——第i个噪声源的A声级，dB(A)；</w:t>
            </w:r>
          </w:p>
          <w:p>
            <w:pPr>
              <w:kinsoku w:val="0"/>
              <w:overflowPunct w:val="0"/>
              <w:autoSpaceDE w:val="0"/>
              <w:autoSpaceDN w:val="0"/>
              <w:ind w:firstLine="480"/>
              <w:rPr>
                <w:u w:val="single"/>
              </w:rPr>
            </w:pPr>
            <w:r>
              <w:rPr>
                <w:u w:val="single"/>
              </w:rPr>
              <w:t>i——第i个噪声源噪声衰减距离，m；</w:t>
            </w:r>
          </w:p>
          <w:p>
            <w:pPr>
              <w:kinsoku w:val="0"/>
              <w:overflowPunct w:val="0"/>
              <w:autoSpaceDE w:val="0"/>
              <w:autoSpaceDN w:val="0"/>
              <w:ind w:firstLine="480"/>
              <w:rPr>
                <w:u w:val="single"/>
              </w:rPr>
            </w:pPr>
            <w:r>
              <w:rPr>
                <w:u w:val="single"/>
              </w:rPr>
              <w:t>r</w:t>
            </w:r>
            <w:r>
              <w:rPr>
                <w:u w:val="single"/>
                <w:vertAlign w:val="subscript"/>
              </w:rPr>
              <w:t>oi</w:t>
            </w:r>
            <w:r>
              <w:rPr>
                <w:u w:val="single"/>
              </w:rPr>
              <w:t>——距离声源1m处，m；</w:t>
            </w:r>
          </w:p>
          <w:p>
            <w:pPr>
              <w:kinsoku w:val="0"/>
              <w:overflowPunct w:val="0"/>
              <w:autoSpaceDE w:val="0"/>
              <w:autoSpaceDN w:val="0"/>
              <w:ind w:firstLine="480"/>
              <w:rPr>
                <w:u w:val="single"/>
              </w:rPr>
            </w:pPr>
            <w:r>
              <w:rPr>
                <w:rFonts w:hint="eastAsia" w:ascii="宋体" w:hAnsi="宋体" w:cs="宋体"/>
                <w:u w:val="single"/>
              </w:rPr>
              <w:t>△</w:t>
            </w:r>
            <w:r>
              <w:rPr>
                <w:u w:val="single"/>
              </w:rPr>
              <w:t>L</w:t>
            </w:r>
            <w:r>
              <w:rPr>
                <w:rFonts w:cs="Times New Roman"/>
                <w:u w:val="single"/>
              </w:rPr>
              <w:t>——</w:t>
            </w:r>
            <w:r>
              <w:rPr>
                <w:u w:val="single"/>
              </w:rPr>
              <w:t>其它环境因素引起的衰减值，dB(A)；</w:t>
            </w:r>
          </w:p>
          <w:p>
            <w:pPr>
              <w:kinsoku w:val="0"/>
              <w:overflowPunct w:val="0"/>
              <w:autoSpaceDE w:val="0"/>
              <w:autoSpaceDN w:val="0"/>
              <w:ind w:firstLine="480"/>
              <w:rPr>
                <w:u w:val="single"/>
              </w:rPr>
            </w:pPr>
            <w:r>
              <w:rPr>
                <w:u w:val="single"/>
              </w:rPr>
              <w:t>L</w:t>
            </w:r>
            <w:r>
              <w:rPr>
                <w:u w:val="single"/>
                <w:vertAlign w:val="subscript"/>
              </w:rPr>
              <w:t>p</w:t>
            </w:r>
            <w:r>
              <w:rPr>
                <w:u w:val="single"/>
              </w:rPr>
              <w:t>——K个噪声源衰减值的合成声级，dB(A)；</w:t>
            </w:r>
          </w:p>
          <w:p>
            <w:pPr>
              <w:kinsoku w:val="0"/>
              <w:overflowPunct w:val="0"/>
              <w:autoSpaceDE w:val="0"/>
              <w:autoSpaceDN w:val="0"/>
              <w:ind w:firstLine="480"/>
              <w:rPr>
                <w:u w:val="single"/>
              </w:rPr>
            </w:pPr>
            <w:r>
              <w:rPr>
                <w:u w:val="single"/>
              </w:rPr>
              <w:t>K——噪声源个数。</w:t>
            </w:r>
            <w:bookmarkStart w:id="292" w:name="_Toc3982"/>
            <w:bookmarkStart w:id="293" w:name="_Toc2281"/>
          </w:p>
          <w:p>
            <w:pPr>
              <w:kinsoku w:val="0"/>
              <w:overflowPunct w:val="0"/>
              <w:autoSpaceDE w:val="0"/>
              <w:autoSpaceDN w:val="0"/>
              <w:ind w:firstLine="480"/>
              <w:rPr>
                <w:u w:val="single"/>
              </w:rPr>
            </w:pPr>
            <w:r>
              <w:rPr>
                <w:u w:val="single"/>
              </w:rPr>
              <w:t>2）多声源叠加模式</w:t>
            </w:r>
            <w:bookmarkEnd w:id="292"/>
            <w:bookmarkEnd w:id="293"/>
          </w:p>
          <w:p>
            <w:pPr>
              <w:pStyle w:val="16"/>
              <w:kinsoku w:val="0"/>
              <w:overflowPunct w:val="0"/>
              <w:autoSpaceDE w:val="0"/>
              <w:autoSpaceDN w:val="0"/>
              <w:ind w:firstLine="210"/>
              <w:jc w:val="center"/>
              <w:rPr>
                <w:sz w:val="21"/>
                <w:u w:val="single"/>
              </w:rPr>
            </w:pPr>
            <w:r>
              <w:rPr>
                <w:sz w:val="21"/>
                <w:u w:val="single"/>
              </w:rPr>
              <w:drawing>
                <wp:inline distT="0" distB="0" distL="0" distR="0">
                  <wp:extent cx="1381125" cy="466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81125" cy="466725"/>
                          </a:xfrm>
                          <a:prstGeom prst="rect">
                            <a:avLst/>
                          </a:prstGeom>
                          <a:noFill/>
                          <a:ln>
                            <a:noFill/>
                          </a:ln>
                        </pic:spPr>
                      </pic:pic>
                    </a:graphicData>
                  </a:graphic>
                </wp:inline>
              </w:drawing>
            </w:r>
          </w:p>
          <w:p>
            <w:pPr>
              <w:ind w:firstLine="480"/>
              <w:rPr>
                <w:u w:val="single"/>
              </w:rPr>
            </w:pPr>
            <w:r>
              <w:rPr>
                <w:u w:val="single"/>
              </w:rPr>
              <w:t>式中：L</w:t>
            </w:r>
            <w:r>
              <w:rPr>
                <w:u w:val="single"/>
                <w:vertAlign w:val="subscript"/>
              </w:rPr>
              <w:t>o</w:t>
            </w:r>
            <w:r>
              <w:rPr>
                <w:u w:val="single"/>
              </w:rPr>
              <w:t>——叠加后总声压级，dB(A)；</w:t>
            </w:r>
          </w:p>
          <w:p>
            <w:pPr>
              <w:ind w:firstLine="480"/>
              <w:rPr>
                <w:u w:val="single"/>
              </w:rPr>
            </w:pPr>
            <w:r>
              <w:rPr>
                <w:u w:val="single"/>
              </w:rPr>
              <w:t>n——声源级数；</w:t>
            </w:r>
          </w:p>
          <w:p>
            <w:pPr>
              <w:ind w:firstLine="480"/>
              <w:rPr>
                <w:u w:val="single"/>
              </w:rPr>
            </w:pPr>
            <w:r>
              <w:rPr>
                <w:u w:val="single"/>
              </w:rPr>
              <w:t>L</w:t>
            </w:r>
            <w:r>
              <w:rPr>
                <w:u w:val="single"/>
                <w:vertAlign w:val="subscript"/>
              </w:rPr>
              <w:t>i</w:t>
            </w:r>
            <w:r>
              <w:rPr>
                <w:u w:val="single"/>
              </w:rPr>
              <w:t>——各声源对某点的声压值。</w:t>
            </w:r>
          </w:p>
          <w:p>
            <w:pPr>
              <w:ind w:firstLine="480"/>
              <w:rPr>
                <w:u w:val="single"/>
              </w:rPr>
            </w:pPr>
            <w:r>
              <w:rPr>
                <w:u w:val="single"/>
              </w:rPr>
              <w:t>根据计算，各点声源在临近侧室内A声级计算结果如下：</w:t>
            </w:r>
          </w:p>
          <w:p>
            <w:pPr>
              <w:pStyle w:val="31"/>
              <w:rPr>
                <w:u w:val="single"/>
              </w:rPr>
            </w:pPr>
            <w:r>
              <w:rPr>
                <w:u w:val="single"/>
              </w:rPr>
              <w:t>表4-9各点声源在临近侧室内A声级L</w:t>
            </w:r>
            <w:r>
              <w:rPr>
                <w:u w:val="single"/>
                <w:vertAlign w:val="subscript"/>
              </w:rPr>
              <w:t>p1</w:t>
            </w:r>
            <w:r>
              <w:rPr>
                <w:u w:val="single"/>
              </w:rPr>
              <w:t>计算结果表</w:t>
            </w:r>
          </w:p>
          <w:tbl>
            <w:tblPr>
              <w:tblStyle w:val="17"/>
              <w:tblW w:w="7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45"/>
              <w:gridCol w:w="905"/>
              <w:gridCol w:w="895"/>
              <w:gridCol w:w="1169"/>
              <w:gridCol w:w="1170"/>
              <w:gridCol w:w="898"/>
              <w:gridCol w:w="621"/>
              <w:gridCol w:w="621"/>
              <w:gridCol w:w="621"/>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vMerge w:val="restart"/>
                  <w:shd w:val="clear" w:color="auto" w:fill="auto"/>
                  <w:vAlign w:val="center"/>
                </w:tcPr>
                <w:p>
                  <w:pPr>
                    <w:pStyle w:val="66"/>
                  </w:pPr>
                  <w:r>
                    <w:t>序</w:t>
                  </w:r>
                </w:p>
                <w:p>
                  <w:pPr>
                    <w:pStyle w:val="66"/>
                  </w:pPr>
                  <w:r>
                    <w:t>号</w:t>
                  </w:r>
                </w:p>
              </w:tc>
              <w:tc>
                <w:tcPr>
                  <w:tcW w:w="905" w:type="dxa"/>
                  <w:vMerge w:val="restart"/>
                  <w:shd w:val="clear" w:color="auto" w:fill="auto"/>
                  <w:vAlign w:val="center"/>
                </w:tcPr>
                <w:p>
                  <w:pPr>
                    <w:pStyle w:val="66"/>
                  </w:pPr>
                  <w:r>
                    <w:t>设备</w:t>
                  </w:r>
                </w:p>
                <w:p>
                  <w:pPr>
                    <w:pStyle w:val="66"/>
                  </w:pPr>
                  <w:r>
                    <w:t>名称</w:t>
                  </w:r>
                </w:p>
              </w:tc>
              <w:tc>
                <w:tcPr>
                  <w:tcW w:w="895" w:type="dxa"/>
                  <w:vMerge w:val="restart"/>
                  <w:shd w:val="clear" w:color="auto" w:fill="auto"/>
                  <w:vAlign w:val="center"/>
                </w:tcPr>
                <w:p>
                  <w:pPr>
                    <w:pStyle w:val="66"/>
                  </w:pPr>
                  <w:r>
                    <w:t>数量</w:t>
                  </w:r>
                </w:p>
                <w:p>
                  <w:pPr>
                    <w:pStyle w:val="66"/>
                  </w:pPr>
                  <w:r>
                    <w:t>（台）</w:t>
                  </w:r>
                </w:p>
              </w:tc>
              <w:tc>
                <w:tcPr>
                  <w:tcW w:w="1169" w:type="dxa"/>
                  <w:vMerge w:val="restart"/>
                  <w:shd w:val="clear" w:color="auto" w:fill="auto"/>
                  <w:vAlign w:val="center"/>
                </w:tcPr>
                <w:p>
                  <w:pPr>
                    <w:pStyle w:val="66"/>
                  </w:pPr>
                  <w:r>
                    <w:t>单机源强</w:t>
                  </w:r>
                </w:p>
                <w:p>
                  <w:pPr>
                    <w:pStyle w:val="66"/>
                  </w:pPr>
                  <w:r>
                    <w:t>dB(A)</w:t>
                  </w:r>
                </w:p>
              </w:tc>
              <w:tc>
                <w:tcPr>
                  <w:tcW w:w="1170" w:type="dxa"/>
                  <w:vMerge w:val="restart"/>
                  <w:shd w:val="clear" w:color="auto" w:fill="auto"/>
                  <w:vAlign w:val="center"/>
                </w:tcPr>
                <w:p>
                  <w:pPr>
                    <w:pStyle w:val="66"/>
                  </w:pPr>
                  <w:r>
                    <w:t>合并源强</w:t>
                  </w:r>
                </w:p>
                <w:p>
                  <w:pPr>
                    <w:pStyle w:val="66"/>
                  </w:pPr>
                  <w:r>
                    <w:t>dB(A)</w:t>
                  </w:r>
                </w:p>
              </w:tc>
              <w:tc>
                <w:tcPr>
                  <w:tcW w:w="898" w:type="dxa"/>
                  <w:vMerge w:val="restart"/>
                  <w:shd w:val="clear" w:color="auto" w:fill="auto"/>
                  <w:vAlign w:val="center"/>
                </w:tcPr>
                <w:p>
                  <w:pPr>
                    <w:pStyle w:val="66"/>
                  </w:pPr>
                  <w:r>
                    <w:t>削减量</w:t>
                  </w:r>
                </w:p>
                <w:p>
                  <w:pPr>
                    <w:pStyle w:val="66"/>
                  </w:pPr>
                  <w:r>
                    <w:t>dB(A)</w:t>
                  </w:r>
                </w:p>
              </w:tc>
              <w:tc>
                <w:tcPr>
                  <w:tcW w:w="2483" w:type="dxa"/>
                  <w:gridSpan w:val="4"/>
                  <w:shd w:val="clear" w:color="auto" w:fill="auto"/>
                  <w:vAlign w:val="center"/>
                </w:tcPr>
                <w:p>
                  <w:pPr>
                    <w:pStyle w:val="66"/>
                  </w:pPr>
                  <w:r>
                    <w:t>Lp1计算结果dB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vMerge w:val="continue"/>
                  <w:shd w:val="clear" w:color="auto" w:fill="auto"/>
                  <w:vAlign w:val="center"/>
                </w:tcPr>
                <w:p>
                  <w:pPr>
                    <w:pStyle w:val="66"/>
                  </w:pPr>
                </w:p>
              </w:tc>
              <w:tc>
                <w:tcPr>
                  <w:tcW w:w="905" w:type="dxa"/>
                  <w:vMerge w:val="continue"/>
                  <w:shd w:val="clear" w:color="auto" w:fill="auto"/>
                  <w:vAlign w:val="center"/>
                </w:tcPr>
                <w:p>
                  <w:pPr>
                    <w:pStyle w:val="66"/>
                  </w:pPr>
                </w:p>
              </w:tc>
              <w:tc>
                <w:tcPr>
                  <w:tcW w:w="895" w:type="dxa"/>
                  <w:vMerge w:val="continue"/>
                  <w:shd w:val="clear" w:color="auto" w:fill="auto"/>
                  <w:vAlign w:val="center"/>
                </w:tcPr>
                <w:p>
                  <w:pPr>
                    <w:pStyle w:val="66"/>
                  </w:pPr>
                </w:p>
              </w:tc>
              <w:tc>
                <w:tcPr>
                  <w:tcW w:w="1169" w:type="dxa"/>
                  <w:vMerge w:val="continue"/>
                  <w:shd w:val="clear" w:color="auto" w:fill="auto"/>
                  <w:vAlign w:val="center"/>
                </w:tcPr>
                <w:p>
                  <w:pPr>
                    <w:pStyle w:val="66"/>
                  </w:pPr>
                </w:p>
              </w:tc>
              <w:tc>
                <w:tcPr>
                  <w:tcW w:w="1170" w:type="dxa"/>
                  <w:vMerge w:val="continue"/>
                  <w:shd w:val="clear" w:color="auto" w:fill="auto"/>
                  <w:vAlign w:val="center"/>
                </w:tcPr>
                <w:p>
                  <w:pPr>
                    <w:pStyle w:val="66"/>
                  </w:pPr>
                </w:p>
              </w:tc>
              <w:tc>
                <w:tcPr>
                  <w:tcW w:w="898" w:type="dxa"/>
                  <w:vMerge w:val="continue"/>
                  <w:shd w:val="clear" w:color="auto" w:fill="auto"/>
                  <w:vAlign w:val="center"/>
                </w:tcPr>
                <w:p>
                  <w:pPr>
                    <w:pStyle w:val="66"/>
                  </w:pPr>
                </w:p>
              </w:tc>
              <w:tc>
                <w:tcPr>
                  <w:tcW w:w="621" w:type="dxa"/>
                  <w:shd w:val="clear" w:color="auto" w:fill="auto"/>
                  <w:vAlign w:val="center"/>
                </w:tcPr>
                <w:p>
                  <w:pPr>
                    <w:pStyle w:val="66"/>
                  </w:pPr>
                  <w:r>
                    <w:t>东</w:t>
                  </w:r>
                </w:p>
              </w:tc>
              <w:tc>
                <w:tcPr>
                  <w:tcW w:w="621" w:type="dxa"/>
                  <w:shd w:val="clear" w:color="auto" w:fill="auto"/>
                  <w:vAlign w:val="center"/>
                </w:tcPr>
                <w:p>
                  <w:pPr>
                    <w:pStyle w:val="66"/>
                  </w:pPr>
                  <w:r>
                    <w:t>南</w:t>
                  </w:r>
                </w:p>
              </w:tc>
              <w:tc>
                <w:tcPr>
                  <w:tcW w:w="621" w:type="dxa"/>
                  <w:shd w:val="clear" w:color="auto" w:fill="auto"/>
                  <w:vAlign w:val="center"/>
                </w:tcPr>
                <w:p>
                  <w:pPr>
                    <w:pStyle w:val="66"/>
                  </w:pPr>
                  <w:r>
                    <w:t>西</w:t>
                  </w:r>
                </w:p>
              </w:tc>
              <w:tc>
                <w:tcPr>
                  <w:tcW w:w="620" w:type="dxa"/>
                  <w:shd w:val="clear" w:color="auto" w:fill="auto"/>
                  <w:vAlign w:val="center"/>
                </w:tcPr>
                <w:p>
                  <w:pPr>
                    <w:pStyle w:val="66"/>
                  </w:pPr>
                  <w: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shd w:val="clear" w:color="auto" w:fill="auto"/>
                  <w:vAlign w:val="center"/>
                </w:tcPr>
                <w:p>
                  <w:pPr>
                    <w:pStyle w:val="66"/>
                  </w:pPr>
                  <w:r>
                    <w:t>1</w:t>
                  </w:r>
                </w:p>
              </w:tc>
              <w:tc>
                <w:tcPr>
                  <w:tcW w:w="905" w:type="dxa"/>
                  <w:shd w:val="clear" w:color="auto" w:fill="auto"/>
                  <w:vAlign w:val="center"/>
                </w:tcPr>
                <w:p>
                  <w:pPr>
                    <w:pStyle w:val="66"/>
                  </w:pPr>
                  <w:r>
                    <w:rPr>
                      <w:rFonts w:hint="eastAsia"/>
                    </w:rPr>
                    <w:t>破碎机</w:t>
                  </w:r>
                </w:p>
              </w:tc>
              <w:tc>
                <w:tcPr>
                  <w:tcW w:w="895" w:type="dxa"/>
                  <w:shd w:val="clear" w:color="auto" w:fill="auto"/>
                  <w:vAlign w:val="center"/>
                </w:tcPr>
                <w:p>
                  <w:pPr>
                    <w:pStyle w:val="66"/>
                  </w:pPr>
                  <w:r>
                    <w:rPr>
                      <w:rFonts w:hint="eastAsia"/>
                    </w:rPr>
                    <w:t>2</w:t>
                  </w:r>
                </w:p>
              </w:tc>
              <w:tc>
                <w:tcPr>
                  <w:tcW w:w="1169" w:type="dxa"/>
                  <w:shd w:val="clear" w:color="auto" w:fill="auto"/>
                  <w:vAlign w:val="center"/>
                </w:tcPr>
                <w:p>
                  <w:pPr>
                    <w:pStyle w:val="66"/>
                  </w:pPr>
                  <w:r>
                    <w:t>100</w:t>
                  </w:r>
                </w:p>
              </w:tc>
              <w:tc>
                <w:tcPr>
                  <w:tcW w:w="1170" w:type="dxa"/>
                  <w:shd w:val="clear" w:color="auto" w:fill="auto"/>
                  <w:vAlign w:val="center"/>
                </w:tcPr>
                <w:p>
                  <w:pPr>
                    <w:pStyle w:val="66"/>
                  </w:pPr>
                  <w:r>
                    <w:rPr>
                      <w:rFonts w:hint="eastAsia"/>
                    </w:rPr>
                    <w:t>103.0</w:t>
                  </w:r>
                </w:p>
              </w:tc>
              <w:tc>
                <w:tcPr>
                  <w:tcW w:w="898" w:type="dxa"/>
                  <w:shd w:val="clear" w:color="auto" w:fill="auto"/>
                  <w:vAlign w:val="center"/>
                </w:tcPr>
                <w:p>
                  <w:pPr>
                    <w:pStyle w:val="66"/>
                  </w:pPr>
                  <w:r>
                    <w:t>10</w:t>
                  </w:r>
                </w:p>
              </w:tc>
              <w:tc>
                <w:tcPr>
                  <w:tcW w:w="621" w:type="dxa"/>
                  <w:shd w:val="clear" w:color="auto" w:fill="auto"/>
                  <w:vAlign w:val="center"/>
                </w:tcPr>
                <w:p>
                  <w:pPr>
                    <w:pStyle w:val="66"/>
                  </w:pPr>
                  <w:r>
                    <w:rPr>
                      <w:rFonts w:hint="eastAsia"/>
                    </w:rPr>
                    <w:t>67.4</w:t>
                  </w:r>
                </w:p>
              </w:tc>
              <w:tc>
                <w:tcPr>
                  <w:tcW w:w="621" w:type="dxa"/>
                  <w:shd w:val="clear" w:color="auto" w:fill="auto"/>
                  <w:vAlign w:val="center"/>
                </w:tcPr>
                <w:p>
                  <w:pPr>
                    <w:pStyle w:val="66"/>
                  </w:pPr>
                  <w:r>
                    <w:rPr>
                      <w:rFonts w:hint="eastAsia"/>
                    </w:rPr>
                    <w:t>61.6</w:t>
                  </w:r>
                </w:p>
              </w:tc>
              <w:tc>
                <w:tcPr>
                  <w:tcW w:w="621" w:type="dxa"/>
                  <w:shd w:val="clear" w:color="auto" w:fill="auto"/>
                  <w:vAlign w:val="center"/>
                </w:tcPr>
                <w:p>
                  <w:pPr>
                    <w:pStyle w:val="66"/>
                  </w:pPr>
                  <w:r>
                    <w:rPr>
                      <w:rFonts w:hint="eastAsia"/>
                    </w:rPr>
                    <w:t>71.0</w:t>
                  </w:r>
                </w:p>
              </w:tc>
              <w:tc>
                <w:tcPr>
                  <w:tcW w:w="620" w:type="dxa"/>
                  <w:shd w:val="clear" w:color="auto" w:fill="auto"/>
                  <w:vAlign w:val="center"/>
                </w:tcPr>
                <w:p>
                  <w:pPr>
                    <w:pStyle w:val="66"/>
                  </w:pPr>
                  <w:r>
                    <w:rPr>
                      <w:rFonts w:hint="eastAsia"/>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shd w:val="clear" w:color="auto" w:fill="auto"/>
                  <w:vAlign w:val="center"/>
                </w:tcPr>
                <w:p>
                  <w:pPr>
                    <w:pStyle w:val="66"/>
                  </w:pPr>
                  <w:r>
                    <w:t>2</w:t>
                  </w:r>
                </w:p>
              </w:tc>
              <w:tc>
                <w:tcPr>
                  <w:tcW w:w="905" w:type="dxa"/>
                  <w:shd w:val="clear" w:color="auto" w:fill="auto"/>
                  <w:vAlign w:val="center"/>
                </w:tcPr>
                <w:p>
                  <w:pPr>
                    <w:pStyle w:val="66"/>
                  </w:pPr>
                  <w:r>
                    <w:rPr>
                      <w:rFonts w:hint="eastAsia"/>
                    </w:rPr>
                    <w:t>筛分机</w:t>
                  </w:r>
                </w:p>
              </w:tc>
              <w:tc>
                <w:tcPr>
                  <w:tcW w:w="895" w:type="dxa"/>
                  <w:shd w:val="clear" w:color="auto" w:fill="auto"/>
                  <w:vAlign w:val="center"/>
                </w:tcPr>
                <w:p>
                  <w:pPr>
                    <w:pStyle w:val="66"/>
                  </w:pPr>
                  <w:r>
                    <w:rPr>
                      <w:rFonts w:hint="eastAsia"/>
                    </w:rPr>
                    <w:t>2</w:t>
                  </w:r>
                </w:p>
              </w:tc>
              <w:tc>
                <w:tcPr>
                  <w:tcW w:w="1169" w:type="dxa"/>
                  <w:shd w:val="clear" w:color="auto" w:fill="auto"/>
                  <w:vAlign w:val="center"/>
                </w:tcPr>
                <w:p>
                  <w:pPr>
                    <w:pStyle w:val="66"/>
                  </w:pPr>
                  <w:r>
                    <w:rPr>
                      <w:rFonts w:hint="eastAsia"/>
                    </w:rPr>
                    <w:t>9</w:t>
                  </w:r>
                  <w:r>
                    <w:t>5</w:t>
                  </w:r>
                </w:p>
              </w:tc>
              <w:tc>
                <w:tcPr>
                  <w:tcW w:w="1170" w:type="dxa"/>
                  <w:shd w:val="clear" w:color="auto" w:fill="auto"/>
                  <w:vAlign w:val="center"/>
                </w:tcPr>
                <w:p>
                  <w:pPr>
                    <w:pStyle w:val="66"/>
                  </w:pPr>
                  <w:r>
                    <w:rPr>
                      <w:rFonts w:hint="eastAsia"/>
                    </w:rPr>
                    <w:t>98.0</w:t>
                  </w:r>
                </w:p>
              </w:tc>
              <w:tc>
                <w:tcPr>
                  <w:tcW w:w="898" w:type="dxa"/>
                  <w:shd w:val="clear" w:color="auto" w:fill="auto"/>
                  <w:vAlign w:val="center"/>
                </w:tcPr>
                <w:p>
                  <w:pPr>
                    <w:pStyle w:val="66"/>
                  </w:pPr>
                  <w:r>
                    <w:t>10</w:t>
                  </w:r>
                </w:p>
              </w:tc>
              <w:tc>
                <w:tcPr>
                  <w:tcW w:w="621" w:type="dxa"/>
                  <w:shd w:val="clear" w:color="auto" w:fill="auto"/>
                  <w:vAlign w:val="center"/>
                </w:tcPr>
                <w:p>
                  <w:pPr>
                    <w:pStyle w:val="66"/>
                  </w:pPr>
                  <w:r>
                    <w:rPr>
                      <w:rFonts w:hint="eastAsia"/>
                    </w:rPr>
                    <w:t>66.0</w:t>
                  </w:r>
                </w:p>
              </w:tc>
              <w:tc>
                <w:tcPr>
                  <w:tcW w:w="621" w:type="dxa"/>
                  <w:shd w:val="clear" w:color="auto" w:fill="auto"/>
                  <w:vAlign w:val="center"/>
                </w:tcPr>
                <w:p>
                  <w:pPr>
                    <w:pStyle w:val="66"/>
                  </w:pPr>
                  <w:r>
                    <w:rPr>
                      <w:rFonts w:hint="eastAsia"/>
                    </w:rPr>
                    <w:t>56.4</w:t>
                  </w:r>
                </w:p>
              </w:tc>
              <w:tc>
                <w:tcPr>
                  <w:tcW w:w="621" w:type="dxa"/>
                  <w:shd w:val="clear" w:color="auto" w:fill="auto"/>
                  <w:vAlign w:val="center"/>
                </w:tcPr>
                <w:p>
                  <w:pPr>
                    <w:pStyle w:val="66"/>
                  </w:pPr>
                  <w:r>
                    <w:rPr>
                      <w:rFonts w:hint="eastAsia"/>
                    </w:rPr>
                    <w:t>62.0</w:t>
                  </w:r>
                </w:p>
              </w:tc>
              <w:tc>
                <w:tcPr>
                  <w:tcW w:w="620" w:type="dxa"/>
                  <w:shd w:val="clear" w:color="auto" w:fill="auto"/>
                  <w:vAlign w:val="center"/>
                </w:tcPr>
                <w:p>
                  <w:pPr>
                    <w:pStyle w:val="66"/>
                  </w:pPr>
                  <w:r>
                    <w:rPr>
                      <w:rFonts w:hint="eastAsia"/>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shd w:val="clear" w:color="auto" w:fill="auto"/>
                  <w:vAlign w:val="center"/>
                </w:tcPr>
                <w:p>
                  <w:pPr>
                    <w:pStyle w:val="66"/>
                  </w:pPr>
                  <w:r>
                    <w:t>3</w:t>
                  </w:r>
                </w:p>
              </w:tc>
              <w:tc>
                <w:tcPr>
                  <w:tcW w:w="905" w:type="dxa"/>
                  <w:shd w:val="clear" w:color="auto" w:fill="auto"/>
                  <w:vAlign w:val="center"/>
                </w:tcPr>
                <w:p>
                  <w:pPr>
                    <w:pStyle w:val="66"/>
                  </w:pPr>
                  <w:r>
                    <w:rPr>
                      <w:rFonts w:hint="eastAsia"/>
                    </w:rPr>
                    <w:t>蜂窝煤成型机</w:t>
                  </w:r>
                </w:p>
              </w:tc>
              <w:tc>
                <w:tcPr>
                  <w:tcW w:w="895" w:type="dxa"/>
                  <w:shd w:val="clear" w:color="auto" w:fill="auto"/>
                  <w:vAlign w:val="center"/>
                </w:tcPr>
                <w:p>
                  <w:pPr>
                    <w:pStyle w:val="66"/>
                  </w:pPr>
                  <w:r>
                    <w:rPr>
                      <w:rFonts w:hint="eastAsia"/>
                    </w:rPr>
                    <w:t>6</w:t>
                  </w:r>
                </w:p>
              </w:tc>
              <w:tc>
                <w:tcPr>
                  <w:tcW w:w="1169" w:type="dxa"/>
                  <w:shd w:val="clear" w:color="auto" w:fill="auto"/>
                  <w:vAlign w:val="center"/>
                </w:tcPr>
                <w:p>
                  <w:pPr>
                    <w:pStyle w:val="66"/>
                  </w:pPr>
                  <w:r>
                    <w:rPr>
                      <w:rFonts w:hint="eastAsia"/>
                    </w:rPr>
                    <w:t>8</w:t>
                  </w:r>
                  <w:r>
                    <w:t>0</w:t>
                  </w:r>
                </w:p>
              </w:tc>
              <w:tc>
                <w:tcPr>
                  <w:tcW w:w="1170" w:type="dxa"/>
                  <w:shd w:val="clear" w:color="auto" w:fill="auto"/>
                  <w:vAlign w:val="center"/>
                </w:tcPr>
                <w:p>
                  <w:pPr>
                    <w:pStyle w:val="66"/>
                  </w:pPr>
                  <w:r>
                    <w:rPr>
                      <w:rFonts w:hint="eastAsia"/>
                    </w:rPr>
                    <w:t>87.8</w:t>
                  </w:r>
                </w:p>
              </w:tc>
              <w:tc>
                <w:tcPr>
                  <w:tcW w:w="898" w:type="dxa"/>
                  <w:shd w:val="clear" w:color="auto" w:fill="auto"/>
                  <w:vAlign w:val="center"/>
                </w:tcPr>
                <w:p>
                  <w:pPr>
                    <w:pStyle w:val="66"/>
                  </w:pPr>
                  <w:r>
                    <w:t>10</w:t>
                  </w:r>
                </w:p>
              </w:tc>
              <w:tc>
                <w:tcPr>
                  <w:tcW w:w="621" w:type="dxa"/>
                  <w:shd w:val="clear" w:color="auto" w:fill="auto"/>
                  <w:vAlign w:val="center"/>
                </w:tcPr>
                <w:p>
                  <w:pPr>
                    <w:pStyle w:val="66"/>
                  </w:pPr>
                  <w:r>
                    <w:rPr>
                      <w:rFonts w:hint="eastAsia"/>
                    </w:rPr>
                    <w:t>53.1</w:t>
                  </w:r>
                </w:p>
              </w:tc>
              <w:tc>
                <w:tcPr>
                  <w:tcW w:w="621" w:type="dxa"/>
                  <w:shd w:val="clear" w:color="auto" w:fill="auto"/>
                  <w:vAlign w:val="center"/>
                </w:tcPr>
                <w:p>
                  <w:pPr>
                    <w:pStyle w:val="66"/>
                  </w:pPr>
                  <w:r>
                    <w:rPr>
                      <w:rFonts w:hint="eastAsia"/>
                    </w:rPr>
                    <w:t>47.8</w:t>
                  </w:r>
                </w:p>
              </w:tc>
              <w:tc>
                <w:tcPr>
                  <w:tcW w:w="621" w:type="dxa"/>
                  <w:shd w:val="clear" w:color="auto" w:fill="auto"/>
                  <w:vAlign w:val="center"/>
                </w:tcPr>
                <w:p>
                  <w:pPr>
                    <w:pStyle w:val="66"/>
                  </w:pPr>
                  <w:r>
                    <w:rPr>
                      <w:rFonts w:hint="eastAsia"/>
                    </w:rPr>
                    <w:t>55.7</w:t>
                  </w:r>
                </w:p>
              </w:tc>
              <w:tc>
                <w:tcPr>
                  <w:tcW w:w="620" w:type="dxa"/>
                  <w:shd w:val="clear" w:color="auto" w:fill="auto"/>
                  <w:vAlign w:val="center"/>
                </w:tcPr>
                <w:p>
                  <w:pPr>
                    <w:pStyle w:val="66"/>
                  </w:pPr>
                  <w:r>
                    <w:rPr>
                      <w:rFonts w:hint="eastAsia"/>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shd w:val="clear" w:color="auto" w:fill="auto"/>
                  <w:vAlign w:val="center"/>
                </w:tcPr>
                <w:p>
                  <w:pPr>
                    <w:pStyle w:val="66"/>
                  </w:pPr>
                  <w:r>
                    <w:t>4</w:t>
                  </w:r>
                </w:p>
              </w:tc>
              <w:tc>
                <w:tcPr>
                  <w:tcW w:w="905" w:type="dxa"/>
                  <w:shd w:val="clear" w:color="auto" w:fill="auto"/>
                  <w:vAlign w:val="center"/>
                </w:tcPr>
                <w:p>
                  <w:pPr>
                    <w:pStyle w:val="66"/>
                  </w:pPr>
                  <w:r>
                    <w:rPr>
                      <w:rFonts w:hint="eastAsia"/>
                    </w:rPr>
                    <w:t>抽水泵</w:t>
                  </w:r>
                </w:p>
              </w:tc>
              <w:tc>
                <w:tcPr>
                  <w:tcW w:w="895" w:type="dxa"/>
                  <w:shd w:val="clear" w:color="auto" w:fill="auto"/>
                  <w:vAlign w:val="center"/>
                </w:tcPr>
                <w:p>
                  <w:pPr>
                    <w:pStyle w:val="66"/>
                  </w:pPr>
                  <w:r>
                    <w:rPr>
                      <w:rFonts w:hint="eastAsia"/>
                    </w:rPr>
                    <w:t>4</w:t>
                  </w:r>
                </w:p>
              </w:tc>
              <w:tc>
                <w:tcPr>
                  <w:tcW w:w="1169" w:type="dxa"/>
                  <w:shd w:val="clear" w:color="auto" w:fill="auto"/>
                  <w:vAlign w:val="center"/>
                </w:tcPr>
                <w:p>
                  <w:pPr>
                    <w:pStyle w:val="66"/>
                  </w:pPr>
                  <w:r>
                    <w:rPr>
                      <w:rFonts w:hint="eastAsia"/>
                    </w:rPr>
                    <w:t>6</w:t>
                  </w:r>
                  <w:r>
                    <w:t>5</w:t>
                  </w:r>
                </w:p>
              </w:tc>
              <w:tc>
                <w:tcPr>
                  <w:tcW w:w="1170" w:type="dxa"/>
                  <w:shd w:val="clear" w:color="auto" w:fill="auto"/>
                  <w:vAlign w:val="center"/>
                </w:tcPr>
                <w:p>
                  <w:pPr>
                    <w:pStyle w:val="66"/>
                  </w:pPr>
                  <w:r>
                    <w:rPr>
                      <w:rFonts w:hint="eastAsia"/>
                    </w:rPr>
                    <w:t>71.0</w:t>
                  </w:r>
                </w:p>
              </w:tc>
              <w:tc>
                <w:tcPr>
                  <w:tcW w:w="898" w:type="dxa"/>
                  <w:shd w:val="clear" w:color="auto" w:fill="auto"/>
                  <w:vAlign w:val="center"/>
                </w:tcPr>
                <w:p>
                  <w:pPr>
                    <w:pStyle w:val="66"/>
                  </w:pPr>
                  <w:r>
                    <w:t>10</w:t>
                  </w:r>
                </w:p>
              </w:tc>
              <w:tc>
                <w:tcPr>
                  <w:tcW w:w="621" w:type="dxa"/>
                  <w:shd w:val="clear" w:color="auto" w:fill="auto"/>
                  <w:vAlign w:val="center"/>
                </w:tcPr>
                <w:p>
                  <w:pPr>
                    <w:pStyle w:val="66"/>
                  </w:pPr>
                  <w:r>
                    <w:rPr>
                      <w:rFonts w:hint="eastAsia"/>
                    </w:rPr>
                    <w:t>41.5</w:t>
                  </w:r>
                </w:p>
              </w:tc>
              <w:tc>
                <w:tcPr>
                  <w:tcW w:w="621" w:type="dxa"/>
                  <w:shd w:val="clear" w:color="auto" w:fill="auto"/>
                  <w:vAlign w:val="center"/>
                </w:tcPr>
                <w:p>
                  <w:pPr>
                    <w:pStyle w:val="66"/>
                  </w:pPr>
                  <w:r>
                    <w:rPr>
                      <w:rFonts w:hint="eastAsia"/>
                    </w:rPr>
                    <w:t>38.6</w:t>
                  </w:r>
                </w:p>
              </w:tc>
              <w:tc>
                <w:tcPr>
                  <w:tcW w:w="621" w:type="dxa"/>
                  <w:shd w:val="clear" w:color="auto" w:fill="auto"/>
                  <w:vAlign w:val="center"/>
                </w:tcPr>
                <w:p>
                  <w:pPr>
                    <w:pStyle w:val="66"/>
                  </w:pPr>
                  <w:r>
                    <w:rPr>
                      <w:rFonts w:hint="eastAsia"/>
                    </w:rPr>
                    <w:t>37.0</w:t>
                  </w:r>
                </w:p>
              </w:tc>
              <w:tc>
                <w:tcPr>
                  <w:tcW w:w="620" w:type="dxa"/>
                  <w:shd w:val="clear" w:color="auto" w:fill="auto"/>
                  <w:vAlign w:val="center"/>
                </w:tcPr>
                <w:p>
                  <w:pPr>
                    <w:pStyle w:val="66"/>
                  </w:pPr>
                  <w:r>
                    <w:rPr>
                      <w:rFonts w:hint="eastAsia"/>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shd w:val="clear" w:color="auto" w:fill="auto"/>
                  <w:vAlign w:val="center"/>
                </w:tcPr>
                <w:p>
                  <w:pPr>
                    <w:pStyle w:val="66"/>
                  </w:pPr>
                  <w:r>
                    <w:rPr>
                      <w:rFonts w:hint="eastAsia"/>
                    </w:rPr>
                    <w:t>5</w:t>
                  </w:r>
                </w:p>
              </w:tc>
              <w:tc>
                <w:tcPr>
                  <w:tcW w:w="905" w:type="dxa"/>
                  <w:shd w:val="clear" w:color="auto" w:fill="auto"/>
                  <w:vAlign w:val="center"/>
                </w:tcPr>
                <w:p>
                  <w:pPr>
                    <w:pStyle w:val="66"/>
                  </w:pPr>
                  <w:r>
                    <w:rPr>
                      <w:rFonts w:hint="eastAsia"/>
                    </w:rPr>
                    <w:t>风机</w:t>
                  </w:r>
                </w:p>
              </w:tc>
              <w:tc>
                <w:tcPr>
                  <w:tcW w:w="895" w:type="dxa"/>
                  <w:shd w:val="clear" w:color="auto" w:fill="auto"/>
                  <w:vAlign w:val="center"/>
                </w:tcPr>
                <w:p>
                  <w:pPr>
                    <w:pStyle w:val="66"/>
                  </w:pPr>
                  <w:r>
                    <w:rPr>
                      <w:rFonts w:hint="eastAsia"/>
                    </w:rPr>
                    <w:t>4</w:t>
                  </w:r>
                </w:p>
              </w:tc>
              <w:tc>
                <w:tcPr>
                  <w:tcW w:w="1169" w:type="dxa"/>
                  <w:shd w:val="clear" w:color="auto" w:fill="auto"/>
                  <w:vAlign w:val="center"/>
                </w:tcPr>
                <w:p>
                  <w:pPr>
                    <w:pStyle w:val="66"/>
                  </w:pPr>
                  <w:r>
                    <w:rPr>
                      <w:rFonts w:hint="eastAsia"/>
                    </w:rPr>
                    <w:t>8</w:t>
                  </w:r>
                  <w:r>
                    <w:t>5</w:t>
                  </w:r>
                </w:p>
              </w:tc>
              <w:tc>
                <w:tcPr>
                  <w:tcW w:w="1170" w:type="dxa"/>
                  <w:shd w:val="clear" w:color="auto" w:fill="auto"/>
                  <w:vAlign w:val="center"/>
                </w:tcPr>
                <w:p>
                  <w:pPr>
                    <w:pStyle w:val="66"/>
                  </w:pPr>
                  <w:r>
                    <w:rPr>
                      <w:rFonts w:hint="eastAsia"/>
                    </w:rPr>
                    <w:t>91.0</w:t>
                  </w:r>
                </w:p>
              </w:tc>
              <w:tc>
                <w:tcPr>
                  <w:tcW w:w="898" w:type="dxa"/>
                  <w:shd w:val="clear" w:color="auto" w:fill="auto"/>
                  <w:vAlign w:val="center"/>
                </w:tcPr>
                <w:p>
                  <w:pPr>
                    <w:pStyle w:val="66"/>
                  </w:pPr>
                  <w:r>
                    <w:rPr>
                      <w:rFonts w:hint="eastAsia"/>
                    </w:rPr>
                    <w:t>1</w:t>
                  </w:r>
                  <w:r>
                    <w:t>0</w:t>
                  </w:r>
                </w:p>
              </w:tc>
              <w:tc>
                <w:tcPr>
                  <w:tcW w:w="621" w:type="dxa"/>
                  <w:shd w:val="clear" w:color="auto" w:fill="auto"/>
                  <w:vAlign w:val="center"/>
                </w:tcPr>
                <w:p>
                  <w:pPr>
                    <w:pStyle w:val="66"/>
                  </w:pPr>
                  <w:r>
                    <w:rPr>
                      <w:rFonts w:hint="eastAsia"/>
                    </w:rPr>
                    <w:t>54.1</w:t>
                  </w:r>
                </w:p>
              </w:tc>
              <w:tc>
                <w:tcPr>
                  <w:tcW w:w="621" w:type="dxa"/>
                  <w:shd w:val="clear" w:color="auto" w:fill="auto"/>
                  <w:vAlign w:val="center"/>
                </w:tcPr>
                <w:p>
                  <w:pPr>
                    <w:pStyle w:val="66"/>
                  </w:pPr>
                  <w:r>
                    <w:rPr>
                      <w:rFonts w:hint="eastAsia"/>
                    </w:rPr>
                    <w:t>47.5</w:t>
                  </w:r>
                </w:p>
              </w:tc>
              <w:tc>
                <w:tcPr>
                  <w:tcW w:w="621" w:type="dxa"/>
                  <w:shd w:val="clear" w:color="auto" w:fill="auto"/>
                  <w:vAlign w:val="center"/>
                </w:tcPr>
                <w:p>
                  <w:pPr>
                    <w:pStyle w:val="66"/>
                  </w:pPr>
                  <w:r>
                    <w:rPr>
                      <w:rFonts w:hint="eastAsia"/>
                    </w:rPr>
                    <w:t>59.0</w:t>
                  </w:r>
                </w:p>
              </w:tc>
              <w:tc>
                <w:tcPr>
                  <w:tcW w:w="620" w:type="dxa"/>
                  <w:shd w:val="clear" w:color="auto" w:fill="auto"/>
                  <w:vAlign w:val="center"/>
                </w:tcPr>
                <w:p>
                  <w:pPr>
                    <w:pStyle w:val="66"/>
                  </w:pPr>
                  <w:r>
                    <w:rPr>
                      <w:rFonts w:hint="eastAsia"/>
                    </w:rPr>
                    <w:t>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345" w:type="dxa"/>
                  <w:shd w:val="clear" w:color="auto" w:fill="auto"/>
                  <w:vAlign w:val="center"/>
                </w:tcPr>
                <w:p>
                  <w:pPr>
                    <w:pStyle w:val="66"/>
                  </w:pPr>
                  <w:r>
                    <w:rPr>
                      <w:rFonts w:hint="eastAsia"/>
                    </w:rPr>
                    <w:t>6</w:t>
                  </w:r>
                </w:p>
              </w:tc>
              <w:tc>
                <w:tcPr>
                  <w:tcW w:w="905" w:type="dxa"/>
                  <w:shd w:val="clear" w:color="auto" w:fill="auto"/>
                  <w:vAlign w:val="center"/>
                </w:tcPr>
                <w:p>
                  <w:pPr>
                    <w:pStyle w:val="66"/>
                  </w:pPr>
                  <w:r>
                    <w:rPr>
                      <w:rFonts w:hint="eastAsia"/>
                    </w:rPr>
                    <w:t>铲车</w:t>
                  </w:r>
                </w:p>
              </w:tc>
              <w:tc>
                <w:tcPr>
                  <w:tcW w:w="895" w:type="dxa"/>
                  <w:shd w:val="clear" w:color="auto" w:fill="auto"/>
                  <w:vAlign w:val="center"/>
                </w:tcPr>
                <w:p>
                  <w:pPr>
                    <w:pStyle w:val="66"/>
                  </w:pPr>
                  <w:r>
                    <w:t>2</w:t>
                  </w:r>
                </w:p>
              </w:tc>
              <w:tc>
                <w:tcPr>
                  <w:tcW w:w="1169" w:type="dxa"/>
                  <w:shd w:val="clear" w:color="auto" w:fill="auto"/>
                  <w:vAlign w:val="center"/>
                </w:tcPr>
                <w:p>
                  <w:pPr>
                    <w:pStyle w:val="66"/>
                  </w:pPr>
                  <w:r>
                    <w:rPr>
                      <w:rFonts w:hint="eastAsia"/>
                    </w:rPr>
                    <w:t>8</w:t>
                  </w:r>
                  <w:r>
                    <w:t>5</w:t>
                  </w:r>
                </w:p>
              </w:tc>
              <w:tc>
                <w:tcPr>
                  <w:tcW w:w="1170" w:type="dxa"/>
                  <w:shd w:val="clear" w:color="auto" w:fill="auto"/>
                  <w:vAlign w:val="center"/>
                </w:tcPr>
                <w:p>
                  <w:pPr>
                    <w:pStyle w:val="66"/>
                  </w:pPr>
                  <w:r>
                    <w:rPr>
                      <w:rFonts w:hint="eastAsia"/>
                    </w:rPr>
                    <w:t>88.0</w:t>
                  </w:r>
                </w:p>
              </w:tc>
              <w:tc>
                <w:tcPr>
                  <w:tcW w:w="898" w:type="dxa"/>
                  <w:shd w:val="clear" w:color="auto" w:fill="auto"/>
                  <w:vAlign w:val="center"/>
                </w:tcPr>
                <w:p>
                  <w:pPr>
                    <w:pStyle w:val="66"/>
                  </w:pPr>
                  <w:r>
                    <w:rPr>
                      <w:rFonts w:hint="eastAsia"/>
                    </w:rPr>
                    <w:t>1</w:t>
                  </w:r>
                  <w:r>
                    <w:t>0</w:t>
                  </w:r>
                </w:p>
              </w:tc>
              <w:tc>
                <w:tcPr>
                  <w:tcW w:w="621" w:type="dxa"/>
                  <w:shd w:val="clear" w:color="auto" w:fill="auto"/>
                  <w:vAlign w:val="center"/>
                </w:tcPr>
                <w:p>
                  <w:pPr>
                    <w:pStyle w:val="66"/>
                  </w:pPr>
                  <w:r>
                    <w:rPr>
                      <w:rFonts w:hint="eastAsia"/>
                    </w:rPr>
                    <w:t>54.0</w:t>
                  </w:r>
                </w:p>
              </w:tc>
              <w:tc>
                <w:tcPr>
                  <w:tcW w:w="621" w:type="dxa"/>
                  <w:shd w:val="clear" w:color="auto" w:fill="auto"/>
                  <w:vAlign w:val="center"/>
                </w:tcPr>
                <w:p>
                  <w:pPr>
                    <w:pStyle w:val="66"/>
                  </w:pPr>
                  <w:r>
                    <w:rPr>
                      <w:rFonts w:hint="eastAsia"/>
                    </w:rPr>
                    <w:t>48.0</w:t>
                  </w:r>
                </w:p>
              </w:tc>
              <w:tc>
                <w:tcPr>
                  <w:tcW w:w="621" w:type="dxa"/>
                  <w:shd w:val="clear" w:color="auto" w:fill="auto"/>
                  <w:vAlign w:val="center"/>
                </w:tcPr>
                <w:p>
                  <w:pPr>
                    <w:pStyle w:val="66"/>
                  </w:pPr>
                  <w:r>
                    <w:rPr>
                      <w:rFonts w:hint="eastAsia"/>
                    </w:rPr>
                    <w:t>58.5</w:t>
                  </w:r>
                </w:p>
              </w:tc>
              <w:tc>
                <w:tcPr>
                  <w:tcW w:w="620" w:type="dxa"/>
                  <w:shd w:val="clear" w:color="auto" w:fill="auto"/>
                  <w:vAlign w:val="center"/>
                </w:tcPr>
                <w:p>
                  <w:pPr>
                    <w:pStyle w:val="66"/>
                  </w:pPr>
                  <w:r>
                    <w:rPr>
                      <w:rFonts w:hint="eastAsia"/>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c>
                <w:tcPr>
                  <w:tcW w:w="5382" w:type="dxa"/>
                  <w:gridSpan w:val="6"/>
                  <w:shd w:val="clear" w:color="auto" w:fill="auto"/>
                  <w:vAlign w:val="center"/>
                </w:tcPr>
                <w:p>
                  <w:pPr>
                    <w:pStyle w:val="66"/>
                  </w:pPr>
                  <w:r>
                    <w:t>总预测贡献值</w:t>
                  </w:r>
                </w:p>
              </w:tc>
              <w:tc>
                <w:tcPr>
                  <w:tcW w:w="621" w:type="dxa"/>
                  <w:shd w:val="clear" w:color="auto" w:fill="auto"/>
                  <w:vAlign w:val="center"/>
                </w:tcPr>
                <w:p>
                  <w:pPr>
                    <w:pStyle w:val="66"/>
                  </w:pPr>
                  <w:r>
                    <w:rPr>
                      <w:rFonts w:hint="eastAsia"/>
                    </w:rPr>
                    <w:t>70.1</w:t>
                  </w:r>
                </w:p>
              </w:tc>
              <w:tc>
                <w:tcPr>
                  <w:tcW w:w="621" w:type="dxa"/>
                  <w:shd w:val="clear" w:color="auto" w:fill="auto"/>
                  <w:vAlign w:val="center"/>
                </w:tcPr>
                <w:p>
                  <w:pPr>
                    <w:pStyle w:val="66"/>
                  </w:pPr>
                  <w:r>
                    <w:rPr>
                      <w:rFonts w:hint="eastAsia"/>
                    </w:rPr>
                    <w:t>63.2</w:t>
                  </w:r>
                </w:p>
              </w:tc>
              <w:tc>
                <w:tcPr>
                  <w:tcW w:w="621" w:type="dxa"/>
                  <w:shd w:val="clear" w:color="auto" w:fill="auto"/>
                  <w:vAlign w:val="center"/>
                </w:tcPr>
                <w:p>
                  <w:pPr>
                    <w:pStyle w:val="66"/>
                  </w:pPr>
                  <w:r>
                    <w:rPr>
                      <w:rFonts w:hint="eastAsia"/>
                    </w:rPr>
                    <w:t>72.0</w:t>
                  </w:r>
                </w:p>
              </w:tc>
              <w:tc>
                <w:tcPr>
                  <w:tcW w:w="620" w:type="dxa"/>
                  <w:shd w:val="clear" w:color="auto" w:fill="auto"/>
                  <w:vAlign w:val="center"/>
                </w:tcPr>
                <w:p>
                  <w:pPr>
                    <w:pStyle w:val="66"/>
                  </w:pPr>
                  <w:r>
                    <w:rPr>
                      <w:rFonts w:hint="eastAsia"/>
                    </w:rPr>
                    <w:t>78.3</w:t>
                  </w:r>
                </w:p>
              </w:tc>
            </w:tr>
          </w:tbl>
          <w:p>
            <w:pPr>
              <w:ind w:firstLine="480"/>
              <w:rPr>
                <w:u w:val="single"/>
              </w:rPr>
            </w:pPr>
            <w:r>
              <w:rPr>
                <w:u w:val="single"/>
              </w:rPr>
              <w:t>企业车间为密闭车间，车间隔声量TL考虑为20dB，根据等效公式可计算出各厂界外等效室外声源L</w:t>
            </w:r>
            <w:r>
              <w:rPr>
                <w:u w:val="single"/>
                <w:vertAlign w:val="subscript"/>
              </w:rPr>
              <w:t>p2</w:t>
            </w:r>
            <w:r>
              <w:rPr>
                <w:u w:val="single"/>
              </w:rPr>
              <w:t>结果如下：</w:t>
            </w:r>
          </w:p>
          <w:p>
            <w:pPr>
              <w:pStyle w:val="31"/>
              <w:rPr>
                <w:u w:val="single"/>
              </w:rPr>
            </w:pPr>
            <w:r>
              <w:rPr>
                <w:u w:val="single"/>
              </w:rPr>
              <w:t>表4-10等效室外声源L</w:t>
            </w:r>
            <w:r>
              <w:rPr>
                <w:u w:val="single"/>
                <w:vertAlign w:val="subscript"/>
              </w:rPr>
              <w:t>p2</w:t>
            </w:r>
            <w:r>
              <w:rPr>
                <w:u w:val="single"/>
              </w:rPr>
              <w:t>计算结果表</w:t>
            </w:r>
          </w:p>
          <w:tbl>
            <w:tblPr>
              <w:tblStyle w:val="17"/>
              <w:tblW w:w="7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7"/>
              <w:gridCol w:w="1966"/>
              <w:gridCol w:w="1966"/>
              <w:gridCol w:w="1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7" w:type="dxa"/>
                  <w:shd w:val="clear" w:color="auto" w:fill="auto"/>
                  <w:vAlign w:val="center"/>
                </w:tcPr>
                <w:p>
                  <w:pPr>
                    <w:pStyle w:val="37"/>
                    <w:jc w:val="center"/>
                  </w:pPr>
                  <w:r>
                    <w:t>东侧厂房边界外</w:t>
                  </w:r>
                </w:p>
              </w:tc>
              <w:tc>
                <w:tcPr>
                  <w:tcW w:w="1966" w:type="dxa"/>
                  <w:shd w:val="clear" w:color="auto" w:fill="auto"/>
                  <w:vAlign w:val="center"/>
                </w:tcPr>
                <w:p>
                  <w:pPr>
                    <w:pStyle w:val="37"/>
                    <w:jc w:val="center"/>
                  </w:pPr>
                  <w:r>
                    <w:t>南侧厂房边界外</w:t>
                  </w:r>
                </w:p>
              </w:tc>
              <w:tc>
                <w:tcPr>
                  <w:tcW w:w="1966" w:type="dxa"/>
                  <w:shd w:val="clear" w:color="auto" w:fill="auto"/>
                  <w:vAlign w:val="center"/>
                </w:tcPr>
                <w:p>
                  <w:pPr>
                    <w:pStyle w:val="37"/>
                    <w:jc w:val="center"/>
                  </w:pPr>
                  <w:r>
                    <w:t>西侧厂房边界外</w:t>
                  </w:r>
                </w:p>
              </w:tc>
              <w:tc>
                <w:tcPr>
                  <w:tcW w:w="1966" w:type="dxa"/>
                  <w:shd w:val="clear" w:color="auto" w:fill="auto"/>
                  <w:vAlign w:val="center"/>
                </w:tcPr>
                <w:p>
                  <w:pPr>
                    <w:pStyle w:val="37"/>
                    <w:jc w:val="center"/>
                  </w:pPr>
                  <w:r>
                    <w:t>北侧厂房边界外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7" w:type="dxa"/>
                  <w:shd w:val="clear" w:color="auto" w:fill="auto"/>
                  <w:vAlign w:val="center"/>
                </w:tcPr>
                <w:p>
                  <w:pPr>
                    <w:pStyle w:val="37"/>
                    <w:jc w:val="center"/>
                  </w:pPr>
                  <w:r>
                    <w:rPr>
                      <w:rFonts w:hint="eastAsia"/>
                    </w:rPr>
                    <w:t>49.1</w:t>
                  </w:r>
                </w:p>
              </w:tc>
              <w:tc>
                <w:tcPr>
                  <w:tcW w:w="1966" w:type="dxa"/>
                  <w:shd w:val="clear" w:color="auto" w:fill="auto"/>
                  <w:vAlign w:val="center"/>
                </w:tcPr>
                <w:p>
                  <w:pPr>
                    <w:pStyle w:val="37"/>
                    <w:jc w:val="center"/>
                  </w:pPr>
                  <w:r>
                    <w:rPr>
                      <w:rFonts w:hint="eastAsia"/>
                    </w:rPr>
                    <w:t>42.2</w:t>
                  </w:r>
                </w:p>
              </w:tc>
              <w:tc>
                <w:tcPr>
                  <w:tcW w:w="1966" w:type="dxa"/>
                  <w:shd w:val="clear" w:color="auto" w:fill="auto"/>
                  <w:vAlign w:val="center"/>
                </w:tcPr>
                <w:p>
                  <w:pPr>
                    <w:pStyle w:val="37"/>
                    <w:jc w:val="center"/>
                  </w:pPr>
                  <w:r>
                    <w:rPr>
                      <w:rFonts w:hint="eastAsia"/>
                    </w:rPr>
                    <w:t>51.0</w:t>
                  </w:r>
                </w:p>
              </w:tc>
              <w:tc>
                <w:tcPr>
                  <w:tcW w:w="1966" w:type="dxa"/>
                  <w:shd w:val="clear" w:color="auto" w:fill="auto"/>
                  <w:vAlign w:val="center"/>
                </w:tcPr>
                <w:p>
                  <w:pPr>
                    <w:pStyle w:val="37"/>
                    <w:jc w:val="center"/>
                  </w:pPr>
                  <w:r>
                    <w:rPr>
                      <w:rFonts w:hint="eastAsia"/>
                    </w:rPr>
                    <w:t>57.3</w:t>
                  </w:r>
                </w:p>
              </w:tc>
            </w:tr>
          </w:tbl>
          <w:p>
            <w:pPr>
              <w:ind w:firstLine="480"/>
              <w:rPr>
                <w:u w:val="single"/>
              </w:rPr>
            </w:pPr>
            <w:r>
              <w:rPr>
                <w:u w:val="single"/>
              </w:rPr>
              <w:t>厂房边界距离厂界较近，且无建筑物隔声，因此可近似认为厂房边界外噪声值即厂界噪声值，因此根据上表计算结果可知，厂界噪声值能够满足《工业企业厂界环境噪声排放标准》（GB12348-2008）2类标准限值（60dB(A)）要求。</w:t>
            </w:r>
          </w:p>
          <w:p>
            <w:pPr>
              <w:ind w:firstLine="480"/>
              <w:rPr>
                <w:u w:val="single"/>
              </w:rPr>
            </w:pPr>
            <w:r>
              <w:rPr>
                <w:u w:val="single"/>
              </w:rPr>
              <w:t>以各厂房边界室外声源L</w:t>
            </w:r>
            <w:r>
              <w:rPr>
                <w:u w:val="single"/>
                <w:vertAlign w:val="subscript"/>
              </w:rPr>
              <w:t>p2</w:t>
            </w:r>
            <w:r>
              <w:rPr>
                <w:u w:val="single"/>
              </w:rPr>
              <w:t>简化为点声源进行预测</w:t>
            </w:r>
            <w:r>
              <w:rPr>
                <w:rFonts w:hint="eastAsia"/>
                <w:u w:val="single"/>
              </w:rPr>
              <w:t>居民</w:t>
            </w:r>
            <w:r>
              <w:rPr>
                <w:u w:val="single"/>
              </w:rPr>
              <w:t>敏感点的声环境，由于中间无噪声隔声物，因此采用点声源距离衰减模式进行计算贡献值，并采用多声源叠加模式计算预测值，计算结果如下：</w:t>
            </w:r>
          </w:p>
          <w:p>
            <w:pPr>
              <w:pStyle w:val="31"/>
              <w:rPr>
                <w:u w:val="single"/>
              </w:rPr>
            </w:pPr>
            <w:r>
              <w:rPr>
                <w:u w:val="single"/>
              </w:rPr>
              <w:t>表4-11敏感点预测结果表</w:t>
            </w:r>
          </w:p>
          <w:tbl>
            <w:tblPr>
              <w:tblStyle w:val="17"/>
              <w:tblW w:w="7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3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shd w:val="clear" w:color="auto" w:fill="auto"/>
                  <w:vAlign w:val="center"/>
                </w:tcPr>
                <w:p>
                  <w:pPr>
                    <w:pStyle w:val="37"/>
                    <w:jc w:val="center"/>
                  </w:pPr>
                  <w:r>
                    <w:t>项目</w:t>
                  </w:r>
                </w:p>
              </w:tc>
              <w:tc>
                <w:tcPr>
                  <w:tcW w:w="3929" w:type="dxa"/>
                  <w:shd w:val="clear" w:color="auto" w:fill="auto"/>
                  <w:vAlign w:val="center"/>
                </w:tcPr>
                <w:p>
                  <w:pPr>
                    <w:pStyle w:val="37"/>
                    <w:jc w:val="center"/>
                  </w:pPr>
                  <w:r>
                    <w:rPr>
                      <w:rFonts w:hint="eastAsia"/>
                    </w:rPr>
                    <w:t>居民</w:t>
                  </w:r>
                  <w:r>
                    <w:t>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shd w:val="clear" w:color="auto" w:fill="auto"/>
                  <w:vAlign w:val="center"/>
                </w:tcPr>
                <w:p>
                  <w:pPr>
                    <w:pStyle w:val="37"/>
                    <w:jc w:val="center"/>
                  </w:pPr>
                  <w:r>
                    <w:t>贡献值dB(A)</w:t>
                  </w:r>
                </w:p>
              </w:tc>
              <w:tc>
                <w:tcPr>
                  <w:tcW w:w="3929" w:type="dxa"/>
                  <w:shd w:val="clear" w:color="auto" w:fill="auto"/>
                  <w:vAlign w:val="center"/>
                </w:tcPr>
                <w:p>
                  <w:pPr>
                    <w:pStyle w:val="37"/>
                    <w:jc w:val="center"/>
                  </w:pPr>
                  <w:r>
                    <w:t>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shd w:val="clear" w:color="auto" w:fill="auto"/>
                  <w:vAlign w:val="center"/>
                </w:tcPr>
                <w:p>
                  <w:pPr>
                    <w:pStyle w:val="37"/>
                    <w:jc w:val="center"/>
                  </w:pPr>
                  <w:r>
                    <w:t>背景值dB(A)</w:t>
                  </w:r>
                </w:p>
              </w:tc>
              <w:tc>
                <w:tcPr>
                  <w:tcW w:w="3929" w:type="dxa"/>
                  <w:shd w:val="clear" w:color="auto" w:fill="auto"/>
                  <w:vAlign w:val="center"/>
                </w:tcPr>
                <w:p>
                  <w:pPr>
                    <w:pStyle w:val="37"/>
                    <w:jc w:val="center"/>
                  </w:pPr>
                  <w: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shd w:val="clear" w:color="auto" w:fill="auto"/>
                  <w:vAlign w:val="center"/>
                </w:tcPr>
                <w:p>
                  <w:pPr>
                    <w:pStyle w:val="37"/>
                    <w:jc w:val="center"/>
                  </w:pPr>
                  <w:r>
                    <w:t>预测值dB(A)</w:t>
                  </w:r>
                </w:p>
              </w:tc>
              <w:tc>
                <w:tcPr>
                  <w:tcW w:w="3929" w:type="dxa"/>
                  <w:shd w:val="clear" w:color="auto" w:fill="auto"/>
                  <w:vAlign w:val="center"/>
                </w:tcPr>
                <w:p>
                  <w:pPr>
                    <w:pStyle w:val="37"/>
                    <w:jc w:val="center"/>
                  </w:pPr>
                  <w: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shd w:val="clear" w:color="auto" w:fill="auto"/>
                  <w:vAlign w:val="center"/>
                </w:tcPr>
                <w:p>
                  <w:pPr>
                    <w:pStyle w:val="37"/>
                    <w:jc w:val="center"/>
                  </w:pPr>
                  <w:r>
                    <w:t>标准值（昼间）dB(A)</w:t>
                  </w:r>
                </w:p>
              </w:tc>
              <w:tc>
                <w:tcPr>
                  <w:tcW w:w="3929" w:type="dxa"/>
                  <w:shd w:val="clear" w:color="auto" w:fill="auto"/>
                  <w:vAlign w:val="center"/>
                </w:tcPr>
                <w:p>
                  <w:pPr>
                    <w:pStyle w:val="37"/>
                    <w:jc w:val="center"/>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36" w:type="dxa"/>
                  <w:shd w:val="clear" w:color="auto" w:fill="auto"/>
                  <w:vAlign w:val="center"/>
                </w:tcPr>
                <w:p>
                  <w:pPr>
                    <w:pStyle w:val="37"/>
                    <w:jc w:val="center"/>
                  </w:pPr>
                  <w:r>
                    <w:t>达标情况</w:t>
                  </w:r>
                </w:p>
              </w:tc>
              <w:tc>
                <w:tcPr>
                  <w:tcW w:w="3929" w:type="dxa"/>
                  <w:shd w:val="clear" w:color="auto" w:fill="auto"/>
                  <w:vAlign w:val="center"/>
                </w:tcPr>
                <w:p>
                  <w:pPr>
                    <w:pStyle w:val="37"/>
                    <w:jc w:val="center"/>
                  </w:pPr>
                  <w:r>
                    <w:t>达标</w:t>
                  </w:r>
                </w:p>
              </w:tc>
            </w:tr>
          </w:tbl>
          <w:p>
            <w:pPr>
              <w:kinsoku w:val="0"/>
              <w:overflowPunct w:val="0"/>
              <w:autoSpaceDE w:val="0"/>
              <w:autoSpaceDN w:val="0"/>
              <w:ind w:firstLine="480"/>
              <w:rPr>
                <w:u w:val="single"/>
              </w:rPr>
            </w:pPr>
            <w:bookmarkStart w:id="294" w:name="_Toc107343597"/>
            <w:bookmarkStart w:id="295" w:name="_Toc107409333"/>
            <w:bookmarkStart w:id="296" w:name="_Toc107343411"/>
            <w:bookmarkStart w:id="297" w:name="_Toc106531362"/>
            <w:bookmarkStart w:id="298" w:name="_Toc107415687"/>
            <w:r>
              <w:rPr>
                <w:u w:val="single"/>
              </w:rPr>
              <w:t>根据计算结果，敏感点昼间预测值能够满足《声环境质量标准》（GB3096-2008）2类标准限值要求。项目夜间不生产，因此夜间不会对周边环境造成噪声污染。根据预测结果可知，项目运营期噪声污染对周边环境影响较小。</w:t>
            </w:r>
          </w:p>
          <w:p>
            <w:pPr>
              <w:ind w:firstLine="480"/>
              <w:rPr>
                <w:u w:val="single"/>
              </w:rPr>
            </w:pPr>
            <w:r>
              <w:rPr>
                <w:u w:val="single"/>
              </w:rPr>
              <w:t>（3）噪声污染防治措施</w:t>
            </w:r>
          </w:p>
          <w:p>
            <w:pPr>
              <w:kinsoku w:val="0"/>
              <w:overflowPunct w:val="0"/>
              <w:autoSpaceDE w:val="0"/>
              <w:autoSpaceDN w:val="0"/>
              <w:ind w:firstLine="480"/>
              <w:rPr>
                <w:u w:val="single"/>
              </w:rPr>
            </w:pPr>
            <w:r>
              <w:rPr>
                <w:u w:val="single"/>
              </w:rPr>
              <w:t>为进一步防止项目生产产生的噪声对周边环境的影响，确保厂界噪声达标排放，本环评建议：</w:t>
            </w:r>
          </w:p>
          <w:p>
            <w:pPr>
              <w:kinsoku w:val="0"/>
              <w:overflowPunct w:val="0"/>
              <w:autoSpaceDE w:val="0"/>
              <w:autoSpaceDN w:val="0"/>
              <w:ind w:firstLine="480"/>
              <w:rPr>
                <w:u w:val="single"/>
              </w:rPr>
            </w:pPr>
            <w:r>
              <w:rPr>
                <w:u w:val="single"/>
              </w:rPr>
              <w:t>①在设备选型时，除考虑满足生产工艺要求外，还必须考虑设备的声学特性（选用高效低噪设备），对于噪声较高的设备应与设备出售厂方协商提供配套的降噪措施。</w:t>
            </w:r>
          </w:p>
          <w:p>
            <w:pPr>
              <w:kinsoku w:val="0"/>
              <w:overflowPunct w:val="0"/>
              <w:autoSpaceDE w:val="0"/>
              <w:autoSpaceDN w:val="0"/>
              <w:ind w:firstLine="480"/>
              <w:rPr>
                <w:u w:val="single"/>
              </w:rPr>
            </w:pPr>
            <w:r>
              <w:rPr>
                <w:u w:val="single"/>
              </w:rPr>
              <w:t>②应加强设备的保养和维修，使设备随时处于良好的运行状态，避免偶发强噪声产生。高噪声设备操作人员，操作时应佩戴防护头盔或耳套。</w:t>
            </w:r>
          </w:p>
          <w:p>
            <w:pPr>
              <w:kinsoku w:val="0"/>
              <w:overflowPunct w:val="0"/>
              <w:autoSpaceDE w:val="0"/>
              <w:autoSpaceDN w:val="0"/>
              <w:ind w:firstLine="480"/>
              <w:rPr>
                <w:u w:val="single"/>
              </w:rPr>
            </w:pPr>
            <w:r>
              <w:rPr>
                <w:u w:val="single"/>
              </w:rPr>
              <w:fldChar w:fldCharType="begin"/>
            </w:r>
            <w:r>
              <w:rPr>
                <w:u w:val="single"/>
              </w:rPr>
              <w:instrText xml:space="preserve"> = 3 \* GB3 \* MERGEFORMAT </w:instrText>
            </w:r>
            <w:r>
              <w:rPr>
                <w:u w:val="single"/>
              </w:rPr>
              <w:fldChar w:fldCharType="separate"/>
            </w:r>
            <w:r>
              <w:rPr>
                <w:u w:val="single"/>
              </w:rPr>
              <w:t>③</w:t>
            </w:r>
            <w:r>
              <w:rPr>
                <w:u w:val="single"/>
              </w:rPr>
              <w:fldChar w:fldCharType="end"/>
            </w:r>
            <w:r>
              <w:rPr>
                <w:rFonts w:hint="eastAsia"/>
                <w:u w:val="single"/>
              </w:rPr>
              <w:t>封闭生产车间，采用夹板墙及充填墙等混合使用（满足密闭及强隔声的材料），</w:t>
            </w:r>
            <w:r>
              <w:rPr>
                <w:u w:val="single"/>
              </w:rPr>
              <w:t>在生产厂房外四周种植花草进行厂区绿化，减少噪声污染；</w:t>
            </w:r>
          </w:p>
          <w:p>
            <w:pPr>
              <w:kinsoku w:val="0"/>
              <w:overflowPunct w:val="0"/>
              <w:autoSpaceDE w:val="0"/>
              <w:autoSpaceDN w:val="0"/>
              <w:ind w:firstLine="480"/>
              <w:rPr>
                <w:u w:val="single"/>
              </w:rPr>
            </w:pPr>
            <w:r>
              <w:rPr>
                <w:u w:val="single"/>
              </w:rPr>
              <w:fldChar w:fldCharType="begin"/>
            </w:r>
            <w:r>
              <w:rPr>
                <w:u w:val="single"/>
              </w:rPr>
              <w:instrText xml:space="preserve"> = 4 \* GB3 \* MERGEFORMAT </w:instrText>
            </w:r>
            <w:r>
              <w:rPr>
                <w:u w:val="single"/>
              </w:rPr>
              <w:fldChar w:fldCharType="separate"/>
            </w:r>
            <w:r>
              <w:rPr>
                <w:u w:val="single"/>
              </w:rPr>
              <w:t>④</w:t>
            </w:r>
            <w:r>
              <w:rPr>
                <w:u w:val="single"/>
              </w:rPr>
              <w:fldChar w:fldCharType="end"/>
            </w:r>
            <w:r>
              <w:rPr>
                <w:u w:val="single"/>
              </w:rPr>
              <w:t>生产作业时关闭部分门窗，加强职工环保意识教育，提倡文明生产；</w:t>
            </w:r>
          </w:p>
          <w:p>
            <w:pPr>
              <w:kinsoku w:val="0"/>
              <w:overflowPunct w:val="0"/>
              <w:autoSpaceDE w:val="0"/>
              <w:autoSpaceDN w:val="0"/>
              <w:ind w:firstLine="480"/>
              <w:rPr>
                <w:u w:val="single"/>
              </w:rPr>
            </w:pPr>
            <w:r>
              <w:rPr>
                <w:u w:val="single"/>
              </w:rPr>
              <w:fldChar w:fldCharType="begin"/>
            </w:r>
            <w:r>
              <w:rPr>
                <w:u w:val="single"/>
              </w:rPr>
              <w:instrText xml:space="preserve"> = 5 \* GB3 \* MERGEFORMAT </w:instrText>
            </w:r>
            <w:r>
              <w:rPr>
                <w:u w:val="single"/>
              </w:rPr>
              <w:fldChar w:fldCharType="separate"/>
            </w:r>
            <w:r>
              <w:rPr>
                <w:u w:val="single"/>
              </w:rPr>
              <w:t>⑤</w:t>
            </w:r>
            <w:r>
              <w:rPr>
                <w:u w:val="single"/>
              </w:rPr>
              <w:fldChar w:fldCharType="end"/>
            </w:r>
            <w:r>
              <w:rPr>
                <w:u w:val="single"/>
              </w:rPr>
              <w:t>在原料和产品等运输车辆途径居民点时严禁鸣号，进入厂内低速行驶；</w:t>
            </w:r>
          </w:p>
          <w:p>
            <w:pPr>
              <w:kinsoku w:val="0"/>
              <w:overflowPunct w:val="0"/>
              <w:autoSpaceDE w:val="0"/>
              <w:autoSpaceDN w:val="0"/>
              <w:ind w:firstLine="480"/>
              <w:rPr>
                <w:u w:val="single"/>
              </w:rPr>
            </w:pPr>
            <w:r>
              <w:rPr>
                <w:u w:val="single"/>
              </w:rPr>
              <w:fldChar w:fldCharType="begin"/>
            </w:r>
            <w:r>
              <w:rPr>
                <w:u w:val="single"/>
              </w:rPr>
              <w:instrText xml:space="preserve"> = 6 \* GB3 \* MERGEFORMAT </w:instrText>
            </w:r>
            <w:r>
              <w:rPr>
                <w:u w:val="single"/>
              </w:rPr>
              <w:fldChar w:fldCharType="separate"/>
            </w:r>
            <w:r>
              <w:rPr>
                <w:rFonts w:hint="eastAsia" w:ascii="宋体" w:hAnsi="宋体" w:cs="宋体"/>
                <w:u w:val="single"/>
              </w:rPr>
              <w:t>⑥</w:t>
            </w:r>
            <w:r>
              <w:rPr>
                <w:u w:val="single"/>
              </w:rPr>
              <w:fldChar w:fldCharType="end"/>
            </w:r>
            <w:r>
              <w:rPr>
                <w:u w:val="single"/>
              </w:rPr>
              <w:t>加强设备维护与保养，及时淘汰落后设备，适时添加润滑油，减少摩擦噪声。</w:t>
            </w:r>
          </w:p>
          <w:p>
            <w:pPr>
              <w:ind w:firstLine="480"/>
              <w:rPr>
                <w:u w:val="single"/>
              </w:rPr>
            </w:pPr>
            <w:r>
              <w:rPr>
                <w:rFonts w:hint="eastAsia"/>
                <w:u w:val="single"/>
              </w:rPr>
              <w:t>（4）噪声</w:t>
            </w:r>
            <w:r>
              <w:rPr>
                <w:u w:val="single"/>
              </w:rPr>
              <w:t>监测计划</w:t>
            </w:r>
          </w:p>
          <w:p>
            <w:pPr>
              <w:pStyle w:val="31"/>
              <w:rPr>
                <w:u w:val="single"/>
              </w:rPr>
            </w:pPr>
            <w:r>
              <w:rPr>
                <w:u w:val="single"/>
              </w:rPr>
              <w:t>表4-</w:t>
            </w:r>
            <w:r>
              <w:rPr>
                <w:rFonts w:hint="eastAsia"/>
                <w:u w:val="single"/>
              </w:rPr>
              <w:t>1</w:t>
            </w:r>
            <w:r>
              <w:rPr>
                <w:u w:val="single"/>
              </w:rPr>
              <w:t>2</w:t>
            </w:r>
            <w:r>
              <w:rPr>
                <w:rFonts w:hint="eastAsia"/>
                <w:u w:val="single"/>
              </w:rPr>
              <w:t>噪声</w:t>
            </w:r>
            <w:r>
              <w:rPr>
                <w:u w:val="single"/>
              </w:rPr>
              <w:t>污染源监测计划表</w:t>
            </w:r>
          </w:p>
          <w:tbl>
            <w:tblPr>
              <w:tblStyle w:val="17"/>
              <w:tblW w:w="785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1271"/>
              <w:gridCol w:w="1808"/>
              <w:gridCol w:w="1641"/>
              <w:gridCol w:w="313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71" w:type="dxa"/>
                  <w:vAlign w:val="center"/>
                </w:tcPr>
                <w:p>
                  <w:pPr>
                    <w:pStyle w:val="37"/>
                    <w:jc w:val="center"/>
                  </w:pPr>
                  <w:r>
                    <w:rPr>
                      <w:rFonts w:hint="eastAsia"/>
                    </w:rPr>
                    <w:t>监测点位</w:t>
                  </w:r>
                </w:p>
              </w:tc>
              <w:tc>
                <w:tcPr>
                  <w:tcW w:w="1808" w:type="dxa"/>
                  <w:vAlign w:val="center"/>
                </w:tcPr>
                <w:p>
                  <w:pPr>
                    <w:pStyle w:val="37"/>
                    <w:jc w:val="center"/>
                  </w:pPr>
                  <w:r>
                    <w:rPr>
                      <w:rFonts w:hint="eastAsia"/>
                    </w:rPr>
                    <w:t>监测指标</w:t>
                  </w:r>
                </w:p>
              </w:tc>
              <w:tc>
                <w:tcPr>
                  <w:tcW w:w="1641" w:type="dxa"/>
                  <w:vAlign w:val="center"/>
                </w:tcPr>
                <w:p>
                  <w:pPr>
                    <w:pStyle w:val="37"/>
                    <w:jc w:val="center"/>
                  </w:pPr>
                  <w:r>
                    <w:rPr>
                      <w:rFonts w:hint="eastAsia"/>
                    </w:rPr>
                    <w:t>最低监测频次</w:t>
                  </w:r>
                </w:p>
              </w:tc>
              <w:tc>
                <w:tcPr>
                  <w:tcW w:w="3139" w:type="dxa"/>
                  <w:vAlign w:val="center"/>
                </w:tcPr>
                <w:p>
                  <w:pPr>
                    <w:pStyle w:val="37"/>
                    <w:jc w:val="center"/>
                  </w:pPr>
                  <w:r>
                    <w:rPr>
                      <w:rFonts w:hint="eastAsia"/>
                    </w:rPr>
                    <w:t>执行标准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71" w:type="dxa"/>
                  <w:vAlign w:val="center"/>
                </w:tcPr>
                <w:p>
                  <w:pPr>
                    <w:pStyle w:val="37"/>
                    <w:jc w:val="center"/>
                  </w:pPr>
                  <w:r>
                    <w:rPr>
                      <w:rFonts w:hint="eastAsia"/>
                    </w:rPr>
                    <w:t>厂界</w:t>
                  </w:r>
                </w:p>
              </w:tc>
              <w:tc>
                <w:tcPr>
                  <w:tcW w:w="1808" w:type="dxa"/>
                  <w:vAlign w:val="center"/>
                </w:tcPr>
                <w:p>
                  <w:pPr>
                    <w:pStyle w:val="37"/>
                    <w:jc w:val="center"/>
                  </w:pPr>
                  <w:r>
                    <w:rPr>
                      <w:rFonts w:hint="eastAsia"/>
                    </w:rPr>
                    <w:t>厂界环境噪声</w:t>
                  </w:r>
                </w:p>
              </w:tc>
              <w:tc>
                <w:tcPr>
                  <w:tcW w:w="1641" w:type="dxa"/>
                  <w:vAlign w:val="center"/>
                </w:tcPr>
                <w:p>
                  <w:pPr>
                    <w:pStyle w:val="37"/>
                    <w:jc w:val="center"/>
                  </w:pPr>
                  <w:r>
                    <w:rPr>
                      <w:rFonts w:hint="eastAsia"/>
                    </w:rPr>
                    <w:t>每季度一次</w:t>
                  </w:r>
                </w:p>
              </w:tc>
              <w:tc>
                <w:tcPr>
                  <w:tcW w:w="3139" w:type="dxa"/>
                  <w:vAlign w:val="center"/>
                </w:tcPr>
                <w:p>
                  <w:pPr>
                    <w:pStyle w:val="37"/>
                    <w:jc w:val="center"/>
                  </w:pPr>
                  <w:r>
                    <w:rPr>
                      <w:rFonts w:hint="eastAsia"/>
                    </w:rPr>
                    <w:t>《工业企业厂界环境噪声排放标准》（GB12348-2008）2类</w:t>
                  </w:r>
                </w:p>
              </w:tc>
            </w:tr>
          </w:tbl>
          <w:p>
            <w:pPr>
              <w:pStyle w:val="4"/>
            </w:pPr>
            <w:bookmarkStart w:id="299" w:name="_Toc116339943"/>
            <w:r>
              <w:t>4</w:t>
            </w:r>
            <w:r>
              <w:rPr>
                <w:rFonts w:hint="eastAsia"/>
              </w:rPr>
              <w:t>、</w:t>
            </w:r>
            <w:r>
              <w:t>固体废物环境影响和保护措施</w:t>
            </w:r>
            <w:bookmarkEnd w:id="294"/>
            <w:bookmarkEnd w:id="295"/>
            <w:bookmarkEnd w:id="296"/>
            <w:bookmarkEnd w:id="297"/>
            <w:bookmarkEnd w:id="298"/>
            <w:bookmarkEnd w:id="299"/>
          </w:p>
          <w:p>
            <w:pPr>
              <w:ind w:firstLine="480"/>
            </w:pPr>
            <w:r>
              <w:rPr>
                <w:rFonts w:hint="eastAsia"/>
              </w:rPr>
              <w:t>（1）固体废物源强核算</w:t>
            </w:r>
          </w:p>
          <w:p>
            <w:pPr>
              <w:pStyle w:val="6"/>
              <w:ind w:firstLine="480"/>
              <w:rPr>
                <w:u w:val="single"/>
              </w:rPr>
            </w:pPr>
            <w:r>
              <w:rPr>
                <w:rFonts w:hint="eastAsia"/>
                <w:u w:val="single"/>
              </w:rPr>
              <w:t>本项目采用煤炭作为原料，设置破碎筛分生产线及蜂窝煤生产线，无废水清洗，生产过程中不合格产品重新作为原料利用，因此生产过程中固废仅为初筛工艺产生的废石，其余主要固体废物包括生活垃圾、沉淀池沉渣、废机油等。</w:t>
            </w:r>
          </w:p>
          <w:p>
            <w:pPr>
              <w:ind w:firstLine="480"/>
            </w:pPr>
            <w:r>
              <w:rPr>
                <w:rFonts w:hint="eastAsia"/>
              </w:rPr>
              <w:t>1）生活垃圾</w:t>
            </w:r>
          </w:p>
          <w:p>
            <w:pPr>
              <w:ind w:firstLine="480"/>
            </w:pPr>
            <w:r>
              <w:rPr>
                <w:rFonts w:hint="eastAsia"/>
              </w:rPr>
              <w:t>项目劳动定员1</w:t>
            </w:r>
            <w:r>
              <w:t>0</w:t>
            </w:r>
            <w:r>
              <w:rPr>
                <w:rFonts w:hint="eastAsia"/>
              </w:rPr>
              <w:t>人，生活垃圾按照0</w:t>
            </w:r>
            <w:r>
              <w:t>.5</w:t>
            </w:r>
            <w:r>
              <w:rPr>
                <w:rFonts w:hint="eastAsia"/>
              </w:rPr>
              <w:t>kg</w:t>
            </w:r>
            <w:r>
              <w:t>/</w:t>
            </w:r>
            <w:r>
              <w:rPr>
                <w:rFonts w:hint="eastAsia"/>
              </w:rPr>
              <w:t>人·d进行计算，则生活垃圾产生量约为</w:t>
            </w:r>
            <w:r>
              <w:t>5</w:t>
            </w:r>
            <w:r>
              <w:rPr>
                <w:rFonts w:hint="eastAsia"/>
              </w:rPr>
              <w:t>kg</w:t>
            </w:r>
            <w:r>
              <w:t>/d</w:t>
            </w:r>
            <w:r>
              <w:rPr>
                <w:rFonts w:hint="eastAsia"/>
              </w:rPr>
              <w:t>，</w:t>
            </w:r>
            <w:r>
              <w:t>1.5</w:t>
            </w:r>
            <w:r>
              <w:rPr>
                <w:rFonts w:hint="eastAsia"/>
              </w:rPr>
              <w:t>t</w:t>
            </w:r>
            <w:r>
              <w:t>/a</w:t>
            </w:r>
            <w:r>
              <w:rPr>
                <w:rFonts w:hint="eastAsia"/>
              </w:rPr>
              <w:t>。生活垃圾分类收集后全部交由当地环卫部门处理。</w:t>
            </w:r>
          </w:p>
          <w:p>
            <w:pPr>
              <w:ind w:firstLine="480"/>
            </w:pPr>
            <w:r>
              <w:rPr>
                <w:rFonts w:hint="eastAsia"/>
              </w:rPr>
              <w:t>2）沉淀池沉渣</w:t>
            </w:r>
          </w:p>
          <w:p>
            <w:pPr>
              <w:ind w:firstLine="480"/>
            </w:pPr>
            <w:bookmarkStart w:id="300" w:name="_Hlk107411995"/>
            <w:r>
              <w:rPr>
                <w:rFonts w:hint="eastAsia"/>
              </w:rPr>
              <w:t>湿法除尘废水沉淀池沉渣</w:t>
            </w:r>
            <w:bookmarkEnd w:id="300"/>
            <w:r>
              <w:rPr>
                <w:rFonts w:hint="eastAsia"/>
              </w:rPr>
              <w:t>：湿法除尘总计去除颗粒物量约为</w:t>
            </w:r>
            <w:bookmarkStart w:id="301" w:name="_Hlk107412010"/>
            <w:r>
              <w:t>0.99</w:t>
            </w:r>
            <w:r>
              <w:rPr>
                <w:rFonts w:hint="eastAsia"/>
              </w:rPr>
              <w:t>t</w:t>
            </w:r>
            <w:r>
              <w:t>/a</w:t>
            </w:r>
            <w:bookmarkEnd w:id="301"/>
            <w:r>
              <w:rPr>
                <w:rFonts w:hint="eastAsia"/>
              </w:rPr>
              <w:t>，沉渣经板框压滤机压滤后含水率约为6</w:t>
            </w:r>
            <w:r>
              <w:t>0</w:t>
            </w:r>
            <w:r>
              <w:rPr>
                <w:rFonts w:hint="eastAsia"/>
              </w:rPr>
              <w:t>%，则沉渣产生量约为</w:t>
            </w:r>
            <w:r>
              <w:t>2.48</w:t>
            </w:r>
            <w:r>
              <w:rPr>
                <w:rFonts w:hint="eastAsia"/>
              </w:rPr>
              <w:t>t</w:t>
            </w:r>
            <w:r>
              <w:t>/a</w:t>
            </w:r>
            <w:r>
              <w:rPr>
                <w:rFonts w:hint="eastAsia"/>
              </w:rPr>
              <w:t>，主要成分为水、煤炭，全部外售水泥厂作为原料使用。</w:t>
            </w:r>
          </w:p>
          <w:p>
            <w:pPr>
              <w:ind w:firstLine="480"/>
            </w:pPr>
            <w:r>
              <w:rPr>
                <w:rFonts w:hint="eastAsia"/>
              </w:rPr>
              <w:t>洗车废水沉淀池沉渣：洗车废水沉淀池沉渣主要来自车辆轮胎携带的泥沙及煤炭，一般泥沙产生量约为2kg</w:t>
            </w:r>
            <w:r>
              <w:t>/</w:t>
            </w:r>
            <w:r>
              <w:rPr>
                <w:rFonts w:hint="eastAsia"/>
              </w:rPr>
              <w:t>车次，项目年清洗车次为</w:t>
            </w:r>
            <w:r>
              <w:t>2000</w:t>
            </w:r>
            <w:r>
              <w:rPr>
                <w:rFonts w:hint="eastAsia"/>
              </w:rPr>
              <w:t>车次，则总计产生泥沙量约为4t</w:t>
            </w:r>
            <w:r>
              <w:t>/a</w:t>
            </w:r>
            <w:r>
              <w:rPr>
                <w:rFonts w:hint="eastAsia"/>
              </w:rPr>
              <w:t>，沉渣中含水率较高，经板框压滤机压滤后含水率约为6</w:t>
            </w:r>
            <w:r>
              <w:t>0</w:t>
            </w:r>
            <w:r>
              <w:rPr>
                <w:rFonts w:hint="eastAsia"/>
              </w:rPr>
              <w:t>%，则沉渣产生量约为</w:t>
            </w:r>
            <w:r>
              <w:t>10</w:t>
            </w:r>
            <w:r>
              <w:rPr>
                <w:rFonts w:hint="eastAsia"/>
              </w:rPr>
              <w:t>t</w:t>
            </w:r>
            <w:r>
              <w:t>/a</w:t>
            </w:r>
            <w:r>
              <w:rPr>
                <w:rFonts w:hint="eastAsia"/>
              </w:rPr>
              <w:t>，主要成分为煤炭和泥沙，全部外售水泥厂作为原料使用。</w:t>
            </w:r>
          </w:p>
          <w:p>
            <w:pPr>
              <w:ind w:firstLine="480"/>
            </w:pPr>
            <w:r>
              <w:rPr>
                <w:rFonts w:hint="eastAsia"/>
              </w:rPr>
              <w:t>3）废机油：废润滑油为生产设备维护、保养时产生，产生量约为0.1t/a，属于为危险废物，危废类别为HW08废矿物油与含矿物油废物，代码900-217-08，集中收集后暂存于危险废物暂存间，委托有资质单位安全处置。</w:t>
            </w:r>
          </w:p>
          <w:p>
            <w:pPr>
              <w:ind w:firstLine="480"/>
            </w:pPr>
            <w:r>
              <w:rPr>
                <w:rFonts w:hint="eastAsia"/>
              </w:rPr>
              <w:t>4）初筛工艺产生的废石</w:t>
            </w:r>
          </w:p>
          <w:p>
            <w:pPr>
              <w:ind w:firstLine="480"/>
            </w:pPr>
            <w:r>
              <w:rPr>
                <w:rFonts w:hint="eastAsia"/>
              </w:rPr>
              <w:t>根据建设单位提供的资料，原料的废石含量约为1</w:t>
            </w:r>
            <w:r>
              <w:t>%</w:t>
            </w:r>
            <w:r>
              <w:rPr>
                <w:rFonts w:hint="eastAsia"/>
              </w:rPr>
              <w:t>，则废石量为</w:t>
            </w:r>
            <w:r>
              <w:t>200.88</w:t>
            </w:r>
            <w:r>
              <w:rPr>
                <w:rFonts w:hint="eastAsia"/>
              </w:rPr>
              <w:t>t/a。</w:t>
            </w:r>
          </w:p>
          <w:p>
            <w:pPr>
              <w:ind w:firstLine="480"/>
            </w:pPr>
            <w:r>
              <w:rPr>
                <w:rFonts w:hint="eastAsia"/>
              </w:rPr>
              <w:t>（2）环境管理要求</w:t>
            </w:r>
          </w:p>
          <w:p>
            <w:pPr>
              <w:ind w:firstLine="480"/>
              <w:rPr>
                <w:color w:val="000000"/>
              </w:rPr>
            </w:pPr>
            <w:r>
              <w:rPr>
                <w:color w:val="000000"/>
              </w:rPr>
              <w:t>上述固体废物从产生、收集、贮存、转运、处置等各个环节都可能因管理不善而进入环境。因此必须从各个环节进行全方位管理，采取有效措施防止固废在产生、收集、贮存、运输过程中的散失，并采用有效处置的方案和技术。首先从有用物料回收再利用着眼，化废为宝，既回收一部分资源，又减轻处置负荷，对目前还不能回收利用的，应遵循无害化处置原则进行有效处置。</w:t>
            </w:r>
          </w:p>
          <w:p>
            <w:pPr>
              <w:ind w:firstLine="480"/>
            </w:pPr>
            <w:r>
              <w:t>（1）一般固废处置措施要求</w:t>
            </w:r>
          </w:p>
          <w:p>
            <w:pPr>
              <w:ind w:firstLine="480"/>
              <w:rPr>
                <w:color w:val="000000"/>
              </w:rPr>
            </w:pPr>
            <w:r>
              <w:rPr>
                <w:color w:val="000000"/>
              </w:rPr>
              <w:t>本项目一般固体废物中各类垃圾应分类收集，在垃圾暂存区内分类暂存，不得随处堆放，垃圾暂存区应防雨、防风、防渗漏，固废临时贮存场应满足如下要求：</w:t>
            </w:r>
          </w:p>
          <w:p>
            <w:pPr>
              <w:ind w:firstLine="480"/>
              <w:rPr>
                <w:color w:val="000000"/>
              </w:rPr>
            </w:pPr>
            <w:r>
              <w:rPr>
                <w:color w:val="000000"/>
              </w:rPr>
              <w:t>①地面应采取硬化措施并满足承载力要求，必要时采取相应措施防止地基下沉。</w:t>
            </w:r>
          </w:p>
          <w:p>
            <w:pPr>
              <w:ind w:firstLine="480"/>
              <w:rPr>
                <w:color w:val="000000"/>
              </w:rPr>
            </w:pPr>
            <w:r>
              <w:rPr>
                <w:color w:val="000000"/>
              </w:rPr>
              <w:t>②要求设置必要的防风、防雨、防晒措施。</w:t>
            </w:r>
          </w:p>
          <w:p>
            <w:pPr>
              <w:ind w:firstLine="480"/>
              <w:rPr>
                <w:color w:val="000000"/>
              </w:rPr>
            </w:pPr>
            <w:r>
              <w:rPr>
                <w:color w:val="000000"/>
              </w:rPr>
              <w:t>③按《环境保护图形标识—固体废物贮存（处置）场》（GB15562.2）要求设置环境保护图形标志。</w:t>
            </w:r>
          </w:p>
          <w:p>
            <w:pPr>
              <w:ind w:firstLine="480"/>
            </w:pPr>
            <w:r>
              <w:t>营运期固废都能得到妥善处置，不会产生二次污染。</w:t>
            </w:r>
          </w:p>
          <w:p>
            <w:pPr>
              <w:ind w:firstLine="480"/>
              <w:rPr>
                <w:color w:val="000000"/>
              </w:rPr>
            </w:pPr>
            <w:r>
              <w:rPr>
                <w:color w:val="000000"/>
              </w:rPr>
              <w:t>综上所述，本项目固体废物处理处置符合国家</w:t>
            </w:r>
            <w:bookmarkStart w:id="327" w:name="_GoBack"/>
            <w:bookmarkEnd w:id="327"/>
            <w:r>
              <w:rPr>
                <w:rFonts w:hint="eastAsia"/>
                <w:color w:val="000000"/>
                <w:lang w:eastAsia="zh-CN"/>
              </w:rPr>
              <w:t>《中华人民共和国固体废物污染环境防治法》</w:t>
            </w:r>
            <w:r>
              <w:rPr>
                <w:color w:val="000000"/>
              </w:rPr>
              <w:t>规定的原则，符合《一般工业固体废物贮存和填埋污染控制标准》（GB18599-2020）规定，采取上述措施后，本项目固体废物可得到妥善的处理，对周围环境造成的影响很小。</w:t>
            </w:r>
          </w:p>
          <w:p>
            <w:pPr>
              <w:ind w:firstLine="480"/>
            </w:pPr>
            <w:r>
              <w:t>（2）危险废物储运方式及管理要求</w:t>
            </w:r>
          </w:p>
          <w:p>
            <w:pPr>
              <w:ind w:firstLine="480"/>
            </w:pPr>
            <w:r>
              <w:rPr>
                <w:rFonts w:hint="eastAsia" w:ascii="宋体" w:hAnsi="宋体" w:cs="宋体"/>
              </w:rPr>
              <w:t>①</w:t>
            </w:r>
            <w:r>
              <w:t>设置危险废物暂存间</w:t>
            </w:r>
          </w:p>
          <w:p>
            <w:pPr>
              <w:ind w:firstLine="480"/>
            </w:pPr>
            <w:r>
              <w:t>为了减小废弃物的储运风险，防止危废流失污染环境，本项目将产生的危险废物全部收集至危废暂存间内，采用密闭专用容器收集储存危废，并对危险废物暂存间设围堰等。</w:t>
            </w:r>
          </w:p>
          <w:p>
            <w:pPr>
              <w:ind w:firstLine="480"/>
            </w:pPr>
            <w:r>
              <w:t>危废暂存间将严格按照《危险废物储存污染控制标准》的要求设计，做好防雨、防渗，防止二次污染。地面采用坚固、防渗、耐腐蚀的材料建造。库内废物定期由有资质的公司使用专用运输车辆运输。</w:t>
            </w:r>
          </w:p>
          <w:p>
            <w:pPr>
              <w:ind w:firstLine="480"/>
            </w:pPr>
            <w:r>
              <w:rPr>
                <w:rFonts w:hint="eastAsia" w:ascii="宋体" w:hAnsi="宋体" w:cs="宋体"/>
              </w:rPr>
              <w:t>②</w:t>
            </w:r>
            <w:r>
              <w:t>危险废弃物的收集和管理</w:t>
            </w:r>
          </w:p>
          <w:p>
            <w:pPr>
              <w:ind w:firstLine="480"/>
            </w:pPr>
            <w:r>
              <w:t>对危险废弃物的收集和管理，拟采用以下措施：</w:t>
            </w:r>
          </w:p>
          <w:p>
            <w:pPr>
              <w:ind w:firstLine="480"/>
            </w:pPr>
            <w:r>
              <w:t>A、对生产过程产生的废机油等，根据生产过程的特点，拟将其直接存放在危废暂存间内；其他废物，如废抹布等存放于相应的容器中，并贴上废弃物分类专用标签，临时堆放在危废暂存间中，累计一定数量后由有资质的公司使用专用运输车辆外运后统一处置。</w:t>
            </w:r>
          </w:p>
          <w:p>
            <w:pPr>
              <w:ind w:firstLine="480"/>
            </w:pPr>
            <w:r>
              <w:t>B、危险废物全部暂存于危废暂存间内，做到防风、防雨、防晒措施，并设置堵截泄漏的裙脚、围堰等设施。</w:t>
            </w:r>
          </w:p>
          <w:p>
            <w:pPr>
              <w:ind w:firstLine="480"/>
            </w:pPr>
            <w:r>
              <w:t>C、危险废物暂存间及化学品间地面基础必须防渗、防腐处理，本项目拟采用抗渗混凝土进行防渗。</w:t>
            </w:r>
          </w:p>
          <w:p>
            <w:pPr>
              <w:ind w:firstLine="480"/>
            </w:pPr>
            <w:r>
              <w:t>上述危险废弃物的收集和管理，建设单位将委派专人负责，各种废弃物的储存容器都有很好的密封性，危废临时储存场所按照《危险废物贮存污染控制标准》（GB18597-2001）相关要求进行防渗、防漏处理，安全可靠，不会受到风雨侵蚀，可有效地防止了临时存放过程中的二次污染。</w:t>
            </w:r>
          </w:p>
          <w:p>
            <w:pPr>
              <w:ind w:firstLine="480"/>
            </w:pPr>
            <w:r>
              <w:t>根据中华人民共和国国务院令第344号《危险化学品安全管理条例》的有关规定，</w:t>
            </w:r>
          </w:p>
          <w:p>
            <w:pPr>
              <w:ind w:firstLine="480"/>
            </w:pPr>
            <w:r>
              <w:t>在危险废弃物外运至处置单位时必须严格遵守以下要求：</w:t>
            </w:r>
          </w:p>
          <w:p>
            <w:pPr>
              <w:ind w:firstLine="480"/>
            </w:pPr>
            <w:r>
              <w:t>A、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pPr>
              <w:ind w:firstLine="480"/>
            </w:pPr>
            <w:r>
              <w:t>B、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ind w:firstLine="480"/>
            </w:pPr>
            <w:r>
              <w:t>C、处置单位在运输危险废弃物时必须配备押运人员，并随时处于押运人员的监管之下，不得超装、超载，严格按照所在城市规定的行车时间和行车路线行驶，不得进入危险化学品运输车辆禁止通行的区域。</w:t>
            </w:r>
          </w:p>
          <w:p>
            <w:pPr>
              <w:ind w:firstLine="480"/>
            </w:pPr>
            <w:r>
              <w:t>D、危险废弃物在运输途中若发生被盗、丢失、流散、泄漏等情况时，建设单位及押运人员必须立即向当地公安部门报告，并采取一切可能的警示措施。</w:t>
            </w:r>
          </w:p>
          <w:p>
            <w:pPr>
              <w:ind w:firstLine="480"/>
            </w:pPr>
            <w:r>
              <w:t>一旦发生废弃物泄漏事故，建设单位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ind w:firstLine="480"/>
            </w:pPr>
            <w:r>
              <w:t>企业在危险废物的临时贮存过程中，要加强管理，并按以上危险废物临时储存要求实施后对周围环境不会产生二次污染。本项目建成后固体废物处理处置率达100％，固废实现零排放，在收集和处置中不会产生二次污染。</w:t>
            </w:r>
          </w:p>
          <w:p>
            <w:pPr>
              <w:ind w:firstLine="480"/>
            </w:pPr>
            <w:r>
              <w:t>综上所述，本项目固体废物处理处置符合国家</w:t>
            </w:r>
            <w:r>
              <w:rPr>
                <w:rFonts w:hint="eastAsia"/>
                <w:lang w:eastAsia="zh-CN"/>
              </w:rPr>
              <w:t>《中华人民共和国固体废物污染环境防治法》</w:t>
            </w:r>
            <w:r>
              <w:t>规定的原则，符合《一般工业固体废物贮存和填埋污染控制标准》（GB18599-2020）和《危险废物贮存污染控制标准》（GB18597-2001）规定，采取上述措施后，本项目固体废物可得到妥善的处理，对周围环境造成的影响很小。</w:t>
            </w:r>
          </w:p>
          <w:p>
            <w:pPr>
              <w:pStyle w:val="4"/>
            </w:pPr>
            <w:bookmarkStart w:id="302" w:name="_Toc107343598"/>
            <w:bookmarkStart w:id="303" w:name="_Toc107415688"/>
            <w:bookmarkStart w:id="304" w:name="_Toc107409334"/>
            <w:bookmarkStart w:id="305" w:name="_Toc116339944"/>
            <w:bookmarkStart w:id="306" w:name="_Toc106531363"/>
            <w:bookmarkStart w:id="307" w:name="_Toc107343412"/>
            <w:r>
              <w:rPr>
                <w:rFonts w:hint="eastAsia"/>
              </w:rPr>
              <w:t>5、土壤及地下水环境保护措施</w:t>
            </w:r>
            <w:bookmarkEnd w:id="302"/>
            <w:bookmarkEnd w:id="303"/>
            <w:bookmarkEnd w:id="304"/>
            <w:bookmarkEnd w:id="305"/>
            <w:bookmarkEnd w:id="306"/>
            <w:bookmarkEnd w:id="307"/>
          </w:p>
          <w:p>
            <w:pPr>
              <w:ind w:firstLine="480"/>
            </w:pPr>
            <w:r>
              <w:rPr>
                <w:rFonts w:hint="eastAsia"/>
              </w:rPr>
              <w:t>根据分析，本项目实施后对土壤和地下水可能造成污染的主要途径有：</w:t>
            </w:r>
          </w:p>
          <w:p>
            <w:pPr>
              <w:ind w:firstLine="480"/>
            </w:pPr>
            <w:r>
              <w:rPr>
                <w:rFonts w:hint="eastAsia"/>
              </w:rPr>
              <w:t>①化粪池、污水处理设施及收集输送污废水管道发生破裂或防渗性能差，可能导致污染物泄露渗入地下污染地下水。</w:t>
            </w:r>
          </w:p>
          <w:p>
            <w:pPr>
              <w:ind w:firstLine="480"/>
            </w:pPr>
            <w:r>
              <w:rPr>
                <w:rFonts w:hint="eastAsia"/>
              </w:rPr>
              <w:t>②危废间废机油发生泄露事故，溢流出危废间渗透至地下污染土壤和地下水。</w:t>
            </w:r>
          </w:p>
          <w:p>
            <w:pPr>
              <w:ind w:firstLine="480"/>
            </w:pPr>
            <w:r>
              <w:rPr>
                <w:rFonts w:hint="eastAsia"/>
              </w:rPr>
              <w:t>根据以上土壤和地下水污染途径，为避免本项目污水、废矿物油对土壤和地下水造成影响，本环评建议采取以下保护措施：</w:t>
            </w:r>
          </w:p>
          <w:p>
            <w:pPr>
              <w:ind w:firstLine="480"/>
            </w:pPr>
            <w:r>
              <w:rPr>
                <w:rFonts w:hint="eastAsia"/>
              </w:rPr>
              <w:t>（1）源头控制</w:t>
            </w:r>
          </w:p>
          <w:p>
            <w:pPr>
              <w:ind w:firstLine="480"/>
            </w:pPr>
            <w:r>
              <w:rPr>
                <w:rFonts w:hint="eastAsia"/>
              </w:rPr>
              <w:t>从设计、采购、施工等方面全过程加强对工艺、管道、设备等的质量控制，开展回收利用工作，严格控制“三废”排放标准，消除生产设备和管道“跑、冒、滴、漏”现象发生。</w:t>
            </w:r>
          </w:p>
          <w:p>
            <w:pPr>
              <w:ind w:firstLine="480"/>
            </w:pPr>
            <w:r>
              <w:rPr>
                <w:rFonts w:hint="eastAsia"/>
              </w:rPr>
              <w:t>（2）分区防控</w:t>
            </w:r>
          </w:p>
          <w:p>
            <w:pPr>
              <w:ind w:firstLine="480"/>
            </w:pPr>
            <w:r>
              <w:rPr>
                <w:rFonts w:hint="eastAsia"/>
              </w:rPr>
              <w:t>针对可能对地下水造成影响的各环节，按照“考虑重点，辐射全面”的防腐防渗原则，根据本项目可能泄漏至地面区域污染物的性质和生产单元的构筑方式，将厂区划分为重点污染防治区、一般污染防治区和非污染防治区，针对不同的区域提出相应的防渗要求。并要求每年检修一次，发现问题及时解决。</w:t>
            </w:r>
          </w:p>
          <w:p>
            <w:pPr>
              <w:ind w:firstLine="480"/>
            </w:pPr>
            <w:r>
              <w:rPr>
                <w:rFonts w:hint="eastAsia"/>
              </w:rPr>
              <w:t>（3）污染监控</w:t>
            </w:r>
          </w:p>
          <w:p>
            <w:pPr>
              <w:ind w:firstLine="480"/>
            </w:pPr>
            <w:r>
              <w:rPr>
                <w:rFonts w:hint="eastAsia"/>
              </w:rPr>
              <w:t>据调查，项目厂界外500m范围内无地下水集中式饮用水源水源和热水、矿泉水、温泉等特殊地下水资源，厂址周边为林地，周边地下水和土壤环境相对不敏感，采取有效的防渗措施后，项目对地下水、土壤环境影响很小，因此本评价不对项目地下水、土壤环境进行跟踪监测，只提出地下水、土壤污染防控措施。</w:t>
            </w:r>
          </w:p>
          <w:p>
            <w:pPr>
              <w:ind w:firstLine="480"/>
            </w:pPr>
            <w:r>
              <w:rPr>
                <w:rFonts w:hint="eastAsia"/>
              </w:rPr>
              <w:t>（4）日常管理</w:t>
            </w:r>
          </w:p>
          <w:p>
            <w:pPr>
              <w:ind w:firstLine="480"/>
            </w:pPr>
            <w:r>
              <w:rPr>
                <w:rFonts w:hint="eastAsia"/>
              </w:rPr>
              <w:t>建立经常性的检修制度，如每年对厂区的危废间进行一次或两次全面的检查以便及时发现问题，及时处理解决，及时更新维护各类储运设施。加强生产管理，杜绝事故性排放和泄漏。</w:t>
            </w:r>
          </w:p>
          <w:p>
            <w:pPr>
              <w:pStyle w:val="4"/>
            </w:pPr>
            <w:bookmarkStart w:id="308" w:name="_Toc107343599"/>
            <w:bookmarkStart w:id="309" w:name="_Toc106531364"/>
            <w:bookmarkStart w:id="310" w:name="_Toc107343413"/>
            <w:bookmarkStart w:id="311" w:name="_Toc116339945"/>
            <w:bookmarkStart w:id="312" w:name="_Toc107415689"/>
            <w:bookmarkStart w:id="313" w:name="_Toc107409335"/>
            <w:r>
              <w:rPr>
                <w:rFonts w:hint="eastAsia"/>
              </w:rPr>
              <w:t>6、环境风险分析</w:t>
            </w:r>
            <w:bookmarkEnd w:id="308"/>
            <w:bookmarkEnd w:id="309"/>
            <w:bookmarkEnd w:id="310"/>
            <w:bookmarkEnd w:id="311"/>
            <w:bookmarkEnd w:id="312"/>
            <w:bookmarkEnd w:id="313"/>
          </w:p>
          <w:p>
            <w:pPr>
              <w:ind w:firstLine="480"/>
            </w:pPr>
            <w:r>
              <w:rPr>
                <w:rFonts w:hint="eastAsia"/>
                <w:u w:val="single"/>
              </w:rPr>
              <w:t>建</w:t>
            </w:r>
            <w:r>
              <w:rPr>
                <w:rFonts w:hint="eastAsia"/>
              </w:rPr>
              <w:t>设项目环境风险评价是分析和预测建设项目存在的潜在危险、有害因素，对项目建设和运行期间的可预测突发性事件或事故（一般不包括人为破坏及自然灾害）引起的有毒有害、易燃易爆等物质泄漏，所造成的人身安全与环境影响和损害程度，提出合理可行的防范、应急与减缓措施，分析可能造成突发性事故的污染源及其影响，并以此为环境管理和生产部门提供决策依据。</w:t>
            </w:r>
          </w:p>
          <w:p>
            <w:pPr>
              <w:ind w:firstLine="480"/>
            </w:pPr>
            <w:r>
              <w:rPr>
                <w:rFonts w:hint="eastAsia"/>
              </w:rPr>
              <w:t>1）评价等级判定</w:t>
            </w:r>
          </w:p>
          <w:p>
            <w:pPr>
              <w:ind w:firstLine="480"/>
            </w:pPr>
            <w:r>
              <w:t>本项目主要进行</w:t>
            </w:r>
            <w:r>
              <w:rPr>
                <w:rFonts w:hint="eastAsia"/>
              </w:rPr>
              <w:t>废石料加工处理</w:t>
            </w:r>
            <w:r>
              <w:t>，所用原辅材料不具有危险性，但项目运行产生的</w:t>
            </w:r>
            <w:r>
              <w:rPr>
                <w:rFonts w:hint="eastAsia"/>
              </w:rPr>
              <w:t>废机油</w:t>
            </w:r>
            <w:r>
              <w:t>属于环境风险物质</w:t>
            </w:r>
            <w:r>
              <w:rPr>
                <w:rFonts w:hint="eastAsia"/>
              </w:rPr>
              <w:t>。</w:t>
            </w:r>
          </w:p>
          <w:p>
            <w:pPr>
              <w:ind w:firstLine="480"/>
            </w:pPr>
            <w:r>
              <w:rPr>
                <w:rFonts w:hint="eastAsia"/>
              </w:rPr>
              <w:t>根据《建设项目环境风险评价技术导则》（HJ169-2018）附录B中风险物质临界量计算，本项目Q值计算结果如下：</w:t>
            </w:r>
          </w:p>
          <w:p>
            <w:pPr>
              <w:pStyle w:val="31"/>
            </w:pPr>
            <w:r>
              <w:rPr>
                <w:rFonts w:hint="eastAsia"/>
              </w:rPr>
              <w:t>表4-</w:t>
            </w:r>
            <w:r>
              <w:t>13</w:t>
            </w:r>
            <w:r>
              <w:rPr>
                <w:rFonts w:hint="eastAsia"/>
              </w:rPr>
              <w:t>本项目Q值计算一览表</w:t>
            </w:r>
          </w:p>
          <w:tbl>
            <w:tblPr>
              <w:tblStyle w:val="17"/>
              <w:tblW w:w="785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1087"/>
              <w:gridCol w:w="1694"/>
              <w:gridCol w:w="1694"/>
              <w:gridCol w:w="1696"/>
              <w:gridCol w:w="168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97" w:hRule="atLeast"/>
                <w:jc w:val="center"/>
              </w:trPr>
              <w:tc>
                <w:tcPr>
                  <w:tcW w:w="1087" w:type="dxa"/>
                  <w:vAlign w:val="center"/>
                </w:tcPr>
                <w:p>
                  <w:pPr>
                    <w:pStyle w:val="37"/>
                    <w:jc w:val="center"/>
                    <w:rPr>
                      <w:u w:val="none"/>
                    </w:rPr>
                  </w:pPr>
                  <w:r>
                    <w:rPr>
                      <w:u w:val="none"/>
                    </w:rPr>
                    <w:t>序号</w:t>
                  </w:r>
                </w:p>
              </w:tc>
              <w:tc>
                <w:tcPr>
                  <w:tcW w:w="1694" w:type="dxa"/>
                  <w:vAlign w:val="center"/>
                </w:tcPr>
                <w:p>
                  <w:pPr>
                    <w:pStyle w:val="37"/>
                    <w:jc w:val="center"/>
                    <w:rPr>
                      <w:u w:val="none"/>
                    </w:rPr>
                  </w:pPr>
                  <w:r>
                    <w:rPr>
                      <w:u w:val="none"/>
                    </w:rPr>
                    <w:t>物料名称</w:t>
                  </w:r>
                </w:p>
              </w:tc>
              <w:tc>
                <w:tcPr>
                  <w:tcW w:w="1694" w:type="dxa"/>
                  <w:vAlign w:val="center"/>
                </w:tcPr>
                <w:p>
                  <w:pPr>
                    <w:pStyle w:val="37"/>
                    <w:jc w:val="center"/>
                    <w:rPr>
                      <w:u w:val="none"/>
                    </w:rPr>
                  </w:pPr>
                  <w:r>
                    <w:rPr>
                      <w:rFonts w:hint="eastAsia"/>
                      <w:u w:val="none"/>
                    </w:rPr>
                    <w:t>最大</w:t>
                  </w:r>
                  <w:r>
                    <w:rPr>
                      <w:u w:val="none"/>
                    </w:rPr>
                    <w:t>存在量</w:t>
                  </w:r>
                  <w:r>
                    <w:rPr>
                      <w:rFonts w:hint="eastAsia"/>
                      <w:u w:val="none"/>
                    </w:rPr>
                    <w:t>qn</w:t>
                  </w:r>
                </w:p>
              </w:tc>
              <w:tc>
                <w:tcPr>
                  <w:tcW w:w="1696" w:type="dxa"/>
                  <w:vAlign w:val="center"/>
                </w:tcPr>
                <w:p>
                  <w:pPr>
                    <w:pStyle w:val="37"/>
                    <w:jc w:val="center"/>
                    <w:rPr>
                      <w:u w:val="none"/>
                    </w:rPr>
                  </w:pPr>
                  <w:r>
                    <w:rPr>
                      <w:rFonts w:hint="eastAsia"/>
                      <w:u w:val="none"/>
                    </w:rPr>
                    <w:t>临界量Qn</w:t>
                  </w:r>
                </w:p>
              </w:tc>
              <w:tc>
                <w:tcPr>
                  <w:tcW w:w="1688" w:type="dxa"/>
                  <w:vAlign w:val="center"/>
                </w:tcPr>
                <w:p>
                  <w:pPr>
                    <w:pStyle w:val="37"/>
                    <w:jc w:val="center"/>
                    <w:rPr>
                      <w:u w:val="none"/>
                    </w:rPr>
                  </w:pPr>
                  <w:r>
                    <w:rPr>
                      <w:rFonts w:hint="eastAsia"/>
                      <w:u w:val="none"/>
                    </w:rPr>
                    <w:t>qn</w:t>
                  </w:r>
                  <w:r>
                    <w:rPr>
                      <w:u w:val="none"/>
                    </w:rPr>
                    <w:t>/</w:t>
                  </w:r>
                  <w:r>
                    <w:rPr>
                      <w:rFonts w:hint="eastAsia"/>
                      <w:u w:val="none"/>
                    </w:rPr>
                    <w:t>Qn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97" w:hRule="atLeast"/>
                <w:jc w:val="center"/>
              </w:trPr>
              <w:tc>
                <w:tcPr>
                  <w:tcW w:w="1087" w:type="dxa"/>
                  <w:vAlign w:val="center"/>
                </w:tcPr>
                <w:p>
                  <w:pPr>
                    <w:pStyle w:val="37"/>
                    <w:jc w:val="center"/>
                    <w:rPr>
                      <w:u w:val="none"/>
                    </w:rPr>
                  </w:pPr>
                  <w:r>
                    <w:rPr>
                      <w:rFonts w:hint="eastAsia"/>
                      <w:u w:val="none"/>
                    </w:rPr>
                    <w:t>1</w:t>
                  </w:r>
                </w:p>
              </w:tc>
              <w:tc>
                <w:tcPr>
                  <w:tcW w:w="1694" w:type="dxa"/>
                  <w:vAlign w:val="center"/>
                </w:tcPr>
                <w:p>
                  <w:pPr>
                    <w:pStyle w:val="37"/>
                    <w:jc w:val="center"/>
                    <w:rPr>
                      <w:u w:val="none"/>
                    </w:rPr>
                  </w:pPr>
                  <w:r>
                    <w:rPr>
                      <w:rFonts w:hint="eastAsia"/>
                      <w:u w:val="none"/>
                    </w:rPr>
                    <w:t>废机油</w:t>
                  </w:r>
                </w:p>
              </w:tc>
              <w:tc>
                <w:tcPr>
                  <w:tcW w:w="1694" w:type="dxa"/>
                  <w:vAlign w:val="center"/>
                </w:tcPr>
                <w:p>
                  <w:pPr>
                    <w:pStyle w:val="37"/>
                    <w:jc w:val="center"/>
                    <w:rPr>
                      <w:u w:val="none"/>
                    </w:rPr>
                  </w:pPr>
                  <w:r>
                    <w:rPr>
                      <w:rFonts w:hint="eastAsia"/>
                      <w:u w:val="none"/>
                    </w:rPr>
                    <w:t>0.1t</w:t>
                  </w:r>
                </w:p>
              </w:tc>
              <w:tc>
                <w:tcPr>
                  <w:tcW w:w="1696" w:type="dxa"/>
                  <w:vAlign w:val="center"/>
                </w:tcPr>
                <w:p>
                  <w:pPr>
                    <w:pStyle w:val="37"/>
                    <w:jc w:val="center"/>
                    <w:rPr>
                      <w:u w:val="none"/>
                    </w:rPr>
                  </w:pPr>
                  <w:r>
                    <w:rPr>
                      <w:rFonts w:hint="eastAsia"/>
                      <w:u w:val="none"/>
                    </w:rPr>
                    <w:t>50t</w:t>
                  </w:r>
                </w:p>
              </w:tc>
              <w:tc>
                <w:tcPr>
                  <w:tcW w:w="1688" w:type="dxa"/>
                  <w:vAlign w:val="center"/>
                </w:tcPr>
                <w:p>
                  <w:pPr>
                    <w:pStyle w:val="37"/>
                    <w:jc w:val="center"/>
                    <w:rPr>
                      <w:u w:val="none"/>
                    </w:rPr>
                  </w:pPr>
                  <w:r>
                    <w:rPr>
                      <w:rFonts w:hint="eastAsia"/>
                      <w:u w:val="none"/>
                    </w:rPr>
                    <w:t>0.002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97" w:hRule="atLeast"/>
                <w:jc w:val="center"/>
              </w:trPr>
              <w:tc>
                <w:tcPr>
                  <w:tcW w:w="1087" w:type="dxa"/>
                  <w:vAlign w:val="center"/>
                </w:tcPr>
                <w:p>
                  <w:pPr>
                    <w:pStyle w:val="37"/>
                    <w:jc w:val="center"/>
                    <w:rPr>
                      <w:u w:val="none"/>
                    </w:rPr>
                  </w:pPr>
                  <w:r>
                    <w:rPr>
                      <w:u w:val="none"/>
                    </w:rPr>
                    <w:t>2</w:t>
                  </w:r>
                </w:p>
              </w:tc>
              <w:tc>
                <w:tcPr>
                  <w:tcW w:w="5084" w:type="dxa"/>
                  <w:gridSpan w:val="3"/>
                  <w:vAlign w:val="center"/>
                </w:tcPr>
                <w:p>
                  <w:pPr>
                    <w:pStyle w:val="37"/>
                    <w:jc w:val="center"/>
                    <w:rPr>
                      <w:u w:val="none"/>
                    </w:rPr>
                  </w:pPr>
                  <w:r>
                    <w:rPr>
                      <w:rFonts w:hint="eastAsia"/>
                      <w:u w:val="none"/>
                    </w:rPr>
                    <w:t>合计/</w:t>
                  </w:r>
                </w:p>
              </w:tc>
              <w:tc>
                <w:tcPr>
                  <w:tcW w:w="1688" w:type="dxa"/>
                  <w:vAlign w:val="center"/>
                </w:tcPr>
                <w:p>
                  <w:pPr>
                    <w:pStyle w:val="37"/>
                    <w:jc w:val="center"/>
                    <w:rPr>
                      <w:u w:val="none"/>
                    </w:rPr>
                  </w:pPr>
                  <w:r>
                    <w:rPr>
                      <w:rFonts w:hint="eastAsia"/>
                      <w:u w:val="none"/>
                    </w:rPr>
                    <w:t>0.00</w:t>
                  </w:r>
                  <w:r>
                    <w:rPr>
                      <w:u w:val="none"/>
                    </w:rPr>
                    <w:t>2</w:t>
                  </w:r>
                </w:p>
              </w:tc>
            </w:tr>
          </w:tbl>
          <w:p>
            <w:pPr>
              <w:ind w:firstLine="480"/>
            </w:pPr>
            <w:r>
              <w:rPr>
                <w:rFonts w:hint="eastAsia"/>
              </w:rPr>
              <w:t>由表4-12可知，</w:t>
            </w:r>
            <w:r>
              <w:t>本项目风险物质最大储存量与临界量比值（Q）</w:t>
            </w:r>
            <w:r>
              <w:rPr>
                <w:rFonts w:hint="eastAsia"/>
              </w:rPr>
              <w:t>=0.002&lt;1</w:t>
            </w:r>
            <w:r>
              <w:t>，</w:t>
            </w:r>
            <w:r>
              <w:rPr>
                <w:rFonts w:hint="eastAsia"/>
              </w:rPr>
              <w:t>直接判定本项目环境风险潜势为I，故本评价仅对本项目环境风险做简单分析。</w:t>
            </w:r>
          </w:p>
          <w:p>
            <w:pPr>
              <w:ind w:firstLine="480"/>
            </w:pPr>
            <w:r>
              <w:rPr>
                <w:rFonts w:hint="eastAsia"/>
              </w:rPr>
              <w:t>2）环境风险识别</w:t>
            </w:r>
          </w:p>
          <w:p>
            <w:pPr>
              <w:ind w:firstLine="480"/>
            </w:pPr>
            <w:r>
              <w:rPr>
                <w:rFonts w:hint="eastAsia"/>
              </w:rPr>
              <w:t>①物质风险识别</w:t>
            </w:r>
          </w:p>
          <w:p>
            <w:pPr>
              <w:ind w:firstLine="480"/>
            </w:pPr>
            <w:r>
              <w:rPr>
                <w:rFonts w:hint="eastAsia"/>
              </w:rPr>
              <w:t>本项目使用原辅材料基本不会引起环境事件，但废机油运输、仓储过程，如管理操作不当或发生意外事故，存在着泄漏而造成的环境等风险事故，对周围环境将产生一定程度的污染影响。</w:t>
            </w:r>
          </w:p>
          <w:p>
            <w:pPr>
              <w:ind w:firstLine="480"/>
            </w:pPr>
            <w:r>
              <w:rPr>
                <w:rFonts w:hint="eastAsia"/>
              </w:rPr>
              <w:t>②生产设施风险识别</w:t>
            </w:r>
          </w:p>
          <w:p>
            <w:pPr>
              <w:ind w:firstLine="480"/>
            </w:pPr>
            <w:r>
              <w:rPr>
                <w:rFonts w:hint="eastAsia"/>
              </w:rPr>
              <w:t>A项目使用的废气处理措施可能发生的环境风险事故为处理设备运行失效，导致事故排放。导致事故发生的源项有：突然停电、未开启废气处理设施便开始工作或废气净化的风机损坏而不能正常工作，或废气处理装置故障，将导致废气处理装置失效，废气未经处理便直接排放，对区域环境空气将产生影响。</w:t>
            </w:r>
          </w:p>
          <w:p>
            <w:pPr>
              <w:ind w:firstLine="480"/>
            </w:pPr>
            <w:r>
              <w:rPr>
                <w:rFonts w:hint="eastAsia"/>
              </w:rPr>
              <w:t>B废水在输送过程，若废水输送管道发生破裂，废水泄露进入外环境中，将严重影响地表水环境。</w:t>
            </w:r>
          </w:p>
          <w:p>
            <w:pPr>
              <w:ind w:firstLine="480"/>
            </w:pPr>
            <w:r>
              <w:rPr>
                <w:rFonts w:hint="eastAsia"/>
              </w:rPr>
              <w:t>3）环境风险防范措施</w:t>
            </w:r>
          </w:p>
          <w:p>
            <w:pPr>
              <w:ind w:firstLine="480"/>
            </w:pPr>
            <w:r>
              <w:rPr>
                <w:rFonts w:hint="eastAsia"/>
              </w:rPr>
              <w:t>①泄漏事故防范措施</w:t>
            </w:r>
          </w:p>
          <w:p>
            <w:pPr>
              <w:ind w:firstLine="480"/>
            </w:pPr>
            <w:r>
              <w:rPr>
                <w:rFonts w:hint="eastAsia"/>
              </w:rPr>
              <w:t>A车间地面进行硬化、防渗处理，加强对管道、泵及各设备装置的检查巡查，防止跑、冒、滴、漏。</w:t>
            </w:r>
          </w:p>
          <w:p>
            <w:pPr>
              <w:ind w:firstLine="480"/>
            </w:pPr>
            <w:r>
              <w:rPr>
                <w:rFonts w:hint="eastAsia"/>
              </w:rPr>
              <w:t>B定期对废水处理设施、餐厨垃圾处理设备设施安全情况进行检查，发现问题，及时修复。</w:t>
            </w:r>
          </w:p>
          <w:p>
            <w:pPr>
              <w:ind w:firstLine="480"/>
            </w:pPr>
            <w:r>
              <w:rPr>
                <w:rFonts w:hint="eastAsia"/>
              </w:rPr>
              <w:t>C制定泄漏、溢出事故抢险预案，</w:t>
            </w:r>
            <w:r>
              <w:t>废油脂储存区设置围堰，围堰容积</w:t>
            </w:r>
            <w:r>
              <w:rPr>
                <w:rFonts w:hint="eastAsia"/>
              </w:rPr>
              <w:t>≥1.5m</w:t>
            </w:r>
            <w:r>
              <w:rPr>
                <w:rFonts w:hint="eastAsia"/>
                <w:vertAlign w:val="superscript"/>
              </w:rPr>
              <w:t>3</w:t>
            </w:r>
            <w:r>
              <w:t>，配备吸油毡、沙袋等应急物质。</w:t>
            </w:r>
          </w:p>
          <w:p>
            <w:pPr>
              <w:ind w:firstLine="480"/>
            </w:pPr>
            <w:r>
              <w:rPr>
                <w:rFonts w:hint="eastAsia"/>
              </w:rPr>
              <w:t>D加强与填埋场渗滤液处理系统衔接，确保项目废水得到及时处理。</w:t>
            </w:r>
          </w:p>
          <w:p>
            <w:pPr>
              <w:ind w:firstLine="480"/>
            </w:pPr>
            <w:r>
              <w:rPr>
                <w:rFonts w:hint="eastAsia"/>
              </w:rPr>
              <w:t>②废气处理设施事故排放防范措施</w:t>
            </w:r>
          </w:p>
          <w:p>
            <w:pPr>
              <w:ind w:firstLine="480"/>
            </w:pPr>
            <w:r>
              <w:rPr>
                <w:rFonts w:hint="eastAsia"/>
              </w:rPr>
              <w:t>A定期对废气处理设施进行检查和维护；</w:t>
            </w:r>
          </w:p>
          <w:p>
            <w:pPr>
              <w:ind w:firstLine="480"/>
            </w:pPr>
            <w:r>
              <w:rPr>
                <w:rFonts w:hint="eastAsia"/>
              </w:rPr>
              <w:t>B若废气处理设施无法正常运行，应停止生产，查明原因，待废气处理设施恢复正常后再行生产。</w:t>
            </w:r>
          </w:p>
          <w:p>
            <w:pPr>
              <w:ind w:firstLine="480"/>
            </w:pPr>
            <w:r>
              <w:rPr>
                <w:rFonts w:hint="eastAsia"/>
              </w:rPr>
              <w:t>③火灾事故防范措施</w:t>
            </w:r>
          </w:p>
          <w:p>
            <w:pPr>
              <w:ind w:firstLine="480"/>
            </w:pPr>
            <w:r>
              <w:rPr>
                <w:rFonts w:hint="eastAsia"/>
              </w:rPr>
              <w:t>火灾事故散发的烟气对周围大气环境将直接造成影响。本项目不使用易燃的原辅材料，餐厨垃圾及废油脂含水率高不易燃，且储存量较少，项目现场发生火灾事故时可采用干粉灭火器进行处置，不会造成较大的危害，火灾事故风险可控。</w:t>
            </w:r>
          </w:p>
          <w:p>
            <w:pPr>
              <w:ind w:firstLine="480"/>
            </w:pPr>
            <w:r>
              <w:rPr>
                <w:rFonts w:hint="eastAsia"/>
              </w:rPr>
              <w:t>本项目环境风险潜势为I，环境风险等级低于三级，在采取本评价提出的风险防范措施后，项目运营期环境风险水平在可接受范围内，环境风险是可控的。</w:t>
            </w:r>
          </w:p>
          <w:p>
            <w:pPr>
              <w:pStyle w:val="31"/>
            </w:pPr>
            <w:r>
              <w:rPr>
                <w:rFonts w:hint="eastAsia"/>
              </w:rPr>
              <w:t>表4-</w:t>
            </w:r>
            <w:r>
              <w:t>14</w:t>
            </w:r>
            <w:r>
              <w:rPr>
                <w:rFonts w:hint="eastAsia"/>
              </w:rPr>
              <w:t>本项目环境风险简单分析内容表</w:t>
            </w:r>
          </w:p>
          <w:tbl>
            <w:tblPr>
              <w:tblStyle w:val="17"/>
              <w:tblW w:w="785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2232"/>
              <w:gridCol w:w="56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25" w:hRule="atLeast"/>
                <w:jc w:val="center"/>
              </w:trPr>
              <w:tc>
                <w:tcPr>
                  <w:tcW w:w="2232" w:type="dxa"/>
                  <w:vAlign w:val="center"/>
                </w:tcPr>
                <w:p>
                  <w:pPr>
                    <w:pStyle w:val="37"/>
                    <w:jc w:val="center"/>
                  </w:pPr>
                  <w:r>
                    <w:rPr>
                      <w:rFonts w:hint="eastAsia"/>
                    </w:rPr>
                    <w:t>建设项目名称</w:t>
                  </w:r>
                </w:p>
              </w:tc>
              <w:tc>
                <w:tcPr>
                  <w:tcW w:w="5627" w:type="dxa"/>
                  <w:vAlign w:val="center"/>
                </w:tcPr>
                <w:p>
                  <w:pPr>
                    <w:pStyle w:val="37"/>
                    <w:jc w:val="center"/>
                  </w:pPr>
                  <w:r>
                    <w:rPr>
                      <w:rFonts w:hint="eastAsia"/>
                    </w:rPr>
                    <w:t>建福煤炭加工项目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25" w:hRule="atLeast"/>
                <w:jc w:val="center"/>
              </w:trPr>
              <w:tc>
                <w:tcPr>
                  <w:tcW w:w="2232" w:type="dxa"/>
                  <w:vAlign w:val="center"/>
                </w:tcPr>
                <w:p>
                  <w:pPr>
                    <w:pStyle w:val="37"/>
                    <w:jc w:val="center"/>
                  </w:pPr>
                  <w:r>
                    <w:rPr>
                      <w:rFonts w:hint="eastAsia"/>
                    </w:rPr>
                    <w:t>建设地点</w:t>
                  </w:r>
                </w:p>
              </w:tc>
              <w:tc>
                <w:tcPr>
                  <w:tcW w:w="5627" w:type="dxa"/>
                  <w:vAlign w:val="center"/>
                </w:tcPr>
                <w:p>
                  <w:pPr>
                    <w:pStyle w:val="37"/>
                    <w:jc w:val="center"/>
                  </w:pPr>
                  <w:r>
                    <w:rPr>
                      <w:rFonts w:hint="eastAsia"/>
                    </w:rPr>
                    <w:t>湖南省株洲市攸县宁家坪镇宁家坪社区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25" w:hRule="atLeast"/>
                <w:jc w:val="center"/>
              </w:trPr>
              <w:tc>
                <w:tcPr>
                  <w:tcW w:w="2232" w:type="dxa"/>
                  <w:vAlign w:val="center"/>
                </w:tcPr>
                <w:p>
                  <w:pPr>
                    <w:pStyle w:val="37"/>
                    <w:jc w:val="center"/>
                  </w:pPr>
                  <w:r>
                    <w:rPr>
                      <w:rFonts w:hint="eastAsia"/>
                    </w:rPr>
                    <w:t>地理坐标</w:t>
                  </w:r>
                </w:p>
              </w:tc>
              <w:tc>
                <w:tcPr>
                  <w:tcW w:w="5627" w:type="dxa"/>
                  <w:vAlign w:val="center"/>
                </w:tcPr>
                <w:p>
                  <w:pPr>
                    <w:pStyle w:val="37"/>
                    <w:jc w:val="center"/>
                  </w:pPr>
                  <w:r>
                    <w:rPr>
                      <w:rFonts w:hint="eastAsia"/>
                    </w:rPr>
                    <w:t>113度28分10.163秒，27度17分44.803秒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25" w:hRule="atLeast"/>
                <w:jc w:val="center"/>
              </w:trPr>
              <w:tc>
                <w:tcPr>
                  <w:tcW w:w="2232" w:type="dxa"/>
                  <w:vAlign w:val="center"/>
                </w:tcPr>
                <w:p>
                  <w:pPr>
                    <w:pStyle w:val="37"/>
                    <w:jc w:val="center"/>
                  </w:pPr>
                  <w:r>
                    <w:rPr>
                      <w:rFonts w:hint="eastAsia"/>
                    </w:rPr>
                    <w:t>主要危险物质及分布</w:t>
                  </w:r>
                </w:p>
              </w:tc>
              <w:tc>
                <w:tcPr>
                  <w:tcW w:w="5627" w:type="dxa"/>
                  <w:vAlign w:val="center"/>
                </w:tcPr>
                <w:p>
                  <w:pPr>
                    <w:pStyle w:val="37"/>
                    <w:jc w:val="center"/>
                  </w:pPr>
                  <w:r>
                    <w:rPr>
                      <w:rFonts w:hint="eastAsia"/>
                    </w:rPr>
                    <w:t>主要危险物质：废机油；</w:t>
                  </w:r>
                </w:p>
                <w:p>
                  <w:pPr>
                    <w:pStyle w:val="37"/>
                    <w:jc w:val="center"/>
                  </w:pPr>
                  <w:r>
                    <w:rPr>
                      <w:rFonts w:hint="eastAsia"/>
                    </w:rPr>
                    <w:t>分布：危险废物暂存间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25" w:hRule="atLeast"/>
                <w:jc w:val="center"/>
              </w:trPr>
              <w:tc>
                <w:tcPr>
                  <w:tcW w:w="2232" w:type="dxa"/>
                  <w:vAlign w:val="center"/>
                </w:tcPr>
                <w:p>
                  <w:pPr>
                    <w:pStyle w:val="37"/>
                    <w:jc w:val="center"/>
                  </w:pPr>
                  <w:r>
                    <w:rPr>
                      <w:rFonts w:hint="eastAsia"/>
                    </w:rPr>
                    <w:t>环境影响途径及危害后果（大气、地表水、地下水）</w:t>
                  </w:r>
                </w:p>
              </w:tc>
              <w:tc>
                <w:tcPr>
                  <w:tcW w:w="5627" w:type="dxa"/>
                  <w:vAlign w:val="center"/>
                </w:tcPr>
                <w:p>
                  <w:pPr>
                    <w:pStyle w:val="37"/>
                    <w:jc w:val="center"/>
                  </w:pPr>
                  <w:r>
                    <w:rPr>
                      <w:rFonts w:hint="eastAsia"/>
                    </w:rPr>
                    <w:t>泄露：污染地表水环境、土壤环境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25" w:hRule="atLeast"/>
                <w:jc w:val="center"/>
              </w:trPr>
              <w:tc>
                <w:tcPr>
                  <w:tcW w:w="2232" w:type="dxa"/>
                  <w:vAlign w:val="center"/>
                </w:tcPr>
                <w:p>
                  <w:pPr>
                    <w:pStyle w:val="37"/>
                    <w:jc w:val="center"/>
                  </w:pPr>
                  <w:r>
                    <w:rPr>
                      <w:rFonts w:hint="eastAsia"/>
                    </w:rPr>
                    <w:t>风险防范措施要求</w:t>
                  </w:r>
                </w:p>
              </w:tc>
              <w:tc>
                <w:tcPr>
                  <w:tcW w:w="5627" w:type="dxa"/>
                  <w:vAlign w:val="center"/>
                </w:tcPr>
                <w:p>
                  <w:pPr>
                    <w:pStyle w:val="37"/>
                  </w:pPr>
                  <w:r>
                    <w:rPr>
                      <w:rFonts w:hint="eastAsia"/>
                    </w:rPr>
                    <w:t>①</w:t>
                  </w:r>
                  <w:r>
                    <w:t>严格按照相关设计规范和要求落实防护设施，制定安全操作规章制度，加强安全意识教育，加强监督管理，消除事故隐患</w:t>
                  </w:r>
                  <w:r>
                    <w:rPr>
                      <w:rFonts w:hint="eastAsia"/>
                    </w:rPr>
                    <w:t>；</w:t>
                  </w:r>
                </w:p>
                <w:p>
                  <w:pPr>
                    <w:pStyle w:val="37"/>
                  </w:pPr>
                  <w:r>
                    <w:rPr>
                      <w:rFonts w:hint="eastAsia"/>
                    </w:rPr>
                    <w:t>②车间地面进行硬化、防渗处理，厂区分区防渗，加强对管道、泵及各设备装置的检查巡查，防止跑、冒、滴、漏。</w:t>
                  </w:r>
                </w:p>
                <w:p>
                  <w:pPr>
                    <w:pStyle w:val="37"/>
                  </w:pPr>
                  <w:r>
                    <w:rPr>
                      <w:rFonts w:hint="eastAsia"/>
                    </w:rPr>
                    <w:t>③定期对餐厨垃圾处理设备、废气处理设施、废水处理设施进行检查和维护，发现问题，及时修复。</w:t>
                  </w:r>
                </w:p>
                <w:p>
                  <w:pPr>
                    <w:pStyle w:val="37"/>
                  </w:pPr>
                  <w:r>
                    <w:rPr>
                      <w:rFonts w:hint="eastAsia"/>
                    </w:rPr>
                    <w:t>④若废气处理设施无法正常运行，应停止生产，查明原因，待废气处理设施恢复正常后再行生产</w:t>
                  </w:r>
                </w:p>
                <w:p>
                  <w:pPr>
                    <w:pStyle w:val="37"/>
                  </w:pPr>
                  <w:r>
                    <w:rPr>
                      <w:rFonts w:hint="eastAsia"/>
                    </w:rPr>
                    <w:t>⑤</w:t>
                  </w:r>
                  <w:r>
                    <w:t>废油脂储存区设置围堰，配备吸油毡、沙袋等应急物质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425" w:hRule="atLeast"/>
                <w:jc w:val="center"/>
              </w:trPr>
              <w:tc>
                <w:tcPr>
                  <w:tcW w:w="2232" w:type="dxa"/>
                  <w:vAlign w:val="center"/>
                </w:tcPr>
                <w:p>
                  <w:pPr>
                    <w:pStyle w:val="37"/>
                    <w:jc w:val="center"/>
                  </w:pPr>
                  <w:r>
                    <w:rPr>
                      <w:rFonts w:hint="eastAsia"/>
                    </w:rPr>
                    <w:t>填表说明（列出项目相关信息及评价说明）</w:t>
                  </w:r>
                </w:p>
              </w:tc>
              <w:tc>
                <w:tcPr>
                  <w:tcW w:w="5627" w:type="dxa"/>
                  <w:vAlign w:val="center"/>
                </w:tcPr>
                <w:p>
                  <w:pPr>
                    <w:pStyle w:val="37"/>
                    <w:jc w:val="center"/>
                  </w:pPr>
                  <w:r>
                    <w:rPr>
                      <w:rFonts w:hint="eastAsia"/>
                    </w:rPr>
                    <w:t>根据《建设项目环境风险评价技术导则》（HJ169-2018），本项目环境风险评价等级为简单分析，在采取本报告提出的风险防范措施与应急预案后，本项目环境风险水平在可接受范围内，环境风险可控</w:t>
                  </w:r>
                </w:p>
              </w:tc>
            </w:tr>
          </w:tbl>
          <w:p>
            <w:pPr>
              <w:pStyle w:val="62"/>
              <w:spacing w:line="360" w:lineRule="auto"/>
              <w:ind w:firstLine="482"/>
              <w:rPr>
                <w:b/>
                <w:bCs/>
              </w:rPr>
            </w:pPr>
            <w:r>
              <w:rPr>
                <w:rFonts w:hint="eastAsia"/>
                <w:b/>
                <w:bCs/>
              </w:rPr>
              <w:t>7</w:t>
            </w:r>
            <w:r>
              <w:rPr>
                <w:b/>
                <w:bCs/>
              </w:rPr>
              <w:t>、排污口规范化设置</w:t>
            </w:r>
          </w:p>
          <w:p>
            <w:pPr>
              <w:pStyle w:val="62"/>
              <w:spacing w:line="360" w:lineRule="auto"/>
              <w:ind w:firstLine="480"/>
            </w:pPr>
            <w:r>
              <w:t>本项目的污染物排放口（源）和固体废物贮存、处置场，必须实行规范化整治。按照国家标准《环境保护图形标志》（GB15562.1-1995）（GB15562.2-1995）及《环境保护图形标志实施细则（试行）》的规定，设置与排污口相应的图形标志牌。根据《环境保护图形标志实施细则》（试行）：第七条一般性污染物排放口（源）或固体废物贮存（处置）场，设置提示性环境保护图形标志牌，根据现场具体情况，选用立式或平面固定式。排放剧毒、致癌物及对人体有严重危害物质的排放口（源）或危险废物贮存（处置）场，设置警告性环境保护图形标志牌，根据现场具体情况，选用立式或平面固定式。</w:t>
            </w:r>
          </w:p>
          <w:p>
            <w:pPr>
              <w:pStyle w:val="62"/>
              <w:spacing w:line="360" w:lineRule="auto"/>
              <w:ind w:firstLine="480"/>
            </w:pPr>
            <w:r>
              <w:rPr>
                <w:rFonts w:hint="eastAsia"/>
              </w:rPr>
              <w:t>（1）</w:t>
            </w:r>
            <w:r>
              <w:t>、排气筒及污水排放口设置</w:t>
            </w:r>
          </w:p>
          <w:p>
            <w:pPr>
              <w:pStyle w:val="62"/>
              <w:spacing w:line="360" w:lineRule="auto"/>
              <w:ind w:firstLine="480"/>
            </w:pPr>
            <w:r>
              <w:t>排气筒设置取样口，并具备采样监测条件，排放口附近树立图形标志牌。在项目设计时应预埋采样口或采样阀，采样口或采样阀设置要有利于废水的流量测量，并制定采样监测计划。</w:t>
            </w:r>
          </w:p>
          <w:p>
            <w:pPr>
              <w:pStyle w:val="62"/>
              <w:spacing w:line="360" w:lineRule="auto"/>
              <w:ind w:firstLine="480"/>
            </w:pPr>
            <w:r>
              <w:rPr>
                <w:rFonts w:hint="eastAsia"/>
              </w:rPr>
              <w:t>（2）</w:t>
            </w:r>
            <w:r>
              <w:t>、排污口管理</w:t>
            </w:r>
          </w:p>
          <w:p>
            <w:pPr>
              <w:pStyle w:val="62"/>
              <w:spacing w:line="360" w:lineRule="auto"/>
              <w:ind w:firstLine="480"/>
            </w:pPr>
            <w: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pStyle w:val="62"/>
              <w:spacing w:line="360" w:lineRule="auto"/>
              <w:ind w:firstLine="480"/>
              <w:rPr>
                <w:b/>
                <w:szCs w:val="21"/>
              </w:rPr>
            </w:pPr>
            <w:r>
              <w:t>本项目环境保护图形符号具体见表4-15。</w:t>
            </w:r>
          </w:p>
          <w:p>
            <w:pPr>
              <w:overflowPunct w:val="0"/>
              <w:spacing w:line="320" w:lineRule="exact"/>
              <w:ind w:firstLine="482"/>
              <w:jc w:val="center"/>
              <w:rPr>
                <w:b/>
                <w:szCs w:val="21"/>
              </w:rPr>
            </w:pPr>
            <w:r>
              <w:rPr>
                <w:b/>
                <w:szCs w:val="21"/>
              </w:rPr>
              <w:t>表4-15排放口图形标志</w:t>
            </w:r>
          </w:p>
          <w:tbl>
            <w:tblPr>
              <w:tblStyle w:val="17"/>
              <w:tblW w:w="78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286"/>
              <w:gridCol w:w="1712"/>
              <w:gridCol w:w="1712"/>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2" w:type="dxa"/>
                  <w:vAlign w:val="center"/>
                </w:tcPr>
                <w:p>
                  <w:pPr>
                    <w:pStyle w:val="37"/>
                    <w:jc w:val="center"/>
                  </w:pPr>
                  <w:r>
                    <w:t>排放口</w:t>
                  </w:r>
                </w:p>
              </w:tc>
              <w:tc>
                <w:tcPr>
                  <w:tcW w:w="1286" w:type="dxa"/>
                  <w:vAlign w:val="center"/>
                </w:tcPr>
                <w:p>
                  <w:pPr>
                    <w:pStyle w:val="37"/>
                    <w:jc w:val="center"/>
                  </w:pPr>
                  <w:r>
                    <w:t>废气排口</w:t>
                  </w:r>
                </w:p>
              </w:tc>
              <w:tc>
                <w:tcPr>
                  <w:tcW w:w="1712" w:type="dxa"/>
                  <w:vAlign w:val="center"/>
                </w:tcPr>
                <w:p>
                  <w:pPr>
                    <w:pStyle w:val="37"/>
                    <w:jc w:val="center"/>
                  </w:pPr>
                  <w:r>
                    <w:t>噪声源</w:t>
                  </w:r>
                </w:p>
              </w:tc>
              <w:tc>
                <w:tcPr>
                  <w:tcW w:w="1712" w:type="dxa"/>
                  <w:vAlign w:val="center"/>
                </w:tcPr>
                <w:p>
                  <w:pPr>
                    <w:pStyle w:val="37"/>
                    <w:jc w:val="center"/>
                  </w:pPr>
                  <w:r>
                    <w:t>固废堆场</w:t>
                  </w:r>
                </w:p>
              </w:tc>
              <w:tc>
                <w:tcPr>
                  <w:tcW w:w="1853" w:type="dxa"/>
                  <w:vAlign w:val="center"/>
                </w:tcPr>
                <w:p>
                  <w:pPr>
                    <w:pStyle w:val="37"/>
                    <w:jc w:val="center"/>
                  </w:pPr>
                  <w:r>
                    <w:t>危险废物堆场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2" w:type="dxa"/>
                  <w:vAlign w:val="center"/>
                </w:tcPr>
                <w:p>
                  <w:pPr>
                    <w:pStyle w:val="37"/>
                    <w:jc w:val="center"/>
                  </w:pPr>
                  <w:r>
                    <w:t>图形符号</w:t>
                  </w:r>
                </w:p>
              </w:tc>
              <w:tc>
                <w:tcPr>
                  <w:tcW w:w="1286" w:type="dxa"/>
                  <w:vAlign w:val="center"/>
                </w:tcPr>
                <w:p>
                  <w:pPr>
                    <w:pStyle w:val="37"/>
                    <w:jc w:val="center"/>
                  </w:pPr>
                  <w:r>
                    <w:drawing>
                      <wp:inline distT="0" distB="0" distL="0" distR="0">
                        <wp:extent cx="447040" cy="392430"/>
                        <wp:effectExtent l="0" t="0" r="0" b="762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7040" cy="392430"/>
                                </a:xfrm>
                                <a:prstGeom prst="rect">
                                  <a:avLst/>
                                </a:prstGeom>
                                <a:noFill/>
                                <a:ln>
                                  <a:noFill/>
                                </a:ln>
                                <a:effectLst/>
                              </pic:spPr>
                            </pic:pic>
                          </a:graphicData>
                        </a:graphic>
                      </wp:inline>
                    </w:drawing>
                  </w:r>
                </w:p>
              </w:tc>
              <w:tc>
                <w:tcPr>
                  <w:tcW w:w="1712" w:type="dxa"/>
                  <w:vAlign w:val="center"/>
                </w:tcPr>
                <w:p>
                  <w:pPr>
                    <w:pStyle w:val="37"/>
                    <w:jc w:val="center"/>
                  </w:pPr>
                  <w:r>
                    <w:drawing>
                      <wp:inline distT="0" distB="0" distL="0" distR="0">
                        <wp:extent cx="447040" cy="395605"/>
                        <wp:effectExtent l="0" t="0" r="0" b="444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7040" cy="395605"/>
                                </a:xfrm>
                                <a:prstGeom prst="rect">
                                  <a:avLst/>
                                </a:prstGeom>
                                <a:noFill/>
                                <a:ln>
                                  <a:noFill/>
                                </a:ln>
                                <a:effectLst/>
                              </pic:spPr>
                            </pic:pic>
                          </a:graphicData>
                        </a:graphic>
                      </wp:inline>
                    </w:drawing>
                  </w:r>
                </w:p>
              </w:tc>
              <w:tc>
                <w:tcPr>
                  <w:tcW w:w="1712" w:type="dxa"/>
                  <w:vAlign w:val="center"/>
                </w:tcPr>
                <w:p>
                  <w:pPr>
                    <w:pStyle w:val="37"/>
                    <w:jc w:val="center"/>
                  </w:pPr>
                  <w:r>
                    <w:drawing>
                      <wp:inline distT="0" distB="0" distL="0" distR="0">
                        <wp:extent cx="447040" cy="395605"/>
                        <wp:effectExtent l="0" t="0" r="0" b="444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47040" cy="395605"/>
                                </a:xfrm>
                                <a:prstGeom prst="rect">
                                  <a:avLst/>
                                </a:prstGeom>
                                <a:noFill/>
                                <a:ln>
                                  <a:noFill/>
                                </a:ln>
                                <a:effectLst/>
                              </pic:spPr>
                            </pic:pic>
                          </a:graphicData>
                        </a:graphic>
                      </wp:inline>
                    </w:drawing>
                  </w:r>
                </w:p>
              </w:tc>
              <w:tc>
                <w:tcPr>
                  <w:tcW w:w="1853" w:type="dxa"/>
                  <w:vAlign w:val="center"/>
                </w:tcPr>
                <w:p>
                  <w:pPr>
                    <w:pStyle w:val="37"/>
                    <w:jc w:val="center"/>
                  </w:pPr>
                  <w:r>
                    <w:drawing>
                      <wp:inline distT="0" distB="0" distL="0" distR="0">
                        <wp:extent cx="447040" cy="361315"/>
                        <wp:effectExtent l="0" t="0" r="0"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47040" cy="361315"/>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2" w:type="dxa"/>
                  <w:vAlign w:val="center"/>
                </w:tcPr>
                <w:p>
                  <w:pPr>
                    <w:pStyle w:val="37"/>
                    <w:jc w:val="center"/>
                  </w:pPr>
                  <w:r>
                    <w:t>背景颜色</w:t>
                  </w:r>
                </w:p>
              </w:tc>
              <w:tc>
                <w:tcPr>
                  <w:tcW w:w="4710" w:type="dxa"/>
                  <w:gridSpan w:val="3"/>
                  <w:vAlign w:val="center"/>
                </w:tcPr>
                <w:p>
                  <w:pPr>
                    <w:pStyle w:val="37"/>
                    <w:jc w:val="center"/>
                  </w:pPr>
                  <w:r>
                    <w:t>绿色</w:t>
                  </w:r>
                </w:p>
              </w:tc>
              <w:tc>
                <w:tcPr>
                  <w:tcW w:w="1853" w:type="dxa"/>
                  <w:vAlign w:val="center"/>
                </w:tcPr>
                <w:p>
                  <w:pPr>
                    <w:pStyle w:val="37"/>
                    <w:jc w:val="center"/>
                  </w:pPr>
                  <w: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2" w:type="dxa"/>
                  <w:vAlign w:val="center"/>
                </w:tcPr>
                <w:p>
                  <w:pPr>
                    <w:pStyle w:val="37"/>
                    <w:jc w:val="center"/>
                  </w:pPr>
                  <w:r>
                    <w:t>图形颜色</w:t>
                  </w:r>
                </w:p>
              </w:tc>
              <w:tc>
                <w:tcPr>
                  <w:tcW w:w="4710" w:type="dxa"/>
                  <w:gridSpan w:val="3"/>
                  <w:vAlign w:val="center"/>
                </w:tcPr>
                <w:p>
                  <w:pPr>
                    <w:pStyle w:val="37"/>
                    <w:jc w:val="center"/>
                  </w:pPr>
                  <w:r>
                    <w:t>白色</w:t>
                  </w:r>
                </w:p>
              </w:tc>
              <w:tc>
                <w:tcPr>
                  <w:tcW w:w="1853" w:type="dxa"/>
                  <w:vAlign w:val="center"/>
                </w:tcPr>
                <w:p>
                  <w:pPr>
                    <w:pStyle w:val="37"/>
                    <w:jc w:val="center"/>
                  </w:pPr>
                  <w:r>
                    <w:t>黑色</w:t>
                  </w:r>
                </w:p>
              </w:tc>
            </w:tr>
          </w:tbl>
          <w:p>
            <w:pPr>
              <w:pStyle w:val="62"/>
              <w:spacing w:line="360" w:lineRule="auto"/>
              <w:ind w:firstLine="482"/>
              <w:rPr>
                <w:b/>
                <w:bCs/>
              </w:rPr>
            </w:pPr>
            <w:r>
              <w:rPr>
                <w:rFonts w:hint="eastAsia"/>
                <w:b/>
                <w:bCs/>
              </w:rPr>
              <w:t>8</w:t>
            </w:r>
            <w:r>
              <w:rPr>
                <w:b/>
                <w:bCs/>
              </w:rPr>
              <w:t>、环保及环保投资</w:t>
            </w:r>
          </w:p>
          <w:p>
            <w:pPr>
              <w:pStyle w:val="31"/>
            </w:pPr>
            <w:r>
              <w:rPr>
                <w:rFonts w:hint="eastAsia"/>
              </w:rPr>
              <w:t>表4-1</w:t>
            </w:r>
            <w:r>
              <w:t>6</w:t>
            </w:r>
            <w:r>
              <w:rPr>
                <w:rStyle w:val="32"/>
                <w:rFonts w:hint="eastAsia"/>
                <w:b/>
                <w:bCs/>
              </w:rPr>
              <w:t>环境保护</w:t>
            </w:r>
            <w:r>
              <w:rPr>
                <w:rFonts w:hint="eastAsia"/>
              </w:rPr>
              <w:t>投资估算</w:t>
            </w:r>
          </w:p>
          <w:tbl>
            <w:tblPr>
              <w:tblStyle w:val="17"/>
              <w:tblW w:w="7859"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1282"/>
              <w:gridCol w:w="3471"/>
              <w:gridCol w:w="1452"/>
              <w:gridCol w:w="16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Align w:val="center"/>
                </w:tcPr>
                <w:p>
                  <w:pPr>
                    <w:pStyle w:val="37"/>
                    <w:jc w:val="center"/>
                  </w:pPr>
                  <w:r>
                    <w:rPr>
                      <w:rFonts w:hint="eastAsia"/>
                    </w:rPr>
                    <w:t>类别</w:t>
                  </w:r>
                </w:p>
              </w:tc>
              <w:tc>
                <w:tcPr>
                  <w:tcW w:w="3471" w:type="dxa"/>
                  <w:vAlign w:val="center"/>
                </w:tcPr>
                <w:p>
                  <w:pPr>
                    <w:pStyle w:val="37"/>
                    <w:jc w:val="center"/>
                  </w:pPr>
                  <w:r>
                    <w:rPr>
                      <w:rFonts w:hint="eastAsia"/>
                    </w:rPr>
                    <w:t>环境保护</w:t>
                  </w:r>
                  <w:r>
                    <w:t>措施</w:t>
                  </w:r>
                  <w:r>
                    <w:rPr>
                      <w:rFonts w:hint="eastAsia"/>
                    </w:rPr>
                    <w:t>/</w:t>
                  </w:r>
                  <w:r>
                    <w:t>设施</w:t>
                  </w:r>
                </w:p>
              </w:tc>
              <w:tc>
                <w:tcPr>
                  <w:tcW w:w="1452" w:type="dxa"/>
                  <w:vAlign w:val="center"/>
                </w:tcPr>
                <w:p>
                  <w:pPr>
                    <w:pStyle w:val="37"/>
                    <w:jc w:val="center"/>
                  </w:pPr>
                  <w:r>
                    <w:t>数量</w:t>
                  </w:r>
                </w:p>
              </w:tc>
              <w:tc>
                <w:tcPr>
                  <w:tcW w:w="1654" w:type="dxa"/>
                  <w:vAlign w:val="center"/>
                </w:tcPr>
                <w:p>
                  <w:pPr>
                    <w:pStyle w:val="37"/>
                    <w:jc w:val="center"/>
                  </w:pPr>
                  <w:r>
                    <w:t>投资估算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restart"/>
                  <w:vAlign w:val="center"/>
                </w:tcPr>
                <w:p>
                  <w:pPr>
                    <w:pStyle w:val="37"/>
                    <w:jc w:val="center"/>
                  </w:pPr>
                  <w:r>
                    <w:rPr>
                      <w:rFonts w:hint="eastAsia"/>
                    </w:rPr>
                    <w:t>废水</w:t>
                  </w:r>
                </w:p>
              </w:tc>
              <w:tc>
                <w:tcPr>
                  <w:tcW w:w="3471" w:type="dxa"/>
                  <w:vAlign w:val="center"/>
                </w:tcPr>
                <w:p>
                  <w:pPr>
                    <w:pStyle w:val="37"/>
                    <w:jc w:val="center"/>
                  </w:pPr>
                  <w:r>
                    <w:rPr>
                      <w:rFonts w:hint="eastAsia"/>
                    </w:rPr>
                    <w:t>除尘废水沉淀池（</w:t>
                  </w:r>
                  <w:r>
                    <w:t>20</w:t>
                  </w:r>
                  <w:r>
                    <w:rPr>
                      <w:rFonts w:hint="eastAsia"/>
                    </w:rPr>
                    <w:t>m</w:t>
                  </w:r>
                  <w:r>
                    <w:rPr>
                      <w:rFonts w:hint="eastAsia"/>
                      <w:vertAlign w:val="superscript"/>
                    </w:rPr>
                    <w:t>3</w:t>
                  </w:r>
                  <w:r>
                    <w:rPr>
                      <w:rFonts w:hint="eastAsia"/>
                    </w:rPr>
                    <w:t>）</w:t>
                  </w:r>
                </w:p>
              </w:tc>
              <w:tc>
                <w:tcPr>
                  <w:tcW w:w="1452" w:type="dxa"/>
                  <w:vAlign w:val="center"/>
                </w:tcPr>
                <w:p>
                  <w:pPr>
                    <w:pStyle w:val="37"/>
                    <w:jc w:val="center"/>
                  </w:pPr>
                  <w:r>
                    <w:rPr>
                      <w:rFonts w:hint="eastAsia"/>
                    </w:rPr>
                    <w:t>1座</w:t>
                  </w:r>
                </w:p>
              </w:tc>
              <w:tc>
                <w:tcPr>
                  <w:tcW w:w="1654" w:type="dxa"/>
                  <w:vAlign w:val="center"/>
                </w:tcPr>
                <w:p>
                  <w:pPr>
                    <w:pStyle w:val="37"/>
                    <w:jc w:val="center"/>
                  </w:pPr>
                  <w:r>
                    <w:t>4</w:t>
                  </w:r>
                  <w:r>
                    <w:rPr>
                      <w:rFonts w:hint="eastAsia"/>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初期雨水收集池</w:t>
                  </w:r>
                  <w:r>
                    <w:t>1</w:t>
                  </w:r>
                  <w:r>
                    <w:rPr>
                      <w:rFonts w:hint="eastAsia"/>
                    </w:rPr>
                    <w:t>（</w:t>
                  </w:r>
                  <w:r>
                    <w:t>50</w:t>
                  </w:r>
                  <w:r>
                    <w:rPr>
                      <w:rFonts w:hint="eastAsia"/>
                    </w:rPr>
                    <w:t>m</w:t>
                  </w:r>
                  <w:r>
                    <w:rPr>
                      <w:rFonts w:hint="eastAsia"/>
                      <w:vertAlign w:val="superscript"/>
                    </w:rPr>
                    <w:t>3</w:t>
                  </w:r>
                  <w:r>
                    <w:rPr>
                      <w:rFonts w:hint="eastAsia"/>
                    </w:rPr>
                    <w:t>）</w:t>
                  </w:r>
                </w:p>
              </w:tc>
              <w:tc>
                <w:tcPr>
                  <w:tcW w:w="1452" w:type="dxa"/>
                  <w:vAlign w:val="center"/>
                </w:tcPr>
                <w:p>
                  <w:pPr>
                    <w:pStyle w:val="37"/>
                    <w:jc w:val="center"/>
                  </w:pPr>
                  <w:r>
                    <w:t>1</w:t>
                  </w:r>
                  <w:r>
                    <w:rPr>
                      <w:rFonts w:hint="eastAsia"/>
                    </w:rPr>
                    <w:t>座</w:t>
                  </w:r>
                </w:p>
              </w:tc>
              <w:tc>
                <w:tcPr>
                  <w:tcW w:w="1654" w:type="dxa"/>
                  <w:vAlign w:val="center"/>
                </w:tcPr>
                <w:p>
                  <w:pPr>
                    <w:pStyle w:val="37"/>
                    <w:jc w:val="center"/>
                  </w:pPr>
                  <w:r>
                    <w:rPr>
                      <w:rFonts w:hint="eastAsia"/>
                    </w:rPr>
                    <w:t>5万元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初期雨水收集池2（</w:t>
                  </w:r>
                  <w:r>
                    <w:t>90</w:t>
                  </w:r>
                  <w:r>
                    <w:rPr>
                      <w:rFonts w:hint="eastAsia"/>
                    </w:rPr>
                    <w:t>m</w:t>
                  </w:r>
                  <w:r>
                    <w:rPr>
                      <w:rFonts w:hint="eastAsia"/>
                      <w:vertAlign w:val="superscript"/>
                    </w:rPr>
                    <w:t>3</w:t>
                  </w:r>
                  <w:r>
                    <w:rPr>
                      <w:rFonts w:hint="eastAsia"/>
                    </w:rPr>
                    <w:t>）</w:t>
                  </w:r>
                </w:p>
              </w:tc>
              <w:tc>
                <w:tcPr>
                  <w:tcW w:w="1452" w:type="dxa"/>
                  <w:vAlign w:val="center"/>
                </w:tcPr>
                <w:p>
                  <w:pPr>
                    <w:pStyle w:val="37"/>
                    <w:jc w:val="center"/>
                  </w:pPr>
                  <w:r>
                    <w:rPr>
                      <w:rFonts w:hint="eastAsia"/>
                    </w:rPr>
                    <w:t>1座</w:t>
                  </w:r>
                </w:p>
              </w:tc>
              <w:tc>
                <w:tcPr>
                  <w:tcW w:w="1654" w:type="dxa"/>
                  <w:vAlign w:val="center"/>
                </w:tcPr>
                <w:p>
                  <w:pPr>
                    <w:pStyle w:val="37"/>
                    <w:jc w:val="center"/>
                  </w:pPr>
                  <w:r>
                    <w:t>7万元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初期雨水收集系统（管沟）</w:t>
                  </w:r>
                </w:p>
              </w:tc>
              <w:tc>
                <w:tcPr>
                  <w:tcW w:w="1452" w:type="dxa"/>
                  <w:vAlign w:val="center"/>
                </w:tcPr>
                <w:p>
                  <w:pPr>
                    <w:pStyle w:val="37"/>
                    <w:jc w:val="center"/>
                  </w:pPr>
                  <w:r>
                    <w:rPr>
                      <w:rFonts w:hint="eastAsia"/>
                    </w:rPr>
                    <w:t>约5</w:t>
                  </w:r>
                  <w:r>
                    <w:t>50</w:t>
                  </w:r>
                  <w:r>
                    <w:rPr>
                      <w:rFonts w:hint="eastAsia"/>
                    </w:rPr>
                    <w:t>m</w:t>
                  </w:r>
                </w:p>
              </w:tc>
              <w:tc>
                <w:tcPr>
                  <w:tcW w:w="1654" w:type="dxa"/>
                  <w:vAlign w:val="center"/>
                </w:tcPr>
                <w:p>
                  <w:pPr>
                    <w:pStyle w:val="37"/>
                    <w:jc w:val="center"/>
                  </w:pPr>
                  <w:r>
                    <w:t>5</w:t>
                  </w:r>
                  <w:r>
                    <w:rPr>
                      <w:rFonts w:hint="eastAsia"/>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生活污水雨季贮存池（2</w:t>
                  </w:r>
                  <w:r>
                    <w:t>0</w:t>
                  </w:r>
                  <w:r>
                    <w:rPr>
                      <w:rFonts w:hint="eastAsia"/>
                    </w:rPr>
                    <w:t>m</w:t>
                  </w:r>
                  <w:r>
                    <w:rPr>
                      <w:rFonts w:hint="eastAsia"/>
                      <w:vertAlign w:val="superscript"/>
                    </w:rPr>
                    <w:t>3</w:t>
                  </w:r>
                  <w:r>
                    <w:rPr>
                      <w:rFonts w:hint="eastAsia"/>
                    </w:rPr>
                    <w:t>）</w:t>
                  </w:r>
                </w:p>
              </w:tc>
              <w:tc>
                <w:tcPr>
                  <w:tcW w:w="1452" w:type="dxa"/>
                  <w:vAlign w:val="center"/>
                </w:tcPr>
                <w:p>
                  <w:pPr>
                    <w:pStyle w:val="37"/>
                    <w:jc w:val="center"/>
                  </w:pPr>
                  <w:r>
                    <w:rPr>
                      <w:rFonts w:hint="eastAsia"/>
                    </w:rPr>
                    <w:t>1座</w:t>
                  </w:r>
                </w:p>
              </w:tc>
              <w:tc>
                <w:tcPr>
                  <w:tcW w:w="1654" w:type="dxa"/>
                  <w:vAlign w:val="center"/>
                </w:tcPr>
                <w:p>
                  <w:pPr>
                    <w:pStyle w:val="37"/>
                    <w:jc w:val="center"/>
                  </w:pPr>
                  <w:r>
                    <w:rPr>
                      <w:rFonts w:hint="eastAsia"/>
                    </w:rPr>
                    <w:t>3万元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洗车废水沉淀池（</w:t>
                  </w:r>
                  <w:r>
                    <w:t>5</w:t>
                  </w:r>
                  <w:r>
                    <w:rPr>
                      <w:rFonts w:hint="eastAsia"/>
                    </w:rPr>
                    <w:t>m</w:t>
                  </w:r>
                  <w:r>
                    <w:rPr>
                      <w:rFonts w:hint="eastAsia"/>
                      <w:vertAlign w:val="superscript"/>
                    </w:rPr>
                    <w:t>3</w:t>
                  </w:r>
                  <w:r>
                    <w:rPr>
                      <w:rFonts w:hint="eastAsia"/>
                    </w:rPr>
                    <w:t>）</w:t>
                  </w:r>
                </w:p>
              </w:tc>
              <w:tc>
                <w:tcPr>
                  <w:tcW w:w="1452" w:type="dxa"/>
                  <w:vAlign w:val="center"/>
                </w:tcPr>
                <w:p>
                  <w:pPr>
                    <w:pStyle w:val="37"/>
                    <w:jc w:val="center"/>
                  </w:pPr>
                  <w:r>
                    <w:rPr>
                      <w:rFonts w:hint="eastAsia"/>
                    </w:rPr>
                    <w:t>1座</w:t>
                  </w:r>
                </w:p>
              </w:tc>
              <w:tc>
                <w:tcPr>
                  <w:tcW w:w="1654" w:type="dxa"/>
                  <w:vAlign w:val="center"/>
                </w:tcPr>
                <w:p>
                  <w:pPr>
                    <w:pStyle w:val="37"/>
                    <w:jc w:val="center"/>
                  </w:pPr>
                  <w:r>
                    <w:t>1万元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全厂区未硬化地面做硬化处理</w:t>
                  </w:r>
                </w:p>
              </w:tc>
              <w:tc>
                <w:tcPr>
                  <w:tcW w:w="1452" w:type="dxa"/>
                  <w:vAlign w:val="center"/>
                </w:tcPr>
                <w:p>
                  <w:pPr>
                    <w:pStyle w:val="37"/>
                    <w:jc w:val="center"/>
                    <w:rPr>
                      <w:vertAlign w:val="superscript"/>
                    </w:rPr>
                  </w:pPr>
                  <w:r>
                    <w:rPr>
                      <w:rFonts w:hint="eastAsia"/>
                    </w:rPr>
                    <w:t>/</w:t>
                  </w:r>
                </w:p>
              </w:tc>
              <w:tc>
                <w:tcPr>
                  <w:tcW w:w="1654" w:type="dxa"/>
                  <w:vAlign w:val="center"/>
                </w:tcPr>
                <w:p>
                  <w:pPr>
                    <w:pStyle w:val="37"/>
                    <w:jc w:val="center"/>
                  </w:pPr>
                  <w:r>
                    <w:t>12</w:t>
                  </w:r>
                  <w:r>
                    <w:rPr>
                      <w:rFonts w:hint="eastAsia"/>
                    </w:rPr>
                    <w:t>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Align w:val="center"/>
                </w:tcPr>
                <w:p>
                  <w:pPr>
                    <w:pStyle w:val="37"/>
                    <w:jc w:val="center"/>
                  </w:pPr>
                  <w:r>
                    <w:rPr>
                      <w:rFonts w:hint="eastAsia"/>
                    </w:rPr>
                    <w:t>废气</w:t>
                  </w:r>
                </w:p>
              </w:tc>
              <w:tc>
                <w:tcPr>
                  <w:tcW w:w="3471" w:type="dxa"/>
                  <w:vAlign w:val="center"/>
                </w:tcPr>
                <w:p>
                  <w:pPr>
                    <w:pStyle w:val="37"/>
                    <w:jc w:val="center"/>
                  </w:pPr>
                  <w:r>
                    <w:rPr>
                      <w:rFonts w:hint="eastAsia"/>
                    </w:rPr>
                    <w:t>生产厂房全封闭+雾化喷淋系统</w:t>
                  </w:r>
                  <w:r>
                    <w:t>+</w:t>
                  </w:r>
                  <w:r>
                    <w:rPr>
                      <w:rFonts w:hint="eastAsia"/>
                    </w:rPr>
                    <w:t>集气罩+风机+湿法除尘设施+</w:t>
                  </w:r>
                  <w:r>
                    <w:t>15</w:t>
                  </w:r>
                  <w:r>
                    <w:rPr>
                      <w:rFonts w:hint="eastAsia"/>
                    </w:rPr>
                    <w:t>m排气筒</w:t>
                  </w:r>
                </w:p>
              </w:tc>
              <w:tc>
                <w:tcPr>
                  <w:tcW w:w="1452" w:type="dxa"/>
                  <w:vAlign w:val="center"/>
                </w:tcPr>
                <w:p>
                  <w:pPr>
                    <w:pStyle w:val="37"/>
                    <w:jc w:val="center"/>
                  </w:pPr>
                  <w:r>
                    <w:rPr>
                      <w:rFonts w:hint="eastAsia"/>
                    </w:rPr>
                    <w:t>1套</w:t>
                  </w:r>
                </w:p>
              </w:tc>
              <w:tc>
                <w:tcPr>
                  <w:tcW w:w="1654" w:type="dxa"/>
                  <w:vAlign w:val="center"/>
                </w:tcPr>
                <w:p>
                  <w:pPr>
                    <w:pStyle w:val="37"/>
                    <w:jc w:val="center"/>
                  </w:pPr>
                  <w:r>
                    <w:t>21万元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restart"/>
                  <w:vAlign w:val="center"/>
                </w:tcPr>
                <w:p>
                  <w:pPr>
                    <w:pStyle w:val="37"/>
                    <w:jc w:val="center"/>
                  </w:pPr>
                  <w:r>
                    <w:rPr>
                      <w:rFonts w:hint="eastAsia"/>
                    </w:rPr>
                    <w:t>固体废物</w:t>
                  </w:r>
                </w:p>
              </w:tc>
              <w:tc>
                <w:tcPr>
                  <w:tcW w:w="3471" w:type="dxa"/>
                  <w:vAlign w:val="center"/>
                </w:tcPr>
                <w:p>
                  <w:pPr>
                    <w:pStyle w:val="37"/>
                    <w:jc w:val="center"/>
                  </w:pPr>
                  <w:r>
                    <w:rPr>
                      <w:rFonts w:hint="eastAsia"/>
                    </w:rPr>
                    <w:t>一般固体废物暂存间（2</w:t>
                  </w:r>
                  <w:r>
                    <w:t>0</w:t>
                  </w:r>
                  <w:r>
                    <w:rPr>
                      <w:rFonts w:hint="eastAsia"/>
                    </w:rPr>
                    <w:t>m</w:t>
                  </w:r>
                  <w:r>
                    <w:rPr>
                      <w:vertAlign w:val="superscript"/>
                    </w:rPr>
                    <w:t>2</w:t>
                  </w:r>
                  <w:r>
                    <w:rPr>
                      <w:rFonts w:hint="eastAsia"/>
                    </w:rPr>
                    <w:t>）</w:t>
                  </w:r>
                </w:p>
              </w:tc>
              <w:tc>
                <w:tcPr>
                  <w:tcW w:w="1452" w:type="dxa"/>
                  <w:vAlign w:val="center"/>
                </w:tcPr>
                <w:p>
                  <w:pPr>
                    <w:pStyle w:val="37"/>
                    <w:jc w:val="center"/>
                  </w:pPr>
                  <w:r>
                    <w:t>1</w:t>
                  </w:r>
                  <w:r>
                    <w:rPr>
                      <w:rFonts w:hint="eastAsia"/>
                    </w:rPr>
                    <w:t>间</w:t>
                  </w:r>
                </w:p>
              </w:tc>
              <w:tc>
                <w:tcPr>
                  <w:tcW w:w="1654" w:type="dxa"/>
                  <w:vAlign w:val="center"/>
                </w:tcPr>
                <w:p>
                  <w:pPr>
                    <w:pStyle w:val="37"/>
                    <w:jc w:val="center"/>
                  </w:pPr>
                  <w:r>
                    <w:t>3万元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危废暂存间（</w:t>
                  </w:r>
                  <w:r>
                    <w:t>5</w:t>
                  </w:r>
                  <w:r>
                    <w:rPr>
                      <w:rFonts w:hint="eastAsia"/>
                    </w:rPr>
                    <w:t>m</w:t>
                  </w:r>
                  <w:r>
                    <w:rPr>
                      <w:rFonts w:hint="eastAsia"/>
                      <w:vertAlign w:val="superscript"/>
                    </w:rPr>
                    <w:t>2</w:t>
                  </w:r>
                  <w:r>
                    <w:rPr>
                      <w:rFonts w:hint="eastAsia"/>
                    </w:rPr>
                    <w:t>）</w:t>
                  </w:r>
                </w:p>
              </w:tc>
              <w:tc>
                <w:tcPr>
                  <w:tcW w:w="1452" w:type="dxa"/>
                  <w:vAlign w:val="center"/>
                </w:tcPr>
                <w:p>
                  <w:pPr>
                    <w:pStyle w:val="37"/>
                    <w:jc w:val="center"/>
                  </w:pPr>
                  <w:r>
                    <w:rPr>
                      <w:rFonts w:hint="eastAsia"/>
                    </w:rPr>
                    <w:t>1间</w:t>
                  </w:r>
                </w:p>
              </w:tc>
              <w:tc>
                <w:tcPr>
                  <w:tcW w:w="1654" w:type="dxa"/>
                  <w:vAlign w:val="center"/>
                </w:tcPr>
                <w:p>
                  <w:pPr>
                    <w:pStyle w:val="37"/>
                    <w:jc w:val="center"/>
                  </w:pPr>
                  <w:r>
                    <w:t>2万元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180" w:hRule="atLeast"/>
                <w:jc w:val="center"/>
              </w:trPr>
              <w:tc>
                <w:tcPr>
                  <w:tcW w:w="1282" w:type="dxa"/>
                  <w:vMerge w:val="restart"/>
                  <w:vAlign w:val="center"/>
                </w:tcPr>
                <w:p>
                  <w:pPr>
                    <w:pStyle w:val="37"/>
                    <w:jc w:val="center"/>
                  </w:pPr>
                  <w:r>
                    <w:rPr>
                      <w:rFonts w:hint="eastAsia"/>
                    </w:rPr>
                    <w:t>噪声</w:t>
                  </w:r>
                </w:p>
              </w:tc>
              <w:tc>
                <w:tcPr>
                  <w:tcW w:w="3471" w:type="dxa"/>
                  <w:vAlign w:val="center"/>
                </w:tcPr>
                <w:p>
                  <w:pPr>
                    <w:pStyle w:val="37"/>
                    <w:jc w:val="center"/>
                  </w:pPr>
                  <w:r>
                    <w:rPr>
                      <w:rFonts w:hint="eastAsia"/>
                    </w:rPr>
                    <w:t>封闭车间</w:t>
                  </w:r>
                </w:p>
              </w:tc>
              <w:tc>
                <w:tcPr>
                  <w:tcW w:w="1452" w:type="dxa"/>
                  <w:vAlign w:val="center"/>
                </w:tcPr>
                <w:p>
                  <w:pPr>
                    <w:pStyle w:val="37"/>
                    <w:jc w:val="center"/>
                  </w:pPr>
                  <w:r>
                    <w:rPr>
                      <w:rFonts w:hint="eastAsia"/>
                    </w:rPr>
                    <w:t>厂房占地约2</w:t>
                  </w:r>
                  <w:r>
                    <w:t>000</w:t>
                  </w:r>
                  <w:r>
                    <w:rPr>
                      <w:rFonts w:hint="eastAsia"/>
                    </w:rPr>
                    <w:t>m</w:t>
                  </w:r>
                  <w:r>
                    <w:rPr>
                      <w:vertAlign w:val="superscript"/>
                    </w:rPr>
                    <w:t>2</w:t>
                  </w:r>
                </w:p>
              </w:tc>
              <w:tc>
                <w:tcPr>
                  <w:tcW w:w="1654" w:type="dxa"/>
                  <w:vAlign w:val="center"/>
                </w:tcPr>
                <w:p>
                  <w:pPr>
                    <w:pStyle w:val="37"/>
                    <w:jc w:val="center"/>
                  </w:pPr>
                  <w:r>
                    <w:t>16万元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180" w:hRule="atLeast"/>
                <w:jc w:val="center"/>
              </w:trPr>
              <w:tc>
                <w:tcPr>
                  <w:tcW w:w="1282" w:type="dxa"/>
                  <w:vMerge w:val="continue"/>
                  <w:vAlign w:val="center"/>
                </w:tcPr>
                <w:p>
                  <w:pPr>
                    <w:pStyle w:val="37"/>
                    <w:jc w:val="center"/>
                  </w:pPr>
                </w:p>
              </w:tc>
              <w:tc>
                <w:tcPr>
                  <w:tcW w:w="3471" w:type="dxa"/>
                  <w:vAlign w:val="center"/>
                </w:tcPr>
                <w:p>
                  <w:pPr>
                    <w:pStyle w:val="37"/>
                    <w:jc w:val="center"/>
                  </w:pPr>
                  <w:r>
                    <w:rPr>
                      <w:rFonts w:hint="eastAsia"/>
                    </w:rPr>
                    <w:t>基础减振</w:t>
                  </w:r>
                </w:p>
              </w:tc>
              <w:tc>
                <w:tcPr>
                  <w:tcW w:w="1452" w:type="dxa"/>
                  <w:vAlign w:val="center"/>
                </w:tcPr>
                <w:p>
                  <w:pPr>
                    <w:pStyle w:val="37"/>
                    <w:jc w:val="center"/>
                    <w:rPr>
                      <w:vertAlign w:val="superscript"/>
                    </w:rPr>
                  </w:pPr>
                  <w:r>
                    <w:t>/</w:t>
                  </w:r>
                </w:p>
              </w:tc>
              <w:tc>
                <w:tcPr>
                  <w:tcW w:w="1654" w:type="dxa"/>
                  <w:vAlign w:val="center"/>
                </w:tcPr>
                <w:p>
                  <w:pPr>
                    <w:pStyle w:val="37"/>
                    <w:jc w:val="center"/>
                  </w:pPr>
                  <w:r>
                    <w:rPr>
                      <w:rFonts w:hint="eastAsia"/>
                    </w:rPr>
                    <w:t>1万元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57" w:hRule="atLeast"/>
                <w:jc w:val="center"/>
              </w:trPr>
              <w:tc>
                <w:tcPr>
                  <w:tcW w:w="6205" w:type="dxa"/>
                  <w:gridSpan w:val="3"/>
                  <w:vAlign w:val="center"/>
                </w:tcPr>
                <w:p>
                  <w:pPr>
                    <w:pStyle w:val="37"/>
                    <w:jc w:val="center"/>
                  </w:pPr>
                  <w:r>
                    <w:rPr>
                      <w:rFonts w:hint="eastAsia"/>
                    </w:rPr>
                    <w:t>总计</w:t>
                  </w:r>
                </w:p>
              </w:tc>
              <w:tc>
                <w:tcPr>
                  <w:tcW w:w="1654" w:type="dxa"/>
                  <w:vAlign w:val="center"/>
                </w:tcPr>
                <w:p>
                  <w:pPr>
                    <w:pStyle w:val="37"/>
                    <w:jc w:val="center"/>
                  </w:pPr>
                  <w:r>
                    <w:rPr>
                      <w:rFonts w:hint="eastAsia"/>
                    </w:rPr>
                    <w:t>8</w:t>
                  </w:r>
                  <w:r>
                    <w:t>0</w:t>
                  </w:r>
                  <w:r>
                    <w:rPr>
                      <w:rFonts w:hint="eastAsia"/>
                    </w:rPr>
                    <w:t>万元</w:t>
                  </w:r>
                </w:p>
              </w:tc>
            </w:tr>
          </w:tbl>
          <w:p>
            <w:pPr>
              <w:ind w:firstLine="480"/>
              <w:rPr>
                <w:rFonts w:cs="Times New Roman"/>
              </w:rPr>
            </w:pPr>
            <w:r>
              <w:rPr>
                <w:rFonts w:hint="eastAsia"/>
              </w:rPr>
              <w:t>由表4-1</w:t>
            </w:r>
            <w:r>
              <w:t>6</w:t>
            </w:r>
            <w:r>
              <w:rPr>
                <w:rFonts w:hint="eastAsia"/>
              </w:rPr>
              <w:t>可知，项目环保投资为</w:t>
            </w:r>
            <w:r>
              <w:t>80</w:t>
            </w:r>
            <w:r>
              <w:rPr>
                <w:rFonts w:hint="eastAsia"/>
              </w:rPr>
              <w:t>万元，</w:t>
            </w:r>
            <w:r>
              <w:t>占总投资的8</w:t>
            </w:r>
            <w:r>
              <w:rPr>
                <w:rFonts w:hint="eastAsia"/>
              </w:rPr>
              <w:t>%</w:t>
            </w:r>
            <w:r>
              <w:t>（总投资1000万</w:t>
            </w:r>
            <w:r>
              <w:rPr>
                <w:rFonts w:hint="eastAsia"/>
              </w:rPr>
              <w:t>元</w:t>
            </w:r>
            <w:r>
              <w:t>）。</w:t>
            </w:r>
          </w:p>
        </w:tc>
      </w:tr>
    </w:tbl>
    <w:p>
      <w:pPr>
        <w:ind w:firstLine="480"/>
        <w:rPr>
          <w:rFonts w:cs="Times New Roman"/>
        </w:rPr>
      </w:pPr>
    </w:p>
    <w:p>
      <w:pPr>
        <w:ind w:firstLine="480"/>
        <w:rPr>
          <w:rFonts w:cs="Times New Roman"/>
        </w:rPr>
        <w:sectPr>
          <w:pgSz w:w="11906" w:h="16838"/>
          <w:pgMar w:top="1440" w:right="1800" w:bottom="1440" w:left="1800" w:header="851" w:footer="992" w:gutter="0"/>
          <w:cols w:space="425" w:num="1"/>
          <w:docGrid w:type="lines" w:linePitch="312" w:charSpace="0"/>
        </w:sectPr>
      </w:pPr>
    </w:p>
    <w:p>
      <w:pPr>
        <w:pStyle w:val="2"/>
        <w:ind w:firstLine="0" w:firstLineChars="0"/>
        <w:rPr>
          <w:snapToGrid w:val="0"/>
        </w:rPr>
      </w:pPr>
      <w:bookmarkStart w:id="314" w:name="_Toc6392"/>
      <w:r>
        <w:rPr>
          <w:rFonts w:hint="eastAsia"/>
        </w:rPr>
        <w:t>五</w:t>
      </w:r>
      <w:r>
        <w:t>、</w:t>
      </w:r>
      <w:bookmarkStart w:id="315" w:name="_Hlk54167917"/>
      <w:r>
        <w:rPr>
          <w:snapToGrid w:val="0"/>
        </w:rPr>
        <w:t>环境保护措施监督检查清单</w:t>
      </w:r>
      <w:bookmarkEnd w:id="314"/>
      <w:bookmarkEnd w:id="315"/>
    </w:p>
    <w:tbl>
      <w:tblPr>
        <w:tblStyle w:val="17"/>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058"/>
        <w:gridCol w:w="1173"/>
        <w:gridCol w:w="1174"/>
        <w:gridCol w:w="1453"/>
        <w:gridCol w:w="1316"/>
        <w:gridCol w:w="13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029" w:type="dxa"/>
            <w:tcBorders>
              <w:tl2br w:val="single" w:color="auto" w:sz="4" w:space="0"/>
            </w:tcBorders>
            <w:vAlign w:val="center"/>
          </w:tcPr>
          <w:p>
            <w:pPr>
              <w:pStyle w:val="37"/>
              <w:ind w:firstLine="210" w:firstLineChars="100"/>
            </w:pPr>
            <w:bookmarkStart w:id="316" w:name="_Toc106531367"/>
            <w:bookmarkStart w:id="317" w:name="_Hlk116339584"/>
            <w:r>
              <w:t>内容</w:t>
            </w:r>
            <w:bookmarkEnd w:id="316"/>
          </w:p>
          <w:p>
            <w:pPr>
              <w:pStyle w:val="37"/>
            </w:pPr>
            <w:bookmarkStart w:id="318" w:name="_Toc106531368"/>
            <w:r>
              <w:t>要素</w:t>
            </w:r>
            <w:bookmarkEnd w:id="318"/>
          </w:p>
        </w:tc>
        <w:tc>
          <w:tcPr>
            <w:tcW w:w="2231" w:type="dxa"/>
            <w:gridSpan w:val="2"/>
            <w:vAlign w:val="center"/>
          </w:tcPr>
          <w:p>
            <w:pPr>
              <w:pStyle w:val="37"/>
              <w:jc w:val="center"/>
            </w:pPr>
            <w:bookmarkStart w:id="319" w:name="_Toc106531369"/>
            <w:r>
              <w:rPr>
                <w:rFonts w:hint="eastAsia"/>
              </w:rPr>
              <w:t>排放口（编号、名称）/污染源</w:t>
            </w:r>
            <w:bookmarkEnd w:id="319"/>
          </w:p>
        </w:tc>
        <w:tc>
          <w:tcPr>
            <w:tcW w:w="1174" w:type="dxa"/>
            <w:vAlign w:val="center"/>
          </w:tcPr>
          <w:p>
            <w:pPr>
              <w:pStyle w:val="37"/>
              <w:jc w:val="center"/>
            </w:pPr>
            <w:bookmarkStart w:id="320" w:name="_Toc106531370"/>
            <w:r>
              <w:rPr>
                <w:rFonts w:hint="eastAsia"/>
              </w:rPr>
              <w:t>污染物项目</w:t>
            </w:r>
            <w:bookmarkEnd w:id="320"/>
          </w:p>
        </w:tc>
        <w:tc>
          <w:tcPr>
            <w:tcW w:w="1453" w:type="dxa"/>
            <w:vAlign w:val="center"/>
          </w:tcPr>
          <w:p>
            <w:pPr>
              <w:pStyle w:val="37"/>
              <w:jc w:val="center"/>
            </w:pPr>
            <w:bookmarkStart w:id="321" w:name="_Toc106531371"/>
            <w:r>
              <w:rPr>
                <w:rFonts w:hint="eastAsia"/>
              </w:rPr>
              <w:t>环境保护措施</w:t>
            </w:r>
            <w:bookmarkEnd w:id="321"/>
          </w:p>
        </w:tc>
        <w:tc>
          <w:tcPr>
            <w:tcW w:w="1316" w:type="dxa"/>
            <w:vAlign w:val="center"/>
          </w:tcPr>
          <w:p>
            <w:pPr>
              <w:pStyle w:val="37"/>
              <w:jc w:val="center"/>
            </w:pPr>
            <w:bookmarkStart w:id="322" w:name="_Toc106531372"/>
            <w:r>
              <w:rPr>
                <w:rFonts w:hint="eastAsia"/>
              </w:rPr>
              <w:t>执行标准</w:t>
            </w:r>
            <w:bookmarkEnd w:id="322"/>
          </w:p>
        </w:tc>
        <w:tc>
          <w:tcPr>
            <w:tcW w:w="1319" w:type="dxa"/>
          </w:tcPr>
          <w:p>
            <w:pPr>
              <w:pStyle w:val="37"/>
              <w:jc w:val="center"/>
            </w:pPr>
            <w:r>
              <w:rPr>
                <w:rFonts w:hint="eastAsia"/>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1029" w:type="dxa"/>
            <w:vMerge w:val="restart"/>
            <w:vAlign w:val="center"/>
          </w:tcPr>
          <w:p>
            <w:pPr>
              <w:pStyle w:val="37"/>
              <w:jc w:val="center"/>
            </w:pPr>
            <w:r>
              <w:rPr>
                <w:rFonts w:hint="eastAsia"/>
              </w:rPr>
              <w:t>大气环境</w:t>
            </w:r>
          </w:p>
        </w:tc>
        <w:tc>
          <w:tcPr>
            <w:tcW w:w="1058" w:type="dxa"/>
            <w:vAlign w:val="center"/>
          </w:tcPr>
          <w:p>
            <w:pPr>
              <w:pStyle w:val="37"/>
              <w:jc w:val="center"/>
            </w:pPr>
            <w:r>
              <w:rPr>
                <w:rFonts w:hint="eastAsia"/>
              </w:rPr>
              <w:t>有组织废气</w:t>
            </w:r>
          </w:p>
        </w:tc>
        <w:tc>
          <w:tcPr>
            <w:tcW w:w="1173" w:type="dxa"/>
            <w:vAlign w:val="center"/>
          </w:tcPr>
          <w:p>
            <w:pPr>
              <w:pStyle w:val="37"/>
              <w:jc w:val="center"/>
            </w:pPr>
            <w:r>
              <w:rPr>
                <w:rFonts w:hint="eastAsia"/>
              </w:rPr>
              <w:t>D</w:t>
            </w:r>
            <w:r>
              <w:t>A001</w:t>
            </w:r>
          </w:p>
        </w:tc>
        <w:tc>
          <w:tcPr>
            <w:tcW w:w="1174" w:type="dxa"/>
            <w:vAlign w:val="center"/>
          </w:tcPr>
          <w:p>
            <w:pPr>
              <w:pStyle w:val="37"/>
              <w:jc w:val="center"/>
            </w:pPr>
            <w:r>
              <w:rPr>
                <w:rFonts w:hint="eastAsia"/>
              </w:rPr>
              <w:t>颗粒物</w:t>
            </w:r>
          </w:p>
        </w:tc>
        <w:tc>
          <w:tcPr>
            <w:tcW w:w="1453" w:type="dxa"/>
            <w:vAlign w:val="center"/>
          </w:tcPr>
          <w:p>
            <w:pPr>
              <w:pStyle w:val="37"/>
              <w:jc w:val="center"/>
            </w:pPr>
            <w:r>
              <w:rPr>
                <w:rFonts w:hint="eastAsia"/>
              </w:rPr>
              <w:t>一套废气处理设施T</w:t>
            </w:r>
            <w:r>
              <w:t>A001</w:t>
            </w:r>
            <w:r>
              <w:rPr>
                <w:rFonts w:hint="eastAsia"/>
              </w:rPr>
              <w:t>（集气罩+风机（</w:t>
            </w:r>
            <w:r>
              <w:t>8000</w:t>
            </w:r>
            <w:r>
              <w:rPr>
                <w:rFonts w:hint="eastAsia"/>
              </w:rPr>
              <w:t>m</w:t>
            </w:r>
            <w:r>
              <w:rPr>
                <w:vertAlign w:val="superscript"/>
              </w:rPr>
              <w:t>3</w:t>
            </w:r>
            <w:r>
              <w:rPr>
                <w:rFonts w:hint="eastAsia"/>
              </w:rPr>
              <w:t>/</w:t>
            </w:r>
            <w:r>
              <w:t>h</w:t>
            </w:r>
            <w:r>
              <w:rPr>
                <w:rFonts w:hint="eastAsia"/>
              </w:rPr>
              <w:t>）+湿法除尘设施+15m排气筒）</w:t>
            </w:r>
          </w:p>
        </w:tc>
        <w:tc>
          <w:tcPr>
            <w:tcW w:w="1316" w:type="dxa"/>
            <w:vMerge w:val="restart"/>
            <w:vAlign w:val="center"/>
          </w:tcPr>
          <w:p>
            <w:pPr>
              <w:pStyle w:val="37"/>
              <w:jc w:val="center"/>
            </w:pPr>
            <w:r>
              <w:rPr>
                <w:rFonts w:hint="eastAsia"/>
              </w:rPr>
              <w:t>《煤炭工业污染物排放标准》（GB20426-2006）表5相关限值</w:t>
            </w: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1" w:hRule="atLeast"/>
          <w:jc w:val="center"/>
        </w:trPr>
        <w:tc>
          <w:tcPr>
            <w:tcW w:w="1029" w:type="dxa"/>
            <w:vMerge w:val="continue"/>
            <w:vAlign w:val="center"/>
          </w:tcPr>
          <w:p>
            <w:pPr>
              <w:pStyle w:val="37"/>
              <w:jc w:val="center"/>
            </w:pPr>
          </w:p>
        </w:tc>
        <w:tc>
          <w:tcPr>
            <w:tcW w:w="1058" w:type="dxa"/>
            <w:vMerge w:val="restart"/>
            <w:vAlign w:val="center"/>
          </w:tcPr>
          <w:p>
            <w:pPr>
              <w:pStyle w:val="37"/>
              <w:jc w:val="center"/>
            </w:pPr>
            <w:r>
              <w:rPr>
                <w:rFonts w:hint="eastAsia"/>
              </w:rPr>
              <w:t>无组织废气</w:t>
            </w:r>
          </w:p>
        </w:tc>
        <w:tc>
          <w:tcPr>
            <w:tcW w:w="1173" w:type="dxa"/>
            <w:vAlign w:val="center"/>
          </w:tcPr>
          <w:p>
            <w:pPr>
              <w:pStyle w:val="37"/>
              <w:jc w:val="center"/>
            </w:pPr>
            <w:r>
              <w:rPr>
                <w:rFonts w:hint="eastAsia"/>
              </w:rPr>
              <w:t>原料卸料</w:t>
            </w:r>
          </w:p>
        </w:tc>
        <w:tc>
          <w:tcPr>
            <w:tcW w:w="1174" w:type="dxa"/>
            <w:vAlign w:val="center"/>
          </w:tcPr>
          <w:p>
            <w:pPr>
              <w:pStyle w:val="37"/>
              <w:jc w:val="center"/>
            </w:pPr>
            <w:r>
              <w:rPr>
                <w:rFonts w:hint="eastAsia"/>
              </w:rPr>
              <w:t>颗粒物</w:t>
            </w:r>
          </w:p>
        </w:tc>
        <w:tc>
          <w:tcPr>
            <w:tcW w:w="1453" w:type="dxa"/>
            <w:vAlign w:val="center"/>
          </w:tcPr>
          <w:p>
            <w:pPr>
              <w:pStyle w:val="37"/>
              <w:jc w:val="center"/>
            </w:pPr>
            <w:r>
              <w:rPr>
                <w:rFonts w:hint="eastAsia"/>
              </w:rPr>
              <w:t>洒水+雾化喷淋</w:t>
            </w:r>
          </w:p>
        </w:tc>
        <w:tc>
          <w:tcPr>
            <w:tcW w:w="1316" w:type="dxa"/>
            <w:vMerge w:val="continue"/>
            <w:vAlign w:val="center"/>
          </w:tcPr>
          <w:p>
            <w:pPr>
              <w:pStyle w:val="37"/>
              <w:jc w:val="center"/>
            </w:pP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000" w:hRule="atLeast"/>
          <w:jc w:val="center"/>
        </w:trPr>
        <w:tc>
          <w:tcPr>
            <w:tcW w:w="1029" w:type="dxa"/>
            <w:vMerge w:val="continue"/>
            <w:vAlign w:val="center"/>
          </w:tcPr>
          <w:p>
            <w:pPr>
              <w:pStyle w:val="37"/>
              <w:jc w:val="center"/>
            </w:pPr>
          </w:p>
        </w:tc>
        <w:tc>
          <w:tcPr>
            <w:tcW w:w="1058" w:type="dxa"/>
            <w:vMerge w:val="continue"/>
            <w:vAlign w:val="center"/>
          </w:tcPr>
          <w:p>
            <w:pPr>
              <w:pStyle w:val="37"/>
              <w:jc w:val="center"/>
            </w:pPr>
          </w:p>
        </w:tc>
        <w:tc>
          <w:tcPr>
            <w:tcW w:w="1173" w:type="dxa"/>
            <w:vAlign w:val="center"/>
          </w:tcPr>
          <w:p>
            <w:pPr>
              <w:pStyle w:val="37"/>
              <w:jc w:val="center"/>
            </w:pPr>
            <w:r>
              <w:rPr>
                <w:rFonts w:hint="eastAsia"/>
              </w:rPr>
              <w:t>堆场</w:t>
            </w:r>
          </w:p>
        </w:tc>
        <w:tc>
          <w:tcPr>
            <w:tcW w:w="1174" w:type="dxa"/>
            <w:vAlign w:val="center"/>
          </w:tcPr>
          <w:p>
            <w:pPr>
              <w:pStyle w:val="37"/>
              <w:jc w:val="center"/>
            </w:pPr>
            <w:r>
              <w:rPr>
                <w:rFonts w:hint="eastAsia"/>
              </w:rPr>
              <w:t>颗粒物</w:t>
            </w:r>
          </w:p>
        </w:tc>
        <w:tc>
          <w:tcPr>
            <w:tcW w:w="1453" w:type="dxa"/>
            <w:vAlign w:val="center"/>
          </w:tcPr>
          <w:p>
            <w:pPr>
              <w:pStyle w:val="37"/>
              <w:jc w:val="center"/>
            </w:pPr>
            <w:r>
              <w:rPr>
                <w:rFonts w:hint="eastAsia"/>
              </w:rPr>
              <w:t>封闭车间+洒水、2条2</w:t>
            </w:r>
            <w:r>
              <w:t>0</w:t>
            </w:r>
            <w:r>
              <w:rPr>
                <w:rFonts w:hint="eastAsia"/>
              </w:rPr>
              <w:t>个雾化喷淋头进行雾化喷淋降尘</w:t>
            </w:r>
          </w:p>
        </w:tc>
        <w:tc>
          <w:tcPr>
            <w:tcW w:w="1316" w:type="dxa"/>
            <w:vMerge w:val="continue"/>
            <w:vAlign w:val="center"/>
          </w:tcPr>
          <w:p>
            <w:pPr>
              <w:pStyle w:val="37"/>
              <w:jc w:val="center"/>
            </w:pP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029" w:type="dxa"/>
            <w:vMerge w:val="continue"/>
            <w:vAlign w:val="center"/>
          </w:tcPr>
          <w:p>
            <w:pPr>
              <w:pStyle w:val="37"/>
              <w:jc w:val="center"/>
            </w:pPr>
          </w:p>
        </w:tc>
        <w:tc>
          <w:tcPr>
            <w:tcW w:w="1058" w:type="dxa"/>
            <w:vMerge w:val="continue"/>
            <w:vAlign w:val="center"/>
          </w:tcPr>
          <w:p>
            <w:pPr>
              <w:pStyle w:val="37"/>
              <w:jc w:val="center"/>
            </w:pPr>
          </w:p>
        </w:tc>
        <w:tc>
          <w:tcPr>
            <w:tcW w:w="1173" w:type="dxa"/>
            <w:vAlign w:val="center"/>
          </w:tcPr>
          <w:p>
            <w:pPr>
              <w:pStyle w:val="37"/>
              <w:jc w:val="center"/>
            </w:pPr>
            <w:r>
              <w:rPr>
                <w:rFonts w:hint="eastAsia"/>
              </w:rPr>
              <w:t>下料</w:t>
            </w:r>
          </w:p>
        </w:tc>
        <w:tc>
          <w:tcPr>
            <w:tcW w:w="1174" w:type="dxa"/>
            <w:vAlign w:val="center"/>
          </w:tcPr>
          <w:p>
            <w:pPr>
              <w:pStyle w:val="37"/>
              <w:jc w:val="center"/>
            </w:pPr>
            <w:r>
              <w:rPr>
                <w:rFonts w:hint="eastAsia"/>
              </w:rPr>
              <w:t>颗粒物</w:t>
            </w:r>
          </w:p>
        </w:tc>
        <w:tc>
          <w:tcPr>
            <w:tcW w:w="1453" w:type="dxa"/>
            <w:vAlign w:val="center"/>
          </w:tcPr>
          <w:p>
            <w:pPr>
              <w:pStyle w:val="37"/>
              <w:jc w:val="center"/>
            </w:pPr>
            <w:r>
              <w:rPr>
                <w:rFonts w:hint="eastAsia"/>
              </w:rPr>
              <w:t>封闭车间+</w:t>
            </w:r>
            <w:r>
              <w:t>2</w:t>
            </w:r>
            <w:r>
              <w:rPr>
                <w:rFonts w:hint="eastAsia"/>
              </w:rPr>
              <w:t>条4</w:t>
            </w:r>
            <w:r>
              <w:t>0</w:t>
            </w:r>
            <w:r>
              <w:rPr>
                <w:rFonts w:hint="eastAsia"/>
              </w:rPr>
              <w:t>个雾化喷淋头进行雾化喷淋降尘</w:t>
            </w:r>
          </w:p>
        </w:tc>
        <w:tc>
          <w:tcPr>
            <w:tcW w:w="1316" w:type="dxa"/>
            <w:vMerge w:val="continue"/>
            <w:vAlign w:val="center"/>
          </w:tcPr>
          <w:p>
            <w:pPr>
              <w:pStyle w:val="37"/>
              <w:jc w:val="center"/>
            </w:pP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88" w:hRule="atLeast"/>
          <w:jc w:val="center"/>
        </w:trPr>
        <w:tc>
          <w:tcPr>
            <w:tcW w:w="1029" w:type="dxa"/>
            <w:vMerge w:val="continue"/>
            <w:vAlign w:val="center"/>
          </w:tcPr>
          <w:p>
            <w:pPr>
              <w:pStyle w:val="37"/>
              <w:jc w:val="center"/>
            </w:pPr>
          </w:p>
        </w:tc>
        <w:tc>
          <w:tcPr>
            <w:tcW w:w="1058" w:type="dxa"/>
            <w:vMerge w:val="continue"/>
            <w:vAlign w:val="center"/>
          </w:tcPr>
          <w:p>
            <w:pPr>
              <w:pStyle w:val="37"/>
              <w:jc w:val="center"/>
            </w:pPr>
          </w:p>
        </w:tc>
        <w:tc>
          <w:tcPr>
            <w:tcW w:w="1173" w:type="dxa"/>
            <w:vAlign w:val="center"/>
          </w:tcPr>
          <w:p>
            <w:pPr>
              <w:pStyle w:val="37"/>
              <w:jc w:val="center"/>
            </w:pPr>
            <w:r>
              <w:rPr>
                <w:rFonts w:hint="eastAsia"/>
              </w:rPr>
              <w:t>破碎筛分工序</w:t>
            </w:r>
          </w:p>
        </w:tc>
        <w:tc>
          <w:tcPr>
            <w:tcW w:w="1174" w:type="dxa"/>
            <w:vAlign w:val="center"/>
          </w:tcPr>
          <w:p>
            <w:pPr>
              <w:pStyle w:val="37"/>
              <w:jc w:val="center"/>
            </w:pPr>
            <w:r>
              <w:rPr>
                <w:rFonts w:hint="eastAsia"/>
              </w:rPr>
              <w:t>颗粒物</w:t>
            </w:r>
          </w:p>
        </w:tc>
        <w:tc>
          <w:tcPr>
            <w:tcW w:w="1453" w:type="dxa"/>
            <w:vAlign w:val="center"/>
          </w:tcPr>
          <w:p>
            <w:pPr>
              <w:pStyle w:val="37"/>
              <w:jc w:val="center"/>
            </w:pPr>
            <w:r>
              <w:rPr>
                <w:rFonts w:hint="eastAsia"/>
              </w:rPr>
              <w:t>堆场及车间密闭，破碎筛分工序设置集气罩收集处理+湿法破碎、</w:t>
            </w:r>
            <w:r>
              <w:t>2</w:t>
            </w:r>
            <w:r>
              <w:rPr>
                <w:rFonts w:hint="eastAsia"/>
              </w:rPr>
              <w:t>条4</w:t>
            </w:r>
            <w:r>
              <w:t>0</w:t>
            </w:r>
            <w:r>
              <w:rPr>
                <w:rFonts w:hint="eastAsia"/>
              </w:rPr>
              <w:t>个雾化喷淋头进行雾化喷淋降尘</w:t>
            </w:r>
          </w:p>
        </w:tc>
        <w:tc>
          <w:tcPr>
            <w:tcW w:w="1316" w:type="dxa"/>
            <w:vMerge w:val="continue"/>
            <w:vAlign w:val="center"/>
          </w:tcPr>
          <w:p>
            <w:pPr>
              <w:pStyle w:val="37"/>
              <w:jc w:val="center"/>
            </w:pP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jc w:val="center"/>
        </w:trPr>
        <w:tc>
          <w:tcPr>
            <w:tcW w:w="1029" w:type="dxa"/>
            <w:vMerge w:val="continue"/>
            <w:vAlign w:val="center"/>
          </w:tcPr>
          <w:p>
            <w:pPr>
              <w:pStyle w:val="37"/>
              <w:jc w:val="center"/>
            </w:pPr>
          </w:p>
        </w:tc>
        <w:tc>
          <w:tcPr>
            <w:tcW w:w="1058" w:type="dxa"/>
            <w:vMerge w:val="continue"/>
            <w:vAlign w:val="center"/>
          </w:tcPr>
          <w:p>
            <w:pPr>
              <w:pStyle w:val="37"/>
              <w:jc w:val="center"/>
            </w:pPr>
          </w:p>
        </w:tc>
        <w:tc>
          <w:tcPr>
            <w:tcW w:w="1173" w:type="dxa"/>
            <w:vAlign w:val="center"/>
          </w:tcPr>
          <w:p>
            <w:pPr>
              <w:pStyle w:val="37"/>
              <w:jc w:val="center"/>
            </w:pPr>
            <w:r>
              <w:rPr>
                <w:rFonts w:hint="eastAsia"/>
              </w:rPr>
              <w:t>蜂窝煤生产工序</w:t>
            </w:r>
          </w:p>
        </w:tc>
        <w:tc>
          <w:tcPr>
            <w:tcW w:w="1174" w:type="dxa"/>
            <w:vAlign w:val="center"/>
          </w:tcPr>
          <w:p>
            <w:pPr>
              <w:pStyle w:val="37"/>
              <w:jc w:val="center"/>
            </w:pPr>
            <w:r>
              <w:rPr>
                <w:rFonts w:hint="eastAsia"/>
              </w:rPr>
              <w:t>颗粒物</w:t>
            </w:r>
          </w:p>
        </w:tc>
        <w:tc>
          <w:tcPr>
            <w:tcW w:w="1453" w:type="dxa"/>
            <w:vAlign w:val="center"/>
          </w:tcPr>
          <w:p>
            <w:pPr>
              <w:pStyle w:val="37"/>
              <w:jc w:val="center"/>
            </w:pPr>
            <w:r>
              <w:rPr>
                <w:rFonts w:hint="eastAsia"/>
              </w:rPr>
              <w:t>封闭车间+雾化喷淋</w:t>
            </w:r>
          </w:p>
        </w:tc>
        <w:tc>
          <w:tcPr>
            <w:tcW w:w="1316" w:type="dxa"/>
            <w:vMerge w:val="continue"/>
            <w:vAlign w:val="center"/>
          </w:tcPr>
          <w:p>
            <w:pPr>
              <w:pStyle w:val="37"/>
              <w:jc w:val="center"/>
            </w:pP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1029" w:type="dxa"/>
            <w:vMerge w:val="continue"/>
            <w:vAlign w:val="center"/>
          </w:tcPr>
          <w:p>
            <w:pPr>
              <w:pStyle w:val="37"/>
              <w:jc w:val="center"/>
            </w:pPr>
          </w:p>
        </w:tc>
        <w:tc>
          <w:tcPr>
            <w:tcW w:w="1058" w:type="dxa"/>
            <w:vMerge w:val="continue"/>
            <w:vAlign w:val="center"/>
          </w:tcPr>
          <w:p>
            <w:pPr>
              <w:pStyle w:val="37"/>
              <w:jc w:val="center"/>
            </w:pPr>
          </w:p>
        </w:tc>
        <w:tc>
          <w:tcPr>
            <w:tcW w:w="1173" w:type="dxa"/>
            <w:vAlign w:val="center"/>
          </w:tcPr>
          <w:p>
            <w:pPr>
              <w:pStyle w:val="37"/>
              <w:jc w:val="center"/>
            </w:pPr>
            <w:r>
              <w:rPr>
                <w:rFonts w:hint="eastAsia"/>
              </w:rPr>
              <w:t>运输车辆</w:t>
            </w:r>
          </w:p>
        </w:tc>
        <w:tc>
          <w:tcPr>
            <w:tcW w:w="1174" w:type="dxa"/>
            <w:vAlign w:val="center"/>
          </w:tcPr>
          <w:p>
            <w:pPr>
              <w:pStyle w:val="37"/>
              <w:jc w:val="center"/>
            </w:pPr>
            <w:r>
              <w:rPr>
                <w:rFonts w:hint="eastAsia"/>
              </w:rPr>
              <w:t>颗粒物</w:t>
            </w:r>
          </w:p>
        </w:tc>
        <w:tc>
          <w:tcPr>
            <w:tcW w:w="1453" w:type="dxa"/>
            <w:vAlign w:val="center"/>
          </w:tcPr>
          <w:p>
            <w:pPr>
              <w:pStyle w:val="37"/>
              <w:jc w:val="center"/>
            </w:pPr>
            <w:r>
              <w:rPr>
                <w:rFonts w:hint="eastAsia"/>
              </w:rPr>
              <w:t>运输车辆进出厂区均必须清洗；上路前对煤炭洒水，增加湿度；车上加盖篷布；限速形式；路上洒水</w:t>
            </w:r>
          </w:p>
        </w:tc>
        <w:tc>
          <w:tcPr>
            <w:tcW w:w="1316" w:type="dxa"/>
            <w:vMerge w:val="continue"/>
            <w:vAlign w:val="center"/>
          </w:tcPr>
          <w:p>
            <w:pPr>
              <w:pStyle w:val="37"/>
              <w:jc w:val="center"/>
            </w:pP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029" w:type="dxa"/>
            <w:vMerge w:val="restart"/>
            <w:vAlign w:val="center"/>
          </w:tcPr>
          <w:p>
            <w:pPr>
              <w:pStyle w:val="37"/>
              <w:jc w:val="center"/>
            </w:pPr>
            <w:r>
              <w:t>地表水环境</w:t>
            </w:r>
          </w:p>
        </w:tc>
        <w:tc>
          <w:tcPr>
            <w:tcW w:w="2231" w:type="dxa"/>
            <w:gridSpan w:val="2"/>
            <w:vAlign w:val="center"/>
          </w:tcPr>
          <w:p>
            <w:pPr>
              <w:pStyle w:val="37"/>
              <w:jc w:val="center"/>
            </w:pPr>
            <w:r>
              <w:rPr>
                <w:rFonts w:hint="eastAsia"/>
              </w:rPr>
              <w:t>生活污水</w:t>
            </w:r>
          </w:p>
        </w:tc>
        <w:tc>
          <w:tcPr>
            <w:tcW w:w="1174" w:type="dxa"/>
            <w:vAlign w:val="center"/>
          </w:tcPr>
          <w:p>
            <w:pPr>
              <w:pStyle w:val="37"/>
              <w:jc w:val="center"/>
            </w:pPr>
            <w:r>
              <w:rPr>
                <w:rFonts w:hint="eastAsia"/>
              </w:rPr>
              <w:t>p</w:t>
            </w:r>
            <w:r>
              <w:t>H</w:t>
            </w:r>
            <w:r>
              <w:rPr>
                <w:rFonts w:hint="eastAsia"/>
              </w:rPr>
              <w:t>值、悬浮物、C</w:t>
            </w:r>
            <w:r>
              <w:t>OD</w:t>
            </w:r>
            <w:r>
              <w:rPr>
                <w:vertAlign w:val="subscript"/>
              </w:rPr>
              <w:t>C</w:t>
            </w:r>
            <w:r>
              <w:rPr>
                <w:rFonts w:hint="eastAsia"/>
                <w:vertAlign w:val="subscript"/>
              </w:rPr>
              <w:t>r</w:t>
            </w:r>
            <w:r>
              <w:rPr>
                <w:rFonts w:hint="eastAsia"/>
              </w:rPr>
              <w:t>、B</w:t>
            </w:r>
            <w:r>
              <w:t>OD</w:t>
            </w:r>
            <w:r>
              <w:rPr>
                <w:vertAlign w:val="subscript"/>
              </w:rPr>
              <w:t>5</w:t>
            </w:r>
            <w:r>
              <w:rPr>
                <w:rFonts w:hint="eastAsia"/>
              </w:rPr>
              <w:t>、S</w:t>
            </w:r>
            <w:r>
              <w:t>S</w:t>
            </w:r>
            <w:r>
              <w:rPr>
                <w:rFonts w:hint="eastAsia"/>
              </w:rPr>
              <w:t>、N</w:t>
            </w:r>
            <w:r>
              <w:t>H</w:t>
            </w:r>
            <w:r>
              <w:rPr>
                <w:vertAlign w:val="subscript"/>
              </w:rPr>
              <w:t>3</w:t>
            </w:r>
            <w:r>
              <w:t>-N</w:t>
            </w:r>
            <w:r>
              <w:rPr>
                <w:rFonts w:hint="eastAsia"/>
              </w:rPr>
              <w:t>、总磷等</w:t>
            </w:r>
          </w:p>
        </w:tc>
        <w:tc>
          <w:tcPr>
            <w:tcW w:w="1453" w:type="dxa"/>
            <w:vAlign w:val="center"/>
          </w:tcPr>
          <w:p>
            <w:pPr>
              <w:pStyle w:val="37"/>
              <w:jc w:val="center"/>
            </w:pPr>
            <w:r>
              <w:rPr>
                <w:rFonts w:hint="eastAsia"/>
              </w:rPr>
              <w:t>经三级化粪池C</w:t>
            </w:r>
            <w:r>
              <w:t>3</w:t>
            </w:r>
            <w:r>
              <w:rPr>
                <w:rFonts w:hint="eastAsia"/>
              </w:rPr>
              <w:t>（3</w:t>
            </w:r>
            <w:r>
              <w:t>0</w:t>
            </w:r>
            <w:r>
              <w:rPr>
                <w:rFonts w:hint="eastAsia"/>
              </w:rPr>
              <w:t>m</w:t>
            </w:r>
            <w:r>
              <w:rPr>
                <w:vertAlign w:val="superscript"/>
              </w:rPr>
              <w:t>3</w:t>
            </w:r>
            <w:r>
              <w:rPr>
                <w:rFonts w:hint="eastAsia"/>
              </w:rPr>
              <w:t>）（设计停留1</w:t>
            </w:r>
            <w:r>
              <w:t>0</w:t>
            </w:r>
            <w:r>
              <w:rPr>
                <w:rFonts w:hint="eastAsia"/>
              </w:rPr>
              <w:t>天，处理约6</w:t>
            </w:r>
            <w:r>
              <w:t>.4</w:t>
            </w:r>
            <w:r>
              <w:rPr>
                <w:rFonts w:hint="eastAsia"/>
              </w:rPr>
              <w:t xml:space="preserve"> m</w:t>
            </w:r>
            <w:r>
              <w:rPr>
                <w:vertAlign w:val="superscript"/>
              </w:rPr>
              <w:t>3</w:t>
            </w:r>
            <w:r>
              <w:rPr>
                <w:rFonts w:hint="eastAsia"/>
              </w:rPr>
              <w:t>）处理后用于周边农田浇灌，设C</w:t>
            </w:r>
            <w:r>
              <w:t>4</w:t>
            </w:r>
            <w:r>
              <w:rPr>
                <w:rFonts w:hint="eastAsia"/>
              </w:rPr>
              <w:t>生活污水收集池（2</w:t>
            </w:r>
            <w:r>
              <w:t>0</w:t>
            </w:r>
            <w:r>
              <w:rPr>
                <w:rFonts w:hint="eastAsia"/>
              </w:rPr>
              <w:t>m</w:t>
            </w:r>
            <w:r>
              <w:rPr>
                <w:vertAlign w:val="superscript"/>
              </w:rPr>
              <w:t>3</w:t>
            </w:r>
            <w:r>
              <w:rPr>
                <w:rFonts w:hint="eastAsia"/>
              </w:rPr>
              <w:t>）收集雨季的生活污水</w:t>
            </w:r>
          </w:p>
        </w:tc>
        <w:tc>
          <w:tcPr>
            <w:tcW w:w="1316" w:type="dxa"/>
            <w:vAlign w:val="center"/>
          </w:tcPr>
          <w:p>
            <w:pPr>
              <w:pStyle w:val="37"/>
              <w:jc w:val="center"/>
              <w:rPr>
                <w:rFonts w:cs="Times New Roman"/>
              </w:rPr>
            </w:pPr>
            <w:r>
              <w:rPr>
                <w:rFonts w:hint="eastAsia"/>
              </w:rPr>
              <w:t>零排</w:t>
            </w: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9" w:type="dxa"/>
            <w:vMerge w:val="continue"/>
            <w:vAlign w:val="center"/>
          </w:tcPr>
          <w:p>
            <w:pPr>
              <w:pStyle w:val="37"/>
              <w:jc w:val="center"/>
            </w:pPr>
          </w:p>
        </w:tc>
        <w:tc>
          <w:tcPr>
            <w:tcW w:w="2231" w:type="dxa"/>
            <w:gridSpan w:val="2"/>
            <w:vAlign w:val="center"/>
          </w:tcPr>
          <w:p>
            <w:pPr>
              <w:pStyle w:val="37"/>
              <w:jc w:val="center"/>
            </w:pPr>
            <w:r>
              <w:rPr>
                <w:rFonts w:hint="eastAsia"/>
              </w:rPr>
              <w:t>湿法除尘废水</w:t>
            </w:r>
          </w:p>
        </w:tc>
        <w:tc>
          <w:tcPr>
            <w:tcW w:w="1174" w:type="dxa"/>
            <w:vAlign w:val="center"/>
          </w:tcPr>
          <w:p>
            <w:pPr>
              <w:pStyle w:val="37"/>
              <w:jc w:val="center"/>
            </w:pPr>
            <w:r>
              <w:rPr>
                <w:rFonts w:hint="eastAsia"/>
              </w:rPr>
              <w:t>S</w:t>
            </w:r>
            <w:r>
              <w:t>S</w:t>
            </w:r>
          </w:p>
        </w:tc>
        <w:tc>
          <w:tcPr>
            <w:tcW w:w="1453" w:type="dxa"/>
            <w:vAlign w:val="center"/>
          </w:tcPr>
          <w:p>
            <w:pPr>
              <w:pStyle w:val="37"/>
              <w:jc w:val="center"/>
            </w:pPr>
            <w:r>
              <w:rPr>
                <w:rFonts w:hint="eastAsia"/>
              </w:rPr>
              <w:t>湿法除尘沉淀池C</w:t>
            </w:r>
            <w:r>
              <w:t>2</w:t>
            </w:r>
            <w:r>
              <w:rPr>
                <w:rFonts w:hint="eastAsia"/>
              </w:rPr>
              <w:t>（</w:t>
            </w:r>
            <w:r>
              <w:t>60</w:t>
            </w:r>
            <w:r>
              <w:rPr>
                <w:rFonts w:hint="eastAsia"/>
              </w:rPr>
              <w:t>m</w:t>
            </w:r>
            <w:r>
              <w:rPr>
                <w:vertAlign w:val="superscript"/>
              </w:rPr>
              <w:t>3</w:t>
            </w:r>
            <w:r>
              <w:rPr>
                <w:rFonts w:hint="eastAsia"/>
              </w:rPr>
              <w:t>）</w:t>
            </w:r>
          </w:p>
        </w:tc>
        <w:tc>
          <w:tcPr>
            <w:tcW w:w="1316" w:type="dxa"/>
            <w:vAlign w:val="center"/>
          </w:tcPr>
          <w:p>
            <w:pPr>
              <w:pStyle w:val="37"/>
              <w:jc w:val="center"/>
              <w:rPr>
                <w:rFonts w:cs="Times New Roman"/>
              </w:rPr>
            </w:pPr>
            <w:r>
              <w:rPr>
                <w:rFonts w:hint="eastAsia"/>
              </w:rPr>
              <w:t>循环使用</w:t>
            </w: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9" w:type="dxa"/>
            <w:vMerge w:val="continue"/>
            <w:vAlign w:val="center"/>
          </w:tcPr>
          <w:p>
            <w:pPr>
              <w:pStyle w:val="37"/>
              <w:jc w:val="center"/>
            </w:pPr>
          </w:p>
        </w:tc>
        <w:tc>
          <w:tcPr>
            <w:tcW w:w="2231" w:type="dxa"/>
            <w:gridSpan w:val="2"/>
            <w:vAlign w:val="center"/>
          </w:tcPr>
          <w:p>
            <w:pPr>
              <w:pStyle w:val="37"/>
              <w:jc w:val="center"/>
            </w:pPr>
            <w:r>
              <w:rPr>
                <w:rFonts w:hint="eastAsia"/>
              </w:rPr>
              <w:t>洗车废水</w:t>
            </w:r>
          </w:p>
        </w:tc>
        <w:tc>
          <w:tcPr>
            <w:tcW w:w="1174" w:type="dxa"/>
            <w:vAlign w:val="center"/>
          </w:tcPr>
          <w:p>
            <w:pPr>
              <w:pStyle w:val="37"/>
              <w:jc w:val="center"/>
            </w:pPr>
            <w:r>
              <w:rPr>
                <w:rFonts w:hint="eastAsia"/>
              </w:rPr>
              <w:t>S</w:t>
            </w:r>
            <w:r>
              <w:t>S</w:t>
            </w:r>
          </w:p>
        </w:tc>
        <w:tc>
          <w:tcPr>
            <w:tcW w:w="1453" w:type="dxa"/>
            <w:vAlign w:val="center"/>
          </w:tcPr>
          <w:p>
            <w:pPr>
              <w:pStyle w:val="37"/>
              <w:jc w:val="center"/>
            </w:pPr>
            <w:r>
              <w:rPr>
                <w:rFonts w:hint="eastAsia"/>
              </w:rPr>
              <w:t>沉淀池C</w:t>
            </w:r>
            <w:r>
              <w:t>1</w:t>
            </w:r>
            <w:r>
              <w:rPr>
                <w:rFonts w:hint="eastAsia"/>
              </w:rPr>
              <w:t>（5 m</w:t>
            </w:r>
            <w:r>
              <w:rPr>
                <w:vertAlign w:val="superscript"/>
              </w:rPr>
              <w:t>3</w:t>
            </w:r>
            <w:r>
              <w:rPr>
                <w:rFonts w:hint="eastAsia"/>
              </w:rPr>
              <w:t>）（</w:t>
            </w:r>
            <w:r>
              <w:t>设计停留时间为24h，24h污水量约为0.22m</w:t>
            </w:r>
            <w:r>
              <w:rPr>
                <w:vertAlign w:val="superscript"/>
              </w:rPr>
              <w:t>3</w:t>
            </w:r>
            <w:r>
              <w:rPr>
                <w:rFonts w:hint="eastAsia"/>
              </w:rPr>
              <w:t>）</w:t>
            </w:r>
          </w:p>
        </w:tc>
        <w:tc>
          <w:tcPr>
            <w:tcW w:w="1316" w:type="dxa"/>
            <w:vAlign w:val="center"/>
          </w:tcPr>
          <w:p>
            <w:pPr>
              <w:pStyle w:val="37"/>
              <w:jc w:val="center"/>
            </w:pPr>
            <w:r>
              <w:rPr>
                <w:rFonts w:hint="eastAsia"/>
              </w:rPr>
              <w:t>沉淀后回用</w:t>
            </w: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029" w:type="dxa"/>
            <w:vMerge w:val="continue"/>
            <w:vAlign w:val="center"/>
          </w:tcPr>
          <w:p>
            <w:pPr>
              <w:pStyle w:val="37"/>
              <w:jc w:val="center"/>
            </w:pPr>
          </w:p>
        </w:tc>
        <w:tc>
          <w:tcPr>
            <w:tcW w:w="2231" w:type="dxa"/>
            <w:gridSpan w:val="2"/>
            <w:vAlign w:val="center"/>
          </w:tcPr>
          <w:p>
            <w:pPr>
              <w:pStyle w:val="37"/>
              <w:jc w:val="center"/>
            </w:pPr>
            <w:r>
              <w:rPr>
                <w:rFonts w:hint="eastAsia"/>
              </w:rPr>
              <w:t>初期雨水</w:t>
            </w:r>
          </w:p>
        </w:tc>
        <w:tc>
          <w:tcPr>
            <w:tcW w:w="1174" w:type="dxa"/>
            <w:vAlign w:val="center"/>
          </w:tcPr>
          <w:p>
            <w:pPr>
              <w:pStyle w:val="37"/>
              <w:jc w:val="center"/>
            </w:pPr>
            <w:r>
              <w:rPr>
                <w:rFonts w:hint="eastAsia"/>
              </w:rPr>
              <w:t>S</w:t>
            </w:r>
            <w:r>
              <w:t>S</w:t>
            </w:r>
          </w:p>
        </w:tc>
        <w:tc>
          <w:tcPr>
            <w:tcW w:w="1453" w:type="dxa"/>
            <w:vAlign w:val="center"/>
          </w:tcPr>
          <w:p>
            <w:pPr>
              <w:pStyle w:val="37"/>
              <w:jc w:val="center"/>
            </w:pPr>
            <w:r>
              <w:rPr>
                <w:rFonts w:hint="eastAsia"/>
              </w:rPr>
              <w:t>C</w:t>
            </w:r>
            <w:r>
              <w:t>5</w:t>
            </w:r>
            <w:r>
              <w:rPr>
                <w:rFonts w:hint="eastAsia"/>
              </w:rPr>
              <w:t>初期雨水收集池1（5</w:t>
            </w:r>
            <w:r>
              <w:t>0</w:t>
            </w:r>
            <w:r>
              <w:rPr>
                <w:rFonts w:hint="eastAsia"/>
              </w:rPr>
              <w:t xml:space="preserve"> m</w:t>
            </w:r>
            <w:r>
              <w:rPr>
                <w:vertAlign w:val="superscript"/>
              </w:rPr>
              <w:t>3</w:t>
            </w:r>
            <w:r>
              <w:rPr>
                <w:rFonts w:hint="eastAsia"/>
              </w:rPr>
              <w:t>）及C</w:t>
            </w:r>
            <w:r>
              <w:t>6</w:t>
            </w:r>
            <w:r>
              <w:rPr>
                <w:rFonts w:hint="eastAsia"/>
              </w:rPr>
              <w:t>初期雨水收集池2</w:t>
            </w:r>
            <w:r>
              <w:t xml:space="preserve"> </w:t>
            </w:r>
            <w:r>
              <w:rPr>
                <w:rFonts w:hint="eastAsia"/>
              </w:rPr>
              <w:t>（9</w:t>
            </w:r>
            <w:r>
              <w:t>0</w:t>
            </w:r>
            <w:r>
              <w:rPr>
                <w:rFonts w:hint="eastAsia"/>
              </w:rPr>
              <w:t xml:space="preserve"> m</w:t>
            </w:r>
            <w:r>
              <w:rPr>
                <w:vertAlign w:val="superscript"/>
              </w:rPr>
              <w:t>3</w:t>
            </w:r>
            <w:r>
              <w:rPr>
                <w:rFonts w:hint="eastAsia"/>
              </w:rPr>
              <w:t>）</w:t>
            </w:r>
          </w:p>
        </w:tc>
        <w:tc>
          <w:tcPr>
            <w:tcW w:w="1316" w:type="dxa"/>
            <w:vAlign w:val="center"/>
          </w:tcPr>
          <w:p>
            <w:pPr>
              <w:pStyle w:val="37"/>
              <w:jc w:val="center"/>
            </w:pPr>
            <w:r>
              <w:rPr>
                <w:rFonts w:hint="eastAsia"/>
              </w:rPr>
              <w:t>收集沉淀后回抽用于雾化喷淋</w:t>
            </w: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29" w:type="dxa"/>
            <w:vAlign w:val="center"/>
          </w:tcPr>
          <w:p>
            <w:pPr>
              <w:pStyle w:val="37"/>
              <w:jc w:val="center"/>
            </w:pPr>
            <w:r>
              <w:rPr>
                <w:rFonts w:hint="eastAsia"/>
              </w:rPr>
              <w:t>声环境</w:t>
            </w:r>
          </w:p>
        </w:tc>
        <w:tc>
          <w:tcPr>
            <w:tcW w:w="2231" w:type="dxa"/>
            <w:gridSpan w:val="2"/>
            <w:vAlign w:val="center"/>
          </w:tcPr>
          <w:p>
            <w:pPr>
              <w:pStyle w:val="37"/>
              <w:jc w:val="center"/>
            </w:pPr>
            <w:r>
              <w:rPr>
                <w:rFonts w:hint="eastAsia"/>
              </w:rPr>
              <w:t>破碎机、筛分机等</w:t>
            </w:r>
          </w:p>
        </w:tc>
        <w:tc>
          <w:tcPr>
            <w:tcW w:w="1174" w:type="dxa"/>
            <w:vAlign w:val="center"/>
          </w:tcPr>
          <w:p>
            <w:pPr>
              <w:pStyle w:val="37"/>
              <w:jc w:val="center"/>
            </w:pPr>
            <w:r>
              <w:rPr>
                <w:rFonts w:hint="eastAsia"/>
              </w:rPr>
              <w:t>噪声</w:t>
            </w:r>
          </w:p>
        </w:tc>
        <w:tc>
          <w:tcPr>
            <w:tcW w:w="1453" w:type="dxa"/>
            <w:vAlign w:val="center"/>
          </w:tcPr>
          <w:p>
            <w:pPr>
              <w:pStyle w:val="37"/>
              <w:jc w:val="center"/>
            </w:pPr>
            <w:r>
              <w:rPr>
                <w:rFonts w:hint="eastAsia"/>
              </w:rPr>
              <w:t>采用夹板墙及充填墙等混合使用封闭车间隔声、低噪设备、距离衰减等措施</w:t>
            </w:r>
          </w:p>
        </w:tc>
        <w:tc>
          <w:tcPr>
            <w:tcW w:w="1316" w:type="dxa"/>
            <w:vAlign w:val="center"/>
          </w:tcPr>
          <w:p>
            <w:pPr>
              <w:pStyle w:val="37"/>
              <w:jc w:val="center"/>
            </w:pPr>
            <w:r>
              <w:t>《工业企业厂界环境噪声排放标准》（GB12348-2008）中2类标准</w:t>
            </w:r>
          </w:p>
        </w:tc>
        <w:tc>
          <w:tcPr>
            <w:tcW w:w="1319" w:type="dxa"/>
          </w:tcPr>
          <w:p>
            <w:pPr>
              <w:pStyle w:val="37"/>
              <w:jc w:val="center"/>
            </w:pPr>
            <w:r>
              <w:rPr>
                <w:rFonts w:hint="eastAsia"/>
              </w:rPr>
              <w:t>需整改完善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29" w:type="dxa"/>
            <w:vAlign w:val="center"/>
          </w:tcPr>
          <w:p>
            <w:pPr>
              <w:pStyle w:val="37"/>
              <w:jc w:val="center"/>
            </w:pPr>
            <w:r>
              <w:rPr>
                <w:rFonts w:hint="eastAsia"/>
              </w:rPr>
              <w:t>电磁辐射</w:t>
            </w:r>
          </w:p>
        </w:tc>
        <w:tc>
          <w:tcPr>
            <w:tcW w:w="7493" w:type="dxa"/>
            <w:gridSpan w:val="6"/>
            <w:vAlign w:val="center"/>
          </w:tcPr>
          <w:p>
            <w:pPr>
              <w:pStyle w:val="37"/>
              <w:jc w:val="center"/>
            </w:pPr>
            <w:r>
              <w:rPr>
                <w:rFonts w:hint="eastAsia"/>
              </w:rPr>
              <w:t>本项目不涉及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29" w:type="dxa"/>
            <w:vAlign w:val="center"/>
          </w:tcPr>
          <w:p>
            <w:pPr>
              <w:pStyle w:val="37"/>
              <w:jc w:val="center"/>
            </w:pPr>
            <w:r>
              <w:rPr>
                <w:rFonts w:hint="eastAsia"/>
              </w:rPr>
              <w:t>固体废物</w:t>
            </w:r>
          </w:p>
        </w:tc>
        <w:tc>
          <w:tcPr>
            <w:tcW w:w="7493" w:type="dxa"/>
            <w:gridSpan w:val="6"/>
            <w:vAlign w:val="center"/>
          </w:tcPr>
          <w:p>
            <w:pPr>
              <w:pStyle w:val="37"/>
            </w:pPr>
            <w:r>
              <w:rPr>
                <w:rFonts w:hint="eastAsia"/>
              </w:rPr>
              <w:t>员工生活产生的生活垃圾交由环卫部门清运处置；</w:t>
            </w:r>
          </w:p>
          <w:p>
            <w:pPr>
              <w:pStyle w:val="37"/>
            </w:pPr>
            <w:r>
              <w:rPr>
                <w:rFonts w:hint="eastAsia"/>
              </w:rPr>
              <w:t>沉淀池沉渣压滤后及废石暂存于一般固废暂存间（2</w:t>
            </w:r>
            <w:r>
              <w:t>0</w:t>
            </w:r>
            <w:r>
              <w:rPr>
                <w:rFonts w:hint="eastAsia"/>
                <w:u w:val="none"/>
              </w:rPr>
              <w:t>m</w:t>
            </w:r>
            <w:r>
              <w:rPr>
                <w:u w:val="none"/>
                <w:vertAlign w:val="superscript"/>
              </w:rPr>
              <w:t>2</w:t>
            </w:r>
            <w:r>
              <w:rPr>
                <w:rFonts w:hint="eastAsia"/>
              </w:rPr>
              <w:t>），位于厂区西南侧，定期外售水泥厂综合利用；暂存于危废暂存间（5</w:t>
            </w:r>
            <w:r>
              <w:rPr>
                <w:rFonts w:hint="eastAsia"/>
                <w:u w:val="none"/>
              </w:rPr>
              <w:t>m</w:t>
            </w:r>
            <w:r>
              <w:rPr>
                <w:u w:val="none"/>
                <w:vertAlign w:val="superscript"/>
              </w:rPr>
              <w:t>2</w:t>
            </w:r>
            <w:r>
              <w:rPr>
                <w:rFonts w:hint="eastAsia"/>
              </w:rPr>
              <w:t>），位于厂区西南侧，委托有资质单位安全处置。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29" w:type="dxa"/>
            <w:vAlign w:val="center"/>
          </w:tcPr>
          <w:p>
            <w:pPr>
              <w:pStyle w:val="37"/>
              <w:jc w:val="center"/>
            </w:pPr>
            <w:r>
              <w:rPr>
                <w:rFonts w:hint="eastAsia"/>
              </w:rPr>
              <w:t>土壤及地下水污染防治措施</w:t>
            </w:r>
          </w:p>
        </w:tc>
        <w:tc>
          <w:tcPr>
            <w:tcW w:w="7493" w:type="dxa"/>
            <w:gridSpan w:val="6"/>
            <w:vAlign w:val="center"/>
          </w:tcPr>
          <w:p>
            <w:pPr>
              <w:pStyle w:val="37"/>
              <w:jc w:val="center"/>
            </w:pPr>
            <w:r>
              <w:rPr>
                <w:rFonts w:hint="eastAsia"/>
              </w:rPr>
              <w:t>本项目污染物类型不含重金属和持久性有机污染物，污染物控制程度为易；根据场地内污染控制难易程度和污染物特征，初期雨水沉淀池、洗车废水沉淀池、湿法除尘沉淀池、危废暂存间均做重点防渗处理（</w:t>
            </w:r>
            <w:r>
              <w:t>渗透系数≤10-7厘米/秒</w:t>
            </w:r>
            <w:r>
              <w:rPr>
                <w:rFonts w:hint="eastAsia"/>
              </w:rPr>
              <w:t>），其他区域进行一般地面硬化。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29" w:type="dxa"/>
            <w:vAlign w:val="center"/>
          </w:tcPr>
          <w:p>
            <w:pPr>
              <w:pStyle w:val="37"/>
              <w:jc w:val="center"/>
            </w:pPr>
            <w:r>
              <w:rPr>
                <w:rFonts w:hint="eastAsia"/>
              </w:rPr>
              <w:t>生态保护措施</w:t>
            </w:r>
          </w:p>
        </w:tc>
        <w:tc>
          <w:tcPr>
            <w:tcW w:w="7493" w:type="dxa"/>
            <w:gridSpan w:val="6"/>
            <w:vAlign w:val="center"/>
          </w:tcPr>
          <w:p>
            <w:pPr>
              <w:spacing w:line="240" w:lineRule="auto"/>
              <w:ind w:firstLine="440"/>
              <w:jc w:val="center"/>
              <w:rPr>
                <w:sz w:val="22"/>
                <w:szCs w:val="21"/>
                <w:u w:val="single"/>
              </w:rPr>
            </w:pPr>
            <w:r>
              <w:rPr>
                <w:rFonts w:hint="eastAsia"/>
                <w:sz w:val="22"/>
                <w:szCs w:val="21"/>
                <w:u w:val="single"/>
              </w:rPr>
              <w:t>区域内未发现珍稀动植物物种，无珍稀濒危物种、名木古树和其它需重点保护的动植物物种。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29" w:type="dxa"/>
            <w:vAlign w:val="center"/>
          </w:tcPr>
          <w:p>
            <w:pPr>
              <w:pStyle w:val="37"/>
              <w:jc w:val="center"/>
            </w:pPr>
            <w:r>
              <w:rPr>
                <w:rFonts w:hint="eastAsia"/>
              </w:rPr>
              <w:t>环境风险防范措施</w:t>
            </w:r>
          </w:p>
        </w:tc>
        <w:tc>
          <w:tcPr>
            <w:tcW w:w="7493" w:type="dxa"/>
            <w:gridSpan w:val="6"/>
            <w:vAlign w:val="center"/>
          </w:tcPr>
          <w:p>
            <w:pPr>
              <w:pStyle w:val="37"/>
              <w:jc w:val="center"/>
            </w:pPr>
            <w:r>
              <w:rPr>
                <w:rFonts w:hint="eastAsia"/>
              </w:rPr>
              <w:t>全厂区分区防渗，危废暂存间做重点防渗处理，并设置围堰，厂内设置消防设施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29" w:type="dxa"/>
            <w:vAlign w:val="center"/>
          </w:tcPr>
          <w:p>
            <w:pPr>
              <w:pStyle w:val="37"/>
              <w:jc w:val="center"/>
            </w:pPr>
            <w:r>
              <w:rPr>
                <w:rFonts w:hint="eastAsia"/>
              </w:rPr>
              <w:t>其他环境管理要求</w:t>
            </w:r>
          </w:p>
        </w:tc>
        <w:tc>
          <w:tcPr>
            <w:tcW w:w="7493" w:type="dxa"/>
            <w:gridSpan w:val="6"/>
            <w:vAlign w:val="center"/>
          </w:tcPr>
          <w:p>
            <w:pPr>
              <w:pStyle w:val="37"/>
            </w:pPr>
            <w:r>
              <w:rPr>
                <w:rFonts w:hint="eastAsia"/>
              </w:rPr>
              <w:t>1、排污许可证申报</w:t>
            </w:r>
          </w:p>
          <w:p>
            <w:pPr>
              <w:pStyle w:val="37"/>
            </w:pPr>
            <w:r>
              <w:rPr>
                <w:rFonts w:hint="eastAsia"/>
              </w:rPr>
              <w:t>根据《固定污染源排污许可证分类管理名录（2</w:t>
            </w:r>
            <w:r>
              <w:t>019</w:t>
            </w:r>
            <w:r>
              <w:rPr>
                <w:rFonts w:hint="eastAsia"/>
              </w:rPr>
              <w:t>年本）》中，本项目属于“二十、石油、煤炭及其他燃料加工业</w:t>
            </w:r>
            <w:r>
              <w:t>25</w:t>
            </w:r>
            <w:r>
              <w:rPr>
                <w:rFonts w:hint="eastAsia"/>
              </w:rPr>
              <w:t>；4</w:t>
            </w:r>
            <w:r>
              <w:t>3</w:t>
            </w:r>
            <w:r>
              <w:rPr>
                <w:rFonts w:hint="eastAsia"/>
              </w:rPr>
              <w:t>、煤炭加工</w:t>
            </w:r>
            <w:r>
              <w:t>252</w:t>
            </w:r>
            <w:r>
              <w:rPr>
                <w:rFonts w:hint="eastAsia"/>
              </w:rPr>
              <w:t>；煤制品制造2</w:t>
            </w:r>
            <w:r>
              <w:t>524</w:t>
            </w:r>
            <w:r>
              <w:rPr>
                <w:rFonts w:hint="eastAsia"/>
              </w:rPr>
              <w:t>；其他煤炭加工2</w:t>
            </w:r>
            <w:r>
              <w:t>529</w:t>
            </w:r>
            <w:r>
              <w:rPr>
                <w:rFonts w:hint="eastAsia"/>
              </w:rPr>
              <w:t>”，应进行登记管理。</w:t>
            </w:r>
          </w:p>
          <w:p>
            <w:pPr>
              <w:pStyle w:val="37"/>
            </w:pPr>
            <w:r>
              <w:rPr>
                <w:rFonts w:hint="eastAsia"/>
              </w:rPr>
              <w:t>2、根据《建设项目环境保护验收暂行办法》，项目主体工程和环保设施正常运行情况下，企业可自行申请竣工验收，攸县黄丰桥建福煤炭贸易有限公司为验收主体。项目属于污染影响型项目，故验收时按照《建设项目》</w:t>
            </w:r>
            <w:r>
              <w:t>项目属于污染影响型项目，故验收时按照《建设项目竣工环境保护验收技术指南污染影响类》进行验收。验收工作主要包括验收监测工作和后续工作，其中验收监测工作可分为启动、自查、编制验收监测方案、实施监测与检查、编制验收监测报告五个阶段。验收程序如下：</w:t>
            </w:r>
          </w:p>
          <w:p>
            <w:pPr>
              <w:pStyle w:val="37"/>
            </w:pPr>
            <w:r>
              <w:t>（1）启动：1）项目竣工后，企业或委托技术机构启动验收工作；2）查阅资料：环评文件及审批部门审批决定、建设项目建设资料、环保设计资料等；3）现场踏勘、了解工程概况和周边区域环境特点、明确有关环境保护要求，制定验收初步工作方案。</w:t>
            </w:r>
          </w:p>
          <w:p>
            <w:pPr>
              <w:pStyle w:val="37"/>
            </w:pPr>
            <w:r>
              <w:t>（2）自查：1）环保手续履行情况；2）项目建成情况；3）环境保护设施建设情况。</w:t>
            </w:r>
          </w:p>
          <w:p>
            <w:pPr>
              <w:pStyle w:val="37"/>
            </w:pPr>
            <w:r>
              <w:t>（3）编制验收监测方案：1）确定验收范围和内容；2）确定验收执行标准；3）确定验收监测内容。</w:t>
            </w:r>
          </w:p>
          <w:p>
            <w:pPr>
              <w:pStyle w:val="37"/>
            </w:pPr>
            <w:r>
              <w:t>（4）实施监测与检查</w:t>
            </w:r>
          </w:p>
          <w:p>
            <w:pPr>
              <w:pStyle w:val="37"/>
            </w:pPr>
            <w:r>
              <w:t>（5）编制验收监测报告</w:t>
            </w:r>
          </w:p>
          <w:p>
            <w:pPr>
              <w:pStyle w:val="37"/>
            </w:pPr>
            <w:r>
              <w:t>（6）成立验收工作组</w:t>
            </w:r>
          </w:p>
          <w:p>
            <w:pPr>
              <w:pStyle w:val="37"/>
            </w:pPr>
            <w:r>
              <w:t>（7）现场核查、资料查阅、验收监测报告审查、召开验收会议</w:t>
            </w:r>
          </w:p>
          <w:p>
            <w:pPr>
              <w:pStyle w:val="37"/>
            </w:pPr>
            <w:r>
              <w:t>（8）提出验收意见</w:t>
            </w:r>
          </w:p>
          <w:p>
            <w:pPr>
              <w:pStyle w:val="37"/>
            </w:pPr>
            <w:r>
              <w:t>（9）形成验收报告</w:t>
            </w:r>
          </w:p>
          <w:p>
            <w:pPr>
              <w:pStyle w:val="37"/>
            </w:pPr>
            <w:r>
              <w:t>（10）公开验收报告</w:t>
            </w:r>
          </w:p>
          <w:p>
            <w:pPr>
              <w:pStyle w:val="37"/>
            </w:pPr>
            <w:r>
              <w:t>（11）登录全国建设项目竣工环境保护验收信息平台填报相关信息</w:t>
            </w:r>
          </w:p>
          <w:p>
            <w:pPr>
              <w:pStyle w:val="37"/>
            </w:pPr>
            <w:r>
              <w:t>（12）整理验收资料，建立一套完整档案：环境影响报告书（表）及其审批部门审批决定、环境监测报告、验收报告（含自查报告、验收监测报告（表）、验收意见、其他需要说明的事项、公示信息）。</w:t>
            </w:r>
          </w:p>
          <w:p>
            <w:pPr>
              <w:pStyle w:val="37"/>
            </w:pPr>
            <w:r>
              <w:rPr>
                <w:rFonts w:hint="eastAsia"/>
              </w:rPr>
              <w:t>3、</w:t>
            </w:r>
            <w:r>
              <w:t>环境管理</w:t>
            </w:r>
          </w:p>
          <w:p>
            <w:pPr>
              <w:pStyle w:val="37"/>
            </w:pPr>
            <w:r>
              <w:t>项目建成后，应设立专门的环境管理机构，配备环保人员，负责厂区的环境保护监督管理及各项环保设施的运行管理工作，同时加强对管理人员的环保培训。</w:t>
            </w:r>
          </w:p>
          <w:p>
            <w:pPr>
              <w:pStyle w:val="37"/>
            </w:pPr>
            <w:r>
              <w:t>环保专职管理人员的主要职责是：</w:t>
            </w:r>
          </w:p>
          <w:p>
            <w:pPr>
              <w:pStyle w:val="37"/>
            </w:pPr>
            <w:r>
              <w:t>（1）贯彻执行环境保护法规和标准。</w:t>
            </w:r>
          </w:p>
          <w:p>
            <w:pPr>
              <w:pStyle w:val="37"/>
            </w:pPr>
            <w:r>
              <w:t>（2）组织制定和修改本项目营运期的环境保护管理规章制度并负责监督执行。</w:t>
            </w:r>
          </w:p>
          <w:p>
            <w:pPr>
              <w:pStyle w:val="37"/>
            </w:pPr>
            <w:r>
              <w:t>（3）制定并组织实施环境保护规划和计划。</w:t>
            </w:r>
          </w:p>
          <w:p>
            <w:pPr>
              <w:pStyle w:val="37"/>
            </w:pPr>
            <w:r>
              <w:t>（4）开展日常的环境监测工作、负责整理和统计污染源资料、日常监测资料</w:t>
            </w:r>
            <w:r>
              <w:rPr>
                <w:rFonts w:hint="eastAsia"/>
              </w:rPr>
              <w:t>、记录台账</w:t>
            </w:r>
            <w:r>
              <w:t>，并及时上报地方环保部门。</w:t>
            </w:r>
          </w:p>
          <w:p>
            <w:pPr>
              <w:pStyle w:val="37"/>
            </w:pPr>
            <w:r>
              <w:t>（5）检查环境保护设施的运行情况。</w:t>
            </w:r>
          </w:p>
          <w:p>
            <w:pPr>
              <w:pStyle w:val="37"/>
            </w:pPr>
            <w:r>
              <w:t>（6）落实与本项目有关的污染物排放许可。加强对污染治理设施、治理效果以及治理后的污染物排放状况的监测检查。</w:t>
            </w:r>
          </w:p>
        </w:tc>
      </w:tr>
      <w:bookmarkEnd w:id="317"/>
    </w:tbl>
    <w:p>
      <w:pPr>
        <w:ind w:firstLine="199" w:firstLineChars="83"/>
        <w:rPr>
          <w:rFonts w:cs="Times New Roman"/>
        </w:rPr>
        <w:sectPr>
          <w:pgSz w:w="11906" w:h="16838"/>
          <w:pgMar w:top="1440" w:right="1800" w:bottom="1440" w:left="1800" w:header="851" w:footer="992" w:gutter="0"/>
          <w:cols w:space="425" w:num="1"/>
          <w:docGrid w:type="lines" w:linePitch="312" w:charSpace="0"/>
        </w:sectPr>
      </w:pPr>
    </w:p>
    <w:p>
      <w:pPr>
        <w:pStyle w:val="2"/>
      </w:pPr>
      <w:bookmarkStart w:id="323" w:name="_Toc28835"/>
      <w:r>
        <w:rPr>
          <w:rFonts w:hint="eastAsia"/>
        </w:rPr>
        <w:t>六</w:t>
      </w:r>
      <w:r>
        <w:t>、结论</w:t>
      </w:r>
      <w:bookmarkEnd w:id="323"/>
    </w:p>
    <w:tbl>
      <w:tblPr>
        <w:tblStyle w:val="1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6" w:hRule="atLeast"/>
        </w:trPr>
        <w:tc>
          <w:tcPr>
            <w:tcW w:w="8296" w:type="dxa"/>
          </w:tcPr>
          <w:p>
            <w:pPr>
              <w:ind w:firstLine="0" w:firstLineChars="0"/>
              <w:rPr>
                <w:rFonts w:cs="Times New Roman"/>
                <w:b/>
                <w:bCs/>
                <w:szCs w:val="24"/>
              </w:rPr>
            </w:pPr>
            <w:r>
              <w:rPr>
                <w:rFonts w:hint="eastAsia" w:cs="Times New Roman"/>
                <w:b/>
                <w:bCs/>
                <w:szCs w:val="24"/>
              </w:rPr>
              <w:t>1</w:t>
            </w:r>
            <w:r>
              <w:rPr>
                <w:rFonts w:cs="Times New Roman"/>
                <w:b/>
                <w:bCs/>
                <w:szCs w:val="24"/>
              </w:rPr>
              <w:t>.</w:t>
            </w:r>
            <w:r>
              <w:rPr>
                <w:rFonts w:hint="eastAsia" w:cs="Times New Roman"/>
                <w:b/>
                <w:bCs/>
                <w:szCs w:val="24"/>
              </w:rPr>
              <w:t>建设项目概况</w:t>
            </w:r>
          </w:p>
          <w:p>
            <w:pPr>
              <w:ind w:firstLine="480"/>
            </w:pPr>
            <w:r>
              <w:rPr>
                <w:rFonts w:cs="Times New Roman"/>
                <w:szCs w:val="24"/>
              </w:rPr>
              <w:t>(1).</w:t>
            </w:r>
            <w:r>
              <w:rPr>
                <w:rFonts w:hint="eastAsia" w:cs="Times New Roman"/>
                <w:szCs w:val="24"/>
              </w:rPr>
              <w:t>项目名称：</w:t>
            </w:r>
            <w:r>
              <w:rPr>
                <w:rFonts w:hint="eastAsia"/>
              </w:rPr>
              <w:t>建福煤炭加工项目；</w:t>
            </w:r>
          </w:p>
          <w:p>
            <w:pPr>
              <w:ind w:firstLine="480"/>
            </w:pPr>
            <w:r>
              <w:t>(</w:t>
            </w:r>
            <w:r>
              <w:rPr>
                <w:rFonts w:hint="eastAsia"/>
              </w:rPr>
              <w:t>2</w:t>
            </w:r>
            <w:r>
              <w:t>).</w:t>
            </w:r>
            <w:r>
              <w:rPr>
                <w:rFonts w:hint="eastAsia"/>
              </w:rPr>
              <w:t>建设单位：攸县黄丰桥建福煤炭贸易有限公司；</w:t>
            </w:r>
          </w:p>
          <w:p>
            <w:pPr>
              <w:ind w:firstLine="480"/>
            </w:pPr>
            <w:r>
              <w:t>(</w:t>
            </w:r>
            <w:r>
              <w:rPr>
                <w:rFonts w:hint="eastAsia"/>
              </w:rPr>
              <w:t>3</w:t>
            </w:r>
            <w:r>
              <w:t>).</w:t>
            </w:r>
            <w:r>
              <w:rPr>
                <w:rFonts w:hint="eastAsia"/>
              </w:rPr>
              <w:t>建设地点：</w:t>
            </w:r>
            <w:r>
              <w:t>湖南省</w:t>
            </w:r>
            <w:r>
              <w:rPr>
                <w:rFonts w:hint="eastAsia"/>
              </w:rPr>
              <w:t>株洲市攸县宁家坪镇宁家坪社区；</w:t>
            </w:r>
          </w:p>
          <w:p>
            <w:pPr>
              <w:ind w:firstLine="480"/>
            </w:pPr>
            <w:r>
              <w:t>(</w:t>
            </w:r>
            <w:r>
              <w:rPr>
                <w:rFonts w:hint="eastAsia"/>
              </w:rPr>
              <w:t>4</w:t>
            </w:r>
            <w:r>
              <w:t>).</w:t>
            </w:r>
            <w:r>
              <w:rPr>
                <w:rFonts w:hint="eastAsia"/>
              </w:rPr>
              <w:t>建设规模：项目总占地面积</w:t>
            </w:r>
            <w:r>
              <w:t>8896.45m</w:t>
            </w:r>
            <w:r>
              <w:rPr>
                <w:vertAlign w:val="superscript"/>
              </w:rPr>
              <w:t>2</w:t>
            </w:r>
            <w:r>
              <w:rPr>
                <w:rFonts w:hint="eastAsia"/>
              </w:rPr>
              <w:t>，建筑面积3</w:t>
            </w:r>
            <w:r>
              <w:t>370m</w:t>
            </w:r>
            <w:r>
              <w:rPr>
                <w:vertAlign w:val="superscript"/>
              </w:rPr>
              <w:t>2</w:t>
            </w:r>
            <w:r>
              <w:rPr>
                <w:rFonts w:hint="eastAsia"/>
              </w:rPr>
              <w:t>，搭建铁棚厂房三栋，购置粗细加工设施2套、蜂窝煤成型机</w:t>
            </w:r>
            <w:r>
              <w:t>6</w:t>
            </w:r>
            <w:r>
              <w:rPr>
                <w:rFonts w:hint="eastAsia"/>
              </w:rPr>
              <w:t>台；</w:t>
            </w:r>
          </w:p>
          <w:p>
            <w:pPr>
              <w:ind w:firstLine="480"/>
            </w:pPr>
            <w:r>
              <w:t>(</w:t>
            </w:r>
            <w:r>
              <w:rPr>
                <w:rFonts w:hint="eastAsia"/>
              </w:rPr>
              <w:t>5</w:t>
            </w:r>
            <w:r>
              <w:t>).</w:t>
            </w:r>
            <w:r>
              <w:rPr>
                <w:rFonts w:hint="eastAsia"/>
              </w:rPr>
              <w:t>项目投资：1</w:t>
            </w:r>
            <w:r>
              <w:t>000</w:t>
            </w:r>
            <w:r>
              <w:rPr>
                <w:rFonts w:hint="eastAsia"/>
              </w:rPr>
              <w:t>万元，环保投资8</w:t>
            </w:r>
            <w:r>
              <w:t>0</w:t>
            </w:r>
            <w:r>
              <w:rPr>
                <w:rFonts w:hint="eastAsia"/>
              </w:rPr>
              <w:t>万元，占比8</w:t>
            </w:r>
            <w:r>
              <w:t>%</w:t>
            </w:r>
            <w:r>
              <w:rPr>
                <w:rFonts w:hint="eastAsia"/>
              </w:rPr>
              <w:t>；</w:t>
            </w:r>
          </w:p>
          <w:p>
            <w:pPr>
              <w:ind w:firstLine="480"/>
            </w:pPr>
            <w:r>
              <w:t>(</w:t>
            </w:r>
            <w:r>
              <w:rPr>
                <w:rFonts w:hint="eastAsia"/>
              </w:rPr>
              <w:t>6</w:t>
            </w:r>
            <w:r>
              <w:t>).</w:t>
            </w:r>
            <w:r>
              <w:rPr>
                <w:rFonts w:hint="eastAsia"/>
              </w:rPr>
              <w:t>劳动组织：职工人数：项目预计员工1</w:t>
            </w:r>
            <w:r>
              <w:t>0</w:t>
            </w:r>
            <w:r>
              <w:rPr>
                <w:rFonts w:hint="eastAsia"/>
              </w:rPr>
              <w:t>人；工作制度：年生产3</w:t>
            </w:r>
            <w:r>
              <w:t>00</w:t>
            </w:r>
            <w:r>
              <w:rPr>
                <w:rFonts w:hint="eastAsia"/>
              </w:rPr>
              <w:t>d，每班8h，1班制。</w:t>
            </w:r>
          </w:p>
          <w:p>
            <w:pPr>
              <w:ind w:firstLine="0" w:firstLineChars="0"/>
              <w:rPr>
                <w:rFonts w:cs="Times New Roman"/>
                <w:b/>
                <w:bCs/>
                <w:szCs w:val="24"/>
              </w:rPr>
            </w:pPr>
            <w:r>
              <w:rPr>
                <w:rFonts w:hint="eastAsia" w:cs="Times New Roman"/>
                <w:b/>
                <w:bCs/>
                <w:szCs w:val="24"/>
              </w:rPr>
              <w:t>2</w:t>
            </w:r>
            <w:r>
              <w:rPr>
                <w:rFonts w:cs="Times New Roman"/>
                <w:b/>
                <w:bCs/>
                <w:szCs w:val="24"/>
              </w:rPr>
              <w:t>.</w:t>
            </w:r>
            <w:r>
              <w:rPr>
                <w:rFonts w:hint="eastAsia" w:cs="Times New Roman"/>
                <w:b/>
                <w:bCs/>
                <w:szCs w:val="24"/>
              </w:rPr>
              <w:t>环境质量现状</w:t>
            </w:r>
          </w:p>
          <w:p>
            <w:pPr>
              <w:ind w:firstLine="480"/>
              <w:rPr>
                <w:rFonts w:cs="Times New Roman"/>
                <w:szCs w:val="24"/>
              </w:rPr>
            </w:pPr>
            <w:r>
              <w:rPr>
                <w:rFonts w:hint="eastAsia" w:cs="Times New Roman"/>
                <w:szCs w:val="24"/>
              </w:rPr>
              <w:t>（1）地表水环境质量现状</w:t>
            </w:r>
          </w:p>
          <w:p>
            <w:pPr>
              <w:ind w:firstLine="480"/>
            </w:pPr>
            <w:r>
              <w:rPr>
                <w:rFonts w:hint="eastAsia"/>
              </w:rPr>
              <w:t>根据常规监测统计结果可知，项目所在区域主要地表水体——铁水的水环境质量满足《地表水环境质量标准》（G</w:t>
            </w:r>
            <w:r>
              <w:t>B3838-2002</w:t>
            </w:r>
            <w:r>
              <w:rPr>
                <w:rFonts w:hint="eastAsia"/>
              </w:rPr>
              <w:t>）Ⅲ类标准要求。</w:t>
            </w:r>
          </w:p>
          <w:p>
            <w:pPr>
              <w:ind w:firstLine="480"/>
              <w:rPr>
                <w:rFonts w:cs="Times New Roman"/>
                <w:szCs w:val="24"/>
              </w:rPr>
            </w:pPr>
            <w:r>
              <w:rPr>
                <w:rFonts w:hint="eastAsia" w:cs="Times New Roman"/>
                <w:szCs w:val="24"/>
              </w:rPr>
              <w:t>（2）地下水环境质量现状</w:t>
            </w:r>
          </w:p>
          <w:p>
            <w:pPr>
              <w:ind w:firstLine="480"/>
            </w:pPr>
            <w:r>
              <w:rPr>
                <w:rFonts w:hint="eastAsia"/>
              </w:rPr>
              <w:t>本项目不排放工业废水，生产不产生废水，项目生产过程无废水产生；车间地面只需进行扫把清扫，不进行拖把清洁等，无清洁废水产生；生活污水经化粪池处理后用于周边农田施肥；洗车废水：经三级沉淀池沉淀后循环使用；沉淀池做防渗处理，不对地下水和土壤环境造成污染，不开展地下水和土壤环境质量现状调查。</w:t>
            </w:r>
          </w:p>
          <w:p>
            <w:pPr>
              <w:ind w:firstLine="480"/>
              <w:rPr>
                <w:rFonts w:cs="Times New Roman"/>
                <w:szCs w:val="24"/>
              </w:rPr>
            </w:pPr>
            <w:r>
              <w:rPr>
                <w:rFonts w:hint="eastAsia" w:cs="Times New Roman"/>
                <w:szCs w:val="24"/>
              </w:rPr>
              <w:t>（3）环境空气质量现状</w:t>
            </w:r>
          </w:p>
          <w:p>
            <w:pPr>
              <w:ind w:firstLine="480"/>
            </w:pPr>
            <w:r>
              <w:rPr>
                <w:rFonts w:hint="eastAsia"/>
              </w:rPr>
              <w:t>2020年</w:t>
            </w:r>
            <w:r>
              <w:t>株洲市</w:t>
            </w:r>
            <w:r>
              <w:rPr>
                <w:rFonts w:hint="eastAsia"/>
              </w:rPr>
              <w:t>攸县</w:t>
            </w:r>
            <w:r>
              <w:t>环境空气</w:t>
            </w:r>
            <w:r>
              <w:rPr>
                <w:rFonts w:hint="eastAsia"/>
              </w:rPr>
              <w:t>中SO</w:t>
            </w:r>
            <w:r>
              <w:rPr>
                <w:vertAlign w:val="subscript"/>
              </w:rPr>
              <w:t>2</w:t>
            </w:r>
            <w:r>
              <w:rPr>
                <w:rFonts w:hint="eastAsia"/>
              </w:rPr>
              <w:t>、NO</w:t>
            </w:r>
            <w:r>
              <w:rPr>
                <w:vertAlign w:val="subscript"/>
              </w:rPr>
              <w:t>2</w:t>
            </w:r>
            <w:r>
              <w:rPr>
                <w:rFonts w:hint="eastAsia"/>
              </w:rPr>
              <w:t>、PM</w:t>
            </w:r>
            <w:r>
              <w:rPr>
                <w:vertAlign w:val="subscript"/>
              </w:rPr>
              <w:t>10</w:t>
            </w:r>
            <w:r>
              <w:rPr>
                <w:rFonts w:hint="eastAsia"/>
              </w:rPr>
              <w:t>、PM</w:t>
            </w:r>
            <w:r>
              <w:rPr>
                <w:vertAlign w:val="subscript"/>
              </w:rPr>
              <w:t>2.5</w:t>
            </w:r>
            <w:r>
              <w:rPr>
                <w:rFonts w:hint="eastAsia"/>
              </w:rPr>
              <w:t>、CO、O</w:t>
            </w:r>
            <w:r>
              <w:rPr>
                <w:vertAlign w:val="subscript"/>
              </w:rPr>
              <w:t>3</w:t>
            </w:r>
            <w:r>
              <w:rPr>
                <w:rFonts w:hint="eastAsia"/>
              </w:rPr>
              <w:t>各评价指标均达到《环境空气质量标准》（GB3095-1996）二级标准</w:t>
            </w:r>
            <w:r>
              <w:t>，</w:t>
            </w:r>
            <w:r>
              <w:rPr>
                <w:rFonts w:hint="eastAsia"/>
              </w:rPr>
              <w:t>2020年度</w:t>
            </w:r>
            <w:r>
              <w:t>株洲市</w:t>
            </w:r>
            <w:r>
              <w:rPr>
                <w:rFonts w:hint="eastAsia"/>
              </w:rPr>
              <w:t>攸县属于环境空气达标区。</w:t>
            </w:r>
          </w:p>
          <w:p>
            <w:pPr>
              <w:ind w:firstLine="480"/>
            </w:pPr>
            <w:r>
              <w:rPr>
                <w:rFonts w:hint="eastAsia"/>
              </w:rPr>
              <w:t>根据补充监测结果统计分析可知，本项目周边总悬浮颗粒物能够满足《环境空气质量标准》（GB3095-2012）表2中二级浓度限值要求。</w:t>
            </w:r>
          </w:p>
          <w:p>
            <w:pPr>
              <w:ind w:firstLine="0" w:firstLineChars="0"/>
              <w:rPr>
                <w:rFonts w:cs="Times New Roman"/>
                <w:b/>
                <w:bCs/>
                <w:szCs w:val="24"/>
              </w:rPr>
            </w:pPr>
            <w:r>
              <w:rPr>
                <w:rFonts w:hint="eastAsia" w:cs="Times New Roman"/>
                <w:b/>
                <w:bCs/>
                <w:szCs w:val="24"/>
              </w:rPr>
              <w:t>3</w:t>
            </w:r>
            <w:r>
              <w:rPr>
                <w:rFonts w:cs="Times New Roman"/>
                <w:b/>
                <w:bCs/>
                <w:szCs w:val="24"/>
              </w:rPr>
              <w:t>.</w:t>
            </w:r>
            <w:r>
              <w:rPr>
                <w:rFonts w:hint="eastAsia" w:cs="Times New Roman"/>
                <w:b/>
                <w:bCs/>
                <w:szCs w:val="24"/>
              </w:rPr>
              <w:t>环境影响结论</w:t>
            </w:r>
          </w:p>
          <w:p>
            <w:pPr>
              <w:ind w:firstLine="480"/>
              <w:rPr>
                <w:rFonts w:cs="Times New Roman"/>
                <w:szCs w:val="24"/>
              </w:rPr>
            </w:pPr>
            <w:r>
              <w:rPr>
                <w:rFonts w:hint="eastAsia" w:cs="Times New Roman"/>
                <w:szCs w:val="24"/>
              </w:rPr>
              <w:t>（1）地表水环境影响</w:t>
            </w:r>
          </w:p>
          <w:p>
            <w:pPr>
              <w:ind w:firstLine="480"/>
              <w:rPr>
                <w:bCs/>
                <w:color w:val="000000"/>
                <w:kern w:val="0"/>
              </w:rPr>
            </w:pPr>
            <w:r>
              <w:rPr>
                <w:color w:val="000000"/>
              </w:rPr>
              <w:t>本项目</w:t>
            </w:r>
            <w:r>
              <w:rPr>
                <w:bCs/>
                <w:color w:val="000000"/>
                <w:kern w:val="0"/>
              </w:rPr>
              <w:t>不产生工艺废水</w:t>
            </w:r>
            <w:r>
              <w:rPr>
                <w:rFonts w:hint="eastAsia"/>
                <w:bCs/>
                <w:color w:val="000000"/>
                <w:kern w:val="0"/>
              </w:rPr>
              <w:t>；洒水降尘的水全部进入原料、产品或者蒸发，无废水外排；洗车废水经沉淀池沉淀处理后循环使用，无外排；湿法除尘废水经沉淀池处理后循环使用无外排</w:t>
            </w:r>
            <w:r>
              <w:rPr>
                <w:bCs/>
                <w:color w:val="000000"/>
                <w:kern w:val="0"/>
              </w:rPr>
              <w:t>；生活污水经隔油池、化粪池收集处理后用作</w:t>
            </w:r>
            <w:r>
              <w:rPr>
                <w:rFonts w:hint="eastAsia"/>
                <w:bCs/>
                <w:color w:val="000000"/>
                <w:kern w:val="0"/>
              </w:rPr>
              <w:t>周边农田施肥</w:t>
            </w:r>
            <w:r>
              <w:rPr>
                <w:bCs/>
                <w:color w:val="000000"/>
                <w:kern w:val="0"/>
              </w:rPr>
              <w:t>。本项目无废水外排，对周边水环境影响较小。</w:t>
            </w:r>
          </w:p>
          <w:p>
            <w:pPr>
              <w:ind w:firstLine="480"/>
              <w:rPr>
                <w:rFonts w:cs="Times New Roman"/>
                <w:szCs w:val="24"/>
              </w:rPr>
            </w:pPr>
            <w:r>
              <w:rPr>
                <w:rFonts w:hint="eastAsia" w:cs="Times New Roman"/>
                <w:szCs w:val="24"/>
              </w:rPr>
              <w:t>（2）环境空气影响</w:t>
            </w:r>
          </w:p>
          <w:p>
            <w:pPr>
              <w:ind w:firstLine="480"/>
              <w:rPr>
                <w:rFonts w:cs="Times New Roman"/>
                <w:szCs w:val="24"/>
              </w:rPr>
            </w:pPr>
            <w:r>
              <w:rPr>
                <w:rFonts w:hint="eastAsia" w:cs="Times New Roman"/>
                <w:szCs w:val="24"/>
              </w:rPr>
              <w:t>项目环保治理措施落实后，对周围大气环境影响较小。</w:t>
            </w:r>
          </w:p>
          <w:p>
            <w:pPr>
              <w:ind w:firstLine="480"/>
              <w:rPr>
                <w:rFonts w:cs="Times New Roman"/>
                <w:szCs w:val="24"/>
              </w:rPr>
            </w:pPr>
            <w:r>
              <w:rPr>
                <w:rFonts w:hint="eastAsia" w:cs="Times New Roman"/>
                <w:szCs w:val="24"/>
              </w:rPr>
              <w:t>（3）声环境影响</w:t>
            </w:r>
          </w:p>
          <w:p>
            <w:pPr>
              <w:kinsoku w:val="0"/>
              <w:overflowPunct w:val="0"/>
              <w:autoSpaceDE w:val="0"/>
              <w:autoSpaceDN w:val="0"/>
              <w:ind w:firstLine="480"/>
              <w:rPr>
                <w:rFonts w:cs="Times New Roman"/>
                <w:szCs w:val="24"/>
              </w:rPr>
            </w:pPr>
            <w:r>
              <w:rPr>
                <w:u w:val="single"/>
              </w:rPr>
              <w:t>根据</w:t>
            </w:r>
            <w:r>
              <w:rPr>
                <w:rFonts w:hint="eastAsia"/>
                <w:u w:val="single"/>
              </w:rPr>
              <w:t>预测</w:t>
            </w:r>
            <w:r>
              <w:rPr>
                <w:u w:val="single"/>
              </w:rPr>
              <w:t>结果，</w:t>
            </w:r>
            <w:r>
              <w:rPr>
                <w:rFonts w:hint="eastAsia"/>
                <w:u w:val="single"/>
              </w:rPr>
              <w:t>厂界及周边</w:t>
            </w:r>
            <w:r>
              <w:rPr>
                <w:u w:val="single"/>
              </w:rPr>
              <w:t>敏感点昼间预测值能够满足《声环境质量标准》（GB3096-2008）2类标准限值要求。项目夜间不生产，因此夜间不会对周边环境造成噪声污染。根据预测结果可知，项目运营期噪声污染对周边环境影响较小。</w:t>
            </w:r>
          </w:p>
          <w:p>
            <w:pPr>
              <w:ind w:firstLine="480"/>
              <w:rPr>
                <w:rFonts w:cs="Times New Roman"/>
                <w:szCs w:val="24"/>
              </w:rPr>
            </w:pPr>
            <w:r>
              <w:rPr>
                <w:rFonts w:hint="eastAsia" w:cs="Times New Roman"/>
                <w:szCs w:val="24"/>
              </w:rPr>
              <w:t>（4）固体废物</w:t>
            </w:r>
          </w:p>
          <w:p>
            <w:pPr>
              <w:ind w:firstLine="480"/>
            </w:pPr>
            <w:r>
              <w:t>综上所述，本项目固体废物处理处置符合国家</w:t>
            </w:r>
            <w:r>
              <w:rPr>
                <w:rFonts w:hint="eastAsia"/>
                <w:lang w:eastAsia="zh-CN"/>
              </w:rPr>
              <w:t>《中华人民共和国固体废物污染环境防治法》</w:t>
            </w:r>
            <w:r>
              <w:t>规定的原则，符合《一般工业固体废物贮存和填埋污染控制标准》（GB18599-2020）和《危险废物贮存污染控制标准》（GB18597-2001）规定，采取上述措施后，本项目固体废物可得到妥善的处理，对周围环境造成的影响很小。</w:t>
            </w:r>
          </w:p>
          <w:p>
            <w:pPr>
              <w:ind w:firstLine="0" w:firstLineChars="0"/>
              <w:rPr>
                <w:rFonts w:cs="Times New Roman"/>
                <w:b/>
                <w:bCs/>
                <w:szCs w:val="24"/>
              </w:rPr>
            </w:pPr>
            <w:r>
              <w:rPr>
                <w:rFonts w:hint="eastAsia" w:cs="Times New Roman"/>
                <w:b/>
                <w:bCs/>
                <w:szCs w:val="24"/>
              </w:rPr>
              <w:t>4</w:t>
            </w:r>
            <w:r>
              <w:rPr>
                <w:rFonts w:cs="Times New Roman"/>
                <w:b/>
                <w:bCs/>
                <w:szCs w:val="24"/>
              </w:rPr>
              <w:t>.</w:t>
            </w:r>
            <w:r>
              <w:rPr>
                <w:rFonts w:hint="eastAsia" w:cs="Times New Roman"/>
                <w:b/>
                <w:bCs/>
                <w:szCs w:val="24"/>
              </w:rPr>
              <w:t>环境管理与环境监测计划</w:t>
            </w:r>
          </w:p>
          <w:p>
            <w:pPr>
              <w:pStyle w:val="70"/>
              <w:ind w:firstLine="480"/>
            </w:pPr>
            <w:r>
              <w:rPr>
                <w:rFonts w:hint="eastAsia"/>
              </w:rPr>
              <w:t>项目应建立健全环保监督、管理制度和管理机构。建设单位应根据本报告提出的环境监测计划结合项目实际情况及相关规范完善、落实监测计划。</w:t>
            </w:r>
          </w:p>
          <w:p>
            <w:pPr>
              <w:ind w:firstLine="0" w:firstLineChars="0"/>
              <w:rPr>
                <w:rFonts w:cs="Times New Roman"/>
                <w:b/>
                <w:bCs/>
                <w:szCs w:val="24"/>
              </w:rPr>
            </w:pPr>
            <w:r>
              <w:rPr>
                <w:rFonts w:hint="eastAsia" w:cs="Times New Roman"/>
                <w:b/>
                <w:bCs/>
                <w:szCs w:val="24"/>
              </w:rPr>
              <w:t>5</w:t>
            </w:r>
            <w:r>
              <w:rPr>
                <w:rFonts w:cs="Times New Roman"/>
                <w:b/>
                <w:bCs/>
                <w:szCs w:val="24"/>
              </w:rPr>
              <w:t>.</w:t>
            </w:r>
            <w:r>
              <w:rPr>
                <w:rFonts w:hint="eastAsia" w:cs="Times New Roman"/>
                <w:b/>
                <w:bCs/>
                <w:szCs w:val="24"/>
              </w:rPr>
              <w:t>综合结论</w:t>
            </w:r>
          </w:p>
          <w:p>
            <w:pPr>
              <w:pStyle w:val="70"/>
              <w:ind w:firstLine="480"/>
              <w:jc w:val="left"/>
              <w:rPr>
                <w:rFonts w:cs="Times New Roman"/>
              </w:rPr>
            </w:pPr>
            <w:r>
              <w:rPr>
                <w:rFonts w:hint="eastAsia"/>
              </w:rPr>
              <w:t>项目采取各项污染防治、风险防范措施后，废水、废气、噪声等污染物排放能满足相应的污染物排放标准要求，固体废物能妥善处置，环境风险可得到有效控制，对环境的影响较小。综上所述，在落实报告表提出的各项环保措施、确保各污染物稳定达标排放的前提下，从环境保护角度分析，该项目建设是可行的。</w:t>
            </w:r>
          </w:p>
          <w:p>
            <w:pPr>
              <w:ind w:firstLine="480"/>
              <w:rPr>
                <w:rFonts w:cs="Times New Roman"/>
              </w:rPr>
            </w:pPr>
          </w:p>
          <w:p>
            <w:pPr>
              <w:ind w:firstLine="480"/>
              <w:rPr>
                <w:rFonts w:cs="Times New Roman"/>
              </w:rPr>
            </w:pPr>
          </w:p>
          <w:p>
            <w:pPr>
              <w:ind w:firstLine="480"/>
              <w:rPr>
                <w:rFonts w:cs="Times New Roman"/>
              </w:rPr>
            </w:pPr>
          </w:p>
          <w:p>
            <w:pPr>
              <w:ind w:firstLine="480"/>
              <w:rPr>
                <w:rFonts w:cs="Times New Roman"/>
              </w:rPr>
            </w:pPr>
          </w:p>
        </w:tc>
      </w:tr>
    </w:tbl>
    <w:p>
      <w:pPr>
        <w:ind w:firstLine="0" w:firstLineChars="0"/>
        <w:rPr>
          <w:rFonts w:cs="Times New Roman"/>
        </w:rPr>
        <w:sectPr>
          <w:pgSz w:w="11906" w:h="16838"/>
          <w:pgMar w:top="1440" w:right="1800" w:bottom="1440" w:left="1800" w:header="851" w:footer="992" w:gutter="0"/>
          <w:cols w:space="425" w:num="1"/>
          <w:docGrid w:type="lines" w:linePitch="312" w:charSpace="0"/>
        </w:sectPr>
      </w:pPr>
    </w:p>
    <w:p>
      <w:pPr>
        <w:pStyle w:val="2"/>
        <w:ind w:firstLine="0" w:firstLineChars="0"/>
      </w:pPr>
      <w:bookmarkStart w:id="324" w:name="_Toc881"/>
      <w:r>
        <w:rPr>
          <w:rFonts w:hint="eastAsia"/>
        </w:rPr>
        <w:t>附表：</w:t>
      </w:r>
      <w:bookmarkEnd w:id="324"/>
    </w:p>
    <w:p>
      <w:pPr>
        <w:pStyle w:val="50"/>
        <w:ind w:firstLine="0" w:firstLineChars="0"/>
        <w:jc w:val="center"/>
        <w:rPr>
          <w:b/>
          <w:bCs/>
        </w:rPr>
      </w:pPr>
      <w:bookmarkStart w:id="325" w:name="_Toc17087"/>
      <w:bookmarkStart w:id="326" w:name="_Toc19995"/>
      <w:r>
        <w:rPr>
          <w:b/>
          <w:bCs/>
        </w:rPr>
        <w:t>建设项目污染物排放量汇总表</w:t>
      </w:r>
      <w:bookmarkEnd w:id="325"/>
      <w:bookmarkEnd w:id="326"/>
    </w:p>
    <w:tbl>
      <w:tblPr>
        <w:tblStyle w:val="17"/>
        <w:tblW w:w="847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874"/>
        <w:gridCol w:w="845"/>
        <w:gridCol w:w="1056"/>
        <w:gridCol w:w="844"/>
        <w:gridCol w:w="949"/>
        <w:gridCol w:w="949"/>
        <w:gridCol w:w="1054"/>
        <w:gridCol w:w="1161"/>
        <w:gridCol w:w="7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680" w:hRule="atLeast"/>
          <w:jc w:val="center"/>
        </w:trPr>
        <w:tc>
          <w:tcPr>
            <w:tcW w:w="874" w:type="dxa"/>
            <w:tcBorders>
              <w:tl2br w:val="single" w:color="auto" w:sz="4" w:space="0"/>
            </w:tcBorders>
            <w:vAlign w:val="center"/>
          </w:tcPr>
          <w:p>
            <w:pPr>
              <w:pStyle w:val="37"/>
              <w:jc w:val="center"/>
              <w:rPr>
                <w:u w:val="none"/>
              </w:rPr>
            </w:pPr>
            <w:r>
              <w:rPr>
                <w:rFonts w:hint="eastAsia"/>
                <w:u w:val="none"/>
              </w:rPr>
              <w:t>项目</w:t>
            </w:r>
          </w:p>
          <w:p>
            <w:pPr>
              <w:pStyle w:val="37"/>
              <w:jc w:val="center"/>
              <w:rPr>
                <w:u w:val="none"/>
              </w:rPr>
            </w:pPr>
          </w:p>
          <w:p>
            <w:pPr>
              <w:pStyle w:val="37"/>
              <w:jc w:val="center"/>
              <w:rPr>
                <w:u w:val="none"/>
              </w:rPr>
            </w:pPr>
            <w:r>
              <w:rPr>
                <w:rFonts w:hint="eastAsia"/>
                <w:u w:val="none"/>
              </w:rPr>
              <w:t>分类</w:t>
            </w:r>
          </w:p>
        </w:tc>
        <w:tc>
          <w:tcPr>
            <w:tcW w:w="845" w:type="dxa"/>
            <w:tcBorders>
              <w:right w:val="single" w:color="auto" w:sz="4" w:space="0"/>
            </w:tcBorders>
            <w:vAlign w:val="center"/>
          </w:tcPr>
          <w:p>
            <w:pPr>
              <w:pStyle w:val="37"/>
              <w:jc w:val="center"/>
              <w:rPr>
                <w:u w:val="none"/>
              </w:rPr>
            </w:pPr>
            <w:r>
              <w:rPr>
                <w:rFonts w:hint="eastAsia"/>
                <w:u w:val="none"/>
              </w:rPr>
              <w:t>污染物名称</w:t>
            </w:r>
          </w:p>
        </w:tc>
        <w:tc>
          <w:tcPr>
            <w:tcW w:w="1056" w:type="dxa"/>
            <w:tcBorders>
              <w:left w:val="single" w:color="auto" w:sz="4" w:space="0"/>
              <w:right w:val="single" w:color="auto" w:sz="4" w:space="0"/>
            </w:tcBorders>
            <w:vAlign w:val="center"/>
          </w:tcPr>
          <w:p>
            <w:pPr>
              <w:pStyle w:val="37"/>
              <w:jc w:val="center"/>
              <w:rPr>
                <w:u w:val="none"/>
              </w:rPr>
            </w:pPr>
            <w:r>
              <w:rPr>
                <w:rFonts w:hint="eastAsia"/>
                <w:u w:val="none"/>
              </w:rPr>
              <w:t>现有工程排放量（固体废物产生量）①</w:t>
            </w:r>
          </w:p>
        </w:tc>
        <w:tc>
          <w:tcPr>
            <w:tcW w:w="844" w:type="dxa"/>
            <w:tcBorders>
              <w:left w:val="single" w:color="auto" w:sz="4" w:space="0"/>
              <w:right w:val="single" w:color="auto" w:sz="4" w:space="0"/>
            </w:tcBorders>
            <w:vAlign w:val="center"/>
          </w:tcPr>
          <w:p>
            <w:pPr>
              <w:pStyle w:val="37"/>
              <w:jc w:val="center"/>
              <w:rPr>
                <w:u w:val="none"/>
              </w:rPr>
            </w:pPr>
            <w:r>
              <w:rPr>
                <w:rFonts w:hint="eastAsia"/>
                <w:u w:val="none"/>
              </w:rPr>
              <w:t>现有工程许可排放量②</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在建工程排放量（固体废物产生量）③</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本项目排放量（固体废物产生量）④</w:t>
            </w:r>
          </w:p>
        </w:tc>
        <w:tc>
          <w:tcPr>
            <w:tcW w:w="1054" w:type="dxa"/>
            <w:tcBorders>
              <w:left w:val="single" w:color="auto" w:sz="4" w:space="0"/>
              <w:right w:val="single" w:color="auto" w:sz="4" w:space="0"/>
            </w:tcBorders>
            <w:vAlign w:val="center"/>
          </w:tcPr>
          <w:p>
            <w:pPr>
              <w:pStyle w:val="37"/>
              <w:jc w:val="center"/>
              <w:rPr>
                <w:u w:val="none"/>
              </w:rPr>
            </w:pPr>
            <w:r>
              <w:rPr>
                <w:rFonts w:hint="eastAsia"/>
                <w:u w:val="none"/>
              </w:rPr>
              <w:t>以新带老削减量（新建项目不填）⑤</w:t>
            </w:r>
          </w:p>
        </w:tc>
        <w:tc>
          <w:tcPr>
            <w:tcW w:w="1161" w:type="dxa"/>
            <w:tcBorders>
              <w:left w:val="single" w:color="auto" w:sz="4" w:space="0"/>
              <w:right w:val="single" w:color="auto" w:sz="4" w:space="0"/>
            </w:tcBorders>
            <w:vAlign w:val="center"/>
          </w:tcPr>
          <w:p>
            <w:pPr>
              <w:pStyle w:val="37"/>
              <w:jc w:val="center"/>
              <w:rPr>
                <w:u w:val="none"/>
              </w:rPr>
            </w:pPr>
            <w:r>
              <w:rPr>
                <w:rFonts w:hint="eastAsia"/>
                <w:u w:val="none"/>
              </w:rPr>
              <w:t>本项目建成后全厂排放量（固体废物产生量）⑥</w:t>
            </w:r>
          </w:p>
        </w:tc>
        <w:tc>
          <w:tcPr>
            <w:tcW w:w="744" w:type="dxa"/>
            <w:tcBorders>
              <w:left w:val="single" w:color="auto" w:sz="4" w:space="0"/>
            </w:tcBorders>
            <w:vAlign w:val="center"/>
          </w:tcPr>
          <w:p>
            <w:pPr>
              <w:pStyle w:val="37"/>
              <w:jc w:val="center"/>
              <w:rPr>
                <w:u w:val="none"/>
              </w:rPr>
            </w:pPr>
            <w:r>
              <w:rPr>
                <w:rFonts w:hint="eastAsia"/>
                <w:u w:val="none"/>
              </w:rPr>
              <w:t>变化量</w:t>
            </w:r>
          </w:p>
          <w:p>
            <w:pPr>
              <w:pStyle w:val="37"/>
              <w:jc w:val="center"/>
              <w:rPr>
                <w:u w:val="none"/>
              </w:rPr>
            </w:pPr>
            <w:r>
              <w:rPr>
                <w:rFonts w:hint="eastAsia"/>
                <w:u w:val="none"/>
              </w:rPr>
              <w:t>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680" w:hRule="atLeast"/>
          <w:jc w:val="center"/>
        </w:trPr>
        <w:tc>
          <w:tcPr>
            <w:tcW w:w="874" w:type="dxa"/>
            <w:vAlign w:val="center"/>
          </w:tcPr>
          <w:p>
            <w:pPr>
              <w:pStyle w:val="37"/>
              <w:jc w:val="center"/>
              <w:rPr>
                <w:u w:val="none"/>
              </w:rPr>
            </w:pPr>
            <w:r>
              <w:rPr>
                <w:rFonts w:hint="eastAsia"/>
                <w:u w:val="none"/>
              </w:rPr>
              <w:t>废气</w:t>
            </w:r>
          </w:p>
        </w:tc>
        <w:tc>
          <w:tcPr>
            <w:tcW w:w="845" w:type="dxa"/>
            <w:tcBorders>
              <w:right w:val="single" w:color="auto" w:sz="4" w:space="0"/>
            </w:tcBorders>
            <w:vAlign w:val="center"/>
          </w:tcPr>
          <w:p>
            <w:pPr>
              <w:pStyle w:val="37"/>
              <w:jc w:val="center"/>
              <w:rPr>
                <w:u w:val="none"/>
              </w:rPr>
            </w:pPr>
            <w:r>
              <w:rPr>
                <w:rFonts w:hint="eastAsia"/>
                <w:u w:val="none"/>
              </w:rPr>
              <w:t>颗粒物</w:t>
            </w:r>
          </w:p>
        </w:tc>
        <w:tc>
          <w:tcPr>
            <w:tcW w:w="1056"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84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u w:val="none"/>
              </w:rPr>
              <w:t>1.22</w:t>
            </w:r>
          </w:p>
        </w:tc>
        <w:tc>
          <w:tcPr>
            <w:tcW w:w="105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1161" w:type="dxa"/>
            <w:tcBorders>
              <w:left w:val="single" w:color="auto" w:sz="4" w:space="0"/>
              <w:right w:val="single" w:color="auto" w:sz="4" w:space="0"/>
            </w:tcBorders>
            <w:vAlign w:val="center"/>
          </w:tcPr>
          <w:p>
            <w:pPr>
              <w:pStyle w:val="37"/>
              <w:jc w:val="center"/>
              <w:rPr>
                <w:u w:val="none"/>
              </w:rPr>
            </w:pPr>
            <w:r>
              <w:rPr>
                <w:u w:val="none"/>
              </w:rPr>
              <w:t>1.22</w:t>
            </w:r>
          </w:p>
        </w:tc>
        <w:tc>
          <w:tcPr>
            <w:tcW w:w="744" w:type="dxa"/>
            <w:tcBorders>
              <w:left w:val="single" w:color="auto" w:sz="4" w:space="0"/>
            </w:tcBorders>
            <w:vAlign w:val="center"/>
          </w:tcPr>
          <w:p>
            <w:pPr>
              <w:pStyle w:val="37"/>
              <w:jc w:val="center"/>
              <w:rPr>
                <w:u w:val="none"/>
              </w:rPr>
            </w:pPr>
            <w:r>
              <w:rPr>
                <w:rFonts w:hint="eastAsia"/>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680" w:hRule="atLeast"/>
          <w:jc w:val="center"/>
        </w:trPr>
        <w:tc>
          <w:tcPr>
            <w:tcW w:w="874" w:type="dxa"/>
            <w:vAlign w:val="center"/>
          </w:tcPr>
          <w:p>
            <w:pPr>
              <w:pStyle w:val="37"/>
              <w:jc w:val="center"/>
              <w:rPr>
                <w:u w:val="none"/>
              </w:rPr>
            </w:pPr>
            <w:r>
              <w:rPr>
                <w:rFonts w:hint="eastAsia"/>
                <w:u w:val="none"/>
              </w:rPr>
              <w:t>废水</w:t>
            </w:r>
          </w:p>
        </w:tc>
        <w:tc>
          <w:tcPr>
            <w:tcW w:w="845" w:type="dxa"/>
            <w:tcBorders>
              <w:right w:val="single" w:color="auto" w:sz="4" w:space="0"/>
            </w:tcBorders>
            <w:vAlign w:val="center"/>
          </w:tcPr>
          <w:p>
            <w:pPr>
              <w:pStyle w:val="37"/>
              <w:jc w:val="center"/>
              <w:rPr>
                <w:u w:val="none"/>
              </w:rPr>
            </w:pPr>
            <w:r>
              <w:rPr>
                <w:rFonts w:hint="eastAsia"/>
                <w:u w:val="none"/>
              </w:rPr>
              <w:t>/</w:t>
            </w:r>
          </w:p>
        </w:tc>
        <w:tc>
          <w:tcPr>
            <w:tcW w:w="1056"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84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105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1161"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744" w:type="dxa"/>
            <w:tcBorders>
              <w:left w:val="single" w:color="auto" w:sz="4" w:space="0"/>
            </w:tcBorders>
            <w:vAlign w:val="center"/>
          </w:tcPr>
          <w:p>
            <w:pPr>
              <w:pStyle w:val="37"/>
              <w:jc w:val="center"/>
              <w:rPr>
                <w:u w:val="none"/>
              </w:rPr>
            </w:pPr>
            <w:r>
              <w:rPr>
                <w:rFonts w:hint="eastAsia"/>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874" w:type="dxa"/>
            <w:vMerge w:val="restart"/>
            <w:vAlign w:val="center"/>
          </w:tcPr>
          <w:p>
            <w:pPr>
              <w:pStyle w:val="37"/>
              <w:jc w:val="center"/>
              <w:rPr>
                <w:u w:val="none"/>
              </w:rPr>
            </w:pPr>
            <w:r>
              <w:rPr>
                <w:rFonts w:hint="eastAsia"/>
                <w:u w:val="none"/>
              </w:rPr>
              <w:t>一般工业</w:t>
            </w:r>
          </w:p>
          <w:p>
            <w:pPr>
              <w:pStyle w:val="37"/>
              <w:jc w:val="center"/>
              <w:rPr>
                <w:u w:val="none"/>
              </w:rPr>
            </w:pPr>
            <w:r>
              <w:rPr>
                <w:rFonts w:hint="eastAsia"/>
                <w:u w:val="none"/>
              </w:rPr>
              <w:t>固体废物</w:t>
            </w:r>
          </w:p>
        </w:tc>
        <w:tc>
          <w:tcPr>
            <w:tcW w:w="845" w:type="dxa"/>
            <w:tcBorders>
              <w:right w:val="single" w:color="auto" w:sz="4" w:space="0"/>
            </w:tcBorders>
            <w:vAlign w:val="center"/>
          </w:tcPr>
          <w:p>
            <w:pPr>
              <w:pStyle w:val="37"/>
              <w:jc w:val="center"/>
              <w:rPr>
                <w:u w:val="none"/>
              </w:rPr>
            </w:pPr>
            <w:r>
              <w:rPr>
                <w:rFonts w:hint="eastAsia"/>
                <w:u w:val="none"/>
              </w:rPr>
              <w:t>沉淀池沉渣</w:t>
            </w:r>
          </w:p>
        </w:tc>
        <w:tc>
          <w:tcPr>
            <w:tcW w:w="1056"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84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u w:val="none"/>
              </w:rPr>
              <w:t>12.48</w:t>
            </w:r>
          </w:p>
        </w:tc>
        <w:tc>
          <w:tcPr>
            <w:tcW w:w="105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1161" w:type="dxa"/>
            <w:tcBorders>
              <w:left w:val="single" w:color="auto" w:sz="4" w:space="0"/>
              <w:right w:val="single" w:color="auto" w:sz="4" w:space="0"/>
            </w:tcBorders>
            <w:vAlign w:val="center"/>
          </w:tcPr>
          <w:p>
            <w:pPr>
              <w:pStyle w:val="37"/>
              <w:jc w:val="center"/>
              <w:rPr>
                <w:u w:val="none"/>
              </w:rPr>
            </w:pPr>
            <w:r>
              <w:rPr>
                <w:u w:val="none"/>
              </w:rPr>
              <w:t>12.48</w:t>
            </w:r>
          </w:p>
        </w:tc>
        <w:tc>
          <w:tcPr>
            <w:tcW w:w="744" w:type="dxa"/>
            <w:tcBorders>
              <w:left w:val="single" w:color="auto" w:sz="4" w:space="0"/>
            </w:tcBorders>
            <w:vAlign w:val="center"/>
          </w:tcPr>
          <w:p>
            <w:pPr>
              <w:pStyle w:val="37"/>
              <w:jc w:val="center"/>
              <w:rPr>
                <w:u w:val="none"/>
              </w:rPr>
            </w:pPr>
            <w:r>
              <w:rPr>
                <w:rFonts w:hint="eastAsia"/>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340" w:hRule="atLeast"/>
          <w:jc w:val="center"/>
        </w:trPr>
        <w:tc>
          <w:tcPr>
            <w:tcW w:w="874" w:type="dxa"/>
            <w:vMerge w:val="continue"/>
            <w:vAlign w:val="center"/>
          </w:tcPr>
          <w:p>
            <w:pPr>
              <w:pStyle w:val="37"/>
              <w:jc w:val="center"/>
              <w:rPr>
                <w:u w:val="none"/>
              </w:rPr>
            </w:pPr>
          </w:p>
        </w:tc>
        <w:tc>
          <w:tcPr>
            <w:tcW w:w="845" w:type="dxa"/>
            <w:tcBorders>
              <w:right w:val="single" w:color="auto" w:sz="4" w:space="0"/>
            </w:tcBorders>
            <w:vAlign w:val="center"/>
          </w:tcPr>
          <w:p>
            <w:pPr>
              <w:pStyle w:val="37"/>
              <w:jc w:val="center"/>
              <w:rPr>
                <w:u w:val="none"/>
              </w:rPr>
            </w:pPr>
            <w:r>
              <w:rPr>
                <w:rFonts w:hint="eastAsia"/>
                <w:u w:val="none"/>
              </w:rPr>
              <w:t>废石</w:t>
            </w:r>
          </w:p>
        </w:tc>
        <w:tc>
          <w:tcPr>
            <w:tcW w:w="1056"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84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2</w:t>
            </w:r>
            <w:r>
              <w:rPr>
                <w:u w:val="none"/>
              </w:rPr>
              <w:t>00.88</w:t>
            </w:r>
          </w:p>
        </w:tc>
        <w:tc>
          <w:tcPr>
            <w:tcW w:w="105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1161" w:type="dxa"/>
            <w:tcBorders>
              <w:left w:val="single" w:color="auto" w:sz="4" w:space="0"/>
              <w:right w:val="single" w:color="auto" w:sz="4" w:space="0"/>
            </w:tcBorders>
            <w:vAlign w:val="center"/>
          </w:tcPr>
          <w:p>
            <w:pPr>
              <w:pStyle w:val="37"/>
              <w:jc w:val="center"/>
              <w:rPr>
                <w:u w:val="none"/>
              </w:rPr>
            </w:pPr>
            <w:r>
              <w:rPr>
                <w:rFonts w:hint="eastAsia"/>
                <w:u w:val="none"/>
              </w:rPr>
              <w:t>2</w:t>
            </w:r>
            <w:r>
              <w:rPr>
                <w:u w:val="none"/>
              </w:rPr>
              <w:t>00.88</w:t>
            </w:r>
          </w:p>
        </w:tc>
        <w:tc>
          <w:tcPr>
            <w:tcW w:w="744" w:type="dxa"/>
            <w:tcBorders>
              <w:left w:val="single" w:color="auto" w:sz="4" w:space="0"/>
            </w:tcBorders>
            <w:vAlign w:val="center"/>
          </w:tcPr>
          <w:p>
            <w:pPr>
              <w:pStyle w:val="37"/>
              <w:jc w:val="center"/>
              <w:rPr>
                <w:u w:val="none"/>
              </w:rPr>
            </w:pPr>
            <w:r>
              <w:rPr>
                <w:rFonts w:hint="eastAsia"/>
                <w:u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Ex>
        <w:trPr>
          <w:trHeight w:val="680" w:hRule="atLeast"/>
          <w:jc w:val="center"/>
        </w:trPr>
        <w:tc>
          <w:tcPr>
            <w:tcW w:w="874" w:type="dxa"/>
            <w:vAlign w:val="center"/>
          </w:tcPr>
          <w:p>
            <w:pPr>
              <w:pStyle w:val="37"/>
              <w:jc w:val="center"/>
              <w:rPr>
                <w:u w:val="none"/>
              </w:rPr>
            </w:pPr>
            <w:r>
              <w:rPr>
                <w:rFonts w:hint="eastAsia"/>
                <w:u w:val="none"/>
              </w:rPr>
              <w:t>危险废物</w:t>
            </w:r>
          </w:p>
        </w:tc>
        <w:tc>
          <w:tcPr>
            <w:tcW w:w="845" w:type="dxa"/>
            <w:tcBorders>
              <w:right w:val="single" w:color="auto" w:sz="4" w:space="0"/>
            </w:tcBorders>
            <w:vAlign w:val="center"/>
          </w:tcPr>
          <w:p>
            <w:pPr>
              <w:pStyle w:val="37"/>
              <w:jc w:val="center"/>
              <w:rPr>
                <w:u w:val="none"/>
              </w:rPr>
            </w:pPr>
            <w:r>
              <w:rPr>
                <w:rFonts w:hint="eastAsia"/>
                <w:u w:val="none"/>
              </w:rPr>
              <w:t>废润滑油</w:t>
            </w:r>
          </w:p>
        </w:tc>
        <w:tc>
          <w:tcPr>
            <w:tcW w:w="1056"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84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949" w:type="dxa"/>
            <w:tcBorders>
              <w:left w:val="single" w:color="auto" w:sz="4" w:space="0"/>
              <w:right w:val="single" w:color="auto" w:sz="4" w:space="0"/>
            </w:tcBorders>
            <w:vAlign w:val="center"/>
          </w:tcPr>
          <w:p>
            <w:pPr>
              <w:pStyle w:val="37"/>
              <w:jc w:val="center"/>
              <w:rPr>
                <w:u w:val="none"/>
              </w:rPr>
            </w:pPr>
            <w:r>
              <w:rPr>
                <w:rFonts w:hint="eastAsia"/>
                <w:u w:val="none"/>
              </w:rPr>
              <w:t>0.1</w:t>
            </w:r>
          </w:p>
        </w:tc>
        <w:tc>
          <w:tcPr>
            <w:tcW w:w="1054" w:type="dxa"/>
            <w:tcBorders>
              <w:left w:val="single" w:color="auto" w:sz="4" w:space="0"/>
              <w:right w:val="single" w:color="auto" w:sz="4" w:space="0"/>
            </w:tcBorders>
            <w:vAlign w:val="center"/>
          </w:tcPr>
          <w:p>
            <w:pPr>
              <w:pStyle w:val="37"/>
              <w:jc w:val="center"/>
              <w:rPr>
                <w:u w:val="none"/>
              </w:rPr>
            </w:pPr>
            <w:r>
              <w:rPr>
                <w:rFonts w:hint="eastAsia"/>
                <w:u w:val="none"/>
              </w:rPr>
              <w:t>/</w:t>
            </w:r>
          </w:p>
        </w:tc>
        <w:tc>
          <w:tcPr>
            <w:tcW w:w="1161" w:type="dxa"/>
            <w:tcBorders>
              <w:left w:val="single" w:color="auto" w:sz="4" w:space="0"/>
              <w:right w:val="single" w:color="auto" w:sz="4" w:space="0"/>
            </w:tcBorders>
            <w:vAlign w:val="center"/>
          </w:tcPr>
          <w:p>
            <w:pPr>
              <w:pStyle w:val="37"/>
              <w:jc w:val="center"/>
              <w:rPr>
                <w:u w:val="none"/>
              </w:rPr>
            </w:pPr>
            <w:r>
              <w:rPr>
                <w:rFonts w:hint="eastAsia"/>
                <w:u w:val="none"/>
              </w:rPr>
              <w:t>0.1</w:t>
            </w:r>
          </w:p>
        </w:tc>
        <w:tc>
          <w:tcPr>
            <w:tcW w:w="744" w:type="dxa"/>
            <w:tcBorders>
              <w:left w:val="single" w:color="auto" w:sz="4" w:space="0"/>
            </w:tcBorders>
            <w:vAlign w:val="center"/>
          </w:tcPr>
          <w:p>
            <w:pPr>
              <w:pStyle w:val="37"/>
              <w:jc w:val="center"/>
              <w:rPr>
                <w:u w:val="none"/>
              </w:rPr>
            </w:pPr>
            <w:r>
              <w:rPr>
                <w:rFonts w:hint="eastAsia"/>
                <w:u w:val="none"/>
              </w:rPr>
              <w:t>/</w:t>
            </w:r>
          </w:p>
        </w:tc>
      </w:tr>
    </w:tbl>
    <w:p>
      <w:pPr>
        <w:ind w:firstLine="0" w:firstLineChars="0"/>
      </w:pPr>
      <w:r>
        <w:rPr>
          <w:rFonts w:hint="eastAsia"/>
        </w:rPr>
        <w:t>注：⑥=①+③+④-⑤；⑦=⑥-①</w:t>
      </w:r>
    </w:p>
    <w:p>
      <w:pPr>
        <w:pStyle w:val="57"/>
        <w:ind w:firstLine="0" w:firstLineChars="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059669"/>
    </w:sdtPr>
    <w:sdtContent>
      <w:p>
        <w:pPr>
          <w:pStyle w:val="10"/>
          <w:ind w:firstLine="360"/>
          <w:jc w:val="center"/>
        </w:pPr>
        <w:r>
          <w:fldChar w:fldCharType="begin"/>
        </w:r>
        <w:r>
          <w:instrText xml:space="preserve">PAGE   \* MERGEFORMAT</w:instrText>
        </w:r>
        <w:r>
          <w:fldChar w:fldCharType="separate"/>
        </w:r>
        <w:r>
          <w:rPr>
            <w:lang w:val="zh-CN"/>
          </w:rPr>
          <w:t>2</w:t>
        </w:r>
        <w:r>
          <w:fldChar w:fldCharType="end"/>
        </w:r>
      </w:p>
    </w:sdtContent>
  </w:sdt>
  <w:p>
    <w:pPr>
      <w:pStyle w:val="1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VkMmIzMzhjMWRjNDQ4YzJiNDE4ZDBmNjQ3ODU2YTIifQ=="/>
  </w:docVars>
  <w:rsids>
    <w:rsidRoot w:val="007577B9"/>
    <w:rsid w:val="0000101C"/>
    <w:rsid w:val="00001D4B"/>
    <w:rsid w:val="00002EBD"/>
    <w:rsid w:val="000040D1"/>
    <w:rsid w:val="00004E2D"/>
    <w:rsid w:val="00013D64"/>
    <w:rsid w:val="00017A3A"/>
    <w:rsid w:val="00020493"/>
    <w:rsid w:val="000252A0"/>
    <w:rsid w:val="0002573E"/>
    <w:rsid w:val="000268D9"/>
    <w:rsid w:val="0003007E"/>
    <w:rsid w:val="00047D28"/>
    <w:rsid w:val="00051096"/>
    <w:rsid w:val="00055B7E"/>
    <w:rsid w:val="00057C46"/>
    <w:rsid w:val="00061EB7"/>
    <w:rsid w:val="000644E8"/>
    <w:rsid w:val="00075DAF"/>
    <w:rsid w:val="000837FE"/>
    <w:rsid w:val="00083A55"/>
    <w:rsid w:val="00086646"/>
    <w:rsid w:val="000874C5"/>
    <w:rsid w:val="000877F5"/>
    <w:rsid w:val="00092251"/>
    <w:rsid w:val="000A003F"/>
    <w:rsid w:val="000A0F04"/>
    <w:rsid w:val="000A552E"/>
    <w:rsid w:val="000A57A6"/>
    <w:rsid w:val="000B518B"/>
    <w:rsid w:val="000B65D2"/>
    <w:rsid w:val="000B7674"/>
    <w:rsid w:val="000C700F"/>
    <w:rsid w:val="000D038E"/>
    <w:rsid w:val="000D2BBF"/>
    <w:rsid w:val="000D2C38"/>
    <w:rsid w:val="000D46F7"/>
    <w:rsid w:val="000D6F26"/>
    <w:rsid w:val="000E17C6"/>
    <w:rsid w:val="000E29A9"/>
    <w:rsid w:val="000F3BFE"/>
    <w:rsid w:val="000F5AB2"/>
    <w:rsid w:val="0010291F"/>
    <w:rsid w:val="00106B41"/>
    <w:rsid w:val="00113A32"/>
    <w:rsid w:val="0011563C"/>
    <w:rsid w:val="001226C0"/>
    <w:rsid w:val="00126C75"/>
    <w:rsid w:val="001354B3"/>
    <w:rsid w:val="00137CED"/>
    <w:rsid w:val="001409B1"/>
    <w:rsid w:val="0014302E"/>
    <w:rsid w:val="00143175"/>
    <w:rsid w:val="0014561A"/>
    <w:rsid w:val="00147CFD"/>
    <w:rsid w:val="00151611"/>
    <w:rsid w:val="00155486"/>
    <w:rsid w:val="0016500B"/>
    <w:rsid w:val="00165AB2"/>
    <w:rsid w:val="001662E0"/>
    <w:rsid w:val="00166F7E"/>
    <w:rsid w:val="00170408"/>
    <w:rsid w:val="0017155B"/>
    <w:rsid w:val="001845C0"/>
    <w:rsid w:val="00191296"/>
    <w:rsid w:val="00192EA1"/>
    <w:rsid w:val="00193B1A"/>
    <w:rsid w:val="001A3698"/>
    <w:rsid w:val="001A3AB8"/>
    <w:rsid w:val="001A553B"/>
    <w:rsid w:val="001A569D"/>
    <w:rsid w:val="001A6672"/>
    <w:rsid w:val="001B0B0A"/>
    <w:rsid w:val="001B4AEA"/>
    <w:rsid w:val="001B4F31"/>
    <w:rsid w:val="001B511C"/>
    <w:rsid w:val="001B7041"/>
    <w:rsid w:val="001B7626"/>
    <w:rsid w:val="001C02FF"/>
    <w:rsid w:val="001C2C12"/>
    <w:rsid w:val="001C39A2"/>
    <w:rsid w:val="001C4AA7"/>
    <w:rsid w:val="001C64AB"/>
    <w:rsid w:val="001D1902"/>
    <w:rsid w:val="001D198D"/>
    <w:rsid w:val="001D5447"/>
    <w:rsid w:val="001D5A54"/>
    <w:rsid w:val="001E031C"/>
    <w:rsid w:val="001E2E97"/>
    <w:rsid w:val="001E423C"/>
    <w:rsid w:val="001E6E05"/>
    <w:rsid w:val="001E7059"/>
    <w:rsid w:val="001F1E02"/>
    <w:rsid w:val="00200A58"/>
    <w:rsid w:val="00202587"/>
    <w:rsid w:val="00202AE7"/>
    <w:rsid w:val="0020706B"/>
    <w:rsid w:val="00211B73"/>
    <w:rsid w:val="00212A2E"/>
    <w:rsid w:val="00214B67"/>
    <w:rsid w:val="002154D3"/>
    <w:rsid w:val="002171AD"/>
    <w:rsid w:val="0022733A"/>
    <w:rsid w:val="002277A0"/>
    <w:rsid w:val="00233108"/>
    <w:rsid w:val="00234B54"/>
    <w:rsid w:val="00234B73"/>
    <w:rsid w:val="00234BF4"/>
    <w:rsid w:val="00236EF9"/>
    <w:rsid w:val="00242370"/>
    <w:rsid w:val="00243B04"/>
    <w:rsid w:val="00245A21"/>
    <w:rsid w:val="002462A1"/>
    <w:rsid w:val="00256174"/>
    <w:rsid w:val="00257BAE"/>
    <w:rsid w:val="00261BF1"/>
    <w:rsid w:val="00263712"/>
    <w:rsid w:val="002654CD"/>
    <w:rsid w:val="0027340F"/>
    <w:rsid w:val="0028388E"/>
    <w:rsid w:val="002942A0"/>
    <w:rsid w:val="00294F9B"/>
    <w:rsid w:val="002A72EE"/>
    <w:rsid w:val="002B3BF0"/>
    <w:rsid w:val="002B3D1D"/>
    <w:rsid w:val="002C322F"/>
    <w:rsid w:val="002C324A"/>
    <w:rsid w:val="002C39AF"/>
    <w:rsid w:val="002C3E41"/>
    <w:rsid w:val="002C4E49"/>
    <w:rsid w:val="002C734B"/>
    <w:rsid w:val="002D4D0C"/>
    <w:rsid w:val="002E34FA"/>
    <w:rsid w:val="002F217C"/>
    <w:rsid w:val="002F5271"/>
    <w:rsid w:val="002F7225"/>
    <w:rsid w:val="002F72B1"/>
    <w:rsid w:val="00300ADF"/>
    <w:rsid w:val="0030117D"/>
    <w:rsid w:val="00305840"/>
    <w:rsid w:val="003107BE"/>
    <w:rsid w:val="0031524B"/>
    <w:rsid w:val="00323BEA"/>
    <w:rsid w:val="00323E79"/>
    <w:rsid w:val="00325855"/>
    <w:rsid w:val="003315A4"/>
    <w:rsid w:val="00343AF2"/>
    <w:rsid w:val="00344A04"/>
    <w:rsid w:val="00346BFB"/>
    <w:rsid w:val="00347C92"/>
    <w:rsid w:val="003515A2"/>
    <w:rsid w:val="0035368F"/>
    <w:rsid w:val="00362B0D"/>
    <w:rsid w:val="00367FD2"/>
    <w:rsid w:val="003811D4"/>
    <w:rsid w:val="00382A1D"/>
    <w:rsid w:val="00387807"/>
    <w:rsid w:val="00387E7E"/>
    <w:rsid w:val="00390350"/>
    <w:rsid w:val="0039650F"/>
    <w:rsid w:val="00397110"/>
    <w:rsid w:val="003A1502"/>
    <w:rsid w:val="003A2423"/>
    <w:rsid w:val="003A26C2"/>
    <w:rsid w:val="003A387F"/>
    <w:rsid w:val="003A4387"/>
    <w:rsid w:val="003A6BC6"/>
    <w:rsid w:val="003A7C01"/>
    <w:rsid w:val="003B06C4"/>
    <w:rsid w:val="003B0F75"/>
    <w:rsid w:val="003B7FA6"/>
    <w:rsid w:val="003C04DE"/>
    <w:rsid w:val="003C0594"/>
    <w:rsid w:val="003C1558"/>
    <w:rsid w:val="003C16AC"/>
    <w:rsid w:val="003C3028"/>
    <w:rsid w:val="003D0C7C"/>
    <w:rsid w:val="003D128C"/>
    <w:rsid w:val="003D4F62"/>
    <w:rsid w:val="003E3DB1"/>
    <w:rsid w:val="003F0F53"/>
    <w:rsid w:val="003F5A7D"/>
    <w:rsid w:val="003F7B18"/>
    <w:rsid w:val="00400C01"/>
    <w:rsid w:val="004010AF"/>
    <w:rsid w:val="004040FA"/>
    <w:rsid w:val="00411ED8"/>
    <w:rsid w:val="0041445A"/>
    <w:rsid w:val="00420BEC"/>
    <w:rsid w:val="00423122"/>
    <w:rsid w:val="00435B83"/>
    <w:rsid w:val="0043724B"/>
    <w:rsid w:val="00446F30"/>
    <w:rsid w:val="004525E0"/>
    <w:rsid w:val="004606AB"/>
    <w:rsid w:val="004662CF"/>
    <w:rsid w:val="00483112"/>
    <w:rsid w:val="00485F5C"/>
    <w:rsid w:val="004864DB"/>
    <w:rsid w:val="004903BC"/>
    <w:rsid w:val="0049046F"/>
    <w:rsid w:val="00491237"/>
    <w:rsid w:val="00492E8A"/>
    <w:rsid w:val="004A093B"/>
    <w:rsid w:val="004A2566"/>
    <w:rsid w:val="004A3348"/>
    <w:rsid w:val="004A5709"/>
    <w:rsid w:val="004B0DD0"/>
    <w:rsid w:val="004B12C1"/>
    <w:rsid w:val="004B7851"/>
    <w:rsid w:val="004C702C"/>
    <w:rsid w:val="004D3ED7"/>
    <w:rsid w:val="004E1542"/>
    <w:rsid w:val="004E2CD6"/>
    <w:rsid w:val="004E3DE5"/>
    <w:rsid w:val="004F047A"/>
    <w:rsid w:val="004F7955"/>
    <w:rsid w:val="00502D64"/>
    <w:rsid w:val="00507DC2"/>
    <w:rsid w:val="00512338"/>
    <w:rsid w:val="00516C47"/>
    <w:rsid w:val="00525312"/>
    <w:rsid w:val="005270D9"/>
    <w:rsid w:val="005276B7"/>
    <w:rsid w:val="005362EC"/>
    <w:rsid w:val="00541EE0"/>
    <w:rsid w:val="005436DE"/>
    <w:rsid w:val="005471B8"/>
    <w:rsid w:val="00550FC7"/>
    <w:rsid w:val="00556ABE"/>
    <w:rsid w:val="005639E5"/>
    <w:rsid w:val="0056471C"/>
    <w:rsid w:val="005655F5"/>
    <w:rsid w:val="00567399"/>
    <w:rsid w:val="00575465"/>
    <w:rsid w:val="005816A9"/>
    <w:rsid w:val="0058255A"/>
    <w:rsid w:val="005841DE"/>
    <w:rsid w:val="00584D25"/>
    <w:rsid w:val="00594E03"/>
    <w:rsid w:val="005A2CFC"/>
    <w:rsid w:val="005B31BD"/>
    <w:rsid w:val="005B3D97"/>
    <w:rsid w:val="005B4FE3"/>
    <w:rsid w:val="005B6FEE"/>
    <w:rsid w:val="005C7E80"/>
    <w:rsid w:val="005D217C"/>
    <w:rsid w:val="005D3AC8"/>
    <w:rsid w:val="005D526C"/>
    <w:rsid w:val="005E08B5"/>
    <w:rsid w:val="005E6509"/>
    <w:rsid w:val="005F1006"/>
    <w:rsid w:val="005F3A7A"/>
    <w:rsid w:val="005F42F9"/>
    <w:rsid w:val="0060284B"/>
    <w:rsid w:val="00602937"/>
    <w:rsid w:val="006054B5"/>
    <w:rsid w:val="00605BDD"/>
    <w:rsid w:val="00612508"/>
    <w:rsid w:val="00620965"/>
    <w:rsid w:val="00623BE9"/>
    <w:rsid w:val="0062482C"/>
    <w:rsid w:val="006274F9"/>
    <w:rsid w:val="00631FBF"/>
    <w:rsid w:val="00634C82"/>
    <w:rsid w:val="0064665D"/>
    <w:rsid w:val="006477A2"/>
    <w:rsid w:val="00653904"/>
    <w:rsid w:val="00654841"/>
    <w:rsid w:val="006620BC"/>
    <w:rsid w:val="006677B7"/>
    <w:rsid w:val="00676C09"/>
    <w:rsid w:val="00676F68"/>
    <w:rsid w:val="00680BC0"/>
    <w:rsid w:val="00683A0A"/>
    <w:rsid w:val="00684B54"/>
    <w:rsid w:val="006855DD"/>
    <w:rsid w:val="00693CE7"/>
    <w:rsid w:val="006A0E6D"/>
    <w:rsid w:val="006A5926"/>
    <w:rsid w:val="006B5323"/>
    <w:rsid w:val="006B6456"/>
    <w:rsid w:val="006E14AD"/>
    <w:rsid w:val="006E2A41"/>
    <w:rsid w:val="006E7D34"/>
    <w:rsid w:val="006F008A"/>
    <w:rsid w:val="006F106C"/>
    <w:rsid w:val="006F2B18"/>
    <w:rsid w:val="006F64FE"/>
    <w:rsid w:val="00703C13"/>
    <w:rsid w:val="00704F1C"/>
    <w:rsid w:val="00711378"/>
    <w:rsid w:val="00711EA6"/>
    <w:rsid w:val="00713526"/>
    <w:rsid w:val="00715B99"/>
    <w:rsid w:val="00716805"/>
    <w:rsid w:val="00717162"/>
    <w:rsid w:val="00733883"/>
    <w:rsid w:val="007376B3"/>
    <w:rsid w:val="0074092C"/>
    <w:rsid w:val="00740BA0"/>
    <w:rsid w:val="0074642E"/>
    <w:rsid w:val="00746638"/>
    <w:rsid w:val="0075244B"/>
    <w:rsid w:val="007577B9"/>
    <w:rsid w:val="00771ADA"/>
    <w:rsid w:val="00775B1C"/>
    <w:rsid w:val="00776D19"/>
    <w:rsid w:val="00777665"/>
    <w:rsid w:val="007818A8"/>
    <w:rsid w:val="00783A44"/>
    <w:rsid w:val="00784D14"/>
    <w:rsid w:val="00794F78"/>
    <w:rsid w:val="00795582"/>
    <w:rsid w:val="0079602A"/>
    <w:rsid w:val="00796A0D"/>
    <w:rsid w:val="00796F6A"/>
    <w:rsid w:val="007A4A16"/>
    <w:rsid w:val="007A62DE"/>
    <w:rsid w:val="007B16BD"/>
    <w:rsid w:val="007B19AD"/>
    <w:rsid w:val="007B268A"/>
    <w:rsid w:val="007B7AB1"/>
    <w:rsid w:val="007C57A2"/>
    <w:rsid w:val="007C744A"/>
    <w:rsid w:val="007C7F9B"/>
    <w:rsid w:val="007D1A9C"/>
    <w:rsid w:val="007D41DB"/>
    <w:rsid w:val="007D46F4"/>
    <w:rsid w:val="007D693F"/>
    <w:rsid w:val="007D7A64"/>
    <w:rsid w:val="007E1C7B"/>
    <w:rsid w:val="007E6407"/>
    <w:rsid w:val="007F04B1"/>
    <w:rsid w:val="007F1B92"/>
    <w:rsid w:val="007F29FF"/>
    <w:rsid w:val="007F6942"/>
    <w:rsid w:val="00805C9D"/>
    <w:rsid w:val="00806EE6"/>
    <w:rsid w:val="00813A7A"/>
    <w:rsid w:val="00814525"/>
    <w:rsid w:val="00814972"/>
    <w:rsid w:val="0081737A"/>
    <w:rsid w:val="0082152E"/>
    <w:rsid w:val="00822D39"/>
    <w:rsid w:val="00824881"/>
    <w:rsid w:val="00826F4F"/>
    <w:rsid w:val="0082766D"/>
    <w:rsid w:val="00830ABB"/>
    <w:rsid w:val="00832D6C"/>
    <w:rsid w:val="0083363A"/>
    <w:rsid w:val="00836278"/>
    <w:rsid w:val="008370CA"/>
    <w:rsid w:val="00841AD8"/>
    <w:rsid w:val="00843D05"/>
    <w:rsid w:val="00850556"/>
    <w:rsid w:val="00852B8F"/>
    <w:rsid w:val="008601EA"/>
    <w:rsid w:val="008620B3"/>
    <w:rsid w:val="008623D0"/>
    <w:rsid w:val="00871EF9"/>
    <w:rsid w:val="0087205F"/>
    <w:rsid w:val="00873833"/>
    <w:rsid w:val="00876B07"/>
    <w:rsid w:val="008836F8"/>
    <w:rsid w:val="00886C22"/>
    <w:rsid w:val="0088784C"/>
    <w:rsid w:val="0089298F"/>
    <w:rsid w:val="0089391C"/>
    <w:rsid w:val="00895C09"/>
    <w:rsid w:val="008970E2"/>
    <w:rsid w:val="008A7EA3"/>
    <w:rsid w:val="008B2149"/>
    <w:rsid w:val="008B22E0"/>
    <w:rsid w:val="008B4884"/>
    <w:rsid w:val="008C2AF6"/>
    <w:rsid w:val="008C3612"/>
    <w:rsid w:val="008C43EE"/>
    <w:rsid w:val="008C45D3"/>
    <w:rsid w:val="008D14A0"/>
    <w:rsid w:val="008D1CB0"/>
    <w:rsid w:val="008D1D09"/>
    <w:rsid w:val="008D3104"/>
    <w:rsid w:val="008D7D68"/>
    <w:rsid w:val="008E0C53"/>
    <w:rsid w:val="008F21E6"/>
    <w:rsid w:val="00900479"/>
    <w:rsid w:val="0090156F"/>
    <w:rsid w:val="00904E89"/>
    <w:rsid w:val="00907006"/>
    <w:rsid w:val="0091048F"/>
    <w:rsid w:val="009136C7"/>
    <w:rsid w:val="009204E7"/>
    <w:rsid w:val="00931BE0"/>
    <w:rsid w:val="00932456"/>
    <w:rsid w:val="009336B5"/>
    <w:rsid w:val="00936A97"/>
    <w:rsid w:val="009374D5"/>
    <w:rsid w:val="00946A11"/>
    <w:rsid w:val="00952482"/>
    <w:rsid w:val="00953235"/>
    <w:rsid w:val="009602C5"/>
    <w:rsid w:val="00963E00"/>
    <w:rsid w:val="00972F7F"/>
    <w:rsid w:val="00973412"/>
    <w:rsid w:val="0097426A"/>
    <w:rsid w:val="00975ED1"/>
    <w:rsid w:val="0098141E"/>
    <w:rsid w:val="0098294F"/>
    <w:rsid w:val="00983E50"/>
    <w:rsid w:val="009847E1"/>
    <w:rsid w:val="0099087B"/>
    <w:rsid w:val="009935CD"/>
    <w:rsid w:val="00993A4C"/>
    <w:rsid w:val="009941D3"/>
    <w:rsid w:val="009A2289"/>
    <w:rsid w:val="009A48D7"/>
    <w:rsid w:val="009A7A3D"/>
    <w:rsid w:val="009B1274"/>
    <w:rsid w:val="009B2CA5"/>
    <w:rsid w:val="009B4A8F"/>
    <w:rsid w:val="009B4B39"/>
    <w:rsid w:val="009B5578"/>
    <w:rsid w:val="009B607A"/>
    <w:rsid w:val="009C7D46"/>
    <w:rsid w:val="009D3E5F"/>
    <w:rsid w:val="009E28B4"/>
    <w:rsid w:val="009E300E"/>
    <w:rsid w:val="009E389D"/>
    <w:rsid w:val="009E38DE"/>
    <w:rsid w:val="009E3987"/>
    <w:rsid w:val="009E3BB0"/>
    <w:rsid w:val="009E3C4E"/>
    <w:rsid w:val="009E6631"/>
    <w:rsid w:val="009F2433"/>
    <w:rsid w:val="009F3E1F"/>
    <w:rsid w:val="009F440D"/>
    <w:rsid w:val="009F4AF3"/>
    <w:rsid w:val="00A010D9"/>
    <w:rsid w:val="00A045DD"/>
    <w:rsid w:val="00A10027"/>
    <w:rsid w:val="00A101D7"/>
    <w:rsid w:val="00A135F7"/>
    <w:rsid w:val="00A14CA6"/>
    <w:rsid w:val="00A153CD"/>
    <w:rsid w:val="00A1608D"/>
    <w:rsid w:val="00A2611F"/>
    <w:rsid w:val="00A26467"/>
    <w:rsid w:val="00A30D1B"/>
    <w:rsid w:val="00A310FF"/>
    <w:rsid w:val="00A324B6"/>
    <w:rsid w:val="00A333D9"/>
    <w:rsid w:val="00A435B0"/>
    <w:rsid w:val="00A45B12"/>
    <w:rsid w:val="00A50C51"/>
    <w:rsid w:val="00A57E88"/>
    <w:rsid w:val="00A62658"/>
    <w:rsid w:val="00A645BA"/>
    <w:rsid w:val="00A6782C"/>
    <w:rsid w:val="00A70041"/>
    <w:rsid w:val="00A734D6"/>
    <w:rsid w:val="00A77B92"/>
    <w:rsid w:val="00A80F29"/>
    <w:rsid w:val="00A867B8"/>
    <w:rsid w:val="00A935F7"/>
    <w:rsid w:val="00A937E4"/>
    <w:rsid w:val="00A94400"/>
    <w:rsid w:val="00A971C5"/>
    <w:rsid w:val="00AA2D4B"/>
    <w:rsid w:val="00AA48EE"/>
    <w:rsid w:val="00AA5BDD"/>
    <w:rsid w:val="00AA6C10"/>
    <w:rsid w:val="00AB400F"/>
    <w:rsid w:val="00AC08C0"/>
    <w:rsid w:val="00AC3910"/>
    <w:rsid w:val="00AC62D7"/>
    <w:rsid w:val="00AD3A21"/>
    <w:rsid w:val="00AD7ACA"/>
    <w:rsid w:val="00AE2891"/>
    <w:rsid w:val="00AE353B"/>
    <w:rsid w:val="00AE4664"/>
    <w:rsid w:val="00AE5D49"/>
    <w:rsid w:val="00AF1103"/>
    <w:rsid w:val="00B06EC3"/>
    <w:rsid w:val="00B074B0"/>
    <w:rsid w:val="00B13420"/>
    <w:rsid w:val="00B15FEF"/>
    <w:rsid w:val="00B160C6"/>
    <w:rsid w:val="00B23D80"/>
    <w:rsid w:val="00B33A36"/>
    <w:rsid w:val="00B341DE"/>
    <w:rsid w:val="00B351B6"/>
    <w:rsid w:val="00B4027D"/>
    <w:rsid w:val="00B41C30"/>
    <w:rsid w:val="00B47C3F"/>
    <w:rsid w:val="00B50019"/>
    <w:rsid w:val="00B57EE8"/>
    <w:rsid w:val="00B64798"/>
    <w:rsid w:val="00B656E1"/>
    <w:rsid w:val="00B76A55"/>
    <w:rsid w:val="00B8000C"/>
    <w:rsid w:val="00B813CC"/>
    <w:rsid w:val="00B8155F"/>
    <w:rsid w:val="00B82C36"/>
    <w:rsid w:val="00B83797"/>
    <w:rsid w:val="00B8534D"/>
    <w:rsid w:val="00B9446F"/>
    <w:rsid w:val="00BA32FA"/>
    <w:rsid w:val="00BA4658"/>
    <w:rsid w:val="00BB4086"/>
    <w:rsid w:val="00BB4982"/>
    <w:rsid w:val="00BB5840"/>
    <w:rsid w:val="00BC17E9"/>
    <w:rsid w:val="00BC612B"/>
    <w:rsid w:val="00BD1CA6"/>
    <w:rsid w:val="00BD22B2"/>
    <w:rsid w:val="00BD28C2"/>
    <w:rsid w:val="00BD30FA"/>
    <w:rsid w:val="00BD68E2"/>
    <w:rsid w:val="00BE1151"/>
    <w:rsid w:val="00BE224E"/>
    <w:rsid w:val="00BE5684"/>
    <w:rsid w:val="00BE5FE3"/>
    <w:rsid w:val="00BE662A"/>
    <w:rsid w:val="00BE7804"/>
    <w:rsid w:val="00BF0647"/>
    <w:rsid w:val="00BF2099"/>
    <w:rsid w:val="00BF7FA3"/>
    <w:rsid w:val="00C0743A"/>
    <w:rsid w:val="00C1390B"/>
    <w:rsid w:val="00C14785"/>
    <w:rsid w:val="00C20F90"/>
    <w:rsid w:val="00C320CC"/>
    <w:rsid w:val="00C324A5"/>
    <w:rsid w:val="00C36516"/>
    <w:rsid w:val="00C373DD"/>
    <w:rsid w:val="00C443FD"/>
    <w:rsid w:val="00C554C1"/>
    <w:rsid w:val="00C56A67"/>
    <w:rsid w:val="00C60F34"/>
    <w:rsid w:val="00C70218"/>
    <w:rsid w:val="00C70AAD"/>
    <w:rsid w:val="00C70C81"/>
    <w:rsid w:val="00C726DF"/>
    <w:rsid w:val="00C735BA"/>
    <w:rsid w:val="00C7538B"/>
    <w:rsid w:val="00C76825"/>
    <w:rsid w:val="00C8119E"/>
    <w:rsid w:val="00C815ED"/>
    <w:rsid w:val="00C81FA0"/>
    <w:rsid w:val="00C86B86"/>
    <w:rsid w:val="00C93034"/>
    <w:rsid w:val="00C93193"/>
    <w:rsid w:val="00CA68D0"/>
    <w:rsid w:val="00CA6D24"/>
    <w:rsid w:val="00CB1C72"/>
    <w:rsid w:val="00CC0524"/>
    <w:rsid w:val="00CC0724"/>
    <w:rsid w:val="00CC542F"/>
    <w:rsid w:val="00CC606C"/>
    <w:rsid w:val="00CD4E4C"/>
    <w:rsid w:val="00CD6FEC"/>
    <w:rsid w:val="00CE0D25"/>
    <w:rsid w:val="00CE3C03"/>
    <w:rsid w:val="00CE590D"/>
    <w:rsid w:val="00CE5A06"/>
    <w:rsid w:val="00CE6F7D"/>
    <w:rsid w:val="00CE7A86"/>
    <w:rsid w:val="00CF32E8"/>
    <w:rsid w:val="00D04124"/>
    <w:rsid w:val="00D05918"/>
    <w:rsid w:val="00D063C6"/>
    <w:rsid w:val="00D165FD"/>
    <w:rsid w:val="00D17D95"/>
    <w:rsid w:val="00D22ED7"/>
    <w:rsid w:val="00D248E5"/>
    <w:rsid w:val="00D259DA"/>
    <w:rsid w:val="00D264C5"/>
    <w:rsid w:val="00D265DB"/>
    <w:rsid w:val="00D26667"/>
    <w:rsid w:val="00D268AB"/>
    <w:rsid w:val="00D373A4"/>
    <w:rsid w:val="00D404A5"/>
    <w:rsid w:val="00D44469"/>
    <w:rsid w:val="00D51B76"/>
    <w:rsid w:val="00D5335D"/>
    <w:rsid w:val="00D5559C"/>
    <w:rsid w:val="00D60EC8"/>
    <w:rsid w:val="00D66AE7"/>
    <w:rsid w:val="00D75A05"/>
    <w:rsid w:val="00D80970"/>
    <w:rsid w:val="00D84CBB"/>
    <w:rsid w:val="00D8611B"/>
    <w:rsid w:val="00DA19A5"/>
    <w:rsid w:val="00DA1EFB"/>
    <w:rsid w:val="00DA244B"/>
    <w:rsid w:val="00DA4276"/>
    <w:rsid w:val="00DB0A7F"/>
    <w:rsid w:val="00DB745B"/>
    <w:rsid w:val="00DC2C57"/>
    <w:rsid w:val="00DC4E35"/>
    <w:rsid w:val="00DD1952"/>
    <w:rsid w:val="00DD2F90"/>
    <w:rsid w:val="00DD3F83"/>
    <w:rsid w:val="00DD6D8B"/>
    <w:rsid w:val="00DD7AAC"/>
    <w:rsid w:val="00DD7B3C"/>
    <w:rsid w:val="00DE0FA1"/>
    <w:rsid w:val="00DF34D5"/>
    <w:rsid w:val="00E018C3"/>
    <w:rsid w:val="00E04A52"/>
    <w:rsid w:val="00E0588B"/>
    <w:rsid w:val="00E11C7A"/>
    <w:rsid w:val="00E1361C"/>
    <w:rsid w:val="00E24BC2"/>
    <w:rsid w:val="00E26F08"/>
    <w:rsid w:val="00E3068A"/>
    <w:rsid w:val="00E31155"/>
    <w:rsid w:val="00E3276C"/>
    <w:rsid w:val="00E353F6"/>
    <w:rsid w:val="00E40F34"/>
    <w:rsid w:val="00E557A1"/>
    <w:rsid w:val="00E70915"/>
    <w:rsid w:val="00E72AB4"/>
    <w:rsid w:val="00E73CB8"/>
    <w:rsid w:val="00E8367A"/>
    <w:rsid w:val="00E85A11"/>
    <w:rsid w:val="00E96D02"/>
    <w:rsid w:val="00EA1149"/>
    <w:rsid w:val="00EA2867"/>
    <w:rsid w:val="00EA49A6"/>
    <w:rsid w:val="00EA5AD1"/>
    <w:rsid w:val="00EC09DE"/>
    <w:rsid w:val="00EC1155"/>
    <w:rsid w:val="00EC2682"/>
    <w:rsid w:val="00EC2AC7"/>
    <w:rsid w:val="00EC2AE2"/>
    <w:rsid w:val="00EC64F8"/>
    <w:rsid w:val="00EC7876"/>
    <w:rsid w:val="00ED3002"/>
    <w:rsid w:val="00ED32F8"/>
    <w:rsid w:val="00EE06BE"/>
    <w:rsid w:val="00EE06CB"/>
    <w:rsid w:val="00EE1C7E"/>
    <w:rsid w:val="00EE518A"/>
    <w:rsid w:val="00EE6969"/>
    <w:rsid w:val="00EF3058"/>
    <w:rsid w:val="00EF3242"/>
    <w:rsid w:val="00F027F8"/>
    <w:rsid w:val="00F03500"/>
    <w:rsid w:val="00F03561"/>
    <w:rsid w:val="00F12B8A"/>
    <w:rsid w:val="00F215F0"/>
    <w:rsid w:val="00F27A4A"/>
    <w:rsid w:val="00F3136E"/>
    <w:rsid w:val="00F31863"/>
    <w:rsid w:val="00F32C53"/>
    <w:rsid w:val="00F34F7E"/>
    <w:rsid w:val="00F364D4"/>
    <w:rsid w:val="00F37973"/>
    <w:rsid w:val="00F404B5"/>
    <w:rsid w:val="00F40845"/>
    <w:rsid w:val="00F44107"/>
    <w:rsid w:val="00F4733D"/>
    <w:rsid w:val="00F5184D"/>
    <w:rsid w:val="00F544C9"/>
    <w:rsid w:val="00F6118B"/>
    <w:rsid w:val="00F626BE"/>
    <w:rsid w:val="00F669EB"/>
    <w:rsid w:val="00F724E0"/>
    <w:rsid w:val="00F7303D"/>
    <w:rsid w:val="00F744D5"/>
    <w:rsid w:val="00F76390"/>
    <w:rsid w:val="00F77115"/>
    <w:rsid w:val="00F77ED3"/>
    <w:rsid w:val="00F851A5"/>
    <w:rsid w:val="00F87295"/>
    <w:rsid w:val="00F931BB"/>
    <w:rsid w:val="00F93BC6"/>
    <w:rsid w:val="00FA0D62"/>
    <w:rsid w:val="00FB31B0"/>
    <w:rsid w:val="00FB6A17"/>
    <w:rsid w:val="00FC7221"/>
    <w:rsid w:val="00FE5AD2"/>
    <w:rsid w:val="00FF234E"/>
    <w:rsid w:val="00FF2895"/>
    <w:rsid w:val="00FF5E0E"/>
    <w:rsid w:val="00FF702A"/>
    <w:rsid w:val="13E63C62"/>
    <w:rsid w:val="1F316F2E"/>
    <w:rsid w:val="2FC328FA"/>
    <w:rsid w:val="3C0D3F12"/>
    <w:rsid w:val="483A5895"/>
    <w:rsid w:val="4A9D4E37"/>
    <w:rsid w:val="5633340C"/>
    <w:rsid w:val="5DC14EE5"/>
    <w:rsid w:val="63E73767"/>
    <w:rsid w:val="7AD85D51"/>
    <w:rsid w:val="7CBD0584"/>
    <w:rsid w:val="7E2746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4"/>
    <w:qFormat/>
    <w:uiPriority w:val="9"/>
    <w:pPr>
      <w:keepNext/>
      <w:keepLines/>
      <w:ind w:firstLine="562"/>
      <w:jc w:val="left"/>
      <w:outlineLvl w:val="0"/>
    </w:pPr>
    <w:rPr>
      <w:b/>
      <w:bCs/>
      <w:kern w:val="44"/>
      <w:sz w:val="28"/>
      <w:szCs w:val="44"/>
    </w:rPr>
  </w:style>
  <w:style w:type="paragraph" w:styleId="3">
    <w:name w:val="heading 2"/>
    <w:basedOn w:val="1"/>
    <w:next w:val="1"/>
    <w:link w:val="25"/>
    <w:unhideWhenUsed/>
    <w:qFormat/>
    <w:uiPriority w:val="9"/>
    <w:pPr>
      <w:keepNext/>
      <w:keepLines/>
      <w:ind w:firstLine="480"/>
      <w:outlineLvl w:val="1"/>
    </w:pPr>
    <w:rPr>
      <w:rFonts w:eastAsiaTheme="majorEastAsia" w:cstheme="majorBidi"/>
      <w:b/>
      <w:bCs/>
      <w:szCs w:val="32"/>
    </w:rPr>
  </w:style>
  <w:style w:type="paragraph" w:styleId="4">
    <w:name w:val="heading 3"/>
    <w:basedOn w:val="1"/>
    <w:next w:val="1"/>
    <w:link w:val="26"/>
    <w:unhideWhenUsed/>
    <w:qFormat/>
    <w:uiPriority w:val="0"/>
    <w:pPr>
      <w:keepNext/>
      <w:keepLines/>
      <w:ind w:firstLine="482"/>
      <w:outlineLvl w:val="2"/>
    </w:pPr>
    <w:rPr>
      <w:b/>
      <w:bCs/>
      <w:szCs w:val="32"/>
    </w:rPr>
  </w:style>
  <w:style w:type="paragraph" w:styleId="5">
    <w:name w:val="heading 4"/>
    <w:basedOn w:val="1"/>
    <w:next w:val="1"/>
    <w:link w:val="36"/>
    <w:unhideWhenUsed/>
    <w:qFormat/>
    <w:uiPriority w:val="9"/>
    <w:pPr>
      <w:keepNext/>
      <w:keepLines/>
      <w:ind w:firstLine="562"/>
      <w:jc w:val="left"/>
      <w:outlineLvl w:val="3"/>
    </w:pPr>
    <w:rPr>
      <w:rFonts w:asciiTheme="majorHAnsi" w:hAnsiTheme="majorHAnsi" w:eastAsiaTheme="minorEastAsia" w:cstheme="majorBidi"/>
      <w:b/>
      <w:bCs/>
      <w:szCs w:val="28"/>
    </w:rPr>
  </w:style>
  <w:style w:type="character" w:default="1" w:styleId="19">
    <w:name w:val="Default Paragraph Font"/>
    <w:semiHidden/>
    <w:unhideWhenUsed/>
    <w:uiPriority w:val="1"/>
  </w:style>
  <w:style w:type="table" w:default="1" w:styleId="17">
    <w:name w:val="Normal Table"/>
    <w:semiHidden/>
    <w:unhideWhenUsed/>
    <w:uiPriority w:val="99"/>
    <w:tblPr>
      <w:tblLayout w:type="fixed"/>
      <w:tblCellMar>
        <w:top w:w="0" w:type="dxa"/>
        <w:left w:w="108" w:type="dxa"/>
        <w:bottom w:w="0" w:type="dxa"/>
        <w:right w:w="108" w:type="dxa"/>
      </w:tblCellMar>
    </w:tblPr>
  </w:style>
  <w:style w:type="paragraph" w:styleId="6">
    <w:name w:val="annotation text"/>
    <w:basedOn w:val="1"/>
    <w:link w:val="44"/>
    <w:unhideWhenUsed/>
    <w:qFormat/>
    <w:uiPriority w:val="99"/>
    <w:pPr>
      <w:jc w:val="left"/>
    </w:pPr>
  </w:style>
  <w:style w:type="paragraph" w:styleId="7">
    <w:name w:val="Body Text"/>
    <w:basedOn w:val="1"/>
    <w:link w:val="68"/>
    <w:semiHidden/>
    <w:unhideWhenUsed/>
    <w:qFormat/>
    <w:uiPriority w:val="99"/>
    <w:pPr>
      <w:spacing w:after="120"/>
    </w:pPr>
  </w:style>
  <w:style w:type="paragraph" w:styleId="8">
    <w:name w:val="toc 3"/>
    <w:basedOn w:val="1"/>
    <w:next w:val="1"/>
    <w:unhideWhenUsed/>
    <w:qFormat/>
    <w:uiPriority w:val="39"/>
    <w:pPr>
      <w:tabs>
        <w:tab w:val="right" w:leader="dot" w:pos="8296"/>
      </w:tabs>
      <w:ind w:firstLine="480"/>
    </w:pPr>
  </w:style>
  <w:style w:type="paragraph" w:styleId="9">
    <w:name w:val="Body Text Indent 2"/>
    <w:basedOn w:val="1"/>
    <w:link w:val="60"/>
    <w:qFormat/>
    <w:uiPriority w:val="0"/>
    <w:pPr>
      <w:spacing w:after="120" w:line="480" w:lineRule="auto"/>
      <w:ind w:left="420" w:leftChars="200" w:firstLine="0" w:firstLineChars="0"/>
    </w:pPr>
    <w:rPr>
      <w:rFonts w:cs="Times New Roman"/>
      <w:sz w:val="21"/>
      <w:szCs w:val="24"/>
    </w:rPr>
  </w:style>
  <w:style w:type="paragraph" w:styleId="10">
    <w:name w:val="footer"/>
    <w:basedOn w:val="1"/>
    <w:link w:val="39"/>
    <w:unhideWhenUsed/>
    <w:qFormat/>
    <w:uiPriority w:val="99"/>
    <w:pPr>
      <w:tabs>
        <w:tab w:val="center" w:pos="4153"/>
        <w:tab w:val="right" w:pos="8306"/>
      </w:tabs>
      <w:snapToGrid w:val="0"/>
      <w:spacing w:line="240" w:lineRule="auto"/>
      <w:jc w:val="left"/>
    </w:pPr>
    <w:rPr>
      <w:sz w:val="18"/>
      <w:szCs w:val="18"/>
    </w:rPr>
  </w:style>
  <w:style w:type="paragraph" w:styleId="11">
    <w:name w:val="header"/>
    <w:basedOn w:val="1"/>
    <w:link w:val="3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unhideWhenUsed/>
    <w:qFormat/>
    <w:uiPriority w:val="39"/>
    <w:pPr>
      <w:tabs>
        <w:tab w:val="right" w:leader="dot" w:pos="8296"/>
      </w:tabs>
      <w:ind w:firstLine="480"/>
    </w:pPr>
  </w:style>
  <w:style w:type="paragraph" w:styleId="13">
    <w:name w:val="Normal (Web)"/>
    <w:basedOn w:val="1"/>
    <w:link w:val="40"/>
    <w:qFormat/>
    <w:uiPriority w:val="0"/>
    <w:pPr>
      <w:widowControl/>
      <w:spacing w:before="100" w:beforeAutospacing="1" w:after="100" w:afterAutospacing="1" w:line="240" w:lineRule="auto"/>
      <w:ind w:firstLine="0" w:firstLineChars="0"/>
      <w:jc w:val="left"/>
    </w:pPr>
    <w:rPr>
      <w:rFonts w:ascii="宋体" w:hAnsi="宋体" w:cs="Times New Roman"/>
      <w:kern w:val="0"/>
      <w:szCs w:val="24"/>
    </w:rPr>
  </w:style>
  <w:style w:type="paragraph" w:styleId="14">
    <w:name w:val="Title"/>
    <w:basedOn w:val="1"/>
    <w:next w:val="1"/>
    <w:link w:val="35"/>
    <w:qFormat/>
    <w:uiPriority w:val="10"/>
    <w:pPr>
      <w:jc w:val="left"/>
      <w:outlineLvl w:val="0"/>
    </w:pPr>
    <w:rPr>
      <w:rFonts w:asciiTheme="majorHAnsi" w:hAnsiTheme="majorHAnsi" w:cstheme="majorBidi"/>
      <w:b/>
      <w:bCs/>
      <w:sz w:val="32"/>
      <w:szCs w:val="32"/>
    </w:rPr>
  </w:style>
  <w:style w:type="paragraph" w:styleId="15">
    <w:name w:val="annotation subject"/>
    <w:basedOn w:val="6"/>
    <w:next w:val="6"/>
    <w:link w:val="45"/>
    <w:semiHidden/>
    <w:unhideWhenUsed/>
    <w:qFormat/>
    <w:uiPriority w:val="99"/>
    <w:rPr>
      <w:b/>
      <w:bCs/>
    </w:rPr>
  </w:style>
  <w:style w:type="paragraph" w:styleId="16">
    <w:name w:val="Body Text First Indent"/>
    <w:basedOn w:val="7"/>
    <w:link w:val="69"/>
    <w:qFormat/>
    <w:uiPriority w:val="0"/>
    <w:pPr>
      <w:ind w:firstLine="420" w:firstLineChars="100"/>
    </w:pPr>
    <w:rPr>
      <w:rFonts w:cs="Times New Roman"/>
      <w:szCs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0">
    <w:name w:val="Strong"/>
    <w:basedOn w:val="19"/>
    <w:qFormat/>
    <w:uiPriority w:val="0"/>
    <w:rPr>
      <w:b/>
      <w:bCs/>
    </w:rPr>
  </w:style>
  <w:style w:type="character" w:styleId="21">
    <w:name w:val="Emphasis"/>
    <w:basedOn w:val="19"/>
    <w:qFormat/>
    <w:uiPriority w:val="20"/>
    <w:rPr>
      <w:i/>
      <w:iCs/>
    </w:rPr>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styleId="23">
    <w:name w:val="annotation reference"/>
    <w:basedOn w:val="19"/>
    <w:semiHidden/>
    <w:unhideWhenUsed/>
    <w:qFormat/>
    <w:uiPriority w:val="99"/>
    <w:rPr>
      <w:sz w:val="21"/>
      <w:szCs w:val="21"/>
    </w:rPr>
  </w:style>
  <w:style w:type="character" w:customStyle="1" w:styleId="24">
    <w:name w:val="标题 1 字符"/>
    <w:basedOn w:val="19"/>
    <w:link w:val="2"/>
    <w:qFormat/>
    <w:uiPriority w:val="9"/>
    <w:rPr>
      <w:rFonts w:ascii="Times New Roman" w:hAnsi="Times New Roman" w:eastAsia="宋体"/>
      <w:b/>
      <w:bCs/>
      <w:kern w:val="44"/>
      <w:sz w:val="28"/>
      <w:szCs w:val="44"/>
    </w:rPr>
  </w:style>
  <w:style w:type="character" w:customStyle="1" w:styleId="25">
    <w:name w:val="标题 2 字符"/>
    <w:basedOn w:val="19"/>
    <w:link w:val="3"/>
    <w:qFormat/>
    <w:uiPriority w:val="9"/>
    <w:rPr>
      <w:rFonts w:ascii="Times New Roman" w:hAnsi="Times New Roman" w:eastAsiaTheme="majorEastAsia" w:cstheme="majorBidi"/>
      <w:b/>
      <w:bCs/>
      <w:sz w:val="24"/>
      <w:szCs w:val="32"/>
    </w:rPr>
  </w:style>
  <w:style w:type="character" w:customStyle="1" w:styleId="26">
    <w:name w:val="标题 3 字符"/>
    <w:basedOn w:val="19"/>
    <w:link w:val="4"/>
    <w:qFormat/>
    <w:uiPriority w:val="0"/>
    <w:rPr>
      <w:rFonts w:ascii="Times New Roman" w:hAnsi="Times New Roman" w:eastAsia="宋体"/>
      <w:b/>
      <w:bCs/>
      <w:sz w:val="24"/>
      <w:szCs w:val="32"/>
    </w:rPr>
  </w:style>
  <w:style w:type="paragraph" w:customStyle="1" w:styleId="27">
    <w:name w:val="tu-yh"/>
    <w:basedOn w:val="1"/>
    <w:next w:val="1"/>
    <w:link w:val="28"/>
    <w:qFormat/>
    <w:uiPriority w:val="0"/>
  </w:style>
  <w:style w:type="character" w:customStyle="1" w:styleId="28">
    <w:name w:val="tu-yh 字符"/>
    <w:basedOn w:val="19"/>
    <w:link w:val="27"/>
    <w:qFormat/>
    <w:uiPriority w:val="0"/>
    <w:rPr>
      <w:rFonts w:ascii="Times New Roman" w:hAnsi="Times New Roman"/>
      <w:sz w:val="24"/>
    </w:rPr>
  </w:style>
  <w:style w:type="paragraph" w:customStyle="1" w:styleId="29">
    <w:name w:val="BT-yh"/>
    <w:basedOn w:val="1"/>
    <w:link w:val="30"/>
    <w:qFormat/>
    <w:uiPriority w:val="0"/>
    <w:pPr>
      <w:spacing w:before="50" w:beforeLines="50"/>
      <w:jc w:val="center"/>
    </w:pPr>
    <w:rPr>
      <w:b/>
    </w:rPr>
  </w:style>
  <w:style w:type="character" w:customStyle="1" w:styleId="30">
    <w:name w:val="BT-yh 字符"/>
    <w:basedOn w:val="19"/>
    <w:link w:val="29"/>
    <w:qFormat/>
    <w:uiPriority w:val="0"/>
    <w:rPr>
      <w:rFonts w:ascii="Times New Roman" w:hAnsi="Times New Roman"/>
      <w:b/>
      <w:sz w:val="24"/>
    </w:rPr>
  </w:style>
  <w:style w:type="paragraph" w:customStyle="1" w:styleId="31">
    <w:name w:val="表头-易恒"/>
    <w:basedOn w:val="1"/>
    <w:link w:val="32"/>
    <w:qFormat/>
    <w:uiPriority w:val="0"/>
    <w:pPr>
      <w:spacing w:before="156" w:line="240" w:lineRule="auto"/>
      <w:ind w:firstLine="482"/>
      <w:jc w:val="center"/>
    </w:pPr>
    <w:rPr>
      <w:b/>
    </w:rPr>
  </w:style>
  <w:style w:type="character" w:customStyle="1" w:styleId="32">
    <w:name w:val="表头-易恒 字符"/>
    <w:basedOn w:val="19"/>
    <w:link w:val="31"/>
    <w:qFormat/>
    <w:uiPriority w:val="0"/>
    <w:rPr>
      <w:rFonts w:ascii="Times New Roman" w:hAnsi="Times New Roman" w:eastAsia="宋体"/>
      <w:b/>
      <w:sz w:val="24"/>
    </w:rPr>
  </w:style>
  <w:style w:type="paragraph" w:customStyle="1" w:styleId="33">
    <w:name w:val="图-易恒"/>
    <w:basedOn w:val="1"/>
    <w:next w:val="1"/>
    <w:link w:val="34"/>
    <w:qFormat/>
    <w:uiPriority w:val="0"/>
    <w:pPr>
      <w:jc w:val="center"/>
    </w:pPr>
    <w:rPr>
      <w:rFonts w:ascii="楷体" w:hAnsi="楷体" w:eastAsia="楷体"/>
      <w:szCs w:val="20"/>
    </w:rPr>
  </w:style>
  <w:style w:type="character" w:customStyle="1" w:styleId="34">
    <w:name w:val="图-易恒 字符"/>
    <w:basedOn w:val="19"/>
    <w:link w:val="33"/>
    <w:qFormat/>
    <w:uiPriority w:val="0"/>
    <w:rPr>
      <w:rFonts w:ascii="楷体" w:hAnsi="楷体" w:eastAsia="楷体"/>
      <w:sz w:val="24"/>
      <w:szCs w:val="20"/>
    </w:rPr>
  </w:style>
  <w:style w:type="character" w:customStyle="1" w:styleId="35">
    <w:name w:val="标题 字符"/>
    <w:basedOn w:val="19"/>
    <w:link w:val="14"/>
    <w:qFormat/>
    <w:uiPriority w:val="10"/>
    <w:rPr>
      <w:rFonts w:eastAsia="宋体" w:asciiTheme="majorHAnsi" w:hAnsiTheme="majorHAnsi" w:cstheme="majorBidi"/>
      <w:b/>
      <w:bCs/>
      <w:sz w:val="32"/>
      <w:szCs w:val="32"/>
    </w:rPr>
  </w:style>
  <w:style w:type="character" w:customStyle="1" w:styleId="36">
    <w:name w:val="标题 4 字符"/>
    <w:basedOn w:val="19"/>
    <w:link w:val="5"/>
    <w:qFormat/>
    <w:uiPriority w:val="9"/>
    <w:rPr>
      <w:rFonts w:asciiTheme="majorHAnsi" w:hAnsiTheme="majorHAnsi" w:cstheme="majorBidi"/>
      <w:b/>
      <w:bCs/>
      <w:sz w:val="24"/>
      <w:szCs w:val="28"/>
    </w:rPr>
  </w:style>
  <w:style w:type="paragraph" w:customStyle="1" w:styleId="37">
    <w:name w:val="表格-易恒"/>
    <w:basedOn w:val="1"/>
    <w:link w:val="41"/>
    <w:qFormat/>
    <w:uiPriority w:val="1"/>
    <w:pPr>
      <w:widowControl/>
      <w:adjustRightInd w:val="0"/>
      <w:snapToGrid w:val="0"/>
      <w:spacing w:line="240" w:lineRule="auto"/>
      <w:ind w:firstLine="0" w:firstLineChars="0"/>
      <w:jc w:val="left"/>
    </w:pPr>
    <w:rPr>
      <w:kern w:val="0"/>
      <w:sz w:val="21"/>
      <w:szCs w:val="21"/>
      <w:u w:val="single"/>
    </w:rPr>
  </w:style>
  <w:style w:type="character" w:customStyle="1" w:styleId="38">
    <w:name w:val="页眉 字符"/>
    <w:basedOn w:val="19"/>
    <w:link w:val="11"/>
    <w:qFormat/>
    <w:uiPriority w:val="99"/>
    <w:rPr>
      <w:rFonts w:ascii="Times New Roman" w:hAnsi="Times New Roman" w:eastAsia="宋体"/>
      <w:sz w:val="18"/>
      <w:szCs w:val="18"/>
    </w:rPr>
  </w:style>
  <w:style w:type="character" w:customStyle="1" w:styleId="39">
    <w:name w:val="页脚 字符"/>
    <w:basedOn w:val="19"/>
    <w:link w:val="10"/>
    <w:qFormat/>
    <w:uiPriority w:val="99"/>
    <w:rPr>
      <w:rFonts w:ascii="Times New Roman" w:hAnsi="Times New Roman" w:eastAsia="宋体"/>
      <w:sz w:val="18"/>
      <w:szCs w:val="18"/>
    </w:rPr>
  </w:style>
  <w:style w:type="character" w:customStyle="1" w:styleId="40">
    <w:name w:val="普通(网站) 字符"/>
    <w:link w:val="13"/>
    <w:qFormat/>
    <w:locked/>
    <w:uiPriority w:val="0"/>
    <w:rPr>
      <w:rFonts w:ascii="宋体" w:hAnsi="宋体" w:eastAsia="宋体" w:cs="Times New Roman"/>
      <w:kern w:val="0"/>
      <w:sz w:val="24"/>
      <w:szCs w:val="24"/>
    </w:rPr>
  </w:style>
  <w:style w:type="character" w:customStyle="1" w:styleId="41">
    <w:name w:val="表格-易恒 字符"/>
    <w:basedOn w:val="19"/>
    <w:link w:val="37"/>
    <w:qFormat/>
    <w:uiPriority w:val="1"/>
    <w:rPr>
      <w:rFonts w:ascii="Times New Roman" w:hAnsi="Times New Roman" w:eastAsia="宋体"/>
      <w:kern w:val="0"/>
      <w:szCs w:val="21"/>
      <w:u w:val="single"/>
    </w:rPr>
  </w:style>
  <w:style w:type="paragraph" w:styleId="42">
    <w:name w:val="List Paragraph"/>
    <w:basedOn w:val="1"/>
    <w:qFormat/>
    <w:uiPriority w:val="34"/>
    <w:pPr>
      <w:ind w:firstLine="420"/>
    </w:pPr>
  </w:style>
  <w:style w:type="character" w:styleId="43">
    <w:name w:val="Placeholder Text"/>
    <w:basedOn w:val="19"/>
    <w:semiHidden/>
    <w:qFormat/>
    <w:uiPriority w:val="99"/>
    <w:rPr>
      <w:color w:val="808080"/>
    </w:rPr>
  </w:style>
  <w:style w:type="character" w:customStyle="1" w:styleId="44">
    <w:name w:val="批注文字 字符"/>
    <w:basedOn w:val="19"/>
    <w:link w:val="6"/>
    <w:qFormat/>
    <w:uiPriority w:val="99"/>
    <w:rPr>
      <w:rFonts w:ascii="Times New Roman" w:hAnsi="Times New Roman" w:eastAsia="宋体"/>
      <w:sz w:val="24"/>
    </w:rPr>
  </w:style>
  <w:style w:type="character" w:customStyle="1" w:styleId="45">
    <w:name w:val="批注主题 字符"/>
    <w:basedOn w:val="44"/>
    <w:link w:val="15"/>
    <w:semiHidden/>
    <w:qFormat/>
    <w:uiPriority w:val="99"/>
    <w:rPr>
      <w:rFonts w:ascii="Times New Roman" w:hAnsi="Times New Roman" w:eastAsia="宋体"/>
      <w:b/>
      <w:bCs/>
      <w:sz w:val="24"/>
    </w:rPr>
  </w:style>
  <w:style w:type="paragraph" w:customStyle="1" w:styleId="46">
    <w:name w:val="表格 32"/>
    <w:basedOn w:val="1"/>
    <w:qFormat/>
    <w:uiPriority w:val="0"/>
    <w:pPr>
      <w:autoSpaceDE w:val="0"/>
      <w:autoSpaceDN w:val="0"/>
      <w:adjustRightInd w:val="0"/>
      <w:jc w:val="center"/>
      <w:textAlignment w:val="baseline"/>
    </w:pPr>
    <w:rPr>
      <w:rFonts w:ascii="宋体" w:hAnsi="Impact" w:cs="Times New Roman"/>
      <w:kern w:val="24"/>
      <w:szCs w:val="20"/>
    </w:rPr>
  </w:style>
  <w:style w:type="paragraph" w:customStyle="1" w:styleId="47">
    <w:name w:val="Default"/>
    <w:basedOn w:val="1"/>
    <w:next w:val="1"/>
    <w:qFormat/>
    <w:uiPriority w:val="0"/>
    <w:pPr>
      <w:autoSpaceDE w:val="0"/>
      <w:autoSpaceDN w:val="0"/>
      <w:adjustRightInd w:val="0"/>
    </w:pPr>
    <w:rPr>
      <w:rFonts w:hint="eastAsia" w:ascii="宋体" w:hAnsi="宋体" w:cs="Times New Roman"/>
      <w:color w:val="000000"/>
      <w:szCs w:val="24"/>
    </w:rPr>
  </w:style>
  <w:style w:type="paragraph" w:customStyle="1" w:styleId="48">
    <w:name w:val="修订1"/>
    <w:hidden/>
    <w:semiHidden/>
    <w:qFormat/>
    <w:uiPriority w:val="99"/>
    <w:rPr>
      <w:rFonts w:ascii="Times New Roman" w:hAnsi="Times New Roman" w:eastAsia="宋体" w:cstheme="minorBidi"/>
      <w:kern w:val="2"/>
      <w:sz w:val="24"/>
      <w:szCs w:val="22"/>
      <w:lang w:val="en-US" w:eastAsia="zh-CN" w:bidi="ar-SA"/>
    </w:rPr>
  </w:style>
  <w:style w:type="character" w:customStyle="1" w:styleId="49">
    <w:name w:val="正文1 Char Char"/>
    <w:link w:val="50"/>
    <w:qFormat/>
    <w:uiPriority w:val="0"/>
    <w:rPr>
      <w:rFonts w:eastAsia="宋体" w:cs="宋体"/>
      <w:color w:val="000000"/>
      <w:sz w:val="24"/>
    </w:rPr>
  </w:style>
  <w:style w:type="paragraph" w:customStyle="1" w:styleId="50">
    <w:name w:val="正文1"/>
    <w:link w:val="49"/>
    <w:qFormat/>
    <w:uiPriority w:val="0"/>
    <w:pPr>
      <w:spacing w:line="520" w:lineRule="exact"/>
      <w:ind w:firstLine="200" w:firstLineChars="200"/>
      <w:jc w:val="both"/>
    </w:pPr>
    <w:rPr>
      <w:rFonts w:eastAsia="宋体" w:cs="宋体" w:asciiTheme="minorHAnsi" w:hAnsiTheme="minorHAnsi"/>
      <w:color w:val="000000"/>
      <w:kern w:val="2"/>
      <w:sz w:val="24"/>
      <w:szCs w:val="22"/>
      <w:lang w:val="en-US" w:eastAsia="zh-CN" w:bidi="ar-SA"/>
    </w:rPr>
  </w:style>
  <w:style w:type="character" w:customStyle="1" w:styleId="51">
    <w:name w:val="表 图 表头 Char Char"/>
    <w:link w:val="52"/>
    <w:qFormat/>
    <w:uiPriority w:val="0"/>
    <w:rPr>
      <w:rFonts w:eastAsia="宋体"/>
      <w:b/>
      <w:sz w:val="24"/>
    </w:rPr>
  </w:style>
  <w:style w:type="paragraph" w:customStyle="1" w:styleId="52">
    <w:name w:val="表 图 表头"/>
    <w:link w:val="51"/>
    <w:qFormat/>
    <w:uiPriority w:val="0"/>
    <w:pPr>
      <w:spacing w:line="480" w:lineRule="exact"/>
      <w:jc w:val="center"/>
    </w:pPr>
    <w:rPr>
      <w:rFonts w:eastAsia="宋体" w:asciiTheme="minorHAnsi" w:hAnsiTheme="minorHAnsi" w:cstheme="minorBidi"/>
      <w:b/>
      <w:kern w:val="2"/>
      <w:sz w:val="24"/>
      <w:szCs w:val="22"/>
      <w:lang w:val="en-US" w:eastAsia="zh-CN" w:bidi="ar-SA"/>
    </w:rPr>
  </w:style>
  <w:style w:type="character" w:customStyle="1" w:styleId="53">
    <w:name w:val="表格内容 Char"/>
    <w:basedOn w:val="19"/>
    <w:link w:val="54"/>
    <w:qFormat/>
    <w:uiPriority w:val="0"/>
    <w:rPr>
      <w:rFonts w:eastAsia="宋体" w:cs="宋体"/>
    </w:rPr>
  </w:style>
  <w:style w:type="paragraph" w:customStyle="1" w:styleId="54">
    <w:name w:val="表格内容"/>
    <w:basedOn w:val="1"/>
    <w:next w:val="1"/>
    <w:link w:val="53"/>
    <w:qFormat/>
    <w:uiPriority w:val="0"/>
    <w:pPr>
      <w:widowControl/>
      <w:adjustRightInd w:val="0"/>
      <w:spacing w:line="240" w:lineRule="auto"/>
      <w:ind w:firstLine="0" w:firstLineChars="0"/>
      <w:jc w:val="center"/>
      <w:textAlignment w:val="baseline"/>
    </w:pPr>
    <w:rPr>
      <w:rFonts w:cs="宋体" w:asciiTheme="minorHAnsi" w:hAnsiTheme="minorHAnsi"/>
      <w:sz w:val="21"/>
    </w:rPr>
  </w:style>
  <w:style w:type="character" w:customStyle="1" w:styleId="55">
    <w:name w:val="font41"/>
    <w:basedOn w:val="19"/>
    <w:qFormat/>
    <w:uiPriority w:val="0"/>
    <w:rPr>
      <w:rFonts w:hint="default" w:ascii="Times New Roman" w:hAnsi="Times New Roman" w:cs="Times New Roman"/>
      <w:color w:val="000000"/>
      <w:sz w:val="21"/>
      <w:szCs w:val="21"/>
      <w:u w:val="none"/>
    </w:rPr>
  </w:style>
  <w:style w:type="paragraph" w:customStyle="1" w:styleId="56">
    <w:name w:val="1"/>
    <w:basedOn w:val="1"/>
    <w:qFormat/>
    <w:uiPriority w:val="0"/>
    <w:pPr>
      <w:jc w:val="center"/>
    </w:pPr>
    <w:rPr>
      <w:rFonts w:cs="宋体"/>
      <w:color w:val="000000"/>
      <w:sz w:val="21"/>
      <w:szCs w:val="20"/>
    </w:rPr>
  </w:style>
  <w:style w:type="paragraph" w:customStyle="1" w:styleId="57">
    <w:name w:val="A正文1"/>
    <w:basedOn w:val="1"/>
    <w:qFormat/>
    <w:uiPriority w:val="0"/>
    <w:rPr>
      <w:rFonts w:cs="Times New Roman"/>
      <w:szCs w:val="28"/>
    </w:rPr>
  </w:style>
  <w:style w:type="character" w:customStyle="1" w:styleId="58">
    <w:name w:val="表 图 内容 Char Char"/>
    <w:link w:val="59"/>
    <w:qFormat/>
    <w:uiPriority w:val="0"/>
    <w:rPr>
      <w:rFonts w:eastAsia="宋体"/>
      <w:color w:val="000000"/>
      <w:szCs w:val="24"/>
    </w:rPr>
  </w:style>
  <w:style w:type="paragraph" w:customStyle="1" w:styleId="59">
    <w:name w:val="表 图 内容"/>
    <w:basedOn w:val="1"/>
    <w:link w:val="58"/>
    <w:qFormat/>
    <w:uiPriority w:val="0"/>
    <w:pPr>
      <w:jc w:val="center"/>
    </w:pPr>
    <w:rPr>
      <w:rFonts w:asciiTheme="minorHAnsi" w:hAnsiTheme="minorHAnsi"/>
      <w:color w:val="000000"/>
      <w:sz w:val="21"/>
      <w:szCs w:val="24"/>
    </w:rPr>
  </w:style>
  <w:style w:type="character" w:customStyle="1" w:styleId="60">
    <w:name w:val="正文文本缩进 2 字符"/>
    <w:basedOn w:val="19"/>
    <w:link w:val="9"/>
    <w:qFormat/>
    <w:uiPriority w:val="0"/>
    <w:rPr>
      <w:rFonts w:ascii="Times New Roman" w:hAnsi="Times New Roman" w:eastAsia="宋体" w:cs="Times New Roman"/>
      <w:szCs w:val="24"/>
    </w:rPr>
  </w:style>
  <w:style w:type="paragraph" w:customStyle="1" w:styleId="61">
    <w:name w:val="TOC 标题1"/>
    <w:basedOn w:val="2"/>
    <w:next w:val="1"/>
    <w:unhideWhenUsed/>
    <w:qFormat/>
    <w:uiPriority w:val="39"/>
    <w:pPr>
      <w:widowControl/>
      <w:spacing w:before="240" w:line="259" w:lineRule="auto"/>
      <w:ind w:firstLine="0" w:firstLineChars="0"/>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62">
    <w:name w:val="样式 样式 样式 小四 首行缩进:  2.25 字符 + 首行缩进:  2.25 字符 + 首行缩进:  2 字符"/>
    <w:basedOn w:val="1"/>
    <w:qFormat/>
    <w:uiPriority w:val="0"/>
    <w:pPr>
      <w:spacing w:line="440" w:lineRule="exact"/>
    </w:pPr>
    <w:rPr>
      <w:rFonts w:cs="Times New Roman"/>
      <w:szCs w:val="24"/>
    </w:rPr>
  </w:style>
  <w:style w:type="paragraph" w:customStyle="1" w:styleId="63">
    <w:name w:val="ql-align-justify"/>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64">
    <w:name w:val="表头-易恒1"/>
    <w:basedOn w:val="1"/>
    <w:next w:val="1"/>
    <w:link w:val="65"/>
    <w:qFormat/>
    <w:uiPriority w:val="0"/>
    <w:pPr>
      <w:spacing w:before="50" w:beforeLines="50" w:line="240" w:lineRule="auto"/>
      <w:ind w:firstLine="0" w:firstLineChars="0"/>
      <w:jc w:val="center"/>
    </w:pPr>
    <w:rPr>
      <w:b/>
      <w:szCs w:val="32"/>
    </w:rPr>
  </w:style>
  <w:style w:type="character" w:customStyle="1" w:styleId="65">
    <w:name w:val="表头-易恒1 字符"/>
    <w:basedOn w:val="19"/>
    <w:link w:val="64"/>
    <w:qFormat/>
    <w:uiPriority w:val="0"/>
    <w:rPr>
      <w:rFonts w:ascii="Times New Roman" w:hAnsi="Times New Roman" w:eastAsia="宋体"/>
      <w:b/>
      <w:sz w:val="24"/>
      <w:szCs w:val="32"/>
    </w:rPr>
  </w:style>
  <w:style w:type="paragraph" w:customStyle="1" w:styleId="66">
    <w:name w:val="表格-易恒1"/>
    <w:basedOn w:val="1"/>
    <w:link w:val="67"/>
    <w:qFormat/>
    <w:uiPriority w:val="0"/>
    <w:pPr>
      <w:spacing w:line="240" w:lineRule="auto"/>
      <w:ind w:firstLine="0" w:firstLineChars="0"/>
      <w:jc w:val="center"/>
    </w:pPr>
    <w:rPr>
      <w:szCs w:val="32"/>
    </w:rPr>
  </w:style>
  <w:style w:type="character" w:customStyle="1" w:styleId="67">
    <w:name w:val="表格-易恒1 字符"/>
    <w:basedOn w:val="19"/>
    <w:link w:val="66"/>
    <w:qFormat/>
    <w:uiPriority w:val="0"/>
    <w:rPr>
      <w:rFonts w:ascii="Times New Roman" w:hAnsi="Times New Roman" w:eastAsia="宋体"/>
      <w:sz w:val="24"/>
      <w:szCs w:val="32"/>
    </w:rPr>
  </w:style>
  <w:style w:type="character" w:customStyle="1" w:styleId="68">
    <w:name w:val="正文文本 字符"/>
    <w:basedOn w:val="19"/>
    <w:link w:val="7"/>
    <w:semiHidden/>
    <w:qFormat/>
    <w:uiPriority w:val="99"/>
    <w:rPr>
      <w:rFonts w:ascii="Times New Roman" w:hAnsi="Times New Roman" w:eastAsia="宋体"/>
      <w:sz w:val="24"/>
    </w:rPr>
  </w:style>
  <w:style w:type="character" w:customStyle="1" w:styleId="69">
    <w:name w:val="正文文本首行缩进 字符"/>
    <w:basedOn w:val="68"/>
    <w:link w:val="16"/>
    <w:qFormat/>
    <w:uiPriority w:val="0"/>
    <w:rPr>
      <w:rFonts w:ascii="Times New Roman" w:hAnsi="Times New Roman" w:eastAsia="宋体" w:cs="Times New Roman"/>
      <w:sz w:val="24"/>
      <w:szCs w:val="24"/>
    </w:rPr>
  </w:style>
  <w:style w:type="paragraph" w:customStyle="1" w:styleId="70">
    <w:name w:val="正文-易恒1"/>
    <w:basedOn w:val="1"/>
    <w:link w:val="71"/>
    <w:qFormat/>
    <w:uiPriority w:val="0"/>
    <w:rPr>
      <w:szCs w:val="32"/>
    </w:rPr>
  </w:style>
  <w:style w:type="character" w:customStyle="1" w:styleId="71">
    <w:name w:val="正文-易恒1 字符"/>
    <w:basedOn w:val="19"/>
    <w:link w:val="70"/>
    <w:qFormat/>
    <w:uiPriority w:val="0"/>
    <w:rPr>
      <w:rFonts w:ascii="Times New Roman" w:hAnsi="Times New Roman" w:eastAsia="宋体"/>
      <w:sz w:val="24"/>
      <w:szCs w:val="32"/>
    </w:rPr>
  </w:style>
  <w:style w:type="paragraph" w:customStyle="1" w:styleId="72">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wmf"/><Relationship Id="rId23" Type="http://schemas.openxmlformats.org/officeDocument/2006/relationships/image" Target="media/image7.wmf"/><Relationship Id="rId22" Type="http://schemas.openxmlformats.org/officeDocument/2006/relationships/oleObject" Target="embeddings/oleObject6.bin"/><Relationship Id="rId21" Type="http://schemas.openxmlformats.org/officeDocument/2006/relationships/image" Target="media/image6.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4.bin"/><Relationship Id="rId17" Type="http://schemas.openxmlformats.org/officeDocument/2006/relationships/image" Target="media/image4.emf"/><Relationship Id="rId16" Type="http://schemas.openxmlformats.org/officeDocument/2006/relationships/oleObject" Target="embeddings/oleObject3.bin"/><Relationship Id="rId15" Type="http://schemas.openxmlformats.org/officeDocument/2006/relationships/image" Target="media/image3.emf"/><Relationship Id="rId14" Type="http://schemas.openxmlformats.org/officeDocument/2006/relationships/oleObject" Target="embeddings/oleObject2.bin"/><Relationship Id="rId13" Type="http://schemas.openxmlformats.org/officeDocument/2006/relationships/image" Target="media/image2.e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85607C-236E-44C9-A87D-21776A27B555}">
  <ds:schemaRefs/>
</ds:datastoreItem>
</file>

<file path=docProps/app.xml><?xml version="1.0" encoding="utf-8"?>
<Properties xmlns="http://schemas.openxmlformats.org/officeDocument/2006/extended-properties" xmlns:vt="http://schemas.openxmlformats.org/officeDocument/2006/docPropsVTypes">
  <Template>Normal</Template>
  <Pages>49</Pages>
  <Words>5319</Words>
  <Characters>30323</Characters>
  <Lines>252</Lines>
  <Paragraphs>71</Paragraphs>
  <TotalTime>13</TotalTime>
  <ScaleCrop>false</ScaleCrop>
  <LinksUpToDate>false</LinksUpToDate>
  <CharactersWithSpaces>35571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2022-06-08T10:11:00Z</dcterms:created>
  <dc:creator>黄 恩荣</dc:creator>
  <cp:lastModifiedBy>Administrator</cp:lastModifiedBy>
  <dcterms:modified xsi:type="dcterms:W3CDTF">2023-04-13T07:11:40Z</dcterms:modified>
  <cp:revision>429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D530BDED574F423398A4F8D0CAA2BA85</vt:lpwstr>
  </property>
</Properties>
</file>