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仿宋" w:cs="Times New Roman"/>
          <w:b w:val="0"/>
          <w:bCs w:val="0"/>
          <w:color w:val="auto"/>
          <w:kern w:val="2"/>
          <w:sz w:val="32"/>
          <w:szCs w:val="32"/>
          <w:highlight w:val="lightGray"/>
          <w:lang w:val="zh-CN"/>
        </w:rPr>
        <w:id w:val="-211114757"/>
        <w:docPartObj>
          <w:docPartGallery w:val="Table of Contents"/>
          <w:docPartUnique/>
        </w:docPartObj>
      </w:sdtPr>
      <w:sdtEndPr>
        <w:rPr>
          <w:rFonts w:ascii="Times New Roman" w:hAnsi="Times New Roman" w:eastAsia="仿宋" w:cs="Times New Roman"/>
          <w:b w:val="0"/>
          <w:bCs w:val="0"/>
          <w:color w:val="auto"/>
          <w:kern w:val="2"/>
          <w:sz w:val="32"/>
          <w:szCs w:val="32"/>
          <w:highlight w:val="none"/>
          <w:lang w:val="zh-CN"/>
        </w:rPr>
      </w:sdtEndPr>
      <w:sdtContent>
        <w:p>
          <w:pPr>
            <w:pStyle w:val="27"/>
            <w:jc w:val="center"/>
            <w:rPr>
              <w:color w:val="auto"/>
              <w:sz w:val="32"/>
              <w:szCs w:val="32"/>
            </w:rPr>
          </w:pPr>
          <w:r>
            <w:rPr>
              <w:color w:val="auto"/>
              <w:sz w:val="32"/>
              <w:szCs w:val="32"/>
              <w:lang w:val="zh-CN"/>
            </w:rPr>
            <w:t>目录</w:t>
          </w:r>
        </w:p>
        <w:p>
          <w:pPr>
            <w:pStyle w:val="12"/>
            <w:tabs>
              <w:tab w:val="right" w:leader="dot" w:pos="8306"/>
            </w:tabs>
            <w:ind w:firstLine="640"/>
            <w:rPr>
              <w:sz w:val="24"/>
              <w:szCs w:val="21"/>
            </w:rPr>
          </w:pPr>
          <w:r>
            <w:rPr>
              <w:sz w:val="32"/>
              <w:szCs w:val="32"/>
            </w:rPr>
            <w:fldChar w:fldCharType="begin"/>
          </w:r>
          <w:r>
            <w:rPr>
              <w:sz w:val="32"/>
              <w:szCs w:val="32"/>
            </w:rPr>
            <w:instrText xml:space="preserve"> TOC \o "1-3" \h \z \u </w:instrText>
          </w:r>
          <w:r>
            <w:rPr>
              <w:sz w:val="32"/>
              <w:szCs w:val="32"/>
            </w:rPr>
            <w:fldChar w:fldCharType="separate"/>
          </w:r>
          <w:r>
            <w:fldChar w:fldCharType="begin"/>
          </w:r>
          <w:r>
            <w:instrText xml:space="preserve"> HYPERLINK \l "_Toc32521" </w:instrText>
          </w:r>
          <w:r>
            <w:fldChar w:fldCharType="separate"/>
          </w:r>
          <w:r>
            <w:rPr>
              <w:sz w:val="24"/>
              <w:szCs w:val="28"/>
            </w:rPr>
            <w:t>1</w:t>
          </w:r>
          <w:r>
            <w:rPr>
              <w:rFonts w:hint="eastAsia"/>
              <w:sz w:val="24"/>
              <w:szCs w:val="28"/>
            </w:rPr>
            <w:t>建设形势</w:t>
          </w:r>
          <w:r>
            <w:rPr>
              <w:sz w:val="24"/>
              <w:szCs w:val="21"/>
            </w:rPr>
            <w:tab/>
          </w:r>
          <w:r>
            <w:rPr>
              <w:sz w:val="24"/>
              <w:szCs w:val="21"/>
            </w:rPr>
            <w:fldChar w:fldCharType="begin"/>
          </w:r>
          <w:r>
            <w:rPr>
              <w:sz w:val="24"/>
              <w:szCs w:val="21"/>
            </w:rPr>
            <w:instrText xml:space="preserve"> PAGEREF _Toc32521 \h </w:instrText>
          </w:r>
          <w:r>
            <w:rPr>
              <w:sz w:val="24"/>
              <w:szCs w:val="21"/>
            </w:rPr>
            <w:fldChar w:fldCharType="separate"/>
          </w:r>
          <w:r>
            <w:rPr>
              <w:sz w:val="24"/>
              <w:szCs w:val="21"/>
            </w:rPr>
            <w:t>1</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"_Toc23614" </w:instrText>
          </w:r>
          <w:r>
            <w:fldChar w:fldCharType="separate"/>
          </w:r>
          <w:r>
            <w:rPr>
              <w:rFonts w:hint="eastAsia"/>
              <w:sz w:val="24"/>
              <w:szCs w:val="21"/>
            </w:rPr>
            <w:t>1.1基础条件</w:t>
          </w:r>
          <w:r>
            <w:rPr>
              <w:sz w:val="24"/>
              <w:szCs w:val="21"/>
            </w:rPr>
            <w:tab/>
          </w:r>
          <w:r>
            <w:rPr>
              <w:sz w:val="24"/>
              <w:szCs w:val="21"/>
            </w:rPr>
            <w:fldChar w:fldCharType="begin"/>
          </w:r>
          <w:r>
            <w:rPr>
              <w:sz w:val="24"/>
              <w:szCs w:val="21"/>
            </w:rPr>
            <w:instrText xml:space="preserve"> PAGEREF _Toc23614 \h </w:instrText>
          </w:r>
          <w:r>
            <w:rPr>
              <w:sz w:val="24"/>
              <w:szCs w:val="21"/>
            </w:rPr>
            <w:fldChar w:fldCharType="separate"/>
          </w:r>
          <w:r>
            <w:rPr>
              <w:sz w:val="24"/>
              <w:szCs w:val="21"/>
            </w:rPr>
            <w:t>1</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"_Toc13516" </w:instrText>
          </w:r>
          <w:r>
            <w:fldChar w:fldCharType="separate"/>
          </w:r>
          <w:r>
            <w:rPr>
              <w:rFonts w:hint="eastAsia"/>
              <w:sz w:val="24"/>
              <w:szCs w:val="21"/>
            </w:rPr>
            <w:t>1.2高标准农田建设基本情况</w:t>
          </w:r>
          <w:r>
            <w:rPr>
              <w:sz w:val="24"/>
              <w:szCs w:val="21"/>
            </w:rPr>
            <w:tab/>
          </w:r>
          <w:r>
            <w:rPr>
              <w:sz w:val="24"/>
              <w:szCs w:val="21"/>
            </w:rPr>
            <w:fldChar w:fldCharType="begin"/>
          </w:r>
          <w:r>
            <w:rPr>
              <w:sz w:val="24"/>
              <w:szCs w:val="21"/>
            </w:rPr>
            <w:instrText xml:space="preserve"> PAGEREF _Toc13516 \h </w:instrText>
          </w:r>
          <w:r>
            <w:rPr>
              <w:sz w:val="24"/>
              <w:szCs w:val="21"/>
            </w:rPr>
            <w:fldChar w:fldCharType="separate"/>
          </w:r>
          <w:r>
            <w:rPr>
              <w:sz w:val="24"/>
              <w:szCs w:val="21"/>
            </w:rPr>
            <w:t>13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"_Toc9062" </w:instrText>
          </w:r>
          <w:r>
            <w:fldChar w:fldCharType="separate"/>
          </w:r>
          <w:r>
            <w:rPr>
              <w:rFonts w:hint="eastAsia"/>
              <w:sz w:val="24"/>
              <w:szCs w:val="21"/>
            </w:rPr>
            <w:t>1.3建设成效</w:t>
          </w:r>
          <w:r>
            <w:rPr>
              <w:sz w:val="24"/>
              <w:szCs w:val="21"/>
            </w:rPr>
            <w:tab/>
          </w:r>
          <w:r>
            <w:rPr>
              <w:sz w:val="24"/>
              <w:szCs w:val="21"/>
            </w:rPr>
            <w:fldChar w:fldCharType="begin"/>
          </w:r>
          <w:r>
            <w:rPr>
              <w:sz w:val="24"/>
              <w:szCs w:val="21"/>
            </w:rPr>
            <w:instrText xml:space="preserve"> PAGEREF _Toc9062 \h </w:instrText>
          </w:r>
          <w:r>
            <w:rPr>
              <w:sz w:val="24"/>
              <w:szCs w:val="21"/>
            </w:rPr>
            <w:fldChar w:fldCharType="separate"/>
          </w:r>
          <w:r>
            <w:rPr>
              <w:sz w:val="24"/>
              <w:szCs w:val="21"/>
            </w:rPr>
            <w:t>13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"_Toc26034" </w:instrText>
          </w:r>
          <w:r>
            <w:fldChar w:fldCharType="separate"/>
          </w:r>
          <w:r>
            <w:rPr>
              <w:rFonts w:hint="eastAsia"/>
              <w:sz w:val="24"/>
              <w:szCs w:val="21"/>
            </w:rPr>
            <w:t>1.4主要问题</w:t>
          </w:r>
          <w:r>
            <w:rPr>
              <w:sz w:val="24"/>
              <w:szCs w:val="21"/>
            </w:rPr>
            <w:tab/>
          </w:r>
          <w:r>
            <w:rPr>
              <w:sz w:val="24"/>
              <w:szCs w:val="21"/>
            </w:rPr>
            <w:fldChar w:fldCharType="begin"/>
          </w:r>
          <w:r>
            <w:rPr>
              <w:sz w:val="24"/>
              <w:szCs w:val="21"/>
            </w:rPr>
            <w:instrText xml:space="preserve"> PAGEREF _Toc26034 \h </w:instrText>
          </w:r>
          <w:r>
            <w:rPr>
              <w:sz w:val="24"/>
              <w:szCs w:val="21"/>
            </w:rPr>
            <w:fldChar w:fldCharType="separate"/>
          </w:r>
          <w:r>
            <w:rPr>
              <w:sz w:val="24"/>
              <w:szCs w:val="21"/>
            </w:rPr>
            <w:t>15</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"_Toc21505" </w:instrText>
          </w:r>
          <w:r>
            <w:fldChar w:fldCharType="separate"/>
          </w:r>
          <w:r>
            <w:rPr>
              <w:rFonts w:hint="eastAsia"/>
              <w:sz w:val="24"/>
              <w:szCs w:val="21"/>
            </w:rPr>
            <w:t>1.5有利条件</w:t>
          </w:r>
          <w:r>
            <w:rPr>
              <w:sz w:val="24"/>
              <w:szCs w:val="21"/>
            </w:rPr>
            <w:tab/>
          </w:r>
          <w:r>
            <w:rPr>
              <w:sz w:val="24"/>
              <w:szCs w:val="21"/>
            </w:rPr>
            <w:fldChar w:fldCharType="begin"/>
          </w:r>
          <w:r>
            <w:rPr>
              <w:sz w:val="24"/>
              <w:szCs w:val="21"/>
            </w:rPr>
            <w:instrText xml:space="preserve"> PAGEREF _Toc21505 \h </w:instrText>
          </w:r>
          <w:r>
            <w:rPr>
              <w:sz w:val="24"/>
              <w:szCs w:val="21"/>
            </w:rPr>
            <w:fldChar w:fldCharType="separate"/>
          </w:r>
          <w:r>
            <w:rPr>
              <w:sz w:val="24"/>
              <w:szCs w:val="21"/>
            </w:rPr>
            <w:t>17</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"_Toc30415" </w:instrText>
          </w:r>
          <w:r>
            <w:fldChar w:fldCharType="separate"/>
          </w:r>
          <w:r>
            <w:rPr>
              <w:sz w:val="24"/>
              <w:szCs w:val="28"/>
            </w:rPr>
            <w:t>2</w:t>
          </w:r>
          <w:r>
            <w:rPr>
              <w:rFonts w:hint="eastAsia"/>
              <w:sz w:val="24"/>
              <w:szCs w:val="28"/>
            </w:rPr>
            <w:t>总体要求</w:t>
          </w:r>
          <w:r>
            <w:rPr>
              <w:sz w:val="24"/>
              <w:szCs w:val="21"/>
            </w:rPr>
            <w:tab/>
          </w:r>
          <w:r>
            <w:rPr>
              <w:sz w:val="24"/>
              <w:szCs w:val="21"/>
            </w:rPr>
            <w:fldChar w:fldCharType="begin"/>
          </w:r>
          <w:r>
            <w:rPr>
              <w:sz w:val="24"/>
              <w:szCs w:val="21"/>
            </w:rPr>
            <w:instrText xml:space="preserve"> PAGEREF _Toc30415 \h </w:instrText>
          </w:r>
          <w:r>
            <w:rPr>
              <w:sz w:val="24"/>
              <w:szCs w:val="21"/>
            </w:rPr>
            <w:fldChar w:fldCharType="separate"/>
          </w:r>
          <w:r>
            <w:rPr>
              <w:sz w:val="24"/>
              <w:szCs w:val="21"/>
            </w:rPr>
            <w:t>19</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"_Toc27292" </w:instrText>
          </w:r>
          <w:r>
            <w:fldChar w:fldCharType="separate"/>
          </w:r>
          <w:r>
            <w:rPr>
              <w:rFonts w:hint="eastAsia"/>
              <w:sz w:val="24"/>
              <w:szCs w:val="21"/>
            </w:rPr>
            <w:t>2.1指导思想</w:t>
          </w:r>
          <w:r>
            <w:rPr>
              <w:sz w:val="24"/>
              <w:szCs w:val="21"/>
            </w:rPr>
            <w:tab/>
          </w:r>
          <w:r>
            <w:rPr>
              <w:sz w:val="24"/>
              <w:szCs w:val="21"/>
            </w:rPr>
            <w:fldChar w:fldCharType="begin"/>
          </w:r>
          <w:r>
            <w:rPr>
              <w:sz w:val="24"/>
              <w:szCs w:val="21"/>
            </w:rPr>
            <w:instrText xml:space="preserve"> PAGEREF _Toc27292 \h </w:instrText>
          </w:r>
          <w:r>
            <w:rPr>
              <w:sz w:val="24"/>
              <w:szCs w:val="21"/>
            </w:rPr>
            <w:fldChar w:fldCharType="separate"/>
          </w:r>
          <w:r>
            <w:rPr>
              <w:sz w:val="24"/>
              <w:szCs w:val="21"/>
            </w:rPr>
            <w:t>19</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"_Toc17244" </w:instrText>
          </w:r>
          <w:r>
            <w:fldChar w:fldCharType="separate"/>
          </w:r>
          <w:r>
            <w:rPr>
              <w:rFonts w:hint="eastAsia"/>
              <w:sz w:val="24"/>
              <w:szCs w:val="21"/>
            </w:rPr>
            <w:t>2.2编制原则</w:t>
          </w:r>
          <w:r>
            <w:rPr>
              <w:sz w:val="24"/>
              <w:szCs w:val="21"/>
            </w:rPr>
            <w:tab/>
          </w:r>
          <w:r>
            <w:rPr>
              <w:sz w:val="24"/>
              <w:szCs w:val="21"/>
            </w:rPr>
            <w:fldChar w:fldCharType="begin"/>
          </w:r>
          <w:r>
            <w:rPr>
              <w:sz w:val="24"/>
              <w:szCs w:val="21"/>
            </w:rPr>
            <w:instrText xml:space="preserve"> PAGEREF _Toc17244 \h </w:instrText>
          </w:r>
          <w:r>
            <w:rPr>
              <w:sz w:val="24"/>
              <w:szCs w:val="21"/>
            </w:rPr>
            <w:fldChar w:fldCharType="separate"/>
          </w:r>
          <w:r>
            <w:rPr>
              <w:sz w:val="24"/>
              <w:szCs w:val="21"/>
            </w:rPr>
            <w:t>19</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"_Toc26320" </w:instrText>
          </w:r>
          <w:r>
            <w:fldChar w:fldCharType="separate"/>
          </w:r>
          <w:r>
            <w:rPr>
              <w:rFonts w:hint="eastAsia"/>
              <w:sz w:val="24"/>
              <w:szCs w:val="21"/>
            </w:rPr>
            <w:t>2.3建设目标</w:t>
          </w:r>
          <w:r>
            <w:rPr>
              <w:sz w:val="24"/>
              <w:szCs w:val="21"/>
            </w:rPr>
            <w:tab/>
          </w:r>
          <w:r>
            <w:rPr>
              <w:sz w:val="24"/>
              <w:szCs w:val="21"/>
            </w:rPr>
            <w:fldChar w:fldCharType="begin"/>
          </w:r>
          <w:r>
            <w:rPr>
              <w:sz w:val="24"/>
              <w:szCs w:val="21"/>
            </w:rPr>
            <w:instrText xml:space="preserve"> PAGEREF _Toc26320 \h </w:instrText>
          </w:r>
          <w:r>
            <w:rPr>
              <w:sz w:val="24"/>
              <w:szCs w:val="21"/>
            </w:rPr>
            <w:fldChar w:fldCharType="separate"/>
          </w:r>
          <w:r>
            <w:rPr>
              <w:sz w:val="24"/>
              <w:szCs w:val="21"/>
            </w:rPr>
            <w:t>21</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"_Toc29067" </w:instrText>
          </w:r>
          <w:r>
            <w:fldChar w:fldCharType="separate"/>
          </w:r>
          <w:r>
            <w:rPr>
              <w:sz w:val="24"/>
              <w:szCs w:val="28"/>
            </w:rPr>
            <w:t>3</w:t>
          </w:r>
          <w:r>
            <w:rPr>
              <w:rFonts w:hint="eastAsia"/>
              <w:sz w:val="24"/>
              <w:szCs w:val="28"/>
            </w:rPr>
            <w:t>建设内容和建设标准</w:t>
          </w:r>
          <w:r>
            <w:rPr>
              <w:sz w:val="24"/>
              <w:szCs w:val="21"/>
            </w:rPr>
            <w:tab/>
          </w:r>
          <w:r>
            <w:rPr>
              <w:sz w:val="24"/>
              <w:szCs w:val="21"/>
            </w:rPr>
            <w:fldChar w:fldCharType="begin"/>
          </w:r>
          <w:r>
            <w:rPr>
              <w:sz w:val="24"/>
              <w:szCs w:val="21"/>
            </w:rPr>
            <w:instrText xml:space="preserve"> PAGEREF _Toc29067 \h </w:instrText>
          </w:r>
          <w:r>
            <w:rPr>
              <w:sz w:val="24"/>
              <w:szCs w:val="21"/>
            </w:rPr>
            <w:fldChar w:fldCharType="separate"/>
          </w:r>
          <w:r>
            <w:rPr>
              <w:sz w:val="24"/>
              <w:szCs w:val="21"/>
            </w:rPr>
            <w:t>23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"_Toc359" </w:instrText>
          </w:r>
          <w:r>
            <w:fldChar w:fldCharType="separate"/>
          </w:r>
          <w:r>
            <w:rPr>
              <w:rFonts w:hint="eastAsia"/>
              <w:sz w:val="24"/>
              <w:szCs w:val="21"/>
            </w:rPr>
            <w:t>3.1田块整治</w:t>
          </w:r>
          <w:r>
            <w:rPr>
              <w:sz w:val="24"/>
              <w:szCs w:val="21"/>
            </w:rPr>
            <w:tab/>
          </w:r>
          <w:r>
            <w:rPr>
              <w:sz w:val="24"/>
              <w:szCs w:val="21"/>
            </w:rPr>
            <w:fldChar w:fldCharType="begin"/>
          </w:r>
          <w:r>
            <w:rPr>
              <w:sz w:val="24"/>
              <w:szCs w:val="21"/>
            </w:rPr>
            <w:instrText xml:space="preserve"> PAGEREF _Toc359 \h </w:instrText>
          </w:r>
          <w:r>
            <w:rPr>
              <w:sz w:val="24"/>
              <w:szCs w:val="21"/>
            </w:rPr>
            <w:fldChar w:fldCharType="separate"/>
          </w:r>
          <w:r>
            <w:rPr>
              <w:sz w:val="24"/>
              <w:szCs w:val="21"/>
            </w:rPr>
            <w:t>23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"_Toc14502" </w:instrText>
          </w:r>
          <w:r>
            <w:fldChar w:fldCharType="separate"/>
          </w:r>
          <w:r>
            <w:rPr>
              <w:rFonts w:hint="eastAsia"/>
              <w:sz w:val="24"/>
              <w:szCs w:val="21"/>
            </w:rPr>
            <w:t>3.2土壤改良</w:t>
          </w:r>
          <w:r>
            <w:rPr>
              <w:sz w:val="24"/>
              <w:szCs w:val="21"/>
            </w:rPr>
            <w:tab/>
          </w:r>
          <w:r>
            <w:rPr>
              <w:sz w:val="24"/>
              <w:szCs w:val="21"/>
            </w:rPr>
            <w:fldChar w:fldCharType="begin"/>
          </w:r>
          <w:r>
            <w:rPr>
              <w:sz w:val="24"/>
              <w:szCs w:val="21"/>
            </w:rPr>
            <w:instrText xml:space="preserve"> PAGEREF _Toc14502 \h </w:instrText>
          </w:r>
          <w:r>
            <w:rPr>
              <w:sz w:val="24"/>
              <w:szCs w:val="21"/>
            </w:rPr>
            <w:fldChar w:fldCharType="separate"/>
          </w:r>
          <w:r>
            <w:rPr>
              <w:sz w:val="24"/>
              <w:szCs w:val="21"/>
            </w:rPr>
            <w:t>24</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"_Toc25594" </w:instrText>
          </w:r>
          <w:r>
            <w:fldChar w:fldCharType="separate"/>
          </w:r>
          <w:r>
            <w:rPr>
              <w:rFonts w:hint="eastAsia"/>
              <w:sz w:val="24"/>
              <w:szCs w:val="21"/>
            </w:rPr>
            <w:t>3.3灌排设施</w:t>
          </w:r>
          <w:r>
            <w:rPr>
              <w:sz w:val="24"/>
              <w:szCs w:val="21"/>
            </w:rPr>
            <w:tab/>
          </w:r>
          <w:r>
            <w:rPr>
              <w:sz w:val="24"/>
              <w:szCs w:val="21"/>
            </w:rPr>
            <w:fldChar w:fldCharType="begin"/>
          </w:r>
          <w:r>
            <w:rPr>
              <w:sz w:val="24"/>
              <w:szCs w:val="21"/>
            </w:rPr>
            <w:instrText xml:space="preserve"> PAGEREF _Toc25594 \h </w:instrText>
          </w:r>
          <w:r>
            <w:rPr>
              <w:sz w:val="24"/>
              <w:szCs w:val="21"/>
            </w:rPr>
            <w:fldChar w:fldCharType="separate"/>
          </w:r>
          <w:r>
            <w:rPr>
              <w:sz w:val="24"/>
              <w:szCs w:val="21"/>
            </w:rPr>
            <w:t>25</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"_Toc5294" </w:instrText>
          </w:r>
          <w:r>
            <w:fldChar w:fldCharType="separate"/>
          </w:r>
          <w:r>
            <w:rPr>
              <w:rFonts w:hint="eastAsia"/>
              <w:sz w:val="24"/>
              <w:szCs w:val="21"/>
            </w:rPr>
            <w:t>3.4田间道路</w:t>
          </w:r>
          <w:r>
            <w:rPr>
              <w:sz w:val="24"/>
              <w:szCs w:val="21"/>
            </w:rPr>
            <w:tab/>
          </w:r>
          <w:r>
            <w:rPr>
              <w:sz w:val="24"/>
              <w:szCs w:val="21"/>
            </w:rPr>
            <w:fldChar w:fldCharType="begin"/>
          </w:r>
          <w:r>
            <w:rPr>
              <w:sz w:val="24"/>
              <w:szCs w:val="21"/>
            </w:rPr>
            <w:instrText xml:space="preserve"> PAGEREF _Toc5294 \h </w:instrText>
          </w:r>
          <w:r>
            <w:rPr>
              <w:sz w:val="24"/>
              <w:szCs w:val="21"/>
            </w:rPr>
            <w:fldChar w:fldCharType="separate"/>
          </w:r>
          <w:r>
            <w:rPr>
              <w:sz w:val="24"/>
              <w:szCs w:val="21"/>
            </w:rPr>
            <w:t>26</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"_Toc3922" </w:instrText>
          </w:r>
          <w:r>
            <w:fldChar w:fldCharType="separate"/>
          </w:r>
          <w:r>
            <w:rPr>
              <w:rFonts w:hint="eastAsia"/>
              <w:sz w:val="24"/>
              <w:szCs w:val="21"/>
            </w:rPr>
            <w:t>3.5科技服务</w:t>
          </w:r>
          <w:r>
            <w:rPr>
              <w:sz w:val="24"/>
              <w:szCs w:val="21"/>
            </w:rPr>
            <w:tab/>
          </w:r>
          <w:r>
            <w:rPr>
              <w:sz w:val="24"/>
              <w:szCs w:val="21"/>
            </w:rPr>
            <w:fldChar w:fldCharType="begin"/>
          </w:r>
          <w:r>
            <w:rPr>
              <w:sz w:val="24"/>
              <w:szCs w:val="21"/>
            </w:rPr>
            <w:instrText xml:space="preserve"> PAGEREF _Toc3922 \h </w:instrText>
          </w:r>
          <w:r>
            <w:rPr>
              <w:sz w:val="24"/>
              <w:szCs w:val="21"/>
            </w:rPr>
            <w:fldChar w:fldCharType="separate"/>
          </w:r>
          <w:r>
            <w:rPr>
              <w:sz w:val="24"/>
              <w:szCs w:val="21"/>
            </w:rPr>
            <w:t>27</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"_Toc15336" </w:instrText>
          </w:r>
          <w:r>
            <w:fldChar w:fldCharType="separate"/>
          </w:r>
          <w:r>
            <w:rPr>
              <w:rFonts w:hint="eastAsia"/>
              <w:sz w:val="24"/>
              <w:szCs w:val="21"/>
            </w:rPr>
            <w:t>3.6生态防护</w:t>
          </w:r>
          <w:r>
            <w:rPr>
              <w:sz w:val="24"/>
              <w:szCs w:val="21"/>
            </w:rPr>
            <w:tab/>
          </w:r>
          <w:r>
            <w:rPr>
              <w:sz w:val="24"/>
              <w:szCs w:val="21"/>
            </w:rPr>
            <w:fldChar w:fldCharType="begin"/>
          </w:r>
          <w:r>
            <w:rPr>
              <w:sz w:val="24"/>
              <w:szCs w:val="21"/>
            </w:rPr>
            <w:instrText xml:space="preserve"> PAGEREF _Toc15336 \h </w:instrText>
          </w:r>
          <w:r>
            <w:rPr>
              <w:sz w:val="24"/>
              <w:szCs w:val="21"/>
            </w:rPr>
            <w:fldChar w:fldCharType="separate"/>
          </w:r>
          <w:r>
            <w:rPr>
              <w:sz w:val="24"/>
              <w:szCs w:val="21"/>
            </w:rPr>
            <w:t>27</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"_Toc29930" </w:instrText>
          </w:r>
          <w:r>
            <w:fldChar w:fldCharType="separate"/>
          </w:r>
          <w:r>
            <w:rPr>
              <w:rFonts w:hint="eastAsia"/>
              <w:sz w:val="24"/>
              <w:szCs w:val="21"/>
            </w:rPr>
            <w:t>3.7农田输配电</w:t>
          </w:r>
          <w:r>
            <w:rPr>
              <w:sz w:val="24"/>
              <w:szCs w:val="21"/>
            </w:rPr>
            <w:tab/>
          </w:r>
          <w:r>
            <w:rPr>
              <w:sz w:val="24"/>
              <w:szCs w:val="21"/>
            </w:rPr>
            <w:fldChar w:fldCharType="begin"/>
          </w:r>
          <w:r>
            <w:rPr>
              <w:sz w:val="24"/>
              <w:szCs w:val="21"/>
            </w:rPr>
            <w:instrText xml:space="preserve"> PAGEREF _Toc29930 \h </w:instrText>
          </w:r>
          <w:r>
            <w:rPr>
              <w:sz w:val="24"/>
              <w:szCs w:val="21"/>
            </w:rPr>
            <w:fldChar w:fldCharType="separate"/>
          </w:r>
          <w:r>
            <w:rPr>
              <w:sz w:val="24"/>
              <w:szCs w:val="21"/>
            </w:rPr>
            <w:t>28</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"_Toc28139" </w:instrText>
          </w:r>
          <w:r>
            <w:fldChar w:fldCharType="separate"/>
          </w:r>
          <w:r>
            <w:rPr>
              <w:rFonts w:hint="eastAsia"/>
              <w:sz w:val="24"/>
              <w:szCs w:val="21"/>
            </w:rPr>
            <w:t>3.8管护利用</w:t>
          </w:r>
          <w:r>
            <w:rPr>
              <w:sz w:val="24"/>
              <w:szCs w:val="21"/>
            </w:rPr>
            <w:tab/>
          </w:r>
          <w:r>
            <w:rPr>
              <w:sz w:val="24"/>
              <w:szCs w:val="21"/>
            </w:rPr>
            <w:fldChar w:fldCharType="begin"/>
          </w:r>
          <w:r>
            <w:rPr>
              <w:sz w:val="24"/>
              <w:szCs w:val="21"/>
            </w:rPr>
            <w:instrText xml:space="preserve"> PAGEREF _Toc28139 \h </w:instrText>
          </w:r>
          <w:r>
            <w:rPr>
              <w:sz w:val="24"/>
              <w:szCs w:val="21"/>
            </w:rPr>
            <w:fldChar w:fldCharType="separate"/>
          </w:r>
          <w:r>
            <w:rPr>
              <w:sz w:val="24"/>
              <w:szCs w:val="21"/>
            </w:rPr>
            <w:t>29</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"_Toc23811" </w:instrText>
          </w:r>
          <w:r>
            <w:fldChar w:fldCharType="separate"/>
          </w:r>
          <w:r>
            <w:rPr>
              <w:sz w:val="24"/>
              <w:szCs w:val="28"/>
            </w:rPr>
            <w:t>4</w:t>
          </w:r>
          <w:r>
            <w:rPr>
              <w:rFonts w:hint="eastAsia"/>
              <w:sz w:val="24"/>
              <w:szCs w:val="28"/>
            </w:rPr>
            <w:t>空间布局和建设任务</w:t>
          </w:r>
          <w:r>
            <w:rPr>
              <w:sz w:val="24"/>
              <w:szCs w:val="21"/>
            </w:rPr>
            <w:tab/>
          </w:r>
          <w:r>
            <w:rPr>
              <w:sz w:val="24"/>
              <w:szCs w:val="21"/>
            </w:rPr>
            <w:fldChar w:fldCharType="begin"/>
          </w:r>
          <w:r>
            <w:rPr>
              <w:sz w:val="24"/>
              <w:szCs w:val="21"/>
            </w:rPr>
            <w:instrText xml:space="preserve"> PAGEREF _Toc23811 \h </w:instrText>
          </w:r>
          <w:r>
            <w:rPr>
              <w:sz w:val="24"/>
              <w:szCs w:val="21"/>
            </w:rPr>
            <w:fldChar w:fldCharType="separate"/>
          </w:r>
          <w:r>
            <w:rPr>
              <w:sz w:val="24"/>
              <w:szCs w:val="21"/>
            </w:rPr>
            <w:t>30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"_Toc1019" </w:instrText>
          </w:r>
          <w:r>
            <w:fldChar w:fldCharType="separate"/>
          </w:r>
          <w:r>
            <w:rPr>
              <w:rFonts w:hint="eastAsia"/>
              <w:sz w:val="24"/>
              <w:szCs w:val="21"/>
            </w:rPr>
            <w:t>4.1管控分区</w:t>
          </w:r>
          <w:r>
            <w:rPr>
              <w:sz w:val="24"/>
              <w:szCs w:val="21"/>
            </w:rPr>
            <w:tab/>
          </w:r>
          <w:r>
            <w:rPr>
              <w:sz w:val="24"/>
              <w:szCs w:val="21"/>
            </w:rPr>
            <w:fldChar w:fldCharType="begin"/>
          </w:r>
          <w:r>
            <w:rPr>
              <w:sz w:val="24"/>
              <w:szCs w:val="21"/>
            </w:rPr>
            <w:instrText xml:space="preserve"> PAGEREF _Toc1019 \h </w:instrText>
          </w:r>
          <w:r>
            <w:rPr>
              <w:sz w:val="24"/>
              <w:szCs w:val="21"/>
            </w:rPr>
            <w:fldChar w:fldCharType="separate"/>
          </w:r>
          <w:r>
            <w:rPr>
              <w:sz w:val="24"/>
              <w:szCs w:val="21"/>
            </w:rPr>
            <w:t>30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"_Toc28891" </w:instrText>
          </w:r>
          <w:r>
            <w:fldChar w:fldCharType="separate"/>
          </w:r>
          <w:r>
            <w:rPr>
              <w:rFonts w:hint="eastAsia"/>
              <w:sz w:val="24"/>
              <w:szCs w:val="21"/>
            </w:rPr>
            <w:t>4.2建设分区</w:t>
          </w:r>
          <w:r>
            <w:rPr>
              <w:sz w:val="24"/>
              <w:szCs w:val="21"/>
            </w:rPr>
            <w:tab/>
          </w:r>
          <w:r>
            <w:rPr>
              <w:sz w:val="24"/>
              <w:szCs w:val="21"/>
            </w:rPr>
            <w:fldChar w:fldCharType="begin"/>
          </w:r>
          <w:r>
            <w:rPr>
              <w:sz w:val="24"/>
              <w:szCs w:val="21"/>
            </w:rPr>
            <w:instrText xml:space="preserve"> PAGEREF _Toc28891 \h </w:instrText>
          </w:r>
          <w:r>
            <w:rPr>
              <w:sz w:val="24"/>
              <w:szCs w:val="21"/>
            </w:rPr>
            <w:fldChar w:fldCharType="separate"/>
          </w:r>
          <w:r>
            <w:rPr>
              <w:sz w:val="24"/>
              <w:szCs w:val="21"/>
            </w:rPr>
            <w:t>30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"_Toc18869" </w:instrText>
          </w:r>
          <w:r>
            <w:fldChar w:fldCharType="separate"/>
          </w:r>
          <w:r>
            <w:rPr>
              <w:rFonts w:hint="eastAsia"/>
              <w:sz w:val="24"/>
              <w:szCs w:val="21"/>
            </w:rPr>
            <w:t>4.3建设任务</w:t>
          </w:r>
          <w:r>
            <w:rPr>
              <w:sz w:val="24"/>
              <w:szCs w:val="21"/>
            </w:rPr>
            <w:tab/>
          </w:r>
          <w:r>
            <w:rPr>
              <w:sz w:val="24"/>
              <w:szCs w:val="21"/>
            </w:rPr>
            <w:fldChar w:fldCharType="begin"/>
          </w:r>
          <w:r>
            <w:rPr>
              <w:sz w:val="24"/>
              <w:szCs w:val="21"/>
            </w:rPr>
            <w:instrText xml:space="preserve"> PAGEREF _Toc18869 \h </w:instrText>
          </w:r>
          <w:r>
            <w:rPr>
              <w:sz w:val="24"/>
              <w:szCs w:val="21"/>
            </w:rPr>
            <w:fldChar w:fldCharType="separate"/>
          </w:r>
          <w:r>
            <w:rPr>
              <w:sz w:val="24"/>
              <w:szCs w:val="21"/>
            </w:rPr>
            <w:t>33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"_Toc20193" </w:instrText>
          </w:r>
          <w:r>
            <w:fldChar w:fldCharType="separate"/>
          </w:r>
          <w:r>
            <w:rPr>
              <w:rFonts w:hint="eastAsia"/>
              <w:sz w:val="24"/>
              <w:szCs w:val="21"/>
            </w:rPr>
            <w:t>4.4重点工程</w:t>
          </w:r>
          <w:r>
            <w:rPr>
              <w:sz w:val="24"/>
              <w:szCs w:val="21"/>
            </w:rPr>
            <w:tab/>
          </w:r>
          <w:r>
            <w:rPr>
              <w:sz w:val="24"/>
              <w:szCs w:val="21"/>
            </w:rPr>
            <w:fldChar w:fldCharType="begin"/>
          </w:r>
          <w:r>
            <w:rPr>
              <w:sz w:val="24"/>
              <w:szCs w:val="21"/>
            </w:rPr>
            <w:instrText xml:space="preserve"> PAGEREF _Toc20193 \h </w:instrText>
          </w:r>
          <w:r>
            <w:rPr>
              <w:sz w:val="24"/>
              <w:szCs w:val="21"/>
            </w:rPr>
            <w:fldChar w:fldCharType="separate"/>
          </w:r>
          <w:r>
            <w:rPr>
              <w:sz w:val="24"/>
              <w:szCs w:val="21"/>
            </w:rPr>
            <w:t>35</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"_Toc23422" </w:instrText>
          </w:r>
          <w:r>
            <w:fldChar w:fldCharType="separate"/>
          </w:r>
          <w:r>
            <w:rPr>
              <w:sz w:val="24"/>
              <w:szCs w:val="28"/>
            </w:rPr>
            <w:t xml:space="preserve">5 </w:t>
          </w:r>
          <w:r>
            <w:rPr>
              <w:rFonts w:hint="eastAsia"/>
              <w:sz w:val="24"/>
              <w:szCs w:val="28"/>
            </w:rPr>
            <w:t>投资估算和资金筹措</w:t>
          </w:r>
          <w:r>
            <w:rPr>
              <w:sz w:val="24"/>
              <w:szCs w:val="21"/>
            </w:rPr>
            <w:tab/>
          </w:r>
          <w:r>
            <w:rPr>
              <w:sz w:val="24"/>
              <w:szCs w:val="21"/>
            </w:rPr>
            <w:fldChar w:fldCharType="begin"/>
          </w:r>
          <w:r>
            <w:rPr>
              <w:sz w:val="24"/>
              <w:szCs w:val="21"/>
            </w:rPr>
            <w:instrText xml:space="preserve"> PAGEREF _Toc23422 \h </w:instrText>
          </w:r>
          <w:r>
            <w:rPr>
              <w:sz w:val="24"/>
              <w:szCs w:val="21"/>
            </w:rPr>
            <w:fldChar w:fldCharType="separate"/>
          </w:r>
          <w:r>
            <w:rPr>
              <w:sz w:val="24"/>
              <w:szCs w:val="21"/>
            </w:rPr>
            <w:t>40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"_Toc27506" </w:instrText>
          </w:r>
          <w:r>
            <w:fldChar w:fldCharType="separate"/>
          </w:r>
          <w:r>
            <w:rPr>
              <w:rFonts w:hint="eastAsia"/>
              <w:sz w:val="24"/>
              <w:szCs w:val="21"/>
            </w:rPr>
            <w:t>5.1投资估算</w:t>
          </w:r>
          <w:r>
            <w:rPr>
              <w:sz w:val="24"/>
              <w:szCs w:val="21"/>
            </w:rPr>
            <w:tab/>
          </w:r>
          <w:r>
            <w:rPr>
              <w:sz w:val="24"/>
              <w:szCs w:val="21"/>
            </w:rPr>
            <w:fldChar w:fldCharType="begin"/>
          </w:r>
          <w:r>
            <w:rPr>
              <w:sz w:val="24"/>
              <w:szCs w:val="21"/>
            </w:rPr>
            <w:instrText xml:space="preserve"> PAGEREF _Toc27506 \h </w:instrText>
          </w:r>
          <w:r>
            <w:rPr>
              <w:sz w:val="24"/>
              <w:szCs w:val="21"/>
            </w:rPr>
            <w:fldChar w:fldCharType="separate"/>
          </w:r>
          <w:r>
            <w:rPr>
              <w:sz w:val="24"/>
              <w:szCs w:val="21"/>
            </w:rPr>
            <w:t>40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"_Toc30815" </w:instrText>
          </w:r>
          <w:r>
            <w:fldChar w:fldCharType="separate"/>
          </w:r>
          <w:r>
            <w:rPr>
              <w:rFonts w:hint="eastAsia"/>
              <w:sz w:val="24"/>
              <w:szCs w:val="21"/>
            </w:rPr>
            <w:t>5.2资金筹措</w:t>
          </w:r>
          <w:r>
            <w:rPr>
              <w:sz w:val="24"/>
              <w:szCs w:val="21"/>
            </w:rPr>
            <w:tab/>
          </w:r>
          <w:r>
            <w:rPr>
              <w:sz w:val="24"/>
              <w:szCs w:val="21"/>
            </w:rPr>
            <w:fldChar w:fldCharType="begin"/>
          </w:r>
          <w:r>
            <w:rPr>
              <w:sz w:val="24"/>
              <w:szCs w:val="21"/>
            </w:rPr>
            <w:instrText xml:space="preserve"> PAGEREF _Toc30815 \h </w:instrText>
          </w:r>
          <w:r>
            <w:rPr>
              <w:sz w:val="24"/>
              <w:szCs w:val="21"/>
            </w:rPr>
            <w:fldChar w:fldCharType="separate"/>
          </w:r>
          <w:r>
            <w:rPr>
              <w:sz w:val="24"/>
              <w:szCs w:val="21"/>
            </w:rPr>
            <w:t>41</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"_Toc8643" </w:instrText>
          </w:r>
          <w:r>
            <w:fldChar w:fldCharType="separate"/>
          </w:r>
          <w:r>
            <w:rPr>
              <w:sz w:val="24"/>
              <w:szCs w:val="28"/>
            </w:rPr>
            <w:t>6</w:t>
          </w:r>
          <w:r>
            <w:rPr>
              <w:rFonts w:hint="eastAsia"/>
              <w:sz w:val="24"/>
              <w:szCs w:val="28"/>
            </w:rPr>
            <w:t>建设监管和后续管护</w:t>
          </w:r>
          <w:r>
            <w:rPr>
              <w:sz w:val="24"/>
              <w:szCs w:val="21"/>
            </w:rPr>
            <w:tab/>
          </w:r>
          <w:r>
            <w:rPr>
              <w:sz w:val="24"/>
              <w:szCs w:val="21"/>
            </w:rPr>
            <w:fldChar w:fldCharType="begin"/>
          </w:r>
          <w:r>
            <w:rPr>
              <w:sz w:val="24"/>
              <w:szCs w:val="21"/>
            </w:rPr>
            <w:instrText xml:space="preserve"> PAGEREF _Toc8643 \h </w:instrText>
          </w:r>
          <w:r>
            <w:rPr>
              <w:sz w:val="24"/>
              <w:szCs w:val="21"/>
            </w:rPr>
            <w:fldChar w:fldCharType="separate"/>
          </w:r>
          <w:r>
            <w:rPr>
              <w:sz w:val="24"/>
              <w:szCs w:val="21"/>
            </w:rPr>
            <w:t>44</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"_Toc6229" </w:instrText>
          </w:r>
          <w:r>
            <w:fldChar w:fldCharType="separate"/>
          </w:r>
          <w:r>
            <w:rPr>
              <w:rFonts w:hint="eastAsia"/>
              <w:sz w:val="24"/>
              <w:szCs w:val="21"/>
            </w:rPr>
            <w:t>6.1强化质量管理</w:t>
          </w:r>
          <w:r>
            <w:rPr>
              <w:sz w:val="24"/>
              <w:szCs w:val="21"/>
            </w:rPr>
            <w:tab/>
          </w:r>
          <w:r>
            <w:rPr>
              <w:sz w:val="24"/>
              <w:szCs w:val="21"/>
            </w:rPr>
            <w:fldChar w:fldCharType="begin"/>
          </w:r>
          <w:r>
            <w:rPr>
              <w:sz w:val="24"/>
              <w:szCs w:val="21"/>
            </w:rPr>
            <w:instrText xml:space="preserve"> PAGEREF _Toc6229 \h </w:instrText>
          </w:r>
          <w:r>
            <w:rPr>
              <w:sz w:val="24"/>
              <w:szCs w:val="21"/>
            </w:rPr>
            <w:fldChar w:fldCharType="separate"/>
          </w:r>
          <w:r>
            <w:rPr>
              <w:sz w:val="24"/>
              <w:szCs w:val="21"/>
            </w:rPr>
            <w:t>44</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"_Toc1375" </w:instrText>
          </w:r>
          <w:r>
            <w:fldChar w:fldCharType="separate"/>
          </w:r>
          <w:r>
            <w:rPr>
              <w:rFonts w:hint="eastAsia"/>
              <w:sz w:val="24"/>
              <w:szCs w:val="21"/>
            </w:rPr>
            <w:t>6.2统一上图入库</w:t>
          </w:r>
          <w:r>
            <w:rPr>
              <w:sz w:val="24"/>
              <w:szCs w:val="21"/>
            </w:rPr>
            <w:tab/>
          </w:r>
          <w:r>
            <w:rPr>
              <w:sz w:val="24"/>
              <w:szCs w:val="21"/>
            </w:rPr>
            <w:fldChar w:fldCharType="begin"/>
          </w:r>
          <w:r>
            <w:rPr>
              <w:sz w:val="24"/>
              <w:szCs w:val="21"/>
            </w:rPr>
            <w:instrText xml:space="preserve"> PAGEREF _Toc1375 \h </w:instrText>
          </w:r>
          <w:r>
            <w:rPr>
              <w:sz w:val="24"/>
              <w:szCs w:val="21"/>
            </w:rPr>
            <w:fldChar w:fldCharType="separate"/>
          </w:r>
          <w:r>
            <w:rPr>
              <w:sz w:val="24"/>
              <w:szCs w:val="21"/>
            </w:rPr>
            <w:t>45</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"_Toc26887" </w:instrText>
          </w:r>
          <w:r>
            <w:fldChar w:fldCharType="separate"/>
          </w:r>
          <w:r>
            <w:rPr>
              <w:rFonts w:hint="eastAsia"/>
              <w:sz w:val="24"/>
              <w:szCs w:val="21"/>
            </w:rPr>
            <w:t>6.3规范竣工验收</w:t>
          </w:r>
          <w:r>
            <w:rPr>
              <w:sz w:val="24"/>
              <w:szCs w:val="21"/>
            </w:rPr>
            <w:tab/>
          </w:r>
          <w:r>
            <w:rPr>
              <w:sz w:val="24"/>
              <w:szCs w:val="21"/>
            </w:rPr>
            <w:fldChar w:fldCharType="begin"/>
          </w:r>
          <w:r>
            <w:rPr>
              <w:sz w:val="24"/>
              <w:szCs w:val="21"/>
            </w:rPr>
            <w:instrText xml:space="preserve"> PAGEREF _Toc26887 \h </w:instrText>
          </w:r>
          <w:r>
            <w:rPr>
              <w:sz w:val="24"/>
              <w:szCs w:val="21"/>
            </w:rPr>
            <w:fldChar w:fldCharType="separate"/>
          </w:r>
          <w:r>
            <w:rPr>
              <w:sz w:val="24"/>
              <w:szCs w:val="21"/>
            </w:rPr>
            <w:t>46</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"_Toc18444" </w:instrText>
          </w:r>
          <w:r>
            <w:fldChar w:fldCharType="separate"/>
          </w:r>
          <w:r>
            <w:rPr>
              <w:rFonts w:hint="eastAsia"/>
              <w:sz w:val="24"/>
              <w:szCs w:val="21"/>
            </w:rPr>
            <w:t>6.4后续管护和保护利用</w:t>
          </w:r>
          <w:r>
            <w:rPr>
              <w:sz w:val="24"/>
              <w:szCs w:val="21"/>
            </w:rPr>
            <w:tab/>
          </w:r>
          <w:r>
            <w:rPr>
              <w:sz w:val="24"/>
              <w:szCs w:val="21"/>
            </w:rPr>
            <w:fldChar w:fldCharType="begin"/>
          </w:r>
          <w:r>
            <w:rPr>
              <w:sz w:val="24"/>
              <w:szCs w:val="21"/>
            </w:rPr>
            <w:instrText xml:space="preserve"> PAGEREF _Toc18444 \h </w:instrText>
          </w:r>
          <w:r>
            <w:rPr>
              <w:sz w:val="24"/>
              <w:szCs w:val="21"/>
            </w:rPr>
            <w:fldChar w:fldCharType="separate"/>
          </w:r>
          <w:r>
            <w:rPr>
              <w:sz w:val="24"/>
              <w:szCs w:val="21"/>
            </w:rPr>
            <w:t>47</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"_Toc1720" </w:instrText>
          </w:r>
          <w:r>
            <w:fldChar w:fldCharType="separate"/>
          </w:r>
          <w:r>
            <w:rPr>
              <w:sz w:val="24"/>
              <w:szCs w:val="28"/>
            </w:rPr>
            <w:t>7</w:t>
          </w:r>
          <w:r>
            <w:rPr>
              <w:rFonts w:hint="eastAsia"/>
              <w:sz w:val="24"/>
              <w:szCs w:val="28"/>
            </w:rPr>
            <w:t>效益分析</w:t>
          </w:r>
          <w:r>
            <w:rPr>
              <w:sz w:val="24"/>
              <w:szCs w:val="21"/>
            </w:rPr>
            <w:tab/>
          </w:r>
          <w:r>
            <w:rPr>
              <w:sz w:val="24"/>
              <w:szCs w:val="21"/>
            </w:rPr>
            <w:fldChar w:fldCharType="begin"/>
          </w:r>
          <w:r>
            <w:rPr>
              <w:sz w:val="24"/>
              <w:szCs w:val="21"/>
            </w:rPr>
            <w:instrText xml:space="preserve"> PAGEREF _Toc1720 \h </w:instrText>
          </w:r>
          <w:r>
            <w:rPr>
              <w:sz w:val="24"/>
              <w:szCs w:val="21"/>
            </w:rPr>
            <w:fldChar w:fldCharType="separate"/>
          </w:r>
          <w:r>
            <w:rPr>
              <w:sz w:val="24"/>
              <w:szCs w:val="21"/>
            </w:rPr>
            <w:t>49</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"_Toc5841" </w:instrText>
          </w:r>
          <w:r>
            <w:fldChar w:fldCharType="separate"/>
          </w:r>
          <w:r>
            <w:rPr>
              <w:rFonts w:hint="eastAsia"/>
              <w:sz w:val="24"/>
              <w:szCs w:val="21"/>
            </w:rPr>
            <w:t>7.1经济效益</w:t>
          </w:r>
          <w:r>
            <w:rPr>
              <w:sz w:val="24"/>
              <w:szCs w:val="21"/>
            </w:rPr>
            <w:tab/>
          </w:r>
          <w:r>
            <w:rPr>
              <w:sz w:val="24"/>
              <w:szCs w:val="21"/>
            </w:rPr>
            <w:fldChar w:fldCharType="begin"/>
          </w:r>
          <w:r>
            <w:rPr>
              <w:sz w:val="24"/>
              <w:szCs w:val="21"/>
            </w:rPr>
            <w:instrText xml:space="preserve"> PAGEREF _Toc5841 \h </w:instrText>
          </w:r>
          <w:r>
            <w:rPr>
              <w:sz w:val="24"/>
              <w:szCs w:val="21"/>
            </w:rPr>
            <w:fldChar w:fldCharType="separate"/>
          </w:r>
          <w:r>
            <w:rPr>
              <w:sz w:val="24"/>
              <w:szCs w:val="21"/>
            </w:rPr>
            <w:t>49</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"_Toc21357" </w:instrText>
          </w:r>
          <w:r>
            <w:fldChar w:fldCharType="separate"/>
          </w:r>
          <w:r>
            <w:rPr>
              <w:rFonts w:hint="eastAsia"/>
              <w:sz w:val="24"/>
              <w:szCs w:val="21"/>
            </w:rPr>
            <w:t>7.2社会效益</w:t>
          </w:r>
          <w:r>
            <w:rPr>
              <w:sz w:val="24"/>
              <w:szCs w:val="21"/>
            </w:rPr>
            <w:tab/>
          </w:r>
          <w:r>
            <w:rPr>
              <w:sz w:val="24"/>
              <w:szCs w:val="21"/>
            </w:rPr>
            <w:fldChar w:fldCharType="begin"/>
          </w:r>
          <w:r>
            <w:rPr>
              <w:sz w:val="24"/>
              <w:szCs w:val="21"/>
            </w:rPr>
            <w:instrText xml:space="preserve"> PAGEREF _Toc21357 \h </w:instrText>
          </w:r>
          <w:r>
            <w:rPr>
              <w:sz w:val="24"/>
              <w:szCs w:val="21"/>
            </w:rPr>
            <w:fldChar w:fldCharType="separate"/>
          </w:r>
          <w:r>
            <w:rPr>
              <w:sz w:val="24"/>
              <w:szCs w:val="21"/>
            </w:rPr>
            <w:t>50</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"_Toc23060" </w:instrText>
          </w:r>
          <w:r>
            <w:fldChar w:fldCharType="separate"/>
          </w:r>
          <w:r>
            <w:rPr>
              <w:rFonts w:hint="eastAsia"/>
              <w:sz w:val="24"/>
              <w:szCs w:val="21"/>
            </w:rPr>
            <w:t>7.3生态效益</w:t>
          </w:r>
          <w:r>
            <w:rPr>
              <w:sz w:val="24"/>
              <w:szCs w:val="21"/>
            </w:rPr>
            <w:tab/>
          </w:r>
          <w:r>
            <w:rPr>
              <w:sz w:val="24"/>
              <w:szCs w:val="21"/>
            </w:rPr>
            <w:fldChar w:fldCharType="begin"/>
          </w:r>
          <w:r>
            <w:rPr>
              <w:sz w:val="24"/>
              <w:szCs w:val="21"/>
            </w:rPr>
            <w:instrText xml:space="preserve"> PAGEREF _Toc23060 \h </w:instrText>
          </w:r>
          <w:r>
            <w:rPr>
              <w:sz w:val="24"/>
              <w:szCs w:val="21"/>
            </w:rPr>
            <w:fldChar w:fldCharType="separate"/>
          </w:r>
          <w:r>
            <w:rPr>
              <w:sz w:val="24"/>
              <w:szCs w:val="21"/>
            </w:rPr>
            <w:t>50</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"_Toc18205" </w:instrText>
          </w:r>
          <w:r>
            <w:fldChar w:fldCharType="separate"/>
          </w:r>
          <w:r>
            <w:rPr>
              <w:sz w:val="24"/>
              <w:szCs w:val="28"/>
            </w:rPr>
            <w:t>8</w:t>
          </w:r>
          <w:r>
            <w:rPr>
              <w:rFonts w:hint="eastAsia"/>
              <w:sz w:val="24"/>
              <w:szCs w:val="28"/>
            </w:rPr>
            <w:t>保障措施</w:t>
          </w:r>
          <w:r>
            <w:rPr>
              <w:sz w:val="24"/>
              <w:szCs w:val="21"/>
            </w:rPr>
            <w:tab/>
          </w:r>
          <w:r>
            <w:rPr>
              <w:sz w:val="24"/>
              <w:szCs w:val="21"/>
            </w:rPr>
            <w:fldChar w:fldCharType="begin"/>
          </w:r>
          <w:r>
            <w:rPr>
              <w:sz w:val="24"/>
              <w:szCs w:val="21"/>
            </w:rPr>
            <w:instrText xml:space="preserve"> PAGEREF _Toc18205 \h </w:instrText>
          </w:r>
          <w:r>
            <w:rPr>
              <w:sz w:val="24"/>
              <w:szCs w:val="21"/>
            </w:rPr>
            <w:fldChar w:fldCharType="separate"/>
          </w:r>
          <w:r>
            <w:rPr>
              <w:sz w:val="24"/>
              <w:szCs w:val="21"/>
            </w:rPr>
            <w:t>52</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"_Toc6580" </w:instrText>
          </w:r>
          <w:r>
            <w:fldChar w:fldCharType="separate"/>
          </w:r>
          <w:r>
            <w:rPr>
              <w:rFonts w:hint="eastAsia"/>
              <w:sz w:val="24"/>
              <w:szCs w:val="21"/>
            </w:rPr>
            <w:t>8.1明确组织领导</w:t>
          </w:r>
          <w:r>
            <w:rPr>
              <w:sz w:val="24"/>
              <w:szCs w:val="21"/>
            </w:rPr>
            <w:tab/>
          </w:r>
          <w:r>
            <w:rPr>
              <w:sz w:val="24"/>
              <w:szCs w:val="21"/>
            </w:rPr>
            <w:fldChar w:fldCharType="begin"/>
          </w:r>
          <w:r>
            <w:rPr>
              <w:sz w:val="24"/>
              <w:szCs w:val="21"/>
            </w:rPr>
            <w:instrText xml:space="preserve"> PAGEREF _Toc6580 \h </w:instrText>
          </w:r>
          <w:r>
            <w:rPr>
              <w:sz w:val="24"/>
              <w:szCs w:val="21"/>
            </w:rPr>
            <w:fldChar w:fldCharType="separate"/>
          </w:r>
          <w:r>
            <w:rPr>
              <w:sz w:val="24"/>
              <w:szCs w:val="21"/>
            </w:rPr>
            <w:t>52</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"_Toc16074" </w:instrText>
          </w:r>
          <w:r>
            <w:fldChar w:fldCharType="separate"/>
          </w:r>
          <w:r>
            <w:rPr>
              <w:rFonts w:hint="eastAsia"/>
              <w:sz w:val="24"/>
              <w:szCs w:val="21"/>
            </w:rPr>
            <w:t>8.2坚持规划引领</w:t>
          </w:r>
          <w:r>
            <w:rPr>
              <w:sz w:val="24"/>
              <w:szCs w:val="21"/>
            </w:rPr>
            <w:tab/>
          </w:r>
          <w:r>
            <w:rPr>
              <w:sz w:val="24"/>
              <w:szCs w:val="21"/>
            </w:rPr>
            <w:fldChar w:fldCharType="begin"/>
          </w:r>
          <w:r>
            <w:rPr>
              <w:sz w:val="24"/>
              <w:szCs w:val="21"/>
            </w:rPr>
            <w:instrText xml:space="preserve"> PAGEREF _Toc16074 \h </w:instrText>
          </w:r>
          <w:r>
            <w:rPr>
              <w:sz w:val="24"/>
              <w:szCs w:val="21"/>
            </w:rPr>
            <w:fldChar w:fldCharType="separate"/>
          </w:r>
          <w:r>
            <w:rPr>
              <w:sz w:val="24"/>
              <w:szCs w:val="21"/>
            </w:rPr>
            <w:t>52</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"_Toc31528" </w:instrText>
          </w:r>
          <w:r>
            <w:fldChar w:fldCharType="separate"/>
          </w:r>
          <w:r>
            <w:rPr>
              <w:rFonts w:hint="eastAsia"/>
              <w:sz w:val="24"/>
              <w:szCs w:val="21"/>
            </w:rPr>
            <w:t>8.3保障资金投入</w:t>
          </w:r>
          <w:r>
            <w:rPr>
              <w:sz w:val="24"/>
              <w:szCs w:val="21"/>
            </w:rPr>
            <w:tab/>
          </w:r>
          <w:r>
            <w:rPr>
              <w:sz w:val="24"/>
              <w:szCs w:val="21"/>
            </w:rPr>
            <w:fldChar w:fldCharType="begin"/>
          </w:r>
          <w:r>
            <w:rPr>
              <w:sz w:val="24"/>
              <w:szCs w:val="21"/>
            </w:rPr>
            <w:instrText xml:space="preserve"> PAGEREF _Toc31528 \h </w:instrText>
          </w:r>
          <w:r>
            <w:rPr>
              <w:sz w:val="24"/>
              <w:szCs w:val="21"/>
            </w:rPr>
            <w:fldChar w:fldCharType="separate"/>
          </w:r>
          <w:r>
            <w:rPr>
              <w:sz w:val="24"/>
              <w:szCs w:val="21"/>
            </w:rPr>
            <w:t>53</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"_Toc31903" </w:instrText>
          </w:r>
          <w:r>
            <w:fldChar w:fldCharType="separate"/>
          </w:r>
          <w:r>
            <w:rPr>
              <w:rFonts w:hint="eastAsia"/>
              <w:sz w:val="24"/>
              <w:szCs w:val="21"/>
            </w:rPr>
            <w:t>8.4强化科技支撑</w:t>
          </w:r>
          <w:r>
            <w:rPr>
              <w:sz w:val="24"/>
              <w:szCs w:val="21"/>
            </w:rPr>
            <w:tab/>
          </w:r>
          <w:r>
            <w:rPr>
              <w:sz w:val="24"/>
              <w:szCs w:val="21"/>
            </w:rPr>
            <w:fldChar w:fldCharType="begin"/>
          </w:r>
          <w:r>
            <w:rPr>
              <w:sz w:val="24"/>
              <w:szCs w:val="21"/>
            </w:rPr>
            <w:instrText xml:space="preserve"> PAGEREF _Toc31903 \h </w:instrText>
          </w:r>
          <w:r>
            <w:rPr>
              <w:sz w:val="24"/>
              <w:szCs w:val="21"/>
            </w:rPr>
            <w:fldChar w:fldCharType="separate"/>
          </w:r>
          <w:r>
            <w:rPr>
              <w:sz w:val="24"/>
              <w:szCs w:val="21"/>
            </w:rPr>
            <w:t>54</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"_Toc26680" </w:instrText>
          </w:r>
          <w:r>
            <w:fldChar w:fldCharType="separate"/>
          </w:r>
          <w:r>
            <w:rPr>
              <w:rFonts w:hint="eastAsia"/>
              <w:sz w:val="24"/>
              <w:szCs w:val="21"/>
            </w:rPr>
            <w:t>8.5完善监督考核</w:t>
          </w:r>
          <w:r>
            <w:rPr>
              <w:sz w:val="24"/>
              <w:szCs w:val="21"/>
            </w:rPr>
            <w:tab/>
          </w:r>
          <w:r>
            <w:rPr>
              <w:sz w:val="24"/>
              <w:szCs w:val="21"/>
            </w:rPr>
            <w:fldChar w:fldCharType="begin"/>
          </w:r>
          <w:r>
            <w:rPr>
              <w:sz w:val="24"/>
              <w:szCs w:val="21"/>
            </w:rPr>
            <w:instrText xml:space="preserve"> PAGEREF _Toc26680 \h </w:instrText>
          </w:r>
          <w:r>
            <w:rPr>
              <w:sz w:val="24"/>
              <w:szCs w:val="21"/>
            </w:rPr>
            <w:fldChar w:fldCharType="separate"/>
          </w:r>
          <w:r>
            <w:rPr>
              <w:sz w:val="24"/>
              <w:szCs w:val="21"/>
            </w:rPr>
            <w:t>54</w:t>
          </w:r>
          <w:r>
            <w:rPr>
              <w:sz w:val="24"/>
              <w:szCs w:val="21"/>
            </w:rPr>
            <w:fldChar w:fldCharType="end"/>
          </w:r>
          <w:r>
            <w:rPr>
              <w:sz w:val="24"/>
              <w:szCs w:val="21"/>
            </w:rPr>
            <w:fldChar w:fldCharType="end"/>
          </w:r>
        </w:p>
        <w:p>
          <w:pPr>
            <w:pStyle w:val="15"/>
            <w:tabs>
              <w:tab w:val="right" w:leader="dot" w:pos="8306"/>
            </w:tabs>
            <w:ind w:left="560" w:firstLine="480"/>
            <w:rPr>
              <w:sz w:val="24"/>
              <w:szCs w:val="21"/>
            </w:rPr>
          </w:pPr>
          <w:r>
            <w:fldChar w:fldCharType="begin"/>
          </w:r>
          <w:r>
            <w:instrText xml:space="preserve"> HYPERLINK \l "_Toc23143" </w:instrText>
          </w:r>
          <w:r>
            <w:fldChar w:fldCharType="separate"/>
          </w:r>
          <w:r>
            <w:rPr>
              <w:rFonts w:hint="eastAsia"/>
              <w:sz w:val="24"/>
              <w:szCs w:val="21"/>
            </w:rPr>
            <w:t>8.6加强队伍建设</w:t>
          </w:r>
          <w:r>
            <w:rPr>
              <w:sz w:val="24"/>
              <w:szCs w:val="21"/>
            </w:rPr>
            <w:tab/>
          </w:r>
          <w:r>
            <w:rPr>
              <w:sz w:val="24"/>
              <w:szCs w:val="21"/>
            </w:rPr>
            <w:fldChar w:fldCharType="begin"/>
          </w:r>
          <w:r>
            <w:rPr>
              <w:sz w:val="24"/>
              <w:szCs w:val="21"/>
            </w:rPr>
            <w:instrText xml:space="preserve"> PAGEREF _Toc23143 \h </w:instrText>
          </w:r>
          <w:r>
            <w:rPr>
              <w:sz w:val="24"/>
              <w:szCs w:val="21"/>
            </w:rPr>
            <w:fldChar w:fldCharType="separate"/>
          </w:r>
          <w:r>
            <w:rPr>
              <w:sz w:val="24"/>
              <w:szCs w:val="21"/>
            </w:rPr>
            <w:t>54</w:t>
          </w:r>
          <w:r>
            <w:rPr>
              <w:sz w:val="24"/>
              <w:szCs w:val="21"/>
            </w:rPr>
            <w:fldChar w:fldCharType="end"/>
          </w:r>
          <w:r>
            <w:rPr>
              <w:sz w:val="24"/>
              <w:szCs w:val="21"/>
            </w:rPr>
            <w:fldChar w:fldCharType="end"/>
          </w:r>
        </w:p>
        <w:p>
          <w:pPr>
            <w:pStyle w:val="12"/>
            <w:tabs>
              <w:tab w:val="right" w:leader="dot" w:pos="8306"/>
            </w:tabs>
            <w:ind w:firstLine="480"/>
            <w:rPr>
              <w:sz w:val="24"/>
              <w:szCs w:val="21"/>
            </w:rPr>
          </w:pPr>
          <w:r>
            <w:fldChar w:fldCharType="begin"/>
          </w:r>
          <w:r>
            <w:instrText xml:space="preserve"> HYPERLINK \l "_Toc5657" </w:instrText>
          </w:r>
          <w:r>
            <w:fldChar w:fldCharType="separate"/>
          </w:r>
          <w:r>
            <w:rPr>
              <w:rFonts w:hint="eastAsia"/>
              <w:sz w:val="24"/>
              <w:szCs w:val="28"/>
            </w:rPr>
            <w:t>附表</w:t>
          </w:r>
          <w:r>
            <w:rPr>
              <w:sz w:val="24"/>
              <w:szCs w:val="21"/>
            </w:rPr>
            <w:tab/>
          </w:r>
          <w:r>
            <w:rPr>
              <w:sz w:val="24"/>
              <w:szCs w:val="21"/>
            </w:rPr>
            <w:fldChar w:fldCharType="begin"/>
          </w:r>
          <w:r>
            <w:rPr>
              <w:sz w:val="24"/>
              <w:szCs w:val="21"/>
            </w:rPr>
            <w:instrText xml:space="preserve"> PAGEREF _Toc5657 \h </w:instrText>
          </w:r>
          <w:r>
            <w:rPr>
              <w:sz w:val="24"/>
              <w:szCs w:val="21"/>
            </w:rPr>
            <w:fldChar w:fldCharType="separate"/>
          </w:r>
          <w:r>
            <w:rPr>
              <w:sz w:val="24"/>
              <w:szCs w:val="21"/>
            </w:rPr>
            <w:t>56</w:t>
          </w:r>
          <w:r>
            <w:rPr>
              <w:sz w:val="24"/>
              <w:szCs w:val="21"/>
            </w:rPr>
            <w:fldChar w:fldCharType="end"/>
          </w:r>
          <w:r>
            <w:rPr>
              <w:sz w:val="24"/>
              <w:szCs w:val="21"/>
            </w:rPr>
            <w:fldChar w:fldCharType="end"/>
          </w:r>
        </w:p>
        <w:p>
          <w:pPr>
            <w:pStyle w:val="12"/>
            <w:tabs>
              <w:tab w:val="right" w:leader="dot" w:pos="8306"/>
            </w:tabs>
            <w:ind w:firstLine="480"/>
          </w:pPr>
          <w:r>
            <w:fldChar w:fldCharType="begin"/>
          </w:r>
          <w:r>
            <w:instrText xml:space="preserve"> HYPERLINK \l "_Toc22706" </w:instrText>
          </w:r>
          <w:r>
            <w:fldChar w:fldCharType="separate"/>
          </w:r>
          <w:r>
            <w:rPr>
              <w:rFonts w:hint="eastAsia"/>
              <w:sz w:val="24"/>
              <w:szCs w:val="28"/>
            </w:rPr>
            <w:t>附图</w:t>
          </w:r>
          <w:r>
            <w:rPr>
              <w:sz w:val="24"/>
              <w:szCs w:val="21"/>
            </w:rPr>
            <w:tab/>
          </w:r>
          <w:r>
            <w:rPr>
              <w:sz w:val="24"/>
              <w:szCs w:val="21"/>
            </w:rPr>
            <w:fldChar w:fldCharType="begin"/>
          </w:r>
          <w:r>
            <w:rPr>
              <w:sz w:val="24"/>
              <w:szCs w:val="21"/>
            </w:rPr>
            <w:instrText xml:space="preserve"> PAGEREF _Toc22706 \h </w:instrText>
          </w:r>
          <w:r>
            <w:rPr>
              <w:sz w:val="24"/>
              <w:szCs w:val="21"/>
            </w:rPr>
            <w:fldChar w:fldCharType="separate"/>
          </w:r>
          <w:r>
            <w:rPr>
              <w:sz w:val="24"/>
              <w:szCs w:val="21"/>
            </w:rPr>
            <w:t>77</w:t>
          </w:r>
          <w:r>
            <w:rPr>
              <w:sz w:val="24"/>
              <w:szCs w:val="21"/>
            </w:rPr>
            <w:fldChar w:fldCharType="end"/>
          </w:r>
          <w:r>
            <w:rPr>
              <w:sz w:val="24"/>
              <w:szCs w:val="21"/>
            </w:rPr>
            <w:fldChar w:fldCharType="end"/>
          </w:r>
        </w:p>
        <w:p>
          <w:pPr>
            <w:rPr>
              <w:sz w:val="32"/>
              <w:szCs w:val="32"/>
            </w:rPr>
          </w:pPr>
          <w:r>
            <w:rPr>
              <w:bCs/>
              <w:szCs w:val="32"/>
              <w:lang w:val="zh-CN"/>
            </w:rPr>
            <w:fldChar w:fldCharType="end"/>
          </w:r>
        </w:p>
      </w:sdtContent>
    </w:sdt>
    <w:p>
      <w:pPr>
        <w:ind w:firstLine="640"/>
        <w:rPr>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upperRoman" w:start="1"/>
          <w:cols w:space="425" w:num="1"/>
          <w:docGrid w:type="lines" w:linePitch="312" w:charSpace="0"/>
        </w:sectPr>
      </w:pPr>
    </w:p>
    <w:p>
      <w:pPr>
        <w:pStyle w:val="2"/>
        <w:widowControl w:val="0"/>
        <w:adjustRightInd/>
        <w:snapToGrid/>
        <w:spacing w:before="340" w:after="330" w:line="360" w:lineRule="auto"/>
        <w:rPr>
          <w:rFonts w:cs="Times New Roman"/>
          <w:szCs w:val="32"/>
        </w:rPr>
      </w:pPr>
      <w:bookmarkStart w:id="0" w:name="_Toc32521"/>
      <w:r>
        <w:rPr>
          <w:rFonts w:cs="Times New Roman"/>
          <w:szCs w:val="32"/>
        </w:rPr>
        <w:t>1</w:t>
      </w:r>
      <w:r>
        <w:rPr>
          <w:rFonts w:hint="eastAsia" w:cs="Times New Roman"/>
          <w:szCs w:val="32"/>
        </w:rPr>
        <w:t>建设形势</w:t>
      </w:r>
      <w:bookmarkEnd w:id="0"/>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 w:name="_Toc23614"/>
      <w:r>
        <w:rPr>
          <w:rFonts w:hint="eastAsia" w:ascii="Times New Roman" w:hAnsi="Times New Roman" w:cs="Times New Roman"/>
          <w:kern w:val="2"/>
          <w:sz w:val="32"/>
        </w:rPr>
        <w:t>1.1基础条件</w:t>
      </w:r>
      <w:bookmarkEnd w:id="1"/>
    </w:p>
    <w:p>
      <w:pPr>
        <w:pStyle w:val="4"/>
        <w:widowControl w:val="0"/>
        <w:adjustRightInd/>
        <w:snapToGrid/>
        <w:spacing w:before="260" w:beforeLines="0" w:after="260"/>
        <w:jc w:val="both"/>
        <w:rPr>
          <w:rFonts w:cs="Times New Roman"/>
          <w:bCs/>
          <w:kern w:val="2"/>
          <w:sz w:val="32"/>
          <w:szCs w:val="32"/>
        </w:rPr>
      </w:pPr>
      <w:bookmarkStart w:id="2" w:name="_Toc119057871"/>
      <w:bookmarkStart w:id="3" w:name="_Toc119330116"/>
      <w:bookmarkStart w:id="4" w:name="_Toc27409"/>
      <w:bookmarkStart w:id="5" w:name="_Toc119329219"/>
      <w:r>
        <w:rPr>
          <w:rFonts w:hint="eastAsia" w:cs="Times New Roman"/>
          <w:bCs/>
          <w:kern w:val="2"/>
          <w:sz w:val="32"/>
          <w:szCs w:val="32"/>
        </w:rPr>
        <w:t>1.1.1地理位置</w:t>
      </w:r>
      <w:bookmarkEnd w:id="2"/>
      <w:bookmarkEnd w:id="3"/>
      <w:bookmarkEnd w:id="4"/>
      <w:bookmarkEnd w:id="5"/>
    </w:p>
    <w:p>
      <w:pPr>
        <w:ind w:firstLine="640"/>
        <w:rPr>
          <w:sz w:val="32"/>
          <w:szCs w:val="32"/>
        </w:rPr>
      </w:pPr>
      <w:r>
        <w:rPr>
          <w:rFonts w:hint="eastAsia"/>
          <w:sz w:val="32"/>
          <w:szCs w:val="32"/>
        </w:rPr>
        <w:t>茶陵县，隶属株洲市，位于湖南东部。北抵长沙，南通广州，西接郴州、东邻江西，面积2500平方公里。地处东经113°20′~113°65′，北纬26°30′~27°7′之间，属亚热带季风湿润气候。</w:t>
      </w:r>
    </w:p>
    <w:p>
      <w:pPr>
        <w:pStyle w:val="4"/>
        <w:widowControl w:val="0"/>
        <w:adjustRightInd/>
        <w:snapToGrid/>
        <w:spacing w:before="260" w:beforeLines="0" w:after="260"/>
        <w:jc w:val="both"/>
        <w:rPr>
          <w:rFonts w:cs="Times New Roman"/>
          <w:bCs/>
          <w:kern w:val="2"/>
          <w:sz w:val="32"/>
          <w:szCs w:val="32"/>
        </w:rPr>
      </w:pPr>
      <w:bookmarkStart w:id="6" w:name="_Toc119329220"/>
      <w:bookmarkStart w:id="7" w:name="_Toc16948"/>
      <w:bookmarkStart w:id="8" w:name="_Toc119330117"/>
      <w:bookmarkStart w:id="9" w:name="_Toc119057872"/>
      <w:r>
        <w:rPr>
          <w:rFonts w:hint="eastAsia" w:cs="Times New Roman"/>
          <w:bCs/>
          <w:kern w:val="2"/>
          <w:sz w:val="32"/>
          <w:szCs w:val="32"/>
        </w:rPr>
        <w:t>1.1.2地形地貌</w:t>
      </w:r>
      <w:bookmarkEnd w:id="6"/>
      <w:bookmarkEnd w:id="7"/>
      <w:bookmarkEnd w:id="8"/>
      <w:bookmarkEnd w:id="9"/>
    </w:p>
    <w:p>
      <w:pPr>
        <w:ind w:firstLine="640"/>
        <w:rPr>
          <w:sz w:val="32"/>
          <w:szCs w:val="32"/>
        </w:rPr>
      </w:pPr>
      <w:r>
        <w:rPr>
          <w:rFonts w:hint="eastAsia"/>
          <w:sz w:val="32"/>
          <w:szCs w:val="32"/>
        </w:rPr>
        <w:t>茶陵县地貌类型以山地为主，丘陵次之，岗、平俱备，其中山地面积186.49万亩，占全县总面积的49.73%；丘陵面积80.54万亩，占21.48%；岗地面积48.58万亩，占12.95%；平原面积49.75万亩，占13.27%，水面9.64万亩，占2.57%。全县地质状态是周围山地主要为砂页岩、变质岩、花岗岩和石灰岩，中部西南部主要为红岩和第四纪松散堆积物。</w:t>
      </w:r>
    </w:p>
    <w:p>
      <w:pPr>
        <w:pStyle w:val="4"/>
        <w:widowControl w:val="0"/>
        <w:adjustRightInd/>
        <w:snapToGrid/>
        <w:spacing w:before="260" w:beforeLines="0" w:after="260"/>
        <w:jc w:val="both"/>
        <w:rPr>
          <w:rFonts w:cs="Times New Roman"/>
          <w:bCs/>
          <w:kern w:val="2"/>
          <w:sz w:val="32"/>
          <w:szCs w:val="32"/>
        </w:rPr>
      </w:pPr>
      <w:bookmarkStart w:id="10" w:name="_Toc119057873"/>
      <w:bookmarkStart w:id="11" w:name="_Toc119330118"/>
      <w:bookmarkStart w:id="12" w:name="_Toc119329221"/>
      <w:bookmarkStart w:id="13" w:name="_Toc3364"/>
      <w:r>
        <w:rPr>
          <w:rFonts w:hint="eastAsia" w:cs="Times New Roman"/>
          <w:bCs/>
          <w:kern w:val="2"/>
          <w:sz w:val="32"/>
          <w:szCs w:val="32"/>
        </w:rPr>
        <w:t>1.1.3水文</w:t>
      </w:r>
      <w:bookmarkEnd w:id="10"/>
      <w:bookmarkEnd w:id="11"/>
      <w:bookmarkEnd w:id="12"/>
      <w:r>
        <w:rPr>
          <w:rFonts w:hint="eastAsia" w:cs="Times New Roman"/>
          <w:bCs/>
          <w:kern w:val="2"/>
          <w:sz w:val="32"/>
          <w:szCs w:val="32"/>
        </w:rPr>
        <w:t>和灌溉水源</w:t>
      </w:r>
      <w:bookmarkEnd w:id="13"/>
    </w:p>
    <w:p>
      <w:pPr>
        <w:ind w:firstLine="640"/>
        <w:rPr>
          <w:sz w:val="32"/>
          <w:szCs w:val="32"/>
        </w:rPr>
      </w:pPr>
      <w:r>
        <w:rPr>
          <w:rFonts w:hint="eastAsia"/>
          <w:sz w:val="32"/>
          <w:szCs w:val="32"/>
        </w:rPr>
        <w:t>茶陵县主要涉及4个灌区，分别为茶安灌区、岩口灌区、东坑灌区、龙头灌区。主要灌溉方式为河流引水、山冲来水、山塘以及水库灌溉。</w:t>
      </w:r>
    </w:p>
    <w:p>
      <w:pPr>
        <w:ind w:firstLine="640"/>
        <w:rPr>
          <w:sz w:val="32"/>
          <w:szCs w:val="32"/>
        </w:rPr>
      </w:pPr>
    </w:p>
    <w:p>
      <w:pPr>
        <w:ind w:firstLine="640"/>
        <w:rPr>
          <w:sz w:val="32"/>
          <w:szCs w:val="32"/>
        </w:rPr>
      </w:pPr>
      <w:r>
        <w:rPr>
          <w:rFonts w:hint="eastAsia"/>
          <w:sz w:val="32"/>
          <w:szCs w:val="32"/>
        </w:rPr>
        <w:t>茶陵县属湘江水系的洣水流域，连接大小河流25条，溪涧1732条。界首河入安仁永乐江。属赣江水系的溪涧3条，发源于茶山，入江西永新县三湾河，汇入禾水。全县地表水径流总量4.43x10米。境内主流是洣江，流域面积2495平方公里，通航里程137千米。洣水的主要支流水系有茶水、洮水、沤江和文江。</w:t>
      </w:r>
    </w:p>
    <w:p>
      <w:pPr>
        <w:ind w:firstLine="640"/>
        <w:rPr>
          <w:sz w:val="32"/>
          <w:szCs w:val="32"/>
        </w:rPr>
      </w:pPr>
      <w:r>
        <w:rPr>
          <w:rFonts w:hint="eastAsia"/>
          <w:sz w:val="32"/>
          <w:szCs w:val="32"/>
        </w:rPr>
        <w:t>茶水，发源于茶陵县五龙岭，流经东坑、田龙里、马首、石龙，在刘家坳汇入洣水，干流长62公里，流域面积</w:t>
      </w:r>
      <w:r>
        <w:rPr>
          <w:sz w:val="32"/>
          <w:szCs w:val="32"/>
        </w:rPr>
        <w:t>903</w:t>
      </w:r>
      <w:r>
        <w:rPr>
          <w:rFonts w:hint="eastAsia"/>
          <w:sz w:val="32"/>
          <w:szCs w:val="32"/>
        </w:rPr>
        <w:t>平方公里，河流坡降</w:t>
      </w:r>
      <w:r>
        <w:rPr>
          <w:sz w:val="32"/>
          <w:szCs w:val="32"/>
        </w:rPr>
        <w:t>1.33‰</w:t>
      </w:r>
      <w:r>
        <w:rPr>
          <w:rFonts w:hint="eastAsia"/>
          <w:sz w:val="32"/>
          <w:szCs w:val="32"/>
        </w:rPr>
        <w:t xml:space="preserve">。 </w:t>
      </w:r>
    </w:p>
    <w:p>
      <w:pPr>
        <w:ind w:firstLine="640"/>
        <w:rPr>
          <w:sz w:val="32"/>
          <w:szCs w:val="32"/>
        </w:rPr>
      </w:pPr>
      <w:r>
        <w:rPr>
          <w:rFonts w:hint="eastAsia"/>
          <w:sz w:val="32"/>
          <w:szCs w:val="32"/>
        </w:rPr>
        <w:t>洮水，在炎陵县境内名为沔水、茶陵县境内名为洮水，发源于炎陵县石凹坳，流经炎陵县孟华坝、南沅、十都、沔渡，茶陵县江口、林家洞、大溪头，在茶陵县中洲汇入洣水，干流长</w:t>
      </w:r>
      <w:r>
        <w:rPr>
          <w:sz w:val="32"/>
          <w:szCs w:val="32"/>
        </w:rPr>
        <w:t>100</w:t>
      </w:r>
      <w:r>
        <w:rPr>
          <w:rFonts w:hint="eastAsia"/>
          <w:sz w:val="32"/>
          <w:szCs w:val="32"/>
        </w:rPr>
        <w:t>公里，流域面积</w:t>
      </w:r>
      <w:r>
        <w:rPr>
          <w:sz w:val="32"/>
          <w:szCs w:val="32"/>
        </w:rPr>
        <w:t>75</w:t>
      </w:r>
      <w:r>
        <w:rPr>
          <w:rFonts w:hint="eastAsia"/>
          <w:sz w:val="32"/>
          <w:szCs w:val="32"/>
        </w:rPr>
        <w:t>平方公里，河流坡降</w:t>
      </w:r>
      <w:r>
        <w:rPr>
          <w:sz w:val="32"/>
          <w:szCs w:val="32"/>
        </w:rPr>
        <w:t>5.63‰</w:t>
      </w:r>
      <w:r>
        <w:rPr>
          <w:rFonts w:hint="eastAsia"/>
          <w:sz w:val="32"/>
          <w:szCs w:val="32"/>
        </w:rPr>
        <w:t>。</w:t>
      </w:r>
    </w:p>
    <w:p>
      <w:pPr>
        <w:ind w:firstLine="640"/>
        <w:rPr>
          <w:sz w:val="32"/>
          <w:szCs w:val="32"/>
        </w:rPr>
      </w:pPr>
      <w:r>
        <w:rPr>
          <w:rFonts w:hint="eastAsia"/>
          <w:sz w:val="32"/>
          <w:szCs w:val="32"/>
        </w:rPr>
        <w:t>沤江，发源于茶陵县石峰仙，流经和川、岩内、严塘圩、燕窝里、王龙坪，在大洲上汇入洣水，干流长</w:t>
      </w:r>
      <w:r>
        <w:rPr>
          <w:sz w:val="32"/>
          <w:szCs w:val="32"/>
        </w:rPr>
        <w:t>48</w:t>
      </w:r>
      <w:r>
        <w:rPr>
          <w:rFonts w:hint="eastAsia"/>
          <w:sz w:val="32"/>
          <w:szCs w:val="32"/>
        </w:rPr>
        <w:t>公里，流域面积</w:t>
      </w:r>
      <w:r>
        <w:rPr>
          <w:sz w:val="32"/>
          <w:szCs w:val="32"/>
        </w:rPr>
        <w:t>154</w:t>
      </w:r>
      <w:r>
        <w:rPr>
          <w:rFonts w:hint="eastAsia"/>
          <w:sz w:val="32"/>
          <w:szCs w:val="32"/>
        </w:rPr>
        <w:t>平方公里，河流坡降</w:t>
      </w:r>
      <w:r>
        <w:rPr>
          <w:sz w:val="32"/>
          <w:szCs w:val="32"/>
        </w:rPr>
        <w:t>8.98‰</w:t>
      </w:r>
      <w:r>
        <w:rPr>
          <w:rFonts w:hint="eastAsia"/>
          <w:sz w:val="32"/>
          <w:szCs w:val="32"/>
        </w:rPr>
        <w:t>。</w:t>
      </w:r>
    </w:p>
    <w:p>
      <w:pPr>
        <w:ind w:firstLine="640"/>
        <w:rPr>
          <w:sz w:val="32"/>
          <w:szCs w:val="32"/>
        </w:rPr>
      </w:pPr>
      <w:r>
        <w:rPr>
          <w:rFonts w:hint="eastAsia"/>
          <w:sz w:val="32"/>
          <w:szCs w:val="32"/>
        </w:rPr>
        <w:t>文江发源于茶陵县墨烟冲西，流经坪塘、杨柳仙、石湖、田心、灰塘、李家村，最后汇入洣水，干流长</w:t>
      </w:r>
      <w:r>
        <w:rPr>
          <w:sz w:val="32"/>
          <w:szCs w:val="32"/>
        </w:rPr>
        <w:t>42</w:t>
      </w:r>
      <w:r>
        <w:rPr>
          <w:rFonts w:hint="eastAsia"/>
          <w:sz w:val="32"/>
          <w:szCs w:val="32"/>
        </w:rPr>
        <w:t>公里，流域面积</w:t>
      </w:r>
      <w:r>
        <w:rPr>
          <w:sz w:val="32"/>
          <w:szCs w:val="32"/>
        </w:rPr>
        <w:t>287</w:t>
      </w:r>
      <w:r>
        <w:rPr>
          <w:rFonts w:hint="eastAsia"/>
          <w:sz w:val="32"/>
          <w:szCs w:val="32"/>
        </w:rPr>
        <w:t>平方公里，河流坡降</w:t>
      </w:r>
      <w:r>
        <w:rPr>
          <w:sz w:val="32"/>
          <w:szCs w:val="32"/>
        </w:rPr>
        <w:t>1.59‰</w:t>
      </w:r>
      <w:r>
        <w:rPr>
          <w:rFonts w:hint="eastAsia"/>
          <w:sz w:val="32"/>
          <w:szCs w:val="32"/>
        </w:rPr>
        <w:t>。</w:t>
      </w:r>
    </w:p>
    <w:p>
      <w:pPr>
        <w:ind w:firstLine="640"/>
        <w:rPr>
          <w:sz w:val="32"/>
          <w:szCs w:val="32"/>
        </w:rPr>
      </w:pPr>
      <w:r>
        <w:rPr>
          <w:rFonts w:hint="eastAsia"/>
          <w:sz w:val="32"/>
          <w:szCs w:val="32"/>
        </w:rPr>
        <w:t>茶陵县的主要灌溉水库有中型水库2座（东坑水库、岩口水库），小一型水库10座（龙头水库、野鸡坪水库、大窝垅水库、望水沟水库、艾家水库、黄沙田水库、兴家旺水库、建民水库、石燕塘水库、老虎冲水库），小二型水库224座，详见下表1-1。</w:t>
      </w:r>
    </w:p>
    <w:p>
      <w:pPr>
        <w:ind w:firstLine="643"/>
        <w:jc w:val="center"/>
        <w:rPr>
          <w:b/>
          <w:sz w:val="32"/>
          <w:szCs w:val="32"/>
        </w:rPr>
      </w:pPr>
      <w:r>
        <w:rPr>
          <w:rFonts w:hint="eastAsia"/>
          <w:b/>
          <w:sz w:val="32"/>
          <w:szCs w:val="32"/>
        </w:rPr>
        <w:t>表1-1 茶陵县主要灌溉水库统计表</w:t>
      </w:r>
    </w:p>
    <w:tbl>
      <w:tblPr>
        <w:tblStyle w:val="17"/>
        <w:tblW w:w="499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85"/>
        <w:gridCol w:w="2374"/>
        <w:gridCol w:w="2572"/>
        <w:gridCol w:w="238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tblHeader/>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b/>
                <w:bCs/>
                <w:color w:val="000000"/>
                <w:sz w:val="20"/>
                <w:szCs w:val="20"/>
              </w:rPr>
            </w:pPr>
            <w:r>
              <w:rPr>
                <w:rFonts w:eastAsia="宋体"/>
                <w:b/>
                <w:bCs/>
                <w:color w:val="000000"/>
                <w:kern w:val="0"/>
                <w:sz w:val="20"/>
                <w:szCs w:val="20"/>
                <w:lang w:bidi="ar"/>
              </w:rPr>
              <w:t>序号</w:t>
            </w:r>
          </w:p>
        </w:tc>
        <w:tc>
          <w:tcPr>
            <w:tcW w:w="1392" w:type="pct"/>
            <w:tcBorders>
              <w:tl2br w:val="nil"/>
              <w:tr2bl w:val="nil"/>
            </w:tcBorders>
            <w:shd w:val="clear" w:color="auto" w:fill="auto"/>
            <w:vAlign w:val="center"/>
          </w:tcPr>
          <w:p>
            <w:pPr>
              <w:widowControl/>
              <w:ind w:firstLine="402"/>
              <w:jc w:val="center"/>
              <w:textAlignment w:val="center"/>
              <w:rPr>
                <w:rFonts w:eastAsia="宋体"/>
                <w:b/>
                <w:bCs/>
                <w:color w:val="000000"/>
                <w:sz w:val="20"/>
                <w:szCs w:val="20"/>
              </w:rPr>
            </w:pPr>
            <w:r>
              <w:rPr>
                <w:rFonts w:eastAsia="宋体"/>
                <w:b/>
                <w:bCs/>
                <w:color w:val="000000"/>
                <w:kern w:val="0"/>
                <w:sz w:val="20"/>
                <w:szCs w:val="20"/>
                <w:lang w:bidi="ar"/>
              </w:rPr>
              <w:t>水库名称</w:t>
            </w:r>
          </w:p>
        </w:tc>
        <w:tc>
          <w:tcPr>
            <w:tcW w:w="1509" w:type="pct"/>
            <w:tcBorders>
              <w:tl2br w:val="nil"/>
              <w:tr2bl w:val="nil"/>
            </w:tcBorders>
            <w:shd w:val="clear" w:color="auto" w:fill="auto"/>
            <w:vAlign w:val="center"/>
          </w:tcPr>
          <w:p>
            <w:pPr>
              <w:widowControl/>
              <w:ind w:firstLine="402"/>
              <w:jc w:val="center"/>
              <w:textAlignment w:val="center"/>
              <w:rPr>
                <w:rFonts w:eastAsia="宋体"/>
                <w:b/>
                <w:bCs/>
                <w:color w:val="000000"/>
                <w:sz w:val="20"/>
                <w:szCs w:val="20"/>
              </w:rPr>
            </w:pPr>
            <w:r>
              <w:rPr>
                <w:rFonts w:eastAsia="宋体"/>
                <w:b/>
                <w:bCs/>
                <w:color w:val="000000"/>
                <w:kern w:val="0"/>
                <w:sz w:val="20"/>
                <w:szCs w:val="20"/>
                <w:lang w:bidi="ar"/>
              </w:rPr>
              <w:t>所在地</w:t>
            </w:r>
          </w:p>
        </w:tc>
        <w:tc>
          <w:tcPr>
            <w:tcW w:w="1401" w:type="pct"/>
            <w:tcBorders>
              <w:tl2br w:val="nil"/>
              <w:tr2bl w:val="nil"/>
            </w:tcBorders>
            <w:shd w:val="clear" w:color="auto" w:fill="auto"/>
            <w:vAlign w:val="center"/>
          </w:tcPr>
          <w:p>
            <w:pPr>
              <w:widowControl/>
              <w:ind w:firstLine="402"/>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灌溉面积（万亩）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089" w:type="pct"/>
            <w:gridSpan w:val="2"/>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一、中型（</w:t>
            </w:r>
            <w:r>
              <w:rPr>
                <w:rStyle w:val="34"/>
                <w:rFonts w:hint="eastAsia" w:eastAsia="宋体"/>
                <w:lang w:bidi="ar"/>
              </w:rPr>
              <w:t>2</w:t>
            </w:r>
            <w:r>
              <w:rPr>
                <w:rStyle w:val="35"/>
                <w:rFonts w:hint="default"/>
                <w:lang w:bidi="ar"/>
              </w:rPr>
              <w:t>座）</w:t>
            </w:r>
          </w:p>
        </w:tc>
        <w:tc>
          <w:tcPr>
            <w:tcW w:w="1509" w:type="pct"/>
            <w:tcBorders>
              <w:tl2br w:val="nil"/>
              <w:tr2bl w:val="nil"/>
            </w:tcBorders>
            <w:shd w:val="clear" w:color="auto" w:fill="auto"/>
            <w:vAlign w:val="center"/>
          </w:tcPr>
          <w:p>
            <w:pPr>
              <w:ind w:firstLine="400"/>
              <w:jc w:val="center"/>
              <w:rPr>
                <w:rFonts w:eastAsia="宋体"/>
                <w:color w:val="000000"/>
                <w:sz w:val="20"/>
                <w:szCs w:val="20"/>
              </w:rPr>
            </w:pPr>
          </w:p>
        </w:tc>
        <w:tc>
          <w:tcPr>
            <w:tcW w:w="1401" w:type="pct"/>
            <w:tcBorders>
              <w:tl2br w:val="nil"/>
              <w:tr2bl w:val="nil"/>
            </w:tcBorders>
            <w:shd w:val="clear" w:color="auto" w:fill="auto"/>
            <w:vAlign w:val="center"/>
          </w:tcPr>
          <w:p>
            <w:pPr>
              <w:ind w:firstLine="400"/>
              <w:jc w:val="center"/>
              <w:rPr>
                <w:rFonts w:eastAsia="宋体"/>
                <w:color w:val="000000"/>
                <w:sz w:val="20"/>
                <w:szCs w:val="2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东坑水库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秩堂镇东首村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3.982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岩口水库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严塘镇湾里村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4.900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089" w:type="pct"/>
            <w:gridSpan w:val="2"/>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二、小一型（</w:t>
            </w:r>
            <w:r>
              <w:rPr>
                <w:rStyle w:val="34"/>
                <w:rFonts w:eastAsia="宋体"/>
                <w:lang w:bidi="ar"/>
              </w:rPr>
              <w:t>10</w:t>
            </w:r>
            <w:r>
              <w:rPr>
                <w:rStyle w:val="35"/>
                <w:rFonts w:hint="default"/>
                <w:lang w:bidi="ar"/>
              </w:rPr>
              <w:t>座）</w:t>
            </w:r>
          </w:p>
        </w:tc>
        <w:tc>
          <w:tcPr>
            <w:tcW w:w="1509" w:type="pct"/>
            <w:tcBorders>
              <w:tl2br w:val="nil"/>
              <w:tr2bl w:val="nil"/>
            </w:tcBorders>
            <w:shd w:val="clear" w:color="auto" w:fill="auto"/>
            <w:vAlign w:val="center"/>
          </w:tcPr>
          <w:p>
            <w:pPr>
              <w:ind w:firstLine="400"/>
              <w:jc w:val="center"/>
              <w:rPr>
                <w:rFonts w:eastAsia="宋体"/>
                <w:color w:val="000000"/>
                <w:sz w:val="20"/>
                <w:szCs w:val="20"/>
              </w:rPr>
            </w:pPr>
          </w:p>
        </w:tc>
        <w:tc>
          <w:tcPr>
            <w:tcW w:w="1401" w:type="pct"/>
            <w:tcBorders>
              <w:tl2br w:val="nil"/>
              <w:tr2bl w:val="nil"/>
            </w:tcBorders>
            <w:shd w:val="clear" w:color="auto" w:fill="auto"/>
            <w:vAlign w:val="center"/>
          </w:tcPr>
          <w:p>
            <w:pPr>
              <w:ind w:firstLine="400"/>
              <w:jc w:val="center"/>
              <w:rPr>
                <w:rFonts w:eastAsia="宋体"/>
                <w:color w:val="000000"/>
                <w:sz w:val="20"/>
                <w:szCs w:val="2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龙头水库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火田镇贝水村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0.760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野鸡坪水库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湖口镇寒江村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大窝垅水库</w:t>
            </w:r>
            <w:r>
              <w:rPr>
                <w:rFonts w:eastAsia="宋体"/>
                <w:color w:val="000000"/>
                <w:kern w:val="0"/>
                <w:sz w:val="20"/>
                <w:szCs w:val="20"/>
                <w:lang w:bidi="ar"/>
              </w:rPr>
              <w:br w:type="textWrapping"/>
            </w:r>
            <w:r>
              <w:rPr>
                <w:rFonts w:eastAsia="宋体"/>
                <w:color w:val="000000"/>
                <w:kern w:val="0"/>
                <w:sz w:val="20"/>
                <w:szCs w:val="20"/>
                <w:lang w:bidi="ar"/>
              </w:rPr>
              <w:t>（利民办）</w:t>
            </w:r>
          </w:p>
        </w:tc>
        <w:tc>
          <w:tcPr>
            <w:tcW w:w="1509" w:type="pct"/>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下东街道桥边村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0.265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望水沟水库</w:t>
            </w:r>
            <w:r>
              <w:rPr>
                <w:rFonts w:eastAsia="宋体"/>
                <w:color w:val="000000"/>
                <w:kern w:val="0"/>
                <w:sz w:val="20"/>
                <w:szCs w:val="20"/>
                <w:lang w:bidi="ar"/>
              </w:rPr>
              <w:br w:type="textWrapping"/>
            </w:r>
            <w:r>
              <w:rPr>
                <w:rFonts w:eastAsia="宋体"/>
                <w:color w:val="000000"/>
                <w:kern w:val="0"/>
                <w:sz w:val="20"/>
                <w:szCs w:val="20"/>
                <w:lang w:bidi="ar"/>
              </w:rPr>
              <w:t>（利民办）</w:t>
            </w:r>
          </w:p>
        </w:tc>
        <w:tc>
          <w:tcPr>
            <w:tcW w:w="1509" w:type="pct"/>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下东街道金铺村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0.250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艾家水库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思聪街道龙溪村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0.300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黄沙田水库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严塘镇和吕村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0.650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兴家旺水库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严塘镇爱里村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0.400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建民水库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腰潞镇七地村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0.650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石燕塘水库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枣市镇洞头村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0.260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老虎冲水库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枣市镇洒水村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0.4455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2089" w:type="pct"/>
            <w:gridSpan w:val="2"/>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三、小二型（224座）</w:t>
            </w:r>
          </w:p>
        </w:tc>
        <w:tc>
          <w:tcPr>
            <w:tcW w:w="1509" w:type="pct"/>
            <w:tcBorders>
              <w:tl2br w:val="nil"/>
              <w:tr2bl w:val="nil"/>
            </w:tcBorders>
            <w:shd w:val="clear" w:color="auto" w:fill="auto"/>
            <w:vAlign w:val="center"/>
          </w:tcPr>
          <w:p>
            <w:pPr>
              <w:ind w:firstLine="400"/>
              <w:jc w:val="center"/>
              <w:rPr>
                <w:rFonts w:eastAsia="宋体"/>
                <w:color w:val="000000"/>
                <w:sz w:val="20"/>
                <w:szCs w:val="20"/>
              </w:rPr>
            </w:pPr>
          </w:p>
        </w:tc>
        <w:tc>
          <w:tcPr>
            <w:tcW w:w="1401" w:type="pct"/>
            <w:tcBorders>
              <w:tl2br w:val="nil"/>
              <w:tr2bl w:val="nil"/>
            </w:tcBorders>
            <w:shd w:val="clear" w:color="auto" w:fill="auto"/>
            <w:vAlign w:val="center"/>
          </w:tcPr>
          <w:p>
            <w:pPr>
              <w:ind w:firstLine="400"/>
              <w:jc w:val="center"/>
              <w:rPr>
                <w:rFonts w:eastAsia="宋体"/>
                <w:color w:val="000000"/>
                <w:sz w:val="20"/>
                <w:szCs w:val="20"/>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王坳水库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高陇镇长兴村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羊角冲水库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高陇镇古城村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寒碳冲水库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高陇镇祖安村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冲脑水库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高陇镇湘东村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驯龙水库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高陇镇石冲村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万能水库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高陇镇石冲村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牛皮口水库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高陇镇水头村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高陇镇星锋村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鸭塘水库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高陇镇星锋村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0.0295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官坑水库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湖口镇白露村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羊石塘水库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湖口镇顾母村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湖口镇荷塘村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狐狸坳水库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湖口镇湖口村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仓下水库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湖口镇湖口村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桥塘水库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湖口镇井和村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朱岭水库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湖口镇梅林村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马脑冲水库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湖口镇洣渡村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跃进水库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湖口镇洣渡村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吉心冲水库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湖口镇妙石村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海塘水库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湖口镇妙石村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湖口镇妙石村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杉窝垅水库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湖口镇南江村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晓塘水库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湖口镇石井村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金鸡水库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湖口镇石井村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荷叶塘水库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湖口镇塘头村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骑马龙水库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湖口镇文泰村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环保垅水库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湖口镇文泰村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破塘水库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湖口镇土桥村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小旦冲水库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湖口镇晓汾村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铁落冲水库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湖口镇小潭村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船尾水库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湖口镇小潭村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水打冲水库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湖口镇杨柳村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三白垅水库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湖口镇杨柳村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贺家水库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湖口镇杨柳村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龙胆冲水库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湖口镇妙石村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石龙里水库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湖口镇妙石村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大冲垅水库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湖口镇浣溪村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金龙背水库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湖口镇浣溪村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39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朱家冲水库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虎踞镇二仙村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凌角塘水库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虎踞镇二仙村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扎江冲水库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虎踞镇峰仙村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峰仙水库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虎踞镇峰仙村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虎踞镇峰仙村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虎踞镇合湖村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小子塘水库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虎踞镇合湖村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模范塘水库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虎踞镇河东村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旺塘水库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虎踞镇西屏村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0.075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懂塘水库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虎踞镇西屏村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49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水利冲水库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虎踞镇西屏村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虎踞镇西屏村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柏冲水库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虎踞镇西屏村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模范塘水库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虎踞镇黄石村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茶盘塘水库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虎踞镇黄石村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狐狸庵水库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虎踞镇黄石村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畔龙水库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虎踞镇金山村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虎踞镇金山村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争光水库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虎踞镇石朱村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小冲水库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虎踞镇乔下村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59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三益水库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虎踞镇水源村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石公拐水库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虎踞镇五峰村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0.240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木陂水库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火田镇贝江村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尧咀垅水库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火田镇芙江村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蝉贝龙水库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火田镇芙江村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寨下垅水库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火田镇芙江村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拖把冲水库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火田镇麻芙村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东冲水库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火田镇庙贝村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颜前水库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火田镇山田村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梅坑水库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火田镇山田村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69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火田镇五门村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六家冲水库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火田镇五门村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南岸冲水库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火田镇洲陂村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小水冲水库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界首镇白沙村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东道垅水库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界首镇白沙村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水古塘水库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界首镇白沙村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荷叶塘水库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界首镇白沙村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杨木塘水库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界首镇白洲村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江东仙水库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界首镇大新村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草塘水库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界首镇大新村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79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依咀垅水库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界首镇大新村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苍下垅水库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界首镇大新村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长塘垅水库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界首镇上联村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三塘垅水库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界首镇上联村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上联水库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界首镇上联村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双冲水库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界首镇贺铺村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双丫冲水库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界首镇贺铺村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麻咀坳水库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界首镇贺铺村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上叶塘水库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界首镇红光村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石公庙水库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界首镇花甲村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89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中湾水库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界首镇花甲村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寺前塘水库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界首镇火星村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高兴水库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界首镇莲荷村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大古塘水库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界首镇莲荷村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界首镇莲荷村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两眼塘水库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界首镇莲荷村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白眼塘水库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界首镇莲荷村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鸡子岭水库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界首镇界市村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龙潭水库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界首镇朱岭村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大禾垅水库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下东街道金铺村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99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禾石塘水库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下东街道齐溪村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下山塘水库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下东街道齐溪村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石头垅水库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下东街道桥边村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角塘水库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下东街道桥边村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七里湾水库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下东街道小车村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左李水库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下东街道乐联村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大枫塘水库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下东街道乐联村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对环冲水库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下东街道官铺村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布冲水库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下东街道官铺村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下长岭水库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下东街道官铺村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109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大市塘水库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下东街道儒仕坪村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邓家冲水库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下东街道头铺村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冬塘水库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下东街道头铺村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大脑冲水库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下东街道头铺村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冲脑水库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下东街道头铺村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苦麻塘水库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舲舫乡车浦村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涧塘垅水库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舲舫乡车浦村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沙咀冲水库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舲舫乡祠湾村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官垅水库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舲舫乡河坞村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大什垅水库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舲舫乡舲舫村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119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后背垅水库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舲舫乡长鸭村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浣冲水库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舲舫乡长鸭村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野马垅水库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舲舫乡垸井村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八旦垅水库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马江镇长联村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牛栏口水库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马江镇长联村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风水塘水库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马江镇等坪村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周公塘水库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马江镇等坪村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南冲水库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马江镇等坪村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127</w:t>
            </w:r>
          </w:p>
        </w:tc>
        <w:tc>
          <w:tcPr>
            <w:tcW w:w="1392" w:type="pct"/>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南塘水库（塘背）</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马江镇等坪村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沙垅水库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马江镇等坪村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129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文南冲水库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马江镇东冲村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下荷塘水库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马江镇东冲村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上垅水库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马江镇东冲村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皮禾冲水库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马江镇文江村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三旦龙水库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马江镇文江村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马江镇文江村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大兴塘水库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马江镇红旗村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檀山下水库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马江镇浪滩村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三宝冲水库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马江镇浪滩村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hint="eastAsia" w:eastAsia="宋体"/>
                <w:color w:val="000000"/>
                <w:kern w:val="0"/>
                <w:sz w:val="20"/>
                <w:szCs w:val="20"/>
                <w:lang w:bidi="ar"/>
              </w:rPr>
              <w:t>1</w:t>
            </w:r>
            <w:r>
              <w:rPr>
                <w:rFonts w:eastAsia="宋体"/>
                <w:color w:val="000000"/>
                <w:kern w:val="0"/>
                <w:sz w:val="20"/>
                <w:szCs w:val="20"/>
                <w:lang w:bidi="ar"/>
              </w:rPr>
              <w:t>38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邓家冲水库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马江镇麻石村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139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长窝水库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马江镇毛芫冲村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白虎塘水库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马江镇毛芫冲村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铁塘水库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马江镇毛芫冲村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滩塘水库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马江镇末头村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石门下水库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马江镇末头村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初塘水库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马江镇塘富村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溪沙水库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马江镇月岭村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老里水库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马江镇玄武村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赵公塘水库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马江镇玄武村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荷叶塘水库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洣江街道渡里村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149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老虎岩水库</w:t>
            </w:r>
          </w:p>
        </w:tc>
        <w:tc>
          <w:tcPr>
            <w:tcW w:w="1509" w:type="pct"/>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洣江街道桃源村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东塘水库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洣江街道欧江村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洋冲水库</w:t>
            </w:r>
          </w:p>
        </w:tc>
        <w:tc>
          <w:tcPr>
            <w:tcW w:w="1509" w:type="pct"/>
            <w:tcBorders>
              <w:tl2br w:val="nil"/>
              <w:tr2bl w:val="nil"/>
            </w:tcBorders>
            <w:shd w:val="clear" w:color="auto" w:fill="auto"/>
            <w:vAlign w:val="center"/>
          </w:tcPr>
          <w:p>
            <w:pPr>
              <w:widowControl/>
              <w:ind w:firstLine="40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洣江街道星桥村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官垅水库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思聪街道茶冲村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思聪街道茶冲村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雷垅里水库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思聪街道茶冲村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杨岭寨水库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思聪街道茶冲村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羊角冲水库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思聪街道思聪村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移山庵水库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思聪街道思聪村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矛里冲水库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思聪街道三华村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159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石窝塘水库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思聪街道三华村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丫咀冲水库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思聪街道三华村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毛屋水库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思聪街道三华村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桥冲水库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思聪街道辉山村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官冲水库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思聪街道左垅村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仙下垅水库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思聪街道下清村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思聪街道下清村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思聪街道下清村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马鞍岭水库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思聪街道下清村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迎风坳水库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严塘镇长江村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169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罗下塘水库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严塘镇长江村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麦元水库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严塘镇玳溪村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罗家坡水库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严塘镇黄河村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马家垅水库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严塘镇沙江村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背子坳水库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严塘镇尧水村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铁古岭水库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严塘镇猷竹村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穿眼水库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腰潞镇马加庄村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走冲水库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腰潞镇马加庄村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大吉冲水库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腰潞镇马加庄村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沙溪水库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腰潞镇长义村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0.159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179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大西冲水库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腰潞镇长义村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潮塘水库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腰潞镇珍武村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簸箕冲水库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腰潞镇珍武村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杂木冲水库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腰潞镇芙冲村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下家冲水库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腰潞镇珍武村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桃子塘水库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腰潞镇芙冲村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高里冲水库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腰潞镇横屋村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和冲水库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腰潞镇腰陂村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后背冲水库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大屋冲水库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189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大塘尾水库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竹咀冲水库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三安塘水库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沟塘水库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办塘水库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下子巷水库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腰潞镇石联村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冲头水库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腰潞镇七地村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火把冲水库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腰潞镇七地村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竹子塘水库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腰潞镇七地村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雪甲冲水库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腰潞镇珍武村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199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芙塘水库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腰潞镇珍武村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樟木冲水库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云阳街道滨江居委会</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符冲水库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枣市镇曹柏村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乜塘水库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枣市镇车陂村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剪丫塘水库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枣市镇东岭村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金盆形水库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枣市镇东岭村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0.0468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大原水库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枣市镇东岭村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溪里坳水库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枣市镇洞头村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大水坪水库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枣市镇洞头村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岭下水库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枣市镇洞头村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209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主塘水库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枣市镇洞头村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新塘水库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枣市镇虎形村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荆冲水库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枣市镇五星村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枫木山水库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枣市镇枣园村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桐塘水库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枣市镇枣园村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油屋里水库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枣市镇洒水村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215</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羊丫塘水库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枣市镇岩口村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216</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龙头山水库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枣市镇岩口村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217</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大陂冲水库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秩堂镇彭家祠村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218</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龙潭冲水库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秩堂镇彭家祠村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219</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昆申塘水库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秩堂镇合户村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220</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墨庄水库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秩堂镇合户村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221</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金鸡塘水库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秩堂镇锡田村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0.040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222</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岩子龙水库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秩堂镇锡田村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223</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百花山水库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秩堂镇石龙村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696" w:type="pct"/>
            <w:tcBorders>
              <w:tl2br w:val="nil"/>
              <w:tr2bl w:val="nil"/>
            </w:tcBorders>
            <w:shd w:val="clear" w:color="auto" w:fill="auto"/>
            <w:vAlign w:val="center"/>
          </w:tcPr>
          <w:p>
            <w:pPr>
              <w:widowControl/>
              <w:ind w:firstLine="0" w:firstLineChars="0"/>
              <w:jc w:val="center"/>
              <w:textAlignment w:val="center"/>
              <w:rPr>
                <w:rFonts w:eastAsia="宋体"/>
                <w:color w:val="000000"/>
                <w:sz w:val="20"/>
                <w:szCs w:val="20"/>
              </w:rPr>
            </w:pPr>
            <w:r>
              <w:rPr>
                <w:rFonts w:eastAsia="宋体"/>
                <w:color w:val="000000"/>
                <w:kern w:val="0"/>
                <w:sz w:val="20"/>
                <w:szCs w:val="20"/>
                <w:lang w:bidi="ar"/>
              </w:rPr>
              <w:t>224</w:t>
            </w:r>
          </w:p>
        </w:tc>
        <w:tc>
          <w:tcPr>
            <w:tcW w:w="1392"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长冲水库</w:t>
            </w:r>
          </w:p>
        </w:tc>
        <w:tc>
          <w:tcPr>
            <w:tcW w:w="1509"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秩堂镇晓塘村</w:t>
            </w:r>
          </w:p>
        </w:tc>
        <w:tc>
          <w:tcPr>
            <w:tcW w:w="1401" w:type="pct"/>
            <w:tcBorders>
              <w:tl2br w:val="nil"/>
              <w:tr2bl w:val="nil"/>
            </w:tcBorders>
            <w:shd w:val="clear" w:color="auto" w:fill="auto"/>
            <w:vAlign w:val="center"/>
          </w:tcPr>
          <w:p>
            <w:pPr>
              <w:widowControl/>
              <w:ind w:firstLine="400"/>
              <w:jc w:val="center"/>
              <w:textAlignment w:val="center"/>
              <w:rPr>
                <w:rFonts w:eastAsia="宋体"/>
                <w:color w:val="000000"/>
                <w:sz w:val="20"/>
                <w:szCs w:val="20"/>
              </w:rPr>
            </w:pPr>
            <w:r>
              <w:rPr>
                <w:rFonts w:eastAsia="宋体"/>
                <w:color w:val="000000"/>
                <w:kern w:val="0"/>
                <w:sz w:val="20"/>
                <w:szCs w:val="20"/>
                <w:lang w:bidi="ar"/>
              </w:rPr>
              <w:t>0.060</w:t>
            </w:r>
          </w:p>
        </w:tc>
      </w:tr>
    </w:tbl>
    <w:p>
      <w:pPr>
        <w:ind w:firstLine="640"/>
        <w:rPr>
          <w:sz w:val="32"/>
          <w:szCs w:val="32"/>
        </w:rPr>
      </w:pPr>
    </w:p>
    <w:p>
      <w:pPr>
        <w:ind w:firstLine="640"/>
        <w:rPr>
          <w:sz w:val="32"/>
          <w:szCs w:val="32"/>
        </w:rPr>
      </w:pPr>
    </w:p>
    <w:p>
      <w:pPr>
        <w:ind w:firstLine="640"/>
        <w:rPr>
          <w:sz w:val="32"/>
          <w:szCs w:val="32"/>
        </w:rPr>
      </w:pPr>
    </w:p>
    <w:p>
      <w:pPr>
        <w:ind w:firstLine="640"/>
        <w:rPr>
          <w:sz w:val="32"/>
          <w:szCs w:val="32"/>
        </w:rPr>
      </w:pPr>
    </w:p>
    <w:p>
      <w:pPr>
        <w:ind w:firstLine="640"/>
        <w:rPr>
          <w:sz w:val="32"/>
          <w:szCs w:val="32"/>
        </w:rPr>
      </w:pPr>
    </w:p>
    <w:p>
      <w:pPr>
        <w:pStyle w:val="4"/>
        <w:widowControl w:val="0"/>
        <w:adjustRightInd/>
        <w:snapToGrid/>
        <w:spacing w:before="260" w:beforeLines="0" w:after="260"/>
        <w:jc w:val="both"/>
        <w:rPr>
          <w:rFonts w:cs="Times New Roman"/>
          <w:bCs/>
          <w:kern w:val="2"/>
          <w:sz w:val="32"/>
          <w:szCs w:val="32"/>
        </w:rPr>
      </w:pPr>
      <w:bookmarkStart w:id="14" w:name="_Toc119330119"/>
      <w:bookmarkStart w:id="15" w:name="_Toc119329222"/>
      <w:bookmarkStart w:id="16" w:name="_Toc119057874"/>
      <w:bookmarkStart w:id="17" w:name="_Toc27067"/>
      <w:r>
        <w:rPr>
          <w:rFonts w:hint="eastAsia" w:cs="Times New Roman"/>
          <w:bCs/>
          <w:kern w:val="2"/>
          <w:sz w:val="32"/>
          <w:szCs w:val="32"/>
        </w:rPr>
        <w:t>1.1.4气</w:t>
      </w:r>
      <w:bookmarkEnd w:id="14"/>
      <w:bookmarkEnd w:id="15"/>
      <w:bookmarkEnd w:id="16"/>
      <w:r>
        <w:rPr>
          <w:rFonts w:hint="eastAsia" w:cs="Times New Roman"/>
          <w:bCs/>
          <w:kern w:val="2"/>
          <w:sz w:val="32"/>
          <w:szCs w:val="32"/>
        </w:rPr>
        <w:t>象</w:t>
      </w:r>
      <w:bookmarkEnd w:id="17"/>
    </w:p>
    <w:p>
      <w:pPr>
        <w:ind w:firstLine="640"/>
        <w:rPr>
          <w:sz w:val="32"/>
          <w:szCs w:val="32"/>
        </w:rPr>
      </w:pPr>
      <w:r>
        <w:rPr>
          <w:rFonts w:hint="eastAsia"/>
          <w:sz w:val="32"/>
          <w:szCs w:val="32"/>
        </w:rPr>
        <w:t>茶陵县属亚热带季风湿润气候区，总的特点是：四季分明、雨量充沛、气候温和、热量丰富。据茶陵县气象站资料，茶陵县年平均气温为17.3~18.0℃，县城为17.9℃。其中最高年平均气温19.0℃（1963年），最低年17.2℃（1970年），极端最高气温41.4℃，极端最低气温-12.4℃，≥10℃积温为5395℃；多年平均无霜期为290天，多年平均日照时数为1640小时，多年平均太阳总辐射量为107.11KJ/cm</w:t>
      </w:r>
      <w:r>
        <w:rPr>
          <w:rFonts w:hint="eastAsia"/>
          <w:sz w:val="32"/>
          <w:szCs w:val="32"/>
          <w:vertAlign w:val="superscript"/>
        </w:rPr>
        <w:t>2</w:t>
      </w:r>
      <w:r>
        <w:rPr>
          <w:rFonts w:hint="eastAsia"/>
          <w:sz w:val="32"/>
          <w:szCs w:val="32"/>
        </w:rPr>
        <w:t>，年平均大风日为4天，平均风速1.8m/s。多年平均降雨量为1451.4mm，最大年降雨量2447.2mm（1997年），最小年降雨量799.4mm（1971年），年内降雨分布不均，降雨主要集中在4～9月份，雨季月平均降雨154mm，其降雨量占全年降雨量的63.7%，不仅雨量集中，而且强度大、历时短、最大日降雨达240.2mm（2000年9月2日），10年一遇24小时最大降雨量168mm，10年一遇3-6小时最大降雨量118.8mm，20年一遇24小时最大降雨量194mm，20年一遇3-6小时最大降雨量130mm。气象特征见表1-2。</w:t>
      </w:r>
    </w:p>
    <w:p>
      <w:pPr>
        <w:ind w:firstLine="643"/>
        <w:jc w:val="center"/>
        <w:rPr>
          <w:b/>
          <w:sz w:val="32"/>
          <w:szCs w:val="32"/>
        </w:rPr>
      </w:pPr>
      <w:r>
        <w:rPr>
          <w:rFonts w:hint="eastAsia"/>
          <w:b/>
          <w:sz w:val="32"/>
          <w:szCs w:val="32"/>
        </w:rPr>
        <w:t>表1-2 气象特征表</w:t>
      </w:r>
    </w:p>
    <w:tbl>
      <w:tblPr>
        <w:tblStyle w:val="17"/>
        <w:tblW w:w="9491" w:type="dxa"/>
        <w:tblInd w:w="-45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884"/>
        <w:gridCol w:w="993"/>
        <w:gridCol w:w="938"/>
        <w:gridCol w:w="894"/>
        <w:gridCol w:w="901"/>
        <w:gridCol w:w="979"/>
        <w:gridCol w:w="711"/>
        <w:gridCol w:w="1288"/>
        <w:gridCol w:w="816"/>
        <w:gridCol w:w="108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884"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站名</w:t>
            </w:r>
          </w:p>
        </w:tc>
        <w:tc>
          <w:tcPr>
            <w:tcW w:w="2825" w:type="dxa"/>
            <w:gridSpan w:val="3"/>
            <w:tcBorders>
              <w:tl2br w:val="nil"/>
              <w:tr2bl w:val="nil"/>
            </w:tcBorders>
            <w:shd w:val="clear" w:color="auto" w:fill="auto"/>
            <w:vAlign w:val="center"/>
          </w:tcPr>
          <w:p>
            <w:pPr>
              <w:widowControl/>
              <w:spacing w:line="240" w:lineRule="auto"/>
              <w:ind w:firstLine="0" w:firstLineChars="0"/>
              <w:jc w:val="center"/>
              <w:rPr>
                <w:rFonts w:eastAsiaTheme="minorEastAsia"/>
                <w:b/>
                <w:kern w:val="0"/>
                <w:sz w:val="21"/>
                <w:szCs w:val="21"/>
              </w:rPr>
            </w:pPr>
            <w:r>
              <w:rPr>
                <w:rFonts w:hint="eastAsia" w:eastAsiaTheme="minorEastAsia"/>
                <w:b/>
                <w:kern w:val="0"/>
                <w:sz w:val="21"/>
                <w:szCs w:val="21"/>
              </w:rPr>
              <w:t>气温（℃）</w:t>
            </w:r>
          </w:p>
        </w:tc>
        <w:tc>
          <w:tcPr>
            <w:tcW w:w="901"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w:t>
            </w:r>
            <w:r>
              <w:rPr>
                <w:rFonts w:eastAsiaTheme="minorEastAsia"/>
                <w:b/>
                <w:kern w:val="0"/>
                <w:sz w:val="21"/>
                <w:szCs w:val="21"/>
              </w:rPr>
              <w:t>10积温（℃）</w:t>
            </w:r>
          </w:p>
        </w:tc>
        <w:tc>
          <w:tcPr>
            <w:tcW w:w="979"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年平均日照时数（</w:t>
            </w:r>
            <w:r>
              <w:rPr>
                <w:rFonts w:eastAsiaTheme="minorEastAsia"/>
                <w:b/>
                <w:kern w:val="0"/>
                <w:sz w:val="21"/>
                <w:szCs w:val="21"/>
              </w:rPr>
              <w:t>h）</w:t>
            </w:r>
          </w:p>
        </w:tc>
        <w:tc>
          <w:tcPr>
            <w:tcW w:w="711"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无霜期（</w:t>
            </w:r>
            <w:r>
              <w:rPr>
                <w:rFonts w:eastAsiaTheme="minorEastAsia"/>
                <w:b/>
                <w:kern w:val="0"/>
                <w:sz w:val="21"/>
                <w:szCs w:val="21"/>
              </w:rPr>
              <w:t>d）</w:t>
            </w:r>
          </w:p>
        </w:tc>
        <w:tc>
          <w:tcPr>
            <w:tcW w:w="1288"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太阳总辐射量（</w:t>
            </w:r>
            <w:r>
              <w:rPr>
                <w:rFonts w:eastAsiaTheme="minorEastAsia"/>
                <w:b/>
                <w:kern w:val="0"/>
                <w:sz w:val="21"/>
                <w:szCs w:val="21"/>
              </w:rPr>
              <w:t>KJ/cm</w:t>
            </w:r>
            <w:r>
              <w:rPr>
                <w:rFonts w:eastAsiaTheme="minorEastAsia"/>
                <w:b/>
                <w:kern w:val="0"/>
                <w:sz w:val="21"/>
                <w:szCs w:val="21"/>
                <w:vertAlign w:val="superscript"/>
              </w:rPr>
              <w:t>2</w:t>
            </w:r>
            <w:r>
              <w:rPr>
                <w:rFonts w:eastAsiaTheme="minorEastAsia"/>
                <w:b/>
                <w:kern w:val="0"/>
                <w:sz w:val="21"/>
                <w:szCs w:val="21"/>
              </w:rPr>
              <w:t>）</w:t>
            </w:r>
          </w:p>
        </w:tc>
        <w:tc>
          <w:tcPr>
            <w:tcW w:w="816"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大风日数（</w:t>
            </w:r>
            <w:r>
              <w:rPr>
                <w:rFonts w:eastAsiaTheme="minorEastAsia"/>
                <w:b/>
                <w:kern w:val="0"/>
                <w:sz w:val="21"/>
                <w:szCs w:val="21"/>
              </w:rPr>
              <w:t>d）</w:t>
            </w:r>
          </w:p>
        </w:tc>
        <w:tc>
          <w:tcPr>
            <w:tcW w:w="1087" w:type="dxa"/>
            <w:vMerge w:val="restart"/>
            <w:tcBorders>
              <w:tl2br w:val="nil"/>
              <w:tr2bl w:val="nil"/>
            </w:tcBorders>
            <w:shd w:val="clear" w:color="auto" w:fill="auto"/>
            <w:vAlign w:val="center"/>
          </w:tcPr>
          <w:p>
            <w:pPr>
              <w:widowControl/>
              <w:spacing w:line="240" w:lineRule="auto"/>
              <w:ind w:firstLine="0" w:firstLineChars="0"/>
              <w:rPr>
                <w:rFonts w:eastAsiaTheme="minorEastAsia"/>
                <w:b/>
                <w:kern w:val="0"/>
                <w:sz w:val="21"/>
                <w:szCs w:val="21"/>
              </w:rPr>
            </w:pPr>
            <w:r>
              <w:rPr>
                <w:rFonts w:hint="eastAsia" w:eastAsiaTheme="minorEastAsia"/>
                <w:b/>
                <w:kern w:val="0"/>
                <w:sz w:val="21"/>
                <w:szCs w:val="21"/>
              </w:rPr>
              <w:t>平均风速（</w:t>
            </w:r>
            <w:r>
              <w:rPr>
                <w:rFonts w:eastAsiaTheme="minorEastAsia"/>
                <w:b/>
                <w:kern w:val="0"/>
                <w:sz w:val="21"/>
                <w:szCs w:val="21"/>
              </w:rPr>
              <w:t>m/s）</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884"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993" w:type="dxa"/>
            <w:tcBorders>
              <w:tl2br w:val="nil"/>
              <w:tr2bl w:val="nil"/>
            </w:tcBorders>
            <w:shd w:val="clear" w:color="auto" w:fill="auto"/>
            <w:vAlign w:val="center"/>
          </w:tcPr>
          <w:p>
            <w:pPr>
              <w:widowControl/>
              <w:spacing w:line="240" w:lineRule="auto"/>
              <w:ind w:firstLine="0" w:firstLineChars="0"/>
              <w:jc w:val="center"/>
              <w:rPr>
                <w:rFonts w:eastAsiaTheme="minorEastAsia"/>
                <w:b/>
                <w:kern w:val="0"/>
                <w:sz w:val="21"/>
                <w:szCs w:val="21"/>
              </w:rPr>
            </w:pPr>
            <w:r>
              <w:rPr>
                <w:rFonts w:hint="eastAsia" w:eastAsiaTheme="minorEastAsia"/>
                <w:b/>
                <w:kern w:val="0"/>
                <w:sz w:val="21"/>
                <w:szCs w:val="21"/>
              </w:rPr>
              <w:t>年最低</w:t>
            </w:r>
          </w:p>
        </w:tc>
        <w:tc>
          <w:tcPr>
            <w:tcW w:w="938" w:type="dxa"/>
            <w:tcBorders>
              <w:tl2br w:val="nil"/>
              <w:tr2bl w:val="nil"/>
            </w:tcBorders>
            <w:shd w:val="clear" w:color="auto" w:fill="auto"/>
            <w:vAlign w:val="center"/>
          </w:tcPr>
          <w:p>
            <w:pPr>
              <w:widowControl/>
              <w:spacing w:line="240" w:lineRule="auto"/>
              <w:ind w:firstLine="0" w:firstLineChars="0"/>
              <w:jc w:val="center"/>
              <w:rPr>
                <w:rFonts w:eastAsiaTheme="minorEastAsia"/>
                <w:b/>
                <w:kern w:val="0"/>
                <w:sz w:val="21"/>
                <w:szCs w:val="21"/>
              </w:rPr>
            </w:pPr>
            <w:r>
              <w:rPr>
                <w:rFonts w:hint="eastAsia" w:eastAsiaTheme="minorEastAsia"/>
                <w:b/>
                <w:kern w:val="0"/>
                <w:sz w:val="21"/>
                <w:szCs w:val="21"/>
              </w:rPr>
              <w:t>年最高</w:t>
            </w:r>
          </w:p>
        </w:tc>
        <w:tc>
          <w:tcPr>
            <w:tcW w:w="894" w:type="dxa"/>
            <w:tcBorders>
              <w:tl2br w:val="nil"/>
              <w:tr2bl w:val="nil"/>
            </w:tcBorders>
            <w:shd w:val="clear" w:color="auto" w:fill="auto"/>
            <w:vAlign w:val="center"/>
          </w:tcPr>
          <w:p>
            <w:pPr>
              <w:widowControl/>
              <w:spacing w:line="240" w:lineRule="auto"/>
              <w:ind w:firstLine="0" w:firstLineChars="0"/>
              <w:jc w:val="center"/>
              <w:rPr>
                <w:rFonts w:eastAsiaTheme="minorEastAsia"/>
                <w:b/>
                <w:kern w:val="0"/>
                <w:sz w:val="21"/>
                <w:szCs w:val="21"/>
              </w:rPr>
            </w:pPr>
            <w:r>
              <w:rPr>
                <w:rFonts w:hint="eastAsia" w:eastAsiaTheme="minorEastAsia"/>
                <w:b/>
                <w:kern w:val="0"/>
                <w:sz w:val="21"/>
                <w:szCs w:val="21"/>
              </w:rPr>
              <w:t>年平均</w:t>
            </w:r>
          </w:p>
        </w:tc>
        <w:tc>
          <w:tcPr>
            <w:tcW w:w="901"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979"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711"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1288"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816"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c>
          <w:tcPr>
            <w:tcW w:w="1087" w:type="dxa"/>
            <w:vMerge w:val="continue"/>
            <w:tcBorders>
              <w:tl2br w:val="nil"/>
              <w:tr2bl w:val="nil"/>
            </w:tcBorders>
            <w:shd w:val="clear" w:color="auto" w:fill="auto"/>
            <w:vAlign w:val="center"/>
          </w:tcPr>
          <w:p>
            <w:pPr>
              <w:ind w:firstLine="420"/>
              <w:jc w:val="center"/>
              <w:rPr>
                <w:rFonts w:ascii="仿宋" w:hAnsi="仿宋" w:cs="仿宋"/>
                <w:color w:val="000000"/>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84" w:type="dxa"/>
            <w:tcBorders>
              <w:tl2br w:val="nil"/>
              <w:tr2bl w:val="nil"/>
            </w:tcBorders>
            <w:shd w:val="clear" w:color="auto" w:fill="auto"/>
            <w:vAlign w:val="center"/>
          </w:tcPr>
          <w:p>
            <w:pPr>
              <w:widowControl/>
              <w:ind w:firstLine="0" w:firstLineChars="0"/>
              <w:jc w:val="center"/>
              <w:textAlignment w:val="center"/>
              <w:rPr>
                <w:rFonts w:ascii="仿宋" w:hAnsi="仿宋" w:cs="仿宋"/>
                <w:color w:val="000000"/>
                <w:sz w:val="21"/>
                <w:szCs w:val="21"/>
              </w:rPr>
            </w:pPr>
            <w:r>
              <w:rPr>
                <w:rFonts w:hint="eastAsia" w:ascii="仿宋" w:hAnsi="仿宋" w:cs="仿宋"/>
                <w:color w:val="000000"/>
                <w:kern w:val="0"/>
                <w:sz w:val="21"/>
                <w:szCs w:val="21"/>
                <w:lang w:bidi="ar"/>
              </w:rPr>
              <w:t>茶陵县气象站</w:t>
            </w:r>
          </w:p>
        </w:tc>
        <w:tc>
          <w:tcPr>
            <w:tcW w:w="993"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-12.4</w:t>
            </w:r>
          </w:p>
        </w:tc>
        <w:tc>
          <w:tcPr>
            <w:tcW w:w="93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41.4</w:t>
            </w:r>
          </w:p>
        </w:tc>
        <w:tc>
          <w:tcPr>
            <w:tcW w:w="894"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w:t>
            </w:r>
          </w:p>
        </w:tc>
        <w:tc>
          <w:tcPr>
            <w:tcW w:w="90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5395</w:t>
            </w:r>
          </w:p>
        </w:tc>
        <w:tc>
          <w:tcPr>
            <w:tcW w:w="979"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1640</w:t>
            </w:r>
          </w:p>
        </w:tc>
        <w:tc>
          <w:tcPr>
            <w:tcW w:w="71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290</w:t>
            </w:r>
          </w:p>
        </w:tc>
        <w:tc>
          <w:tcPr>
            <w:tcW w:w="128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107.11</w:t>
            </w:r>
          </w:p>
        </w:tc>
        <w:tc>
          <w:tcPr>
            <w:tcW w:w="816"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w:t>
            </w:r>
          </w:p>
        </w:tc>
        <w:tc>
          <w:tcPr>
            <w:tcW w:w="108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w:t>
            </w:r>
          </w:p>
        </w:tc>
      </w:tr>
    </w:tbl>
    <w:p>
      <w:pPr>
        <w:pStyle w:val="4"/>
        <w:widowControl w:val="0"/>
        <w:adjustRightInd/>
        <w:snapToGrid/>
        <w:spacing w:before="260" w:beforeLines="0" w:after="260"/>
        <w:jc w:val="both"/>
        <w:rPr>
          <w:rFonts w:cs="Times New Roman"/>
          <w:bCs/>
          <w:kern w:val="2"/>
          <w:sz w:val="32"/>
          <w:szCs w:val="32"/>
        </w:rPr>
      </w:pPr>
      <w:bookmarkStart w:id="18" w:name="_Toc20597"/>
      <w:bookmarkStart w:id="19" w:name="_Toc119329226"/>
      <w:bookmarkStart w:id="20" w:name="_Toc119330123"/>
      <w:bookmarkStart w:id="21" w:name="_Toc119057878"/>
      <w:r>
        <w:rPr>
          <w:rFonts w:hint="eastAsia" w:cs="Times New Roman"/>
          <w:bCs/>
          <w:kern w:val="2"/>
          <w:sz w:val="32"/>
          <w:szCs w:val="32"/>
        </w:rPr>
        <w:t>1.1.5矿产资源</w:t>
      </w:r>
      <w:bookmarkEnd w:id="18"/>
      <w:bookmarkEnd w:id="19"/>
      <w:bookmarkEnd w:id="20"/>
      <w:bookmarkEnd w:id="21"/>
    </w:p>
    <w:p>
      <w:pPr>
        <w:ind w:firstLine="640"/>
        <w:rPr>
          <w:sz w:val="32"/>
          <w:szCs w:val="32"/>
        </w:rPr>
      </w:pPr>
      <w:r>
        <w:rPr>
          <w:rFonts w:hint="eastAsia"/>
          <w:sz w:val="32"/>
          <w:szCs w:val="32"/>
        </w:rPr>
        <w:t>茶陵矿产资源丰富，钽铌矿储量居亚洲第二。铁矿石储量近亿吨，煤矿储量1100万吨，铅储量8700吨，钨储量28000吨，还有铜、锡、锌、花岗石等20余种矿产资源的储量和品位均占相当优势。</w:t>
      </w:r>
    </w:p>
    <w:p>
      <w:pPr>
        <w:pStyle w:val="4"/>
        <w:widowControl w:val="0"/>
        <w:adjustRightInd/>
        <w:snapToGrid/>
        <w:spacing w:before="260" w:beforeLines="0" w:after="260"/>
        <w:jc w:val="both"/>
        <w:rPr>
          <w:rFonts w:cs="Times New Roman"/>
          <w:bCs/>
          <w:kern w:val="2"/>
          <w:sz w:val="32"/>
          <w:szCs w:val="32"/>
        </w:rPr>
      </w:pPr>
      <w:bookmarkStart w:id="22" w:name="_Toc119057879"/>
      <w:bookmarkStart w:id="23" w:name="_Toc119330124"/>
      <w:bookmarkStart w:id="24" w:name="_Toc119329227"/>
      <w:bookmarkStart w:id="25" w:name="_Toc18616"/>
      <w:r>
        <w:rPr>
          <w:rFonts w:hint="eastAsia" w:cs="Times New Roman"/>
          <w:bCs/>
          <w:kern w:val="2"/>
          <w:sz w:val="32"/>
          <w:szCs w:val="32"/>
        </w:rPr>
        <w:t>1.1.6经济概况</w:t>
      </w:r>
      <w:bookmarkEnd w:id="22"/>
      <w:bookmarkEnd w:id="23"/>
      <w:bookmarkEnd w:id="24"/>
      <w:bookmarkEnd w:id="25"/>
    </w:p>
    <w:p>
      <w:pPr>
        <w:ind w:firstLine="640"/>
        <w:rPr>
          <w:sz w:val="32"/>
          <w:szCs w:val="32"/>
        </w:rPr>
      </w:pPr>
      <w:r>
        <w:rPr>
          <w:rFonts w:hint="eastAsia"/>
          <w:sz w:val="32"/>
          <w:szCs w:val="32"/>
        </w:rPr>
        <w:t>2020年，茶陵县GDP完成224.3亿元，增长3.9%。其中，一产业39.3亿元，增长3.3%，二产业75.3亿元，增长6.1%，三产业109.7亿元，增长2.3%。三次产业结构比为17.5:33.6:48.9，三次产业对GDP的贡献率为11.8%、59.1%、29.1%，分别拉动GDP增长0.5、2.3、1.1个百分点。</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6" w:name="_Toc13516"/>
      <w:r>
        <w:rPr>
          <w:rFonts w:hint="eastAsia" w:ascii="Times New Roman" w:hAnsi="Times New Roman" w:cs="Times New Roman"/>
          <w:kern w:val="2"/>
          <w:sz w:val="32"/>
        </w:rPr>
        <w:t>1.2高标准农田建设基本情况</w:t>
      </w:r>
      <w:bookmarkEnd w:id="26"/>
    </w:p>
    <w:p>
      <w:pPr>
        <w:ind w:firstLine="640"/>
        <w:rPr>
          <w:sz w:val="32"/>
          <w:szCs w:val="32"/>
        </w:rPr>
      </w:pPr>
      <w:r>
        <w:rPr>
          <w:rFonts w:hint="eastAsia"/>
          <w:sz w:val="32"/>
          <w:szCs w:val="32"/>
        </w:rPr>
        <w:t>截至2020年底，茶陵县累计建成高标准农田34.56万亩，涉及15个乡镇183个村。茶陵县各村耕地和已建高标面积详见附表4。</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7" w:name="_Toc9062"/>
      <w:r>
        <w:rPr>
          <w:rFonts w:hint="eastAsia" w:ascii="Times New Roman" w:hAnsi="Times New Roman" w:cs="Times New Roman"/>
          <w:kern w:val="2"/>
          <w:sz w:val="32"/>
        </w:rPr>
        <w:t>1.3建设成效</w:t>
      </w:r>
      <w:bookmarkEnd w:id="27"/>
    </w:p>
    <w:p>
      <w:pPr>
        <w:ind w:firstLine="640"/>
        <w:rPr>
          <w:sz w:val="32"/>
          <w:szCs w:val="32"/>
        </w:rPr>
      </w:pPr>
      <w:r>
        <w:rPr>
          <w:rFonts w:hint="eastAsia"/>
          <w:sz w:val="32"/>
          <w:szCs w:val="32"/>
        </w:rPr>
        <w:t>“十二五”以来，高标准农田建设进展顺利，成效显著。茶陵县通过不断加大高标准农田建设的资金投入，经过高标准农田建设的项目区田间道路通行能力明显增强，田间排灌配套渠系基本建立，农田抗灾减灾能力增强，农田机械耕作条件大幅度改善，促进农户耕种积极性，为提高劳动生产率、发展规模化经营奠定了良好的基础条件。</w:t>
      </w:r>
    </w:p>
    <w:p>
      <w:pPr>
        <w:pStyle w:val="4"/>
        <w:widowControl w:val="0"/>
        <w:adjustRightInd/>
        <w:snapToGrid/>
        <w:spacing w:before="260" w:beforeLines="0" w:after="260"/>
        <w:jc w:val="both"/>
        <w:rPr>
          <w:rFonts w:cs="Times New Roman"/>
          <w:bCs/>
          <w:kern w:val="2"/>
          <w:sz w:val="32"/>
          <w:szCs w:val="32"/>
        </w:rPr>
      </w:pPr>
      <w:bookmarkStart w:id="28" w:name="_Toc27332"/>
      <w:bookmarkStart w:id="29" w:name="_Toc119057882"/>
      <w:bookmarkStart w:id="30" w:name="_Toc119329230"/>
      <w:bookmarkStart w:id="31" w:name="_Toc119330127"/>
      <w:r>
        <w:rPr>
          <w:rFonts w:hint="eastAsia" w:cs="Times New Roman"/>
          <w:bCs/>
          <w:kern w:val="2"/>
          <w:sz w:val="32"/>
          <w:szCs w:val="32"/>
        </w:rPr>
        <w:t>1.3.1耕地质量提升</w:t>
      </w:r>
      <w:bookmarkEnd w:id="28"/>
      <w:bookmarkEnd w:id="29"/>
      <w:bookmarkEnd w:id="30"/>
      <w:bookmarkEnd w:id="31"/>
    </w:p>
    <w:p>
      <w:pPr>
        <w:ind w:firstLine="640"/>
        <w:rPr>
          <w:sz w:val="32"/>
          <w:szCs w:val="32"/>
        </w:rPr>
      </w:pPr>
      <w:r>
        <w:rPr>
          <w:rFonts w:hint="eastAsia"/>
          <w:sz w:val="32"/>
          <w:szCs w:val="32"/>
        </w:rPr>
        <w:t>通过高标准农田建设，修缮及新建农田基础设施，我县有34.56万亩耕地质量有所提升，提高粮食安全保障能力。</w:t>
      </w:r>
    </w:p>
    <w:p>
      <w:pPr>
        <w:pStyle w:val="4"/>
        <w:widowControl w:val="0"/>
        <w:adjustRightInd/>
        <w:snapToGrid/>
        <w:spacing w:before="260" w:beforeLines="0" w:after="260"/>
        <w:jc w:val="both"/>
        <w:rPr>
          <w:rFonts w:cs="Times New Roman"/>
          <w:bCs/>
          <w:kern w:val="2"/>
          <w:sz w:val="32"/>
          <w:szCs w:val="32"/>
        </w:rPr>
      </w:pPr>
      <w:bookmarkStart w:id="32" w:name="_Toc6170"/>
      <w:bookmarkStart w:id="33" w:name="_Toc119057883"/>
      <w:bookmarkStart w:id="34" w:name="_Toc119329231"/>
      <w:bookmarkStart w:id="35" w:name="_Toc119330128"/>
      <w:r>
        <w:rPr>
          <w:rFonts w:hint="eastAsia" w:cs="Times New Roman"/>
          <w:bCs/>
          <w:kern w:val="2"/>
          <w:sz w:val="32"/>
          <w:szCs w:val="32"/>
        </w:rPr>
        <w:t>1.3.2改善农业生产条件</w:t>
      </w:r>
      <w:bookmarkEnd w:id="32"/>
      <w:bookmarkEnd w:id="33"/>
      <w:bookmarkEnd w:id="34"/>
      <w:bookmarkEnd w:id="35"/>
    </w:p>
    <w:p>
      <w:pPr>
        <w:ind w:firstLine="640"/>
        <w:rPr>
          <w:sz w:val="32"/>
          <w:szCs w:val="32"/>
        </w:rPr>
      </w:pPr>
      <w:r>
        <w:rPr>
          <w:rFonts w:hint="eastAsia"/>
          <w:sz w:val="32"/>
          <w:szCs w:val="32"/>
        </w:rPr>
        <w:t>通过高标准农田建设，增加机耕路、生产路、渠道、管道、水源等工程，促进了现代化农业的发展。</w:t>
      </w:r>
    </w:p>
    <w:p>
      <w:pPr>
        <w:pStyle w:val="4"/>
        <w:widowControl w:val="0"/>
        <w:adjustRightInd/>
        <w:snapToGrid/>
        <w:spacing w:before="260" w:beforeLines="0" w:after="260"/>
        <w:jc w:val="both"/>
        <w:rPr>
          <w:rFonts w:cs="Times New Roman"/>
          <w:bCs/>
          <w:kern w:val="2"/>
          <w:sz w:val="32"/>
          <w:szCs w:val="32"/>
        </w:rPr>
      </w:pPr>
      <w:bookmarkStart w:id="36" w:name="_Toc3830"/>
      <w:bookmarkStart w:id="37" w:name="_Toc119057884"/>
      <w:bookmarkStart w:id="38" w:name="_Toc119329232"/>
      <w:bookmarkStart w:id="39" w:name="_Toc119330129"/>
      <w:r>
        <w:rPr>
          <w:rFonts w:hint="eastAsia" w:cs="Times New Roman"/>
          <w:bCs/>
          <w:kern w:val="2"/>
          <w:sz w:val="32"/>
          <w:szCs w:val="32"/>
        </w:rPr>
        <w:t>1.3.3提高了粮食综合生产能力</w:t>
      </w:r>
      <w:bookmarkEnd w:id="36"/>
      <w:bookmarkEnd w:id="37"/>
      <w:bookmarkEnd w:id="38"/>
      <w:bookmarkEnd w:id="39"/>
    </w:p>
    <w:p>
      <w:pPr>
        <w:ind w:firstLine="640"/>
        <w:rPr>
          <w:sz w:val="32"/>
          <w:szCs w:val="32"/>
        </w:rPr>
      </w:pPr>
      <w:r>
        <w:rPr>
          <w:rFonts w:hint="eastAsia"/>
          <w:sz w:val="32"/>
          <w:szCs w:val="32"/>
        </w:rPr>
        <w:t>通过高标准农田建设，增加农田配套排水沟、引水渠、机耕路等设施，基本实现了旱能灌、涝能排、劳能耕；施加地力培肥，提升农田生产能力；在水土流失易发地区，合理修筑岸坡防护、沟道治理、坡面防护等设施，有效遏制水土流失，农田生态环境得到进一步改善，防灾减灾能力增强。农田基础设施和农业生产条件得以完善，耕地质量等别得到提升，极大提高了高标准农田建成区的粮食综合生产能力。</w:t>
      </w:r>
    </w:p>
    <w:p>
      <w:pPr>
        <w:pStyle w:val="4"/>
        <w:widowControl w:val="0"/>
        <w:adjustRightInd/>
        <w:snapToGrid/>
        <w:spacing w:before="260" w:beforeLines="0" w:after="260"/>
        <w:jc w:val="both"/>
        <w:rPr>
          <w:rFonts w:cs="Times New Roman"/>
          <w:bCs/>
          <w:kern w:val="2"/>
          <w:sz w:val="32"/>
          <w:szCs w:val="32"/>
        </w:rPr>
      </w:pPr>
      <w:bookmarkStart w:id="40" w:name="_Toc21047"/>
      <w:bookmarkStart w:id="41" w:name="_Toc119330130"/>
      <w:bookmarkStart w:id="42" w:name="_Toc119329233"/>
      <w:bookmarkStart w:id="43" w:name="_Toc119057885"/>
      <w:r>
        <w:rPr>
          <w:rFonts w:hint="eastAsia" w:cs="Times New Roman"/>
          <w:bCs/>
          <w:kern w:val="2"/>
          <w:sz w:val="32"/>
          <w:szCs w:val="32"/>
        </w:rPr>
        <w:t>1.3.4推动了农业生产方式转型</w:t>
      </w:r>
      <w:bookmarkEnd w:id="40"/>
      <w:bookmarkEnd w:id="41"/>
      <w:bookmarkEnd w:id="42"/>
      <w:bookmarkEnd w:id="43"/>
    </w:p>
    <w:p>
      <w:pPr>
        <w:ind w:firstLine="640"/>
        <w:rPr>
          <w:sz w:val="32"/>
          <w:szCs w:val="32"/>
        </w:rPr>
      </w:pPr>
      <w:r>
        <w:rPr>
          <w:rFonts w:hint="eastAsia"/>
          <w:sz w:val="32"/>
          <w:szCs w:val="32"/>
        </w:rPr>
        <w:t>通过高标准农田建设，特别是田块整治，机耕路、坡口等基础设施大量新建、改建，土地分散、交通不便等问题得到改善，建成后的农田道路通达度均达到90%以上，土地破碎程度明显降低，农田格局明显改观，有效促进了农业规模化、标准化、专业化经营，带动了农业机械化提档升级，从而推动了农业生产方式转型。</w:t>
      </w:r>
    </w:p>
    <w:p>
      <w:pPr>
        <w:pStyle w:val="4"/>
        <w:widowControl w:val="0"/>
        <w:adjustRightInd/>
        <w:snapToGrid/>
        <w:spacing w:before="260" w:beforeLines="0" w:after="260"/>
        <w:jc w:val="both"/>
        <w:rPr>
          <w:rFonts w:cs="Times New Roman"/>
          <w:bCs/>
          <w:kern w:val="2"/>
          <w:sz w:val="32"/>
          <w:szCs w:val="32"/>
        </w:rPr>
      </w:pPr>
      <w:bookmarkStart w:id="44" w:name="_Toc25511"/>
      <w:bookmarkStart w:id="45" w:name="_Toc119330131"/>
      <w:bookmarkStart w:id="46" w:name="_Toc119329234"/>
      <w:bookmarkStart w:id="47" w:name="_Toc119057886"/>
      <w:r>
        <w:rPr>
          <w:rFonts w:hint="eastAsia" w:cs="Times New Roman"/>
          <w:bCs/>
          <w:kern w:val="2"/>
          <w:sz w:val="32"/>
          <w:szCs w:val="32"/>
        </w:rPr>
        <w:t>1.3.5提升了农民平均收入水平，提升农民生活水平和满意度</w:t>
      </w:r>
      <w:bookmarkEnd w:id="44"/>
      <w:bookmarkEnd w:id="45"/>
      <w:bookmarkEnd w:id="46"/>
      <w:bookmarkEnd w:id="47"/>
    </w:p>
    <w:p>
      <w:pPr>
        <w:ind w:firstLine="640"/>
        <w:rPr>
          <w:sz w:val="32"/>
          <w:szCs w:val="32"/>
        </w:rPr>
      </w:pPr>
      <w:r>
        <w:rPr>
          <w:rFonts w:hint="eastAsia"/>
          <w:sz w:val="32"/>
          <w:szCs w:val="32"/>
        </w:rPr>
        <w:t>通过高标准农田建设，一方面改善了农业生产条件，降低了农业生产成本，直接增加农民收入；另一方面通过改善农业生产条件，促进土地流转和规模化经营，推动当地农业产业结构优化调整，扩大了农民增收的途径，解放了大批劳动力进城务工，让农民通过参与工程建设增加劳务收入；另外，粮食产能的提高也给农民带来了一定的收益。在农民满意度方面，积极探索建立农民广泛参与的高标农田实施机制，引导农民积极参与项目选址、规划设计方案论证、工程质量监督、项目验收及建后管护利用等工作，把农民意愿真正落到实处。</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48" w:name="_Toc26034"/>
      <w:r>
        <w:rPr>
          <w:rFonts w:hint="eastAsia" w:ascii="Times New Roman" w:hAnsi="Times New Roman" w:cs="Times New Roman"/>
          <w:kern w:val="2"/>
          <w:sz w:val="32"/>
        </w:rPr>
        <w:t>1.4主要问题</w:t>
      </w:r>
      <w:bookmarkEnd w:id="48"/>
    </w:p>
    <w:p>
      <w:pPr>
        <w:pStyle w:val="4"/>
        <w:widowControl w:val="0"/>
        <w:adjustRightInd/>
        <w:snapToGrid/>
        <w:spacing w:before="260" w:beforeLines="0" w:after="260"/>
        <w:jc w:val="both"/>
        <w:rPr>
          <w:rFonts w:cs="Times New Roman"/>
          <w:bCs/>
          <w:kern w:val="2"/>
          <w:sz w:val="32"/>
          <w:szCs w:val="32"/>
        </w:rPr>
      </w:pPr>
      <w:bookmarkStart w:id="49" w:name="_Toc9388"/>
      <w:bookmarkStart w:id="50" w:name="_Toc119057888"/>
      <w:bookmarkStart w:id="51" w:name="_Toc119329236"/>
      <w:bookmarkStart w:id="52" w:name="_Toc119330133"/>
      <w:r>
        <w:rPr>
          <w:rFonts w:hint="eastAsia" w:cs="Times New Roman"/>
          <w:bCs/>
          <w:kern w:val="2"/>
          <w:sz w:val="32"/>
          <w:szCs w:val="32"/>
        </w:rPr>
        <w:t>1.4.1资源不足建设受限</w:t>
      </w:r>
      <w:bookmarkEnd w:id="49"/>
      <w:bookmarkEnd w:id="50"/>
      <w:bookmarkEnd w:id="51"/>
      <w:bookmarkEnd w:id="52"/>
    </w:p>
    <w:p>
      <w:pPr>
        <w:ind w:firstLine="640"/>
        <w:rPr>
          <w:sz w:val="32"/>
          <w:szCs w:val="32"/>
        </w:rPr>
      </w:pPr>
      <w:r>
        <w:rPr>
          <w:rFonts w:hint="eastAsia"/>
          <w:sz w:val="32"/>
          <w:szCs w:val="32"/>
        </w:rPr>
        <w:t>我县山多地少，耕地布局分散，坡度较大，缺少大规模集中连片的优质耕地，耕地后备资源不足。经过多年的高标建设，剩余未建成高标准农田的农田质量和连片性较差，新建高标准农田难度较大。</w:t>
      </w:r>
    </w:p>
    <w:p>
      <w:pPr>
        <w:pStyle w:val="4"/>
        <w:widowControl w:val="0"/>
        <w:adjustRightInd/>
        <w:snapToGrid/>
        <w:spacing w:before="260" w:beforeLines="0" w:after="260"/>
        <w:jc w:val="both"/>
        <w:rPr>
          <w:rFonts w:cs="Times New Roman"/>
          <w:bCs/>
          <w:kern w:val="2"/>
          <w:sz w:val="32"/>
          <w:szCs w:val="32"/>
        </w:rPr>
      </w:pPr>
      <w:bookmarkStart w:id="53" w:name="_Toc8156"/>
      <w:bookmarkStart w:id="54" w:name="_Toc119057889"/>
      <w:bookmarkStart w:id="55" w:name="_Toc119329237"/>
      <w:bookmarkStart w:id="56" w:name="_Toc119330134"/>
      <w:r>
        <w:rPr>
          <w:rFonts w:hint="eastAsia" w:cs="Times New Roman"/>
          <w:bCs/>
          <w:kern w:val="2"/>
          <w:sz w:val="32"/>
          <w:szCs w:val="32"/>
        </w:rPr>
        <w:t>1.4.2改造提升压力紧迫</w:t>
      </w:r>
      <w:bookmarkEnd w:id="53"/>
      <w:bookmarkEnd w:id="54"/>
      <w:bookmarkEnd w:id="55"/>
      <w:bookmarkEnd w:id="56"/>
    </w:p>
    <w:p>
      <w:pPr>
        <w:ind w:firstLine="640"/>
        <w:rPr>
          <w:sz w:val="32"/>
          <w:szCs w:val="32"/>
        </w:rPr>
      </w:pPr>
      <w:r>
        <w:rPr>
          <w:rFonts w:hint="eastAsia"/>
          <w:sz w:val="32"/>
          <w:szCs w:val="32"/>
        </w:rPr>
        <w:t>“十二五”以来，茶陵县各部门在高标准农田建设项目实施中，主要依据资金规模确定建设内容和建设标准，其中多数标准偏低，与实际需要差距较大，致使农田基础设施使用寿命短、整体功能得不到充分发挥。同时，受到自然灾害破坏、耕种积极性等因素影响，部分已建成高标准农田区域，基础设施存在损毁问题，早期建设的已接近使用寿命，老化、损毁问题较为突出，亟需改造提升。</w:t>
      </w:r>
    </w:p>
    <w:p>
      <w:pPr>
        <w:pStyle w:val="4"/>
        <w:widowControl w:val="0"/>
        <w:adjustRightInd/>
        <w:snapToGrid/>
        <w:spacing w:before="260" w:beforeLines="0" w:after="260"/>
        <w:jc w:val="both"/>
        <w:rPr>
          <w:rFonts w:cs="Times New Roman"/>
          <w:bCs/>
          <w:kern w:val="2"/>
          <w:sz w:val="32"/>
          <w:szCs w:val="32"/>
        </w:rPr>
      </w:pPr>
      <w:bookmarkStart w:id="57" w:name="_Toc12192"/>
      <w:bookmarkStart w:id="58" w:name="_Toc119057890"/>
      <w:bookmarkStart w:id="59" w:name="_Toc119329238"/>
      <w:bookmarkStart w:id="60" w:name="_Toc119330135"/>
      <w:r>
        <w:rPr>
          <w:rFonts w:hint="eastAsia" w:cs="Times New Roman"/>
          <w:bCs/>
          <w:kern w:val="2"/>
          <w:sz w:val="32"/>
          <w:szCs w:val="32"/>
        </w:rPr>
        <w:t>1.4.3筹资投劳急需加大</w:t>
      </w:r>
      <w:bookmarkEnd w:id="57"/>
      <w:bookmarkEnd w:id="58"/>
      <w:bookmarkEnd w:id="59"/>
      <w:bookmarkEnd w:id="60"/>
    </w:p>
    <w:p>
      <w:pPr>
        <w:ind w:firstLine="640"/>
        <w:rPr>
          <w:sz w:val="32"/>
          <w:szCs w:val="32"/>
        </w:rPr>
      </w:pPr>
      <w:r>
        <w:rPr>
          <w:rFonts w:hint="eastAsia"/>
          <w:sz w:val="32"/>
          <w:szCs w:val="32"/>
        </w:rPr>
        <w:t>随着社会发展，年轻人更趋向于城市发展，耕种人员劳力不足，致使人工成本增加，建设物料成本也不断上升，现有的高标准农田亩均投入力度难以满足建设要求。目前，财政投入与实际需求存在较大差距，导致高标准农田建设中存在某些地块只有少量的建设内容、甚至没有任何建设内容，这部分地块实际上与高标准农田建设标准还有差距，基础配套设施也没有得到全面改善。</w:t>
      </w:r>
    </w:p>
    <w:p>
      <w:pPr>
        <w:pStyle w:val="4"/>
        <w:widowControl w:val="0"/>
        <w:adjustRightInd/>
        <w:snapToGrid/>
        <w:spacing w:before="260" w:beforeLines="0" w:after="260"/>
        <w:jc w:val="both"/>
        <w:rPr>
          <w:rFonts w:cs="Times New Roman"/>
          <w:bCs/>
          <w:kern w:val="2"/>
          <w:sz w:val="32"/>
          <w:szCs w:val="32"/>
        </w:rPr>
      </w:pPr>
      <w:bookmarkStart w:id="61" w:name="_Toc16200"/>
      <w:bookmarkStart w:id="62" w:name="_Toc119057891"/>
      <w:bookmarkStart w:id="63" w:name="_Toc119329239"/>
      <w:bookmarkStart w:id="64" w:name="_Toc119330136"/>
      <w:r>
        <w:rPr>
          <w:rFonts w:hint="eastAsia" w:cs="Times New Roman"/>
          <w:bCs/>
          <w:kern w:val="2"/>
          <w:sz w:val="32"/>
          <w:szCs w:val="32"/>
        </w:rPr>
        <w:t>1.4.4产业配置矛盾突出</w:t>
      </w:r>
      <w:bookmarkEnd w:id="61"/>
      <w:bookmarkEnd w:id="62"/>
      <w:bookmarkEnd w:id="63"/>
      <w:bookmarkEnd w:id="64"/>
    </w:p>
    <w:p>
      <w:pPr>
        <w:ind w:firstLine="640"/>
        <w:rPr>
          <w:sz w:val="32"/>
          <w:szCs w:val="32"/>
        </w:rPr>
      </w:pPr>
      <w:r>
        <w:rPr>
          <w:rFonts w:hint="eastAsia"/>
          <w:sz w:val="32"/>
          <w:szCs w:val="32"/>
        </w:rPr>
        <w:t>由于农户种植粮食带来的经济效益低，政府对产业发展规划等原因，导致很多已建高标准农田并没有用于粮食种植。</w:t>
      </w:r>
    </w:p>
    <w:p>
      <w:pPr>
        <w:pStyle w:val="4"/>
        <w:widowControl w:val="0"/>
        <w:adjustRightInd/>
        <w:snapToGrid/>
        <w:spacing w:before="260" w:beforeLines="0" w:after="260"/>
        <w:jc w:val="both"/>
        <w:rPr>
          <w:rFonts w:cs="Times New Roman"/>
          <w:bCs/>
          <w:kern w:val="2"/>
          <w:sz w:val="32"/>
          <w:szCs w:val="32"/>
        </w:rPr>
      </w:pPr>
      <w:bookmarkStart w:id="65" w:name="_Toc19109"/>
      <w:bookmarkStart w:id="66" w:name="_Toc119057892"/>
      <w:bookmarkStart w:id="67" w:name="_Toc119330137"/>
      <w:bookmarkStart w:id="68" w:name="_Toc119329240"/>
      <w:r>
        <w:rPr>
          <w:rFonts w:hint="eastAsia" w:cs="Times New Roman"/>
          <w:bCs/>
          <w:kern w:val="2"/>
          <w:sz w:val="32"/>
          <w:szCs w:val="32"/>
        </w:rPr>
        <w:t>1.4.5建后管护亟待健全</w:t>
      </w:r>
      <w:bookmarkEnd w:id="65"/>
      <w:bookmarkEnd w:id="66"/>
      <w:bookmarkEnd w:id="67"/>
      <w:bookmarkEnd w:id="68"/>
    </w:p>
    <w:p>
      <w:pPr>
        <w:ind w:firstLine="640"/>
        <w:rPr>
          <w:sz w:val="32"/>
          <w:szCs w:val="32"/>
        </w:rPr>
      </w:pPr>
      <w:r>
        <w:rPr>
          <w:rFonts w:hint="eastAsia"/>
          <w:sz w:val="32"/>
          <w:szCs w:val="32"/>
        </w:rPr>
        <w:t>由于高标准农田建设项目资金有限，对发现的农田水利及农村道路等基础设施损坏、机电设备被盗等问题只能向上级反映，不能主动组织修缮修复工作，影响了高标准农田建设效益的发挥。同时，由于缺乏有关高标准农田的地类管控机制，导致已建高标准农田中“非农化”、“非粮化”现象普遍存在。</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69" w:name="_Toc21505"/>
      <w:r>
        <w:rPr>
          <w:rFonts w:hint="eastAsia" w:ascii="Times New Roman" w:hAnsi="Times New Roman" w:cs="Times New Roman"/>
          <w:kern w:val="2"/>
          <w:sz w:val="32"/>
        </w:rPr>
        <w:t>1.5有利条件</w:t>
      </w:r>
      <w:bookmarkEnd w:id="69"/>
    </w:p>
    <w:p>
      <w:pPr>
        <w:pStyle w:val="4"/>
        <w:widowControl w:val="0"/>
        <w:adjustRightInd/>
        <w:snapToGrid/>
        <w:spacing w:before="260" w:beforeLines="0" w:after="260"/>
        <w:jc w:val="both"/>
        <w:rPr>
          <w:rFonts w:cs="Times New Roman"/>
          <w:bCs/>
          <w:kern w:val="2"/>
          <w:sz w:val="32"/>
          <w:szCs w:val="32"/>
        </w:rPr>
      </w:pPr>
      <w:bookmarkStart w:id="70" w:name="_Toc26177"/>
      <w:bookmarkStart w:id="71" w:name="_Toc119057894"/>
      <w:bookmarkStart w:id="72" w:name="_Toc119329242"/>
      <w:bookmarkStart w:id="73" w:name="_Toc119330139"/>
      <w:r>
        <w:rPr>
          <w:rFonts w:hint="eastAsia" w:cs="Times New Roman"/>
          <w:bCs/>
          <w:kern w:val="2"/>
          <w:sz w:val="32"/>
          <w:szCs w:val="32"/>
        </w:rPr>
        <w:t>1.5.1政策支持</w:t>
      </w:r>
      <w:bookmarkEnd w:id="70"/>
      <w:bookmarkEnd w:id="71"/>
      <w:bookmarkEnd w:id="72"/>
      <w:bookmarkEnd w:id="73"/>
    </w:p>
    <w:p>
      <w:pPr>
        <w:ind w:firstLine="640"/>
        <w:rPr>
          <w:sz w:val="32"/>
          <w:szCs w:val="32"/>
        </w:rPr>
      </w:pPr>
      <w:r>
        <w:rPr>
          <w:rFonts w:hint="eastAsia"/>
          <w:sz w:val="32"/>
          <w:szCs w:val="32"/>
        </w:rPr>
        <w:t>习近平总书记多次作出重要指示，强调要保障粮食安全，关键是要保粮食生产能力，确保需要时能产得出、供得上，在保护好耕地特别是基本农田的基础上，大规模开展高标准农田建设。连续多年的中央1号文件对高标准农田建设提出明确要求，国务院办公厅、国家发展改革委、自然资源部等部门相继出台加强耕地保护和农田建设的相关文件。2021年9月，《全国高标准农田建设规划（2021—2030年）》经国务院批复后正式发布，成为指导各地科学有序开展高标准农田建设的重要依据。</w:t>
      </w:r>
    </w:p>
    <w:p>
      <w:pPr>
        <w:pStyle w:val="4"/>
        <w:widowControl w:val="0"/>
        <w:adjustRightInd/>
        <w:snapToGrid/>
        <w:spacing w:before="260" w:beforeLines="0" w:after="260"/>
        <w:jc w:val="both"/>
        <w:rPr>
          <w:rFonts w:cs="Times New Roman"/>
          <w:bCs/>
          <w:kern w:val="2"/>
          <w:sz w:val="32"/>
          <w:szCs w:val="32"/>
        </w:rPr>
      </w:pPr>
      <w:bookmarkStart w:id="74" w:name="_Toc21113"/>
      <w:bookmarkStart w:id="75" w:name="_Toc119057895"/>
      <w:bookmarkStart w:id="76" w:name="_Toc119329243"/>
      <w:bookmarkStart w:id="77" w:name="_Toc119330140"/>
      <w:r>
        <w:rPr>
          <w:rFonts w:hint="eastAsia" w:cs="Times New Roman"/>
          <w:bCs/>
          <w:kern w:val="2"/>
          <w:sz w:val="32"/>
          <w:szCs w:val="32"/>
        </w:rPr>
        <w:t>1.5.2政府领导</w:t>
      </w:r>
      <w:bookmarkEnd w:id="74"/>
      <w:bookmarkEnd w:id="75"/>
      <w:bookmarkEnd w:id="76"/>
      <w:bookmarkEnd w:id="77"/>
    </w:p>
    <w:p>
      <w:pPr>
        <w:ind w:firstLine="640"/>
        <w:rPr>
          <w:sz w:val="32"/>
          <w:szCs w:val="32"/>
        </w:rPr>
      </w:pPr>
      <w:r>
        <w:rPr>
          <w:rFonts w:hint="eastAsia"/>
          <w:sz w:val="32"/>
          <w:szCs w:val="32"/>
        </w:rPr>
        <w:t>茶陵县县委、县政府、农业农村局对高标准农田建设工作高度重视，为落实好国家高标准农田建设项目，县委、县政府、农业农村局成立高标准建设领导小组，围绕打造高标准农田建设示范工程进行了多次研究，下达了专门文件，并成立了高标准农田建设项目领导小组办公室，专门负责高标准农田建设的组织实施。</w:t>
      </w:r>
    </w:p>
    <w:p>
      <w:pPr>
        <w:pStyle w:val="4"/>
        <w:widowControl w:val="0"/>
        <w:adjustRightInd/>
        <w:snapToGrid/>
        <w:spacing w:before="260" w:beforeLines="0" w:after="260"/>
        <w:jc w:val="both"/>
        <w:rPr>
          <w:rFonts w:cs="Times New Roman"/>
          <w:bCs/>
          <w:kern w:val="2"/>
          <w:sz w:val="32"/>
          <w:szCs w:val="32"/>
        </w:rPr>
      </w:pPr>
      <w:bookmarkStart w:id="78" w:name="_Toc23321"/>
      <w:bookmarkStart w:id="79" w:name="_Toc119057896"/>
      <w:bookmarkStart w:id="80" w:name="_Toc119329244"/>
      <w:bookmarkStart w:id="81" w:name="_Toc119330141"/>
      <w:r>
        <w:rPr>
          <w:rFonts w:hint="eastAsia" w:cs="Times New Roman"/>
          <w:bCs/>
          <w:kern w:val="2"/>
          <w:sz w:val="32"/>
          <w:szCs w:val="32"/>
        </w:rPr>
        <w:t>1.5.3居民积极性高</w:t>
      </w:r>
      <w:bookmarkEnd w:id="78"/>
      <w:bookmarkEnd w:id="79"/>
      <w:bookmarkEnd w:id="80"/>
      <w:bookmarkEnd w:id="81"/>
    </w:p>
    <w:p>
      <w:pPr>
        <w:ind w:firstLine="640"/>
        <w:rPr>
          <w:sz w:val="32"/>
          <w:szCs w:val="32"/>
        </w:rPr>
      </w:pPr>
      <w:r>
        <w:rPr>
          <w:rFonts w:hint="eastAsia"/>
          <w:sz w:val="32"/>
          <w:szCs w:val="32"/>
        </w:rPr>
        <w:t>长期以来，茶陵县人民在农田建设上投资投劳，收到了良好的效果，在宣传高标准农田建设项目建设时，农民反响大，情绪高涨，积极申报，纷纷签字同意建设。从实地调查的情况来看，群众要求进行高标准农田建设的愿望十分迫切，因此，国家扶持，农民积极主动参与的高标准农田建设项目将会在该县产生巨大的效益。</w:t>
      </w:r>
    </w:p>
    <w:p>
      <w:pPr>
        <w:widowControl/>
        <w:ind w:firstLine="0" w:firstLineChars="0"/>
        <w:jc w:val="left"/>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82" w:name="_Toc30415"/>
      <w:r>
        <w:rPr>
          <w:rFonts w:cs="Times New Roman"/>
          <w:szCs w:val="32"/>
        </w:rPr>
        <w:t>2</w:t>
      </w:r>
      <w:r>
        <w:rPr>
          <w:rFonts w:hint="eastAsia" w:cs="Times New Roman"/>
          <w:szCs w:val="32"/>
        </w:rPr>
        <w:t>总体要求</w:t>
      </w:r>
      <w:bookmarkEnd w:id="82"/>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83" w:name="_Toc27292"/>
      <w:r>
        <w:rPr>
          <w:rFonts w:hint="eastAsia" w:ascii="Times New Roman" w:hAnsi="Times New Roman" w:cs="Times New Roman"/>
          <w:kern w:val="2"/>
          <w:sz w:val="32"/>
        </w:rPr>
        <w:t>2.1指导思想</w:t>
      </w:r>
      <w:bookmarkEnd w:id="83"/>
    </w:p>
    <w:p>
      <w:pPr>
        <w:ind w:firstLine="640"/>
        <w:rPr>
          <w:sz w:val="32"/>
          <w:szCs w:val="32"/>
        </w:rPr>
      </w:pPr>
      <w:r>
        <w:rPr>
          <w:rFonts w:hint="eastAsia"/>
          <w:sz w:val="32"/>
          <w:szCs w:val="32"/>
        </w:rPr>
        <w:t>高举习近平新时代中国特色社会主义思想伟大旗帜，深入贯彻党的十九大和十九届二中、三中、四中、五中全会以及省、市各级农村工作会议精神，全面落实新发展理念，以推动绿色高质量发展为主题，以满足人民日益增长的美好生活需要为主旨，聚焦聚力把农业基础打得更牢、把“三农”领域短板补得更实，为湖南省基本实现高标准农田建设提供茶陵实践样本。</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84" w:name="_Toc17244"/>
      <w:r>
        <w:rPr>
          <w:rFonts w:hint="eastAsia" w:ascii="Times New Roman" w:hAnsi="Times New Roman" w:cs="Times New Roman"/>
          <w:kern w:val="2"/>
          <w:sz w:val="32"/>
        </w:rPr>
        <w:t>2.2编制原则</w:t>
      </w:r>
      <w:bookmarkEnd w:id="84"/>
    </w:p>
    <w:p>
      <w:pPr>
        <w:pStyle w:val="4"/>
        <w:widowControl w:val="0"/>
        <w:adjustRightInd/>
        <w:snapToGrid/>
        <w:spacing w:before="260" w:beforeLines="0" w:after="260"/>
        <w:jc w:val="both"/>
        <w:rPr>
          <w:rFonts w:cs="Times New Roman"/>
          <w:bCs/>
          <w:kern w:val="2"/>
          <w:sz w:val="32"/>
          <w:szCs w:val="32"/>
        </w:rPr>
      </w:pPr>
      <w:bookmarkStart w:id="85" w:name="_Toc16851"/>
      <w:bookmarkStart w:id="86" w:name="_Toc119057900"/>
      <w:bookmarkStart w:id="87" w:name="_Toc119329248"/>
      <w:bookmarkStart w:id="88" w:name="_Toc119330145"/>
      <w:r>
        <w:rPr>
          <w:rFonts w:hint="eastAsia" w:cs="Times New Roman"/>
          <w:bCs/>
          <w:kern w:val="2"/>
          <w:sz w:val="32"/>
          <w:szCs w:val="32"/>
        </w:rPr>
        <w:t>2.2.1政府主导、多方参与</w:t>
      </w:r>
      <w:bookmarkEnd w:id="85"/>
      <w:bookmarkEnd w:id="86"/>
      <w:bookmarkEnd w:id="87"/>
      <w:bookmarkEnd w:id="88"/>
    </w:p>
    <w:p>
      <w:pPr>
        <w:ind w:firstLine="640"/>
        <w:rPr>
          <w:sz w:val="32"/>
          <w:szCs w:val="32"/>
        </w:rPr>
      </w:pPr>
      <w:r>
        <w:rPr>
          <w:rFonts w:hint="eastAsia"/>
          <w:sz w:val="32"/>
          <w:szCs w:val="32"/>
        </w:rPr>
        <w:t>加强乡镇政府责任，落实已建高标准农田的基础设施的管护与及时修复。政府持续加大资金投入，创新融资渠道，引导各类社会资本投入高标准农田建设。加大政策支持，鼓励项目区农民和村集体经济组织筹资投劳参与高标准农田建设和运营管理。</w:t>
      </w:r>
    </w:p>
    <w:p>
      <w:pPr>
        <w:pStyle w:val="4"/>
        <w:widowControl w:val="0"/>
        <w:adjustRightInd/>
        <w:snapToGrid/>
        <w:spacing w:before="260" w:beforeLines="0" w:after="260"/>
        <w:jc w:val="both"/>
        <w:rPr>
          <w:rFonts w:cs="Times New Roman"/>
          <w:bCs/>
          <w:kern w:val="2"/>
          <w:sz w:val="32"/>
          <w:szCs w:val="32"/>
        </w:rPr>
      </w:pPr>
      <w:bookmarkStart w:id="89" w:name="_Toc31922"/>
      <w:bookmarkStart w:id="90" w:name="_Toc119330146"/>
      <w:bookmarkStart w:id="91" w:name="_Toc119329249"/>
      <w:bookmarkStart w:id="92" w:name="_Toc119057901"/>
      <w:r>
        <w:rPr>
          <w:rFonts w:hint="eastAsia" w:cs="Times New Roman"/>
          <w:bCs/>
          <w:kern w:val="2"/>
          <w:sz w:val="32"/>
          <w:szCs w:val="32"/>
        </w:rPr>
        <w:t>2.2.2规划引领、科学布局</w:t>
      </w:r>
      <w:bookmarkEnd w:id="89"/>
      <w:bookmarkEnd w:id="90"/>
      <w:bookmarkEnd w:id="91"/>
      <w:bookmarkEnd w:id="92"/>
    </w:p>
    <w:p>
      <w:pPr>
        <w:ind w:firstLine="640"/>
        <w:rPr>
          <w:sz w:val="32"/>
          <w:szCs w:val="32"/>
        </w:rPr>
      </w:pPr>
      <w:r>
        <w:rPr>
          <w:rFonts w:hint="eastAsia"/>
          <w:sz w:val="32"/>
          <w:szCs w:val="32"/>
        </w:rPr>
        <w:t>注重衔接乡村振兴、国土空间、农业农村、生态环境、水利、电力和交通等相关规划，优先扶持粮食生产功能区、现代农业园区以及永久基本农田保护区，着力补齐农田基础设施短板，提高耕地质量，持续改善农业生产条件，稳步提高粮食生产能力。</w:t>
      </w:r>
    </w:p>
    <w:p>
      <w:pPr>
        <w:pStyle w:val="4"/>
        <w:widowControl w:val="0"/>
        <w:adjustRightInd/>
        <w:snapToGrid/>
        <w:spacing w:before="260" w:beforeLines="0" w:after="260"/>
        <w:jc w:val="both"/>
        <w:rPr>
          <w:rFonts w:cs="Times New Roman"/>
          <w:bCs/>
          <w:kern w:val="2"/>
          <w:sz w:val="32"/>
          <w:szCs w:val="32"/>
        </w:rPr>
      </w:pPr>
      <w:bookmarkStart w:id="93" w:name="_Toc30714"/>
      <w:bookmarkStart w:id="94" w:name="_Toc119057902"/>
      <w:bookmarkStart w:id="95" w:name="_Toc119329250"/>
      <w:bookmarkStart w:id="96" w:name="_Toc119330147"/>
      <w:r>
        <w:rPr>
          <w:rFonts w:hint="eastAsia" w:cs="Times New Roman"/>
          <w:bCs/>
          <w:kern w:val="2"/>
          <w:sz w:val="32"/>
          <w:szCs w:val="32"/>
        </w:rPr>
        <w:t>2.2.3建改并举、质量先行</w:t>
      </w:r>
      <w:bookmarkEnd w:id="93"/>
      <w:bookmarkEnd w:id="94"/>
      <w:bookmarkEnd w:id="95"/>
      <w:bookmarkEnd w:id="96"/>
    </w:p>
    <w:p>
      <w:pPr>
        <w:ind w:firstLine="640"/>
        <w:rPr>
          <w:sz w:val="32"/>
          <w:szCs w:val="32"/>
        </w:rPr>
      </w:pPr>
      <w:r>
        <w:rPr>
          <w:rFonts w:hint="eastAsia"/>
          <w:sz w:val="32"/>
          <w:szCs w:val="32"/>
        </w:rPr>
        <w:t>在高标准农田建设过程中，根据“缺什么、补什么”的原则，按照建设标准进行新建、修缮基础设施，在注重高标准农田建设数量的同时，更要注重其质量的提升。</w:t>
      </w:r>
    </w:p>
    <w:p>
      <w:pPr>
        <w:pStyle w:val="4"/>
        <w:widowControl w:val="0"/>
        <w:adjustRightInd/>
        <w:snapToGrid/>
        <w:spacing w:before="260" w:beforeLines="0" w:after="260"/>
        <w:jc w:val="both"/>
        <w:rPr>
          <w:rFonts w:cs="Times New Roman"/>
          <w:bCs/>
          <w:kern w:val="2"/>
          <w:sz w:val="32"/>
          <w:szCs w:val="32"/>
        </w:rPr>
      </w:pPr>
      <w:bookmarkStart w:id="97" w:name="_Toc22118"/>
      <w:bookmarkStart w:id="98" w:name="_Toc119057903"/>
      <w:bookmarkStart w:id="99" w:name="_Toc119329251"/>
      <w:bookmarkStart w:id="100" w:name="_Toc119330148"/>
      <w:r>
        <w:rPr>
          <w:rFonts w:hint="eastAsia" w:cs="Times New Roman"/>
          <w:bCs/>
          <w:kern w:val="2"/>
          <w:sz w:val="32"/>
          <w:szCs w:val="32"/>
        </w:rPr>
        <w:t>2.2.4分类施策、综合配套</w:t>
      </w:r>
      <w:bookmarkEnd w:id="97"/>
      <w:bookmarkEnd w:id="98"/>
      <w:bookmarkEnd w:id="99"/>
      <w:bookmarkEnd w:id="100"/>
    </w:p>
    <w:p>
      <w:pPr>
        <w:ind w:firstLine="640"/>
        <w:rPr>
          <w:sz w:val="32"/>
          <w:szCs w:val="32"/>
        </w:rPr>
      </w:pPr>
      <w:r>
        <w:rPr>
          <w:rFonts w:hint="eastAsia"/>
          <w:sz w:val="32"/>
          <w:szCs w:val="32"/>
        </w:rPr>
        <w:t>高标准农田建设要综合考虑区域自然资源条件，结合当地需求，把田间灌排体系、道路工程和耕地地力提升摆在优先位置，多措并举，分类施策，同时结合其他相关部门实施政策，使农田基础设施条件与茶陵县农业产业经营模式相适应。</w:t>
      </w:r>
    </w:p>
    <w:p>
      <w:pPr>
        <w:pStyle w:val="4"/>
        <w:widowControl w:val="0"/>
        <w:adjustRightInd/>
        <w:snapToGrid/>
        <w:spacing w:before="260" w:beforeLines="0" w:after="260"/>
        <w:jc w:val="both"/>
        <w:rPr>
          <w:rFonts w:cs="Times New Roman"/>
          <w:bCs/>
          <w:kern w:val="2"/>
          <w:sz w:val="32"/>
          <w:szCs w:val="32"/>
        </w:rPr>
      </w:pPr>
      <w:bookmarkStart w:id="101" w:name="_Toc3720"/>
      <w:bookmarkStart w:id="102" w:name="_Toc119057904"/>
      <w:bookmarkStart w:id="103" w:name="_Toc119329252"/>
      <w:bookmarkStart w:id="104" w:name="_Toc119330149"/>
      <w:r>
        <w:rPr>
          <w:rFonts w:hint="eastAsia" w:cs="Times New Roman"/>
          <w:bCs/>
          <w:kern w:val="2"/>
          <w:sz w:val="32"/>
          <w:szCs w:val="32"/>
        </w:rPr>
        <w:t>2.2.5生态高质、绿色发展、数字智能</w:t>
      </w:r>
      <w:bookmarkEnd w:id="101"/>
      <w:bookmarkEnd w:id="102"/>
      <w:bookmarkEnd w:id="103"/>
      <w:bookmarkEnd w:id="104"/>
    </w:p>
    <w:p>
      <w:pPr>
        <w:ind w:firstLine="640"/>
        <w:rPr>
          <w:sz w:val="32"/>
          <w:szCs w:val="32"/>
        </w:rPr>
      </w:pPr>
      <w:r>
        <w:rPr>
          <w:rFonts w:hint="eastAsia"/>
          <w:sz w:val="32"/>
          <w:szCs w:val="32"/>
        </w:rPr>
        <w:t>持续抓好农业稳产保供和农民增收，推进农业绿色高质量发展，以“优特农业”、“品质乡村”、“精勤农民”为主攻方向，增加绿色优质农产品供给，实现茶陵农业农村高质量发展路径。大力推进高标准农田生态文明、绿色农田、数字智能建设，探索“绿色化”、“生态化”“智能化”模式，综合运用工程、生物、技术等措施，优化土地利用结构与布局，改善土壤生态环境，提升生态化、健康化。</w:t>
      </w:r>
    </w:p>
    <w:p>
      <w:pPr>
        <w:pStyle w:val="4"/>
        <w:widowControl w:val="0"/>
        <w:adjustRightInd/>
        <w:snapToGrid/>
        <w:spacing w:before="260" w:beforeLines="0" w:after="260"/>
        <w:jc w:val="both"/>
        <w:rPr>
          <w:rFonts w:cs="Times New Roman"/>
          <w:bCs/>
          <w:kern w:val="2"/>
          <w:sz w:val="32"/>
          <w:szCs w:val="32"/>
        </w:rPr>
      </w:pPr>
      <w:bookmarkStart w:id="105" w:name="_Toc24416"/>
      <w:bookmarkStart w:id="106" w:name="_Toc119057905"/>
      <w:bookmarkStart w:id="107" w:name="_Toc119329253"/>
      <w:bookmarkStart w:id="108" w:name="_Toc119330150"/>
      <w:r>
        <w:rPr>
          <w:rFonts w:hint="eastAsia" w:cs="Times New Roman"/>
          <w:bCs/>
          <w:kern w:val="2"/>
          <w:sz w:val="32"/>
          <w:szCs w:val="32"/>
        </w:rPr>
        <w:t>2.2.6建管并重、依法严管</w:t>
      </w:r>
      <w:bookmarkEnd w:id="105"/>
      <w:bookmarkEnd w:id="106"/>
      <w:bookmarkEnd w:id="107"/>
      <w:bookmarkEnd w:id="108"/>
    </w:p>
    <w:p>
      <w:pPr>
        <w:ind w:firstLine="640"/>
        <w:rPr>
          <w:sz w:val="32"/>
          <w:szCs w:val="32"/>
        </w:rPr>
      </w:pPr>
      <w:r>
        <w:rPr>
          <w:rFonts w:hint="eastAsia"/>
          <w:sz w:val="32"/>
          <w:szCs w:val="32"/>
        </w:rPr>
        <w:t>创建高标准农田建设、管护和使用监管机制，制定管护办法，按照“谁受益、谁管护”的原则，压实管护责任，落实管护经费，确保农田基础设施良性运行，实行项目全程监管，开展项目监督评价和检查考核，推行信息化监管方式，确保工程实施和建后管护达到“高质量”、“高效益”，对违反相关法律法规的，予以严惩。</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09" w:name="_Toc26320"/>
      <w:r>
        <w:rPr>
          <w:rFonts w:hint="eastAsia" w:ascii="Times New Roman" w:hAnsi="Times New Roman" w:cs="Times New Roman"/>
          <w:kern w:val="2"/>
          <w:sz w:val="32"/>
        </w:rPr>
        <w:t>2.3建设目标</w:t>
      </w:r>
      <w:bookmarkEnd w:id="109"/>
    </w:p>
    <w:p>
      <w:pPr>
        <w:ind w:firstLine="640"/>
        <w:rPr>
          <w:sz w:val="32"/>
          <w:szCs w:val="32"/>
        </w:rPr>
      </w:pPr>
      <w:r>
        <w:rPr>
          <w:rFonts w:hint="eastAsia"/>
          <w:sz w:val="32"/>
          <w:szCs w:val="32"/>
        </w:rPr>
        <w:t>根据湖南省下达任务，茶陵县“十四五”期间新增建设高标准农田7.65万亩，改造提升高标准农田4.89万亩，高效节水0.74万亩；2026~2030年，我县规划新增建设高标准农田0.24万亩，改造提升高标准农田8.23万亩，高效节水0.83万亩。</w:t>
      </w:r>
    </w:p>
    <w:p>
      <w:pPr>
        <w:ind w:firstLine="640"/>
        <w:rPr>
          <w:sz w:val="32"/>
          <w:szCs w:val="32"/>
        </w:rPr>
      </w:pPr>
      <w:r>
        <w:rPr>
          <w:rFonts w:hint="eastAsia"/>
          <w:sz w:val="32"/>
          <w:szCs w:val="32"/>
        </w:rPr>
        <w:t>规划范围为茶陵县重要农田区域；规划期限为2021-2030年，规划基准年为2020年。</w:t>
      </w:r>
    </w:p>
    <w:p>
      <w:pPr>
        <w:ind w:firstLine="640"/>
        <w:rPr>
          <w:sz w:val="32"/>
          <w:szCs w:val="32"/>
        </w:rPr>
      </w:pPr>
    </w:p>
    <w:p>
      <w:pPr>
        <w:ind w:firstLine="640"/>
        <w:rPr>
          <w:sz w:val="32"/>
          <w:szCs w:val="32"/>
        </w:rPr>
      </w:pPr>
    </w:p>
    <w:p>
      <w:pPr>
        <w:ind w:firstLine="640"/>
        <w:rPr>
          <w:sz w:val="32"/>
          <w:szCs w:val="32"/>
        </w:rPr>
      </w:pPr>
    </w:p>
    <w:p>
      <w:pPr>
        <w:ind w:firstLine="640"/>
        <w:rPr>
          <w:sz w:val="32"/>
          <w:szCs w:val="32"/>
        </w:rPr>
      </w:pPr>
    </w:p>
    <w:p>
      <w:pPr>
        <w:ind w:firstLine="643"/>
        <w:jc w:val="center"/>
        <w:rPr>
          <w:b/>
          <w:sz w:val="32"/>
          <w:szCs w:val="32"/>
        </w:rPr>
      </w:pPr>
      <w:r>
        <w:rPr>
          <w:rFonts w:hint="eastAsia"/>
          <w:b/>
          <w:sz w:val="32"/>
          <w:szCs w:val="32"/>
        </w:rPr>
        <w:t>表2-1  茶陵县高标准农田主要指标表</w:t>
      </w:r>
    </w:p>
    <w:tbl>
      <w:tblPr>
        <w:tblStyle w:val="17"/>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38"/>
        <w:gridCol w:w="2569"/>
        <w:gridCol w:w="4469"/>
        <w:gridCol w:w="8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5" w:hRule="atLeast"/>
        </w:trPr>
        <w:tc>
          <w:tcPr>
            <w:tcW w:w="346" w:type="pct"/>
            <w:shd w:val="clear" w:color="auto" w:fill="auto"/>
            <w:noWrap/>
            <w:vAlign w:val="center"/>
          </w:tcPr>
          <w:p>
            <w:pPr>
              <w:widowControl/>
              <w:spacing w:line="240" w:lineRule="auto"/>
              <w:ind w:firstLine="0" w:firstLineChars="0"/>
              <w:rPr>
                <w:rFonts w:eastAsiaTheme="minorEastAsia"/>
                <w:b/>
                <w:bCs/>
                <w:color w:val="000000"/>
                <w:kern w:val="0"/>
                <w:sz w:val="21"/>
                <w:szCs w:val="21"/>
              </w:rPr>
            </w:pPr>
            <w:r>
              <w:rPr>
                <w:rFonts w:eastAsiaTheme="minorEastAsia"/>
                <w:b/>
                <w:bCs/>
                <w:color w:val="000000"/>
                <w:kern w:val="0"/>
                <w:sz w:val="21"/>
                <w:szCs w:val="21"/>
              </w:rPr>
              <w:t>序号</w:t>
            </w:r>
          </w:p>
        </w:tc>
        <w:tc>
          <w:tcPr>
            <w:tcW w:w="1804"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指标</w:t>
            </w:r>
          </w:p>
        </w:tc>
        <w:tc>
          <w:tcPr>
            <w:tcW w:w="2346"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目标值</w:t>
            </w:r>
          </w:p>
        </w:tc>
        <w:tc>
          <w:tcPr>
            <w:tcW w:w="505"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属性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restar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w:t>
            </w:r>
          </w:p>
        </w:tc>
        <w:tc>
          <w:tcPr>
            <w:tcW w:w="1804" w:type="pct"/>
            <w:vMerge w:val="restar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高标准农田建设</w:t>
            </w:r>
          </w:p>
        </w:tc>
        <w:tc>
          <w:tcPr>
            <w:tcW w:w="2346"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到2022年累计建成高标准农田40.68万亩</w:t>
            </w:r>
          </w:p>
        </w:tc>
        <w:tc>
          <w:tcPr>
            <w:tcW w:w="505"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804"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346"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到2025年累计建成高标准农田42.21万亩</w:t>
            </w:r>
          </w:p>
        </w:tc>
        <w:tc>
          <w:tcPr>
            <w:tcW w:w="505"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804"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346"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到2025年累计改造提升高标准农田4.89万亩</w:t>
            </w:r>
          </w:p>
        </w:tc>
        <w:tc>
          <w:tcPr>
            <w:tcW w:w="505"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804"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346"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到2030年累计建成高标准农田42.45万亩</w:t>
            </w:r>
          </w:p>
        </w:tc>
        <w:tc>
          <w:tcPr>
            <w:tcW w:w="505"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804"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346"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到2030年累计改造提升高标准农田19.73万亩</w:t>
            </w:r>
          </w:p>
        </w:tc>
        <w:tc>
          <w:tcPr>
            <w:tcW w:w="505"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w:t>
            </w:r>
          </w:p>
        </w:tc>
        <w:tc>
          <w:tcPr>
            <w:tcW w:w="1804"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高效节水灌溉建设</w:t>
            </w:r>
          </w:p>
        </w:tc>
        <w:tc>
          <w:tcPr>
            <w:tcW w:w="234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2021-2030年新增高效节水灌溉面积1.57万亩</w:t>
            </w:r>
          </w:p>
        </w:tc>
        <w:tc>
          <w:tcPr>
            <w:tcW w:w="505"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restar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3</w:t>
            </w:r>
          </w:p>
        </w:tc>
        <w:tc>
          <w:tcPr>
            <w:tcW w:w="1804" w:type="pct"/>
            <w:vMerge w:val="restar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新增粮食综合生产能力</w:t>
            </w:r>
          </w:p>
        </w:tc>
        <w:tc>
          <w:tcPr>
            <w:tcW w:w="234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新增高标准农田亩均产能提高50公斤</w:t>
            </w:r>
          </w:p>
        </w:tc>
        <w:tc>
          <w:tcPr>
            <w:tcW w:w="505"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804"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34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改造提升高标准农田产能不低于当地高标准农田产能的平均水平</w:t>
            </w:r>
          </w:p>
        </w:tc>
        <w:tc>
          <w:tcPr>
            <w:tcW w:w="505"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46"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w:t>
            </w:r>
          </w:p>
        </w:tc>
        <w:tc>
          <w:tcPr>
            <w:tcW w:w="1804"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建成高标准农田上图入库覆盖率</w:t>
            </w:r>
          </w:p>
        </w:tc>
        <w:tc>
          <w:tcPr>
            <w:tcW w:w="234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100%</w:t>
            </w:r>
          </w:p>
        </w:tc>
        <w:tc>
          <w:tcPr>
            <w:tcW w:w="505"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bl>
    <w:p>
      <w:pPr>
        <w:ind w:firstLine="640"/>
        <w:rPr>
          <w:sz w:val="32"/>
          <w:szCs w:val="32"/>
        </w:rPr>
      </w:pPr>
    </w:p>
    <w:p>
      <w:pPr>
        <w:ind w:firstLine="640"/>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110" w:name="_Toc29067"/>
      <w:r>
        <w:rPr>
          <w:rFonts w:cs="Times New Roman"/>
          <w:szCs w:val="32"/>
        </w:rPr>
        <w:t>3</w:t>
      </w:r>
      <w:r>
        <w:rPr>
          <w:rFonts w:hint="eastAsia" w:cs="Times New Roman"/>
          <w:szCs w:val="32"/>
        </w:rPr>
        <w:t>建设内容和建设标准</w:t>
      </w:r>
      <w:bookmarkEnd w:id="110"/>
    </w:p>
    <w:p>
      <w:pPr>
        <w:ind w:firstLine="640"/>
        <w:rPr>
          <w:sz w:val="32"/>
          <w:szCs w:val="32"/>
        </w:rPr>
      </w:pPr>
      <w:r>
        <w:rPr>
          <w:rFonts w:hint="eastAsia"/>
          <w:sz w:val="32"/>
          <w:szCs w:val="32"/>
        </w:rPr>
        <w:t>新建和改造提升高标准农田须严格执行《高标准农田建设通则》（GB/T30600-2022）等国家标准、行业标准和地方标准，新增高效节水灌溉面积还需严格执行《节水灌溉工程技术标准》（GB/T50363）等国家标准。结合茶陵县实际情况，高标准农田建设主要涉及田、土、水、路、林、电、技、管等八个方面要求内容。</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11" w:name="_Toc359"/>
      <w:r>
        <w:rPr>
          <w:rFonts w:hint="eastAsia" w:ascii="Times New Roman" w:hAnsi="Times New Roman" w:cs="Times New Roman"/>
          <w:kern w:val="2"/>
          <w:sz w:val="32"/>
        </w:rPr>
        <w:t>3.1田块整治</w:t>
      </w:r>
      <w:bookmarkEnd w:id="111"/>
    </w:p>
    <w:p>
      <w:pPr>
        <w:pStyle w:val="4"/>
        <w:widowControl w:val="0"/>
        <w:adjustRightInd/>
        <w:snapToGrid/>
        <w:spacing w:before="260" w:beforeLines="0" w:after="260"/>
        <w:jc w:val="both"/>
        <w:rPr>
          <w:rFonts w:cs="Times New Roman"/>
          <w:bCs/>
          <w:kern w:val="2"/>
          <w:sz w:val="32"/>
          <w:szCs w:val="32"/>
        </w:rPr>
      </w:pPr>
      <w:bookmarkStart w:id="112" w:name="_Toc18455"/>
      <w:bookmarkStart w:id="113" w:name="_Toc119330154"/>
      <w:bookmarkStart w:id="114" w:name="_Toc119329257"/>
      <w:bookmarkStart w:id="115" w:name="_Toc119057909"/>
      <w:r>
        <w:rPr>
          <w:rFonts w:hint="eastAsia" w:cs="Times New Roman"/>
          <w:bCs/>
          <w:kern w:val="2"/>
          <w:sz w:val="32"/>
          <w:szCs w:val="32"/>
        </w:rPr>
        <w:t>3.1.1建设内容</w:t>
      </w:r>
      <w:bookmarkEnd w:id="112"/>
      <w:bookmarkEnd w:id="113"/>
      <w:bookmarkEnd w:id="114"/>
      <w:bookmarkEnd w:id="115"/>
    </w:p>
    <w:p>
      <w:pPr>
        <w:ind w:firstLine="640"/>
        <w:rPr>
          <w:sz w:val="32"/>
          <w:szCs w:val="32"/>
        </w:rPr>
      </w:pPr>
      <w:r>
        <w:rPr>
          <w:rFonts w:hint="eastAsia"/>
          <w:sz w:val="32"/>
          <w:szCs w:val="32"/>
        </w:rPr>
        <w:t>一是因地制宜进行土地平整，田块归并，合理划分田块，茶陵县以梯田为主，减小田坎坡比，可增大有效耕种面积；二是实施耕地水土流失治理方案，增强农田地力能力。</w:t>
      </w:r>
    </w:p>
    <w:p>
      <w:pPr>
        <w:pStyle w:val="4"/>
        <w:widowControl w:val="0"/>
        <w:adjustRightInd/>
        <w:snapToGrid/>
        <w:spacing w:before="260" w:beforeLines="0" w:after="260"/>
        <w:jc w:val="both"/>
        <w:rPr>
          <w:rFonts w:cs="Times New Roman"/>
          <w:bCs/>
          <w:kern w:val="2"/>
          <w:sz w:val="32"/>
          <w:szCs w:val="32"/>
        </w:rPr>
      </w:pPr>
      <w:bookmarkStart w:id="116" w:name="_Toc15854"/>
      <w:bookmarkStart w:id="117" w:name="_Toc119330155"/>
      <w:bookmarkStart w:id="118" w:name="_Toc119329258"/>
      <w:bookmarkStart w:id="119" w:name="_Toc119057910"/>
      <w:r>
        <w:rPr>
          <w:rFonts w:hint="eastAsia" w:cs="Times New Roman"/>
          <w:bCs/>
          <w:kern w:val="2"/>
          <w:sz w:val="32"/>
          <w:szCs w:val="32"/>
        </w:rPr>
        <w:t>3.1.2建设标准和要求</w:t>
      </w:r>
      <w:bookmarkEnd w:id="116"/>
      <w:bookmarkEnd w:id="117"/>
      <w:bookmarkEnd w:id="118"/>
      <w:bookmarkEnd w:id="119"/>
    </w:p>
    <w:p>
      <w:pPr>
        <w:ind w:firstLine="640"/>
        <w:rPr>
          <w:sz w:val="32"/>
          <w:szCs w:val="32"/>
        </w:rPr>
      </w:pPr>
      <w:r>
        <w:rPr>
          <w:rFonts w:hint="eastAsia"/>
          <w:sz w:val="32"/>
          <w:szCs w:val="32"/>
        </w:rPr>
        <w:t>田块划分时，根据地形地势依次选择长方形、正方形、梯形等田块形状，结合路、渠网合理划分，确保耕种便利。水田田面平整度控制在±10cm高差以内，旱地田面平整度控制在±15cm高差以内；水田内部田埂高度和顶宽为20-40cm；梯田外侧应修蓄水埂，高度为20-40cm，顶宽一般30-40cm。一般耕地的土体厚度在50cm以上，耕作层厚度大于30cm，土体中无明显粘盘层、砂砾层等障碍因素，田间基础设施占地率不超过8%，稻作淹灌农田地表平整度不高于2.5cm，形成区域化、规模化、集中连片的高标准农田。</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20" w:name="_Toc14502"/>
      <w:r>
        <w:rPr>
          <w:rFonts w:hint="eastAsia" w:ascii="Times New Roman" w:hAnsi="Times New Roman" w:cs="Times New Roman"/>
          <w:kern w:val="2"/>
          <w:sz w:val="32"/>
        </w:rPr>
        <w:t>3.2土壤改良</w:t>
      </w:r>
      <w:bookmarkEnd w:id="120"/>
    </w:p>
    <w:p>
      <w:pPr>
        <w:pStyle w:val="4"/>
        <w:widowControl w:val="0"/>
        <w:adjustRightInd/>
        <w:snapToGrid/>
        <w:spacing w:before="260" w:beforeLines="0" w:after="260"/>
        <w:jc w:val="both"/>
        <w:rPr>
          <w:rFonts w:cs="Times New Roman"/>
          <w:bCs/>
          <w:kern w:val="2"/>
          <w:sz w:val="32"/>
          <w:szCs w:val="32"/>
        </w:rPr>
      </w:pPr>
      <w:bookmarkStart w:id="121" w:name="_Toc17905"/>
      <w:bookmarkStart w:id="122" w:name="_Toc119330157"/>
      <w:bookmarkStart w:id="123" w:name="_Toc119329260"/>
      <w:bookmarkStart w:id="124" w:name="_Toc119057912"/>
      <w:r>
        <w:rPr>
          <w:rFonts w:hint="eastAsia" w:cs="Times New Roman"/>
          <w:bCs/>
          <w:kern w:val="2"/>
          <w:sz w:val="32"/>
          <w:szCs w:val="32"/>
        </w:rPr>
        <w:t>3.2.1建设内容</w:t>
      </w:r>
      <w:bookmarkEnd w:id="121"/>
      <w:bookmarkEnd w:id="122"/>
      <w:bookmarkEnd w:id="123"/>
      <w:bookmarkEnd w:id="124"/>
    </w:p>
    <w:p>
      <w:pPr>
        <w:ind w:firstLine="640"/>
        <w:rPr>
          <w:sz w:val="32"/>
          <w:szCs w:val="32"/>
        </w:rPr>
      </w:pPr>
      <w:r>
        <w:rPr>
          <w:rFonts w:hint="eastAsia"/>
          <w:sz w:val="32"/>
          <w:szCs w:val="32"/>
        </w:rPr>
        <w:t>（1）土壤改良：通过对地质不良土壤进行客土改造，加厚耕作厚度，改善土壤理化性状，协调土壤保水保肥能力，满足作物生长需求；</w:t>
      </w:r>
    </w:p>
    <w:p>
      <w:pPr>
        <w:ind w:firstLine="640"/>
        <w:rPr>
          <w:sz w:val="32"/>
          <w:szCs w:val="32"/>
        </w:rPr>
      </w:pPr>
      <w:r>
        <w:rPr>
          <w:rFonts w:hint="eastAsia"/>
          <w:sz w:val="32"/>
          <w:szCs w:val="32"/>
        </w:rPr>
        <w:t>（2）地力提升：因地制宜推广秸秆还田、绿肥种植翻压还田，增施商品有机肥等提高土壤肥力，推广农业实用技术，如推广地膜覆盖、水肥一体化技术、良种应用、病虫害统防统治等各种提高耕地综合生产能力，对污染土壤通过工程、生物、化学等方法进行修复。</w:t>
      </w:r>
    </w:p>
    <w:p>
      <w:pPr>
        <w:ind w:firstLine="640"/>
        <w:rPr>
          <w:sz w:val="32"/>
          <w:szCs w:val="32"/>
        </w:rPr>
      </w:pPr>
      <w:r>
        <w:rPr>
          <w:rFonts w:hint="eastAsia"/>
          <w:sz w:val="32"/>
          <w:szCs w:val="32"/>
        </w:rPr>
        <w:t>（3）土壤监测：根据茶陵县现有土壤监测数据，以茶陵县现在有化验设备为基础，根据土壤监测要求和茶陵县实际情况，进行采样点布置，对茶陵土壤肥力等，进行长期的监测。</w:t>
      </w:r>
    </w:p>
    <w:p>
      <w:pPr>
        <w:pStyle w:val="4"/>
        <w:widowControl w:val="0"/>
        <w:adjustRightInd/>
        <w:snapToGrid/>
        <w:spacing w:before="260" w:beforeLines="0" w:after="260"/>
        <w:jc w:val="both"/>
        <w:rPr>
          <w:rFonts w:cs="Times New Roman"/>
          <w:bCs/>
          <w:kern w:val="2"/>
          <w:sz w:val="32"/>
          <w:szCs w:val="32"/>
        </w:rPr>
      </w:pPr>
      <w:bookmarkStart w:id="125" w:name="_Toc12069"/>
      <w:bookmarkStart w:id="126" w:name="_Toc119330158"/>
      <w:bookmarkStart w:id="127" w:name="_Toc119329261"/>
      <w:bookmarkStart w:id="128" w:name="_Toc119057913"/>
      <w:r>
        <w:rPr>
          <w:rFonts w:hint="eastAsia" w:cs="Times New Roman"/>
          <w:bCs/>
          <w:kern w:val="2"/>
          <w:sz w:val="32"/>
          <w:szCs w:val="32"/>
        </w:rPr>
        <w:t>3.2.2建设标准和要求</w:t>
      </w:r>
      <w:bookmarkEnd w:id="125"/>
      <w:bookmarkEnd w:id="126"/>
      <w:bookmarkEnd w:id="127"/>
      <w:bookmarkEnd w:id="128"/>
    </w:p>
    <w:p>
      <w:pPr>
        <w:ind w:firstLine="640"/>
        <w:rPr>
          <w:sz w:val="32"/>
          <w:szCs w:val="32"/>
        </w:rPr>
      </w:pPr>
      <w:r>
        <w:rPr>
          <w:rFonts w:hint="eastAsia"/>
          <w:sz w:val="32"/>
          <w:szCs w:val="32"/>
        </w:rPr>
        <w:t>通过土壤改良和施加商品有机肥使土壤有机质含量达到27.5g/kg以上，土壤养分含量相对平衡；通过土壤改良剂、调理剂等使土壤pH值保持在6.5～7.5，耕地质量达到当地平均等级以上；通过每隔1-2年对农田实施深耕深松，使土壤耕作层厚度达到25cm以上，耕作层土壤应符合国家标准GB15618的规定。</w:t>
      </w:r>
    </w:p>
    <w:p>
      <w:pPr>
        <w:ind w:firstLine="640"/>
        <w:rPr>
          <w:sz w:val="32"/>
          <w:szCs w:val="32"/>
        </w:rPr>
      </w:pPr>
      <w:r>
        <w:rPr>
          <w:rFonts w:hint="eastAsia"/>
          <w:sz w:val="32"/>
          <w:szCs w:val="32"/>
        </w:rPr>
        <w:t>对土壤监测点设立保护性标志，设点尽量避开城镇、村庄、道路，最好设在永久基本农田保护区内。同时，根据土壤监测点所在地，安排专人进行管护，定期巡查。</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29" w:name="_Toc25594"/>
      <w:r>
        <w:rPr>
          <w:rFonts w:hint="eastAsia" w:ascii="Times New Roman" w:hAnsi="Times New Roman" w:cs="Times New Roman"/>
          <w:kern w:val="2"/>
          <w:sz w:val="32"/>
        </w:rPr>
        <w:t>3.3灌排设施</w:t>
      </w:r>
      <w:bookmarkEnd w:id="129"/>
    </w:p>
    <w:p>
      <w:pPr>
        <w:pStyle w:val="4"/>
        <w:widowControl w:val="0"/>
        <w:adjustRightInd/>
        <w:snapToGrid/>
        <w:spacing w:before="260" w:beforeLines="0" w:after="260"/>
        <w:jc w:val="both"/>
        <w:rPr>
          <w:rFonts w:cs="Times New Roman"/>
          <w:bCs/>
          <w:kern w:val="2"/>
          <w:sz w:val="32"/>
          <w:szCs w:val="32"/>
        </w:rPr>
      </w:pPr>
      <w:bookmarkStart w:id="130" w:name="_Toc119057915"/>
      <w:bookmarkStart w:id="131" w:name="_Toc119329263"/>
      <w:bookmarkStart w:id="132" w:name="_Toc119330160"/>
      <w:bookmarkStart w:id="133" w:name="_Toc18715"/>
      <w:r>
        <w:rPr>
          <w:rFonts w:hint="eastAsia" w:cs="Times New Roman"/>
          <w:bCs/>
          <w:kern w:val="2"/>
          <w:sz w:val="32"/>
          <w:szCs w:val="32"/>
        </w:rPr>
        <w:t>3.3.1建设内容</w:t>
      </w:r>
      <w:bookmarkEnd w:id="130"/>
      <w:bookmarkEnd w:id="131"/>
      <w:bookmarkEnd w:id="132"/>
      <w:bookmarkEnd w:id="133"/>
    </w:p>
    <w:p>
      <w:pPr>
        <w:ind w:firstLine="640"/>
        <w:rPr>
          <w:sz w:val="32"/>
          <w:szCs w:val="32"/>
        </w:rPr>
      </w:pPr>
      <w:r>
        <w:rPr>
          <w:rFonts w:hint="eastAsia"/>
          <w:sz w:val="32"/>
          <w:szCs w:val="32"/>
        </w:rPr>
        <w:t>一是水源设施：新建拦水坝、泵站、整修山塘等设施；</w:t>
      </w:r>
    </w:p>
    <w:p>
      <w:pPr>
        <w:ind w:firstLine="640"/>
        <w:rPr>
          <w:sz w:val="32"/>
          <w:szCs w:val="32"/>
        </w:rPr>
      </w:pPr>
      <w:r>
        <w:rPr>
          <w:rFonts w:hint="eastAsia"/>
          <w:sz w:val="32"/>
          <w:szCs w:val="32"/>
        </w:rPr>
        <w:t>二是灌排设施：新建或整修三面光渠道、渠道防渗、管道等工程，提高水资源利用率，提高防洪排涝能力，提高抗洪抗旱能力。</w:t>
      </w:r>
    </w:p>
    <w:p>
      <w:pPr>
        <w:ind w:firstLine="640"/>
        <w:rPr>
          <w:sz w:val="32"/>
          <w:szCs w:val="32"/>
        </w:rPr>
      </w:pPr>
      <w:r>
        <w:rPr>
          <w:rFonts w:hint="eastAsia"/>
          <w:sz w:val="32"/>
          <w:szCs w:val="32"/>
        </w:rPr>
        <w:t>三是水工建筑物：合理布置桥梁、涵洞、水闸、渡槽等渠系建筑物，以适应灌排系统水位、流量、泥沙处理等要求。</w:t>
      </w:r>
    </w:p>
    <w:p>
      <w:pPr>
        <w:pStyle w:val="4"/>
        <w:widowControl w:val="0"/>
        <w:adjustRightInd/>
        <w:snapToGrid/>
        <w:spacing w:before="260" w:beforeLines="0" w:after="260"/>
        <w:jc w:val="both"/>
        <w:rPr>
          <w:rFonts w:cs="Times New Roman"/>
          <w:bCs/>
          <w:kern w:val="2"/>
          <w:sz w:val="32"/>
          <w:szCs w:val="32"/>
        </w:rPr>
      </w:pPr>
      <w:bookmarkStart w:id="134" w:name="_Toc119057916"/>
      <w:bookmarkStart w:id="135" w:name="_Toc119329264"/>
      <w:bookmarkStart w:id="136" w:name="_Toc119330161"/>
      <w:bookmarkStart w:id="137" w:name="_Toc20491"/>
      <w:r>
        <w:rPr>
          <w:rFonts w:hint="eastAsia" w:cs="Times New Roman"/>
          <w:bCs/>
          <w:kern w:val="2"/>
          <w:sz w:val="32"/>
          <w:szCs w:val="32"/>
        </w:rPr>
        <w:t>3.3.2建设标准和要求</w:t>
      </w:r>
      <w:bookmarkEnd w:id="134"/>
      <w:bookmarkEnd w:id="135"/>
      <w:bookmarkEnd w:id="136"/>
      <w:bookmarkEnd w:id="137"/>
    </w:p>
    <w:p>
      <w:pPr>
        <w:ind w:firstLine="640"/>
        <w:rPr>
          <w:sz w:val="32"/>
          <w:szCs w:val="32"/>
        </w:rPr>
      </w:pPr>
      <w:r>
        <w:rPr>
          <w:rFonts w:hint="eastAsia"/>
          <w:sz w:val="32"/>
          <w:szCs w:val="32"/>
        </w:rPr>
        <w:t>水稻土为淹育型、潴育型和潜育型三种，在建设过程中需根据水稻土类型进行分类设计灌排设施。</w:t>
      </w:r>
    </w:p>
    <w:p>
      <w:pPr>
        <w:ind w:firstLine="640"/>
        <w:rPr>
          <w:sz w:val="32"/>
          <w:szCs w:val="32"/>
        </w:rPr>
      </w:pPr>
      <w:r>
        <w:rPr>
          <w:rFonts w:hint="eastAsia"/>
          <w:sz w:val="32"/>
          <w:szCs w:val="32"/>
        </w:rPr>
        <w:t>灌溉水质应符合GB5084的要求，灌溉水利用效率应不低于GB/T50363的规定。农田灌溉设计保证率达到90%以上；渠系水利用系数不低于0.75；管道水利用系数不低于0.95；农田灌溉水有效利用系数不低于0.613。确保每一块高标准农田都有完善的灌排系统，排涝标准应满足农田积水不超过作物最大耐淹水深和耐淹时间；农田排水设计暴雨重现期宜采用10年一遇，1天~3天暴雨，3天~5天排至作物耐淹水深。</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38" w:name="_Toc5294"/>
      <w:r>
        <w:rPr>
          <w:rFonts w:hint="eastAsia" w:ascii="Times New Roman" w:hAnsi="Times New Roman" w:cs="Times New Roman"/>
          <w:kern w:val="2"/>
          <w:sz w:val="32"/>
        </w:rPr>
        <w:t>3.4田间道路</w:t>
      </w:r>
      <w:bookmarkEnd w:id="138"/>
    </w:p>
    <w:p>
      <w:pPr>
        <w:pStyle w:val="4"/>
        <w:widowControl w:val="0"/>
        <w:adjustRightInd/>
        <w:snapToGrid/>
        <w:spacing w:before="260" w:beforeLines="0" w:after="260"/>
        <w:jc w:val="both"/>
        <w:rPr>
          <w:rFonts w:cs="Times New Roman"/>
          <w:bCs/>
          <w:kern w:val="2"/>
          <w:sz w:val="32"/>
          <w:szCs w:val="32"/>
        </w:rPr>
      </w:pPr>
      <w:bookmarkStart w:id="139" w:name="_Toc119057918"/>
      <w:bookmarkStart w:id="140" w:name="_Toc119329266"/>
      <w:bookmarkStart w:id="141" w:name="_Toc119330163"/>
      <w:bookmarkStart w:id="142" w:name="_Toc1309"/>
      <w:r>
        <w:rPr>
          <w:rFonts w:hint="eastAsia" w:cs="Times New Roman"/>
          <w:bCs/>
          <w:kern w:val="2"/>
          <w:sz w:val="32"/>
          <w:szCs w:val="32"/>
        </w:rPr>
        <w:t>3.4.1建设内容</w:t>
      </w:r>
      <w:bookmarkEnd w:id="139"/>
      <w:bookmarkEnd w:id="140"/>
      <w:bookmarkEnd w:id="141"/>
      <w:bookmarkEnd w:id="142"/>
    </w:p>
    <w:p>
      <w:pPr>
        <w:ind w:firstLine="640"/>
        <w:rPr>
          <w:sz w:val="32"/>
          <w:szCs w:val="32"/>
        </w:rPr>
      </w:pPr>
      <w:r>
        <w:rPr>
          <w:rFonts w:hint="eastAsia"/>
          <w:sz w:val="32"/>
          <w:szCs w:val="32"/>
        </w:rPr>
        <w:t>为满足农田耕种便利，合理布置田间道路工程，新建或修建机耕路、生产路以及道路的会车道等附属设施，坡口等满足机械耕作和农产品运输的要求，减少人力投入，加大机械化操作，进一步提高农业生产的综合能力。</w:t>
      </w:r>
    </w:p>
    <w:p>
      <w:pPr>
        <w:pStyle w:val="4"/>
        <w:widowControl w:val="0"/>
        <w:adjustRightInd/>
        <w:snapToGrid/>
        <w:spacing w:before="260" w:beforeLines="0" w:after="260"/>
        <w:jc w:val="both"/>
        <w:rPr>
          <w:rFonts w:cs="Times New Roman"/>
          <w:bCs/>
          <w:kern w:val="2"/>
          <w:sz w:val="32"/>
          <w:szCs w:val="32"/>
        </w:rPr>
      </w:pPr>
      <w:bookmarkStart w:id="143" w:name="_Toc119057919"/>
      <w:bookmarkStart w:id="144" w:name="_Toc119329267"/>
      <w:bookmarkStart w:id="145" w:name="_Toc119330164"/>
      <w:bookmarkStart w:id="146" w:name="_Toc22715"/>
      <w:r>
        <w:rPr>
          <w:rFonts w:hint="eastAsia" w:cs="Times New Roman"/>
          <w:bCs/>
          <w:kern w:val="2"/>
          <w:sz w:val="32"/>
          <w:szCs w:val="32"/>
        </w:rPr>
        <w:t>3.4.2建设标准和要求</w:t>
      </w:r>
      <w:bookmarkEnd w:id="143"/>
      <w:bookmarkEnd w:id="144"/>
      <w:bookmarkEnd w:id="145"/>
      <w:bookmarkEnd w:id="146"/>
    </w:p>
    <w:p>
      <w:pPr>
        <w:ind w:firstLine="640"/>
        <w:rPr>
          <w:sz w:val="32"/>
          <w:szCs w:val="32"/>
        </w:rPr>
      </w:pPr>
      <w:r>
        <w:rPr>
          <w:rFonts w:hint="eastAsia"/>
          <w:sz w:val="32"/>
          <w:szCs w:val="32"/>
        </w:rPr>
        <w:t>田间道路布局合理，机耕路的路面宽度宜为3～3.5米，生产路的路面宽度不宜超过3米，在机械化作业区，农机交汇点设置会车道。机耕路路面宜采用混凝土、碎石等材质，生产路的路面可采用混凝土、碎石、素土等材质。同时要做好路与田的连接，坡口设置既要便于农机下田，又要节约土地。道路通达度不低于90%。主要道路一般地段纵向坡比不得大于8%，个别地段坡比不得大于11%。</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47" w:name="_Toc3922"/>
      <w:r>
        <w:rPr>
          <w:rFonts w:hint="eastAsia" w:ascii="Times New Roman" w:hAnsi="Times New Roman" w:cs="Times New Roman"/>
          <w:kern w:val="2"/>
          <w:sz w:val="32"/>
        </w:rPr>
        <w:t>3.5科技服务</w:t>
      </w:r>
      <w:bookmarkEnd w:id="147"/>
    </w:p>
    <w:p>
      <w:pPr>
        <w:pStyle w:val="4"/>
        <w:widowControl w:val="0"/>
        <w:adjustRightInd/>
        <w:snapToGrid/>
        <w:spacing w:before="260" w:beforeLines="0" w:after="260"/>
        <w:jc w:val="both"/>
        <w:rPr>
          <w:rFonts w:cs="Times New Roman"/>
          <w:bCs/>
          <w:kern w:val="2"/>
          <w:sz w:val="32"/>
          <w:szCs w:val="32"/>
        </w:rPr>
      </w:pPr>
      <w:bookmarkStart w:id="148" w:name="_Toc119057921"/>
      <w:bookmarkStart w:id="149" w:name="_Toc119329269"/>
      <w:bookmarkStart w:id="150" w:name="_Toc119330166"/>
      <w:bookmarkStart w:id="151" w:name="_Toc13994"/>
      <w:r>
        <w:rPr>
          <w:rFonts w:hint="eastAsia" w:cs="Times New Roman"/>
          <w:bCs/>
          <w:kern w:val="2"/>
          <w:sz w:val="32"/>
          <w:szCs w:val="32"/>
        </w:rPr>
        <w:t>3.5.1建设内容</w:t>
      </w:r>
      <w:bookmarkEnd w:id="148"/>
      <w:bookmarkEnd w:id="149"/>
      <w:bookmarkEnd w:id="150"/>
      <w:bookmarkEnd w:id="151"/>
    </w:p>
    <w:p>
      <w:pPr>
        <w:ind w:firstLine="640"/>
        <w:rPr>
          <w:sz w:val="32"/>
          <w:szCs w:val="32"/>
        </w:rPr>
      </w:pPr>
      <w:r>
        <w:rPr>
          <w:rFonts w:hint="eastAsia"/>
          <w:sz w:val="32"/>
          <w:szCs w:val="32"/>
        </w:rPr>
        <w:t>深化农机农艺融合，大力推广先进适用机具，提高农业机械化水平。加强农民科技培训，引导和指导农民进行全过程规范化、标准化种植，提高技术到位率。充分利用高标准农田基础条件，合理安排种养结构，推广应用高效节水灌溉技术、水肥一体化灌溉技术、化肥农药定额制施用技术等。引进数字化智能化管理体系，构建病虫害监测网络体系、提高病虫害监测预警和防治能力，加大高效、低毒、低残留农药和绿色防控技术的推广运用。</w:t>
      </w:r>
    </w:p>
    <w:p>
      <w:pPr>
        <w:pStyle w:val="4"/>
        <w:widowControl w:val="0"/>
        <w:adjustRightInd/>
        <w:snapToGrid/>
        <w:spacing w:before="260" w:beforeLines="0" w:after="260"/>
        <w:jc w:val="both"/>
        <w:rPr>
          <w:rFonts w:cs="Times New Roman"/>
          <w:bCs/>
          <w:kern w:val="2"/>
          <w:sz w:val="32"/>
          <w:szCs w:val="32"/>
        </w:rPr>
      </w:pPr>
      <w:bookmarkStart w:id="152" w:name="_Toc119057922"/>
      <w:bookmarkStart w:id="153" w:name="_Toc119329270"/>
      <w:bookmarkStart w:id="154" w:name="_Toc119330167"/>
      <w:bookmarkStart w:id="155" w:name="_Toc252"/>
      <w:r>
        <w:rPr>
          <w:rFonts w:hint="eastAsia" w:cs="Times New Roman"/>
          <w:bCs/>
          <w:kern w:val="2"/>
          <w:sz w:val="32"/>
          <w:szCs w:val="32"/>
        </w:rPr>
        <w:t>3.5.2建设标准和要求</w:t>
      </w:r>
      <w:bookmarkEnd w:id="152"/>
      <w:bookmarkEnd w:id="153"/>
      <w:bookmarkEnd w:id="154"/>
      <w:bookmarkEnd w:id="155"/>
    </w:p>
    <w:p>
      <w:pPr>
        <w:ind w:firstLine="640"/>
        <w:rPr>
          <w:sz w:val="32"/>
          <w:szCs w:val="32"/>
        </w:rPr>
      </w:pPr>
      <w:r>
        <w:rPr>
          <w:rFonts w:hint="eastAsia"/>
          <w:sz w:val="32"/>
          <w:szCs w:val="32"/>
        </w:rPr>
        <w:t>高标准农田区域的良种覆盖率达到95%以上，测土配方施肥覆盖率应达到95%以上，水稻病虫害统防统治覆盖率达到50%以上。</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56" w:name="_Toc15336"/>
      <w:r>
        <w:rPr>
          <w:rFonts w:hint="eastAsia" w:ascii="Times New Roman" w:hAnsi="Times New Roman" w:cs="Times New Roman"/>
          <w:kern w:val="2"/>
          <w:sz w:val="32"/>
        </w:rPr>
        <w:t>3.6生态防护</w:t>
      </w:r>
      <w:bookmarkEnd w:id="156"/>
    </w:p>
    <w:p>
      <w:pPr>
        <w:pStyle w:val="4"/>
        <w:widowControl w:val="0"/>
        <w:adjustRightInd/>
        <w:snapToGrid/>
        <w:spacing w:before="260" w:beforeLines="0" w:after="260"/>
        <w:jc w:val="both"/>
        <w:rPr>
          <w:rFonts w:cs="Times New Roman"/>
          <w:bCs/>
          <w:kern w:val="2"/>
          <w:sz w:val="32"/>
          <w:szCs w:val="32"/>
        </w:rPr>
      </w:pPr>
      <w:bookmarkStart w:id="157" w:name="_Toc119057924"/>
      <w:bookmarkStart w:id="158" w:name="_Toc119329272"/>
      <w:bookmarkStart w:id="159" w:name="_Toc119330169"/>
      <w:bookmarkStart w:id="160" w:name="_Toc27822"/>
      <w:r>
        <w:rPr>
          <w:rFonts w:hint="eastAsia" w:cs="Times New Roman"/>
          <w:bCs/>
          <w:kern w:val="2"/>
          <w:sz w:val="32"/>
          <w:szCs w:val="32"/>
        </w:rPr>
        <w:t>3.6.1建设内容</w:t>
      </w:r>
      <w:bookmarkEnd w:id="157"/>
      <w:bookmarkEnd w:id="158"/>
      <w:bookmarkEnd w:id="159"/>
      <w:bookmarkEnd w:id="160"/>
    </w:p>
    <w:p>
      <w:pPr>
        <w:ind w:firstLine="640"/>
        <w:rPr>
          <w:sz w:val="32"/>
          <w:szCs w:val="32"/>
        </w:rPr>
      </w:pPr>
      <w:r>
        <w:rPr>
          <w:rFonts w:hint="eastAsia"/>
          <w:sz w:val="32"/>
          <w:szCs w:val="32"/>
        </w:rPr>
        <w:t>根据地域的不同，因地制宜采取不同措施，例如对水土流失和风化影响严重区域，新建或补建防护林带；对边坡较高区域，采用边坡护坎，种植有观赏性、根性较深的植物；对那些地势平缓区域推广建设农田氮磷生态拦截沟渠，减少农田氮磷排放对环境的影响，加强农田防护与生态环境保持。</w:t>
      </w:r>
    </w:p>
    <w:p>
      <w:pPr>
        <w:pStyle w:val="4"/>
        <w:widowControl w:val="0"/>
        <w:adjustRightInd/>
        <w:snapToGrid/>
        <w:spacing w:before="260" w:beforeLines="0" w:after="260"/>
        <w:jc w:val="both"/>
        <w:rPr>
          <w:rFonts w:cs="Times New Roman"/>
          <w:bCs/>
          <w:kern w:val="2"/>
          <w:sz w:val="32"/>
          <w:szCs w:val="32"/>
        </w:rPr>
      </w:pPr>
      <w:bookmarkStart w:id="161" w:name="_Toc119057925"/>
      <w:bookmarkStart w:id="162" w:name="_Toc119329273"/>
      <w:bookmarkStart w:id="163" w:name="_Toc119330170"/>
      <w:bookmarkStart w:id="164" w:name="_Toc26669"/>
      <w:r>
        <w:rPr>
          <w:rFonts w:hint="eastAsia" w:cs="Times New Roman"/>
          <w:bCs/>
          <w:kern w:val="2"/>
          <w:sz w:val="32"/>
          <w:szCs w:val="32"/>
        </w:rPr>
        <w:t>3.6.2建设标准和要求</w:t>
      </w:r>
      <w:bookmarkEnd w:id="161"/>
      <w:bookmarkEnd w:id="162"/>
      <w:bookmarkEnd w:id="163"/>
      <w:bookmarkEnd w:id="164"/>
    </w:p>
    <w:p>
      <w:pPr>
        <w:ind w:firstLine="640"/>
        <w:rPr>
          <w:sz w:val="32"/>
          <w:szCs w:val="32"/>
        </w:rPr>
      </w:pPr>
      <w:r>
        <w:rPr>
          <w:rFonts w:hint="eastAsia"/>
          <w:sz w:val="32"/>
          <w:szCs w:val="32"/>
        </w:rPr>
        <w:t>农田防护与生态环境保持工程应进行全面规划、综合治理，与田块、沟渠道路等工程相结合，与农村居民点景观建设相协调。受防护的农田面积占建设区面积的比例，一般应不低于90%。</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65" w:name="_Toc29930"/>
      <w:r>
        <w:rPr>
          <w:rFonts w:hint="eastAsia" w:ascii="Times New Roman" w:hAnsi="Times New Roman" w:cs="Times New Roman"/>
          <w:kern w:val="2"/>
          <w:sz w:val="32"/>
        </w:rPr>
        <w:t>3.7农田输配电</w:t>
      </w:r>
      <w:bookmarkEnd w:id="165"/>
    </w:p>
    <w:p>
      <w:pPr>
        <w:pStyle w:val="4"/>
        <w:widowControl w:val="0"/>
        <w:adjustRightInd/>
        <w:snapToGrid/>
        <w:spacing w:before="260" w:beforeLines="0" w:after="260"/>
        <w:jc w:val="both"/>
        <w:rPr>
          <w:rFonts w:cs="Times New Roman"/>
          <w:bCs/>
          <w:kern w:val="2"/>
          <w:sz w:val="32"/>
          <w:szCs w:val="32"/>
        </w:rPr>
      </w:pPr>
      <w:bookmarkStart w:id="166" w:name="_Toc119057927"/>
      <w:bookmarkStart w:id="167" w:name="_Toc119329275"/>
      <w:bookmarkStart w:id="168" w:name="_Toc119330172"/>
      <w:bookmarkStart w:id="169" w:name="_Toc5881"/>
      <w:r>
        <w:rPr>
          <w:rFonts w:hint="eastAsia" w:cs="Times New Roman"/>
          <w:bCs/>
          <w:kern w:val="2"/>
          <w:sz w:val="32"/>
          <w:szCs w:val="32"/>
        </w:rPr>
        <w:t>3.7.1建设内容</w:t>
      </w:r>
      <w:bookmarkEnd w:id="166"/>
      <w:bookmarkEnd w:id="167"/>
      <w:bookmarkEnd w:id="168"/>
      <w:bookmarkEnd w:id="169"/>
    </w:p>
    <w:p>
      <w:pPr>
        <w:ind w:firstLine="640"/>
        <w:rPr>
          <w:sz w:val="32"/>
          <w:szCs w:val="32"/>
        </w:rPr>
      </w:pPr>
      <w:r>
        <w:rPr>
          <w:rFonts w:hint="eastAsia"/>
          <w:sz w:val="32"/>
          <w:szCs w:val="32"/>
        </w:rPr>
        <w:t>一是农田输电线路要与道路工程、灌排工程等工程相结合,符合电力系统安装与运行相关标准，保证用电质量与安全；二是有针对性的进行电力灌排和信息化管理，铺设高压和低压输电线路，配套建设变配电设施，为泵站、机井以及信息化工程等提供电力保障。</w:t>
      </w:r>
    </w:p>
    <w:p>
      <w:pPr>
        <w:pStyle w:val="4"/>
        <w:widowControl w:val="0"/>
        <w:adjustRightInd/>
        <w:snapToGrid/>
        <w:spacing w:before="260" w:beforeLines="0" w:after="260"/>
        <w:jc w:val="both"/>
        <w:rPr>
          <w:rFonts w:cs="Times New Roman"/>
          <w:bCs/>
          <w:kern w:val="2"/>
          <w:sz w:val="32"/>
          <w:szCs w:val="32"/>
        </w:rPr>
      </w:pPr>
      <w:bookmarkStart w:id="170" w:name="_Toc119057928"/>
      <w:bookmarkStart w:id="171" w:name="_Toc119329276"/>
      <w:bookmarkStart w:id="172" w:name="_Toc119330173"/>
      <w:bookmarkStart w:id="173" w:name="_Toc17962"/>
      <w:r>
        <w:rPr>
          <w:rFonts w:hint="eastAsia" w:cs="Times New Roman"/>
          <w:bCs/>
          <w:kern w:val="2"/>
          <w:sz w:val="32"/>
          <w:szCs w:val="32"/>
        </w:rPr>
        <w:t>3.7.2建设标准和要求</w:t>
      </w:r>
      <w:bookmarkEnd w:id="170"/>
      <w:bookmarkEnd w:id="171"/>
      <w:bookmarkEnd w:id="172"/>
      <w:bookmarkEnd w:id="173"/>
    </w:p>
    <w:p>
      <w:pPr>
        <w:ind w:firstLine="640"/>
        <w:rPr>
          <w:sz w:val="32"/>
          <w:szCs w:val="32"/>
        </w:rPr>
      </w:pPr>
      <w:r>
        <w:rPr>
          <w:rFonts w:hint="eastAsia"/>
          <w:sz w:val="32"/>
          <w:szCs w:val="32"/>
        </w:rPr>
        <w:t>在不影响居民用地的前提下，高压输电线路宜采用钢芯铝绞线等高压电缆，一般输送200KV以下的输电电压；低压输电线路宜采用低压电缆，一般输送380V及以下的输电电压：采用三相五线制接法，并应设立相应标识。</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74" w:name="_Toc28139"/>
      <w:r>
        <w:rPr>
          <w:rFonts w:hint="eastAsia" w:ascii="Times New Roman" w:hAnsi="Times New Roman" w:cs="Times New Roman"/>
          <w:kern w:val="2"/>
          <w:sz w:val="32"/>
        </w:rPr>
        <w:t>3.8管护利用</w:t>
      </w:r>
      <w:bookmarkEnd w:id="174"/>
    </w:p>
    <w:p>
      <w:pPr>
        <w:pStyle w:val="4"/>
        <w:widowControl w:val="0"/>
        <w:adjustRightInd/>
        <w:snapToGrid/>
        <w:spacing w:before="260" w:beforeLines="0" w:after="260"/>
        <w:jc w:val="both"/>
        <w:rPr>
          <w:rFonts w:cs="Times New Roman"/>
          <w:bCs/>
          <w:kern w:val="2"/>
          <w:sz w:val="32"/>
          <w:szCs w:val="32"/>
        </w:rPr>
      </w:pPr>
      <w:bookmarkStart w:id="175" w:name="_Toc119057930"/>
      <w:bookmarkStart w:id="176" w:name="_Toc119329278"/>
      <w:bookmarkStart w:id="177" w:name="_Toc119330175"/>
      <w:bookmarkStart w:id="178" w:name="_Toc13915"/>
      <w:r>
        <w:rPr>
          <w:rFonts w:hint="eastAsia" w:cs="Times New Roman"/>
          <w:bCs/>
          <w:kern w:val="2"/>
          <w:sz w:val="32"/>
          <w:szCs w:val="32"/>
        </w:rPr>
        <w:t>3.8.1建设内容</w:t>
      </w:r>
      <w:bookmarkEnd w:id="175"/>
      <w:bookmarkEnd w:id="176"/>
      <w:bookmarkEnd w:id="177"/>
      <w:bookmarkEnd w:id="178"/>
    </w:p>
    <w:p>
      <w:pPr>
        <w:ind w:firstLine="640"/>
        <w:rPr>
          <w:sz w:val="32"/>
          <w:szCs w:val="32"/>
        </w:rPr>
      </w:pPr>
      <w:r>
        <w:rPr>
          <w:rFonts w:hint="eastAsia"/>
          <w:sz w:val="32"/>
          <w:szCs w:val="32"/>
        </w:rPr>
        <w:t>高标准农田建设项目验收通过后，项目法人应及时按有关规定办理资产交付手续。按照“谁受益谁管护，谁使用谁管护”的原则，建立政府主导、农村集体经济组织、农业专业合作社等实施主体的管护体系，落实管护责任，及时对因自然灾害、年久散失功能的设施投入修复资金，让功能最大化，损失最小化。</w:t>
      </w:r>
    </w:p>
    <w:p>
      <w:pPr>
        <w:pStyle w:val="4"/>
        <w:widowControl w:val="0"/>
        <w:adjustRightInd/>
        <w:snapToGrid/>
        <w:spacing w:before="260" w:beforeLines="0" w:after="260"/>
        <w:jc w:val="both"/>
        <w:rPr>
          <w:rFonts w:cs="Times New Roman"/>
          <w:bCs/>
          <w:kern w:val="2"/>
          <w:sz w:val="32"/>
          <w:szCs w:val="32"/>
        </w:rPr>
      </w:pPr>
      <w:bookmarkStart w:id="179" w:name="_Toc119057931"/>
      <w:bookmarkStart w:id="180" w:name="_Toc119329279"/>
      <w:bookmarkStart w:id="181" w:name="_Toc119330176"/>
      <w:bookmarkStart w:id="182" w:name="_Toc16096"/>
      <w:r>
        <w:rPr>
          <w:rFonts w:hint="eastAsia" w:cs="Times New Roman"/>
          <w:bCs/>
          <w:kern w:val="2"/>
          <w:sz w:val="32"/>
          <w:szCs w:val="32"/>
        </w:rPr>
        <w:t>3.8.2建设标准和要求</w:t>
      </w:r>
      <w:bookmarkEnd w:id="179"/>
      <w:bookmarkEnd w:id="180"/>
      <w:bookmarkEnd w:id="181"/>
      <w:bookmarkEnd w:id="182"/>
    </w:p>
    <w:p>
      <w:pPr>
        <w:ind w:firstLine="640"/>
        <w:rPr>
          <w:sz w:val="32"/>
          <w:szCs w:val="32"/>
        </w:rPr>
      </w:pPr>
      <w:r>
        <w:rPr>
          <w:rFonts w:hint="eastAsia"/>
          <w:sz w:val="32"/>
          <w:szCs w:val="32"/>
        </w:rPr>
        <w:t>高标准农田管护主体和责任明确，管护资金到位，农田基础设施实现长久有效运行。</w:t>
      </w:r>
    </w:p>
    <w:p>
      <w:pPr>
        <w:ind w:firstLine="640"/>
        <w:rPr>
          <w:sz w:val="32"/>
          <w:szCs w:val="32"/>
        </w:rPr>
      </w:pPr>
      <w:r>
        <w:rPr>
          <w:rFonts w:hint="eastAsia"/>
          <w:sz w:val="32"/>
          <w:szCs w:val="32"/>
        </w:rPr>
        <w:br w:type="page"/>
      </w:r>
    </w:p>
    <w:p>
      <w:pPr>
        <w:pStyle w:val="2"/>
        <w:widowControl w:val="0"/>
        <w:adjustRightInd/>
        <w:snapToGrid/>
        <w:spacing w:before="340" w:after="330" w:line="360" w:lineRule="auto"/>
        <w:rPr>
          <w:rFonts w:cs="Times New Roman"/>
          <w:szCs w:val="32"/>
        </w:rPr>
      </w:pPr>
      <w:bookmarkStart w:id="183" w:name="_Toc23811"/>
      <w:r>
        <w:rPr>
          <w:rFonts w:cs="Times New Roman"/>
          <w:szCs w:val="32"/>
        </w:rPr>
        <w:t>4</w:t>
      </w:r>
      <w:r>
        <w:rPr>
          <w:rFonts w:hint="eastAsia" w:cs="Times New Roman"/>
          <w:szCs w:val="32"/>
        </w:rPr>
        <w:t>空间布局和建设任务</w:t>
      </w:r>
      <w:bookmarkEnd w:id="183"/>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84" w:name="_Toc1019"/>
      <w:r>
        <w:rPr>
          <w:rFonts w:hint="eastAsia" w:ascii="Times New Roman" w:hAnsi="Times New Roman" w:cs="Times New Roman"/>
          <w:kern w:val="2"/>
          <w:sz w:val="32"/>
        </w:rPr>
        <w:t>4.1管控分区</w:t>
      </w:r>
      <w:bookmarkEnd w:id="184"/>
    </w:p>
    <w:p>
      <w:pPr>
        <w:pStyle w:val="4"/>
        <w:widowControl w:val="0"/>
        <w:adjustRightInd/>
        <w:snapToGrid/>
        <w:spacing w:before="260" w:beforeLines="0" w:after="260"/>
        <w:jc w:val="both"/>
        <w:rPr>
          <w:rFonts w:cs="Times New Roman"/>
          <w:bCs/>
          <w:kern w:val="2"/>
          <w:sz w:val="32"/>
          <w:szCs w:val="32"/>
        </w:rPr>
      </w:pPr>
      <w:bookmarkStart w:id="185" w:name="_Toc119057934"/>
      <w:bookmarkStart w:id="186" w:name="_Toc119330179"/>
      <w:bookmarkStart w:id="187" w:name="_Toc119329282"/>
      <w:bookmarkStart w:id="188" w:name="_Toc20892"/>
      <w:r>
        <w:rPr>
          <w:rFonts w:hint="eastAsia" w:cs="Times New Roman"/>
          <w:bCs/>
          <w:kern w:val="2"/>
          <w:sz w:val="32"/>
          <w:szCs w:val="32"/>
        </w:rPr>
        <w:t>4.1.1重点区域</w:t>
      </w:r>
      <w:bookmarkEnd w:id="185"/>
      <w:bookmarkEnd w:id="186"/>
      <w:bookmarkEnd w:id="187"/>
      <w:bookmarkEnd w:id="188"/>
    </w:p>
    <w:p>
      <w:pPr>
        <w:ind w:firstLine="640"/>
        <w:rPr>
          <w:b/>
          <w:sz w:val="32"/>
          <w:szCs w:val="32"/>
        </w:rPr>
      </w:pPr>
      <w:r>
        <w:rPr>
          <w:rFonts w:hint="eastAsia"/>
          <w:sz w:val="32"/>
          <w:szCs w:val="32"/>
        </w:rPr>
        <w:t>以永久基本农田为基础，优先选择粮食生产功能区、重要农产品生产保护区和大中型灌区耕地灌溉面积范围内的区域。茶陵县高标准农田建设的重点区域面积48.37万亩。</w:t>
      </w:r>
    </w:p>
    <w:p>
      <w:pPr>
        <w:pStyle w:val="4"/>
        <w:widowControl w:val="0"/>
        <w:adjustRightInd/>
        <w:snapToGrid/>
        <w:spacing w:before="260" w:beforeLines="0" w:after="260"/>
        <w:jc w:val="both"/>
        <w:rPr>
          <w:rFonts w:cs="Times New Roman"/>
          <w:bCs/>
          <w:kern w:val="2"/>
          <w:sz w:val="32"/>
          <w:szCs w:val="32"/>
        </w:rPr>
      </w:pPr>
      <w:bookmarkStart w:id="189" w:name="_Toc119057935"/>
      <w:bookmarkStart w:id="190" w:name="_Toc119329283"/>
      <w:bookmarkStart w:id="191" w:name="_Toc119330180"/>
      <w:bookmarkStart w:id="192" w:name="_Toc3337"/>
      <w:r>
        <w:rPr>
          <w:rFonts w:hint="eastAsia" w:cs="Times New Roman"/>
          <w:bCs/>
          <w:kern w:val="2"/>
          <w:sz w:val="32"/>
          <w:szCs w:val="32"/>
        </w:rPr>
        <w:t>4.1.2限制区域</w:t>
      </w:r>
      <w:bookmarkEnd w:id="189"/>
      <w:bookmarkEnd w:id="190"/>
      <w:bookmarkEnd w:id="191"/>
      <w:bookmarkEnd w:id="192"/>
    </w:p>
    <w:p>
      <w:pPr>
        <w:ind w:firstLine="640"/>
        <w:rPr>
          <w:b/>
          <w:sz w:val="32"/>
          <w:szCs w:val="32"/>
        </w:rPr>
      </w:pPr>
      <w:r>
        <w:rPr>
          <w:rFonts w:hint="eastAsia"/>
          <w:sz w:val="32"/>
          <w:szCs w:val="32"/>
        </w:rPr>
        <w:t>为水资源贫乏区域、水土流失易发区、沙化区等生态脆弱区域，历史遗留的挖损、塌陷、压占等造成土地严重损毁且难以恢复的区域，安全利用类耕地，易受自然灾害损毁的区域，沿海滩涂、内陆滩涂等区域。茶陵县高标准农田建设的限制区域面积0.04万亩。</w:t>
      </w:r>
    </w:p>
    <w:p>
      <w:pPr>
        <w:pStyle w:val="4"/>
        <w:widowControl w:val="0"/>
        <w:adjustRightInd/>
        <w:snapToGrid/>
        <w:spacing w:before="260" w:beforeLines="0" w:after="260"/>
        <w:jc w:val="both"/>
        <w:rPr>
          <w:rFonts w:cs="Times New Roman"/>
          <w:bCs/>
          <w:kern w:val="2"/>
          <w:sz w:val="32"/>
          <w:szCs w:val="32"/>
        </w:rPr>
      </w:pPr>
      <w:bookmarkStart w:id="193" w:name="_Toc119057936"/>
      <w:bookmarkStart w:id="194" w:name="_Toc119329284"/>
      <w:bookmarkStart w:id="195" w:name="_Toc119330181"/>
      <w:bookmarkStart w:id="196" w:name="_Toc27134"/>
      <w:r>
        <w:rPr>
          <w:rFonts w:hint="eastAsia" w:cs="Times New Roman"/>
          <w:bCs/>
          <w:kern w:val="2"/>
          <w:sz w:val="32"/>
          <w:szCs w:val="32"/>
        </w:rPr>
        <w:t>4.1.3禁止区域</w:t>
      </w:r>
      <w:bookmarkEnd w:id="193"/>
      <w:bookmarkEnd w:id="194"/>
      <w:bookmarkEnd w:id="195"/>
      <w:bookmarkEnd w:id="196"/>
    </w:p>
    <w:p>
      <w:pPr>
        <w:ind w:firstLine="640"/>
        <w:rPr>
          <w:b/>
          <w:sz w:val="32"/>
          <w:szCs w:val="32"/>
        </w:rPr>
      </w:pPr>
      <w:r>
        <w:rPr>
          <w:rFonts w:hint="eastAsia"/>
          <w:sz w:val="32"/>
          <w:szCs w:val="32"/>
        </w:rPr>
        <w:t>为严格管控类耕地，生态保护红线内区域，河流、湖泊、水库水面及其保护范围等区域。茶陵县高标准农田建设的禁止区域面积1.27万亩。</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197" w:name="_Toc28891"/>
      <w:r>
        <w:rPr>
          <w:rFonts w:hint="eastAsia" w:ascii="Times New Roman" w:hAnsi="Times New Roman" w:cs="Times New Roman"/>
          <w:kern w:val="2"/>
          <w:sz w:val="32"/>
        </w:rPr>
        <w:t>4.2建设分区</w:t>
      </w:r>
      <w:bookmarkEnd w:id="197"/>
    </w:p>
    <w:p>
      <w:pPr>
        <w:ind w:firstLine="640"/>
        <w:rPr>
          <w:sz w:val="32"/>
          <w:szCs w:val="32"/>
        </w:rPr>
      </w:pPr>
      <w:r>
        <w:rPr>
          <w:rFonts w:hint="eastAsia"/>
          <w:sz w:val="32"/>
          <w:szCs w:val="32"/>
        </w:rPr>
        <w:t>茶陵县呈现“一区两片”格局。以“一区两片”为基础，推进县域空间治理现代化，推进城镇发展空间紧凑集聚，保障农业生产空间安全高效，强化生态保护空间涵养功能，形成美丽县域新空间。</w:t>
      </w:r>
    </w:p>
    <w:p>
      <w:pPr>
        <w:ind w:firstLine="640"/>
        <w:rPr>
          <w:sz w:val="32"/>
          <w:szCs w:val="32"/>
        </w:rPr>
      </w:pPr>
      <w:r>
        <w:rPr>
          <w:sz w:val="32"/>
          <w:szCs w:val="32"/>
        </w:rPr>
        <w:drawing>
          <wp:inline distT="0" distB="0" distL="0" distR="0">
            <wp:extent cx="4382135" cy="5288280"/>
            <wp:effectExtent l="9525" t="9525" r="27940" b="17145"/>
            <wp:docPr id="3" name="图片 3" descr="C:\Users\Administrator\Documents\WeChat Files\wxid_w6uuk4t1x8e421\FileStorage\Temp\16723664688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ocuments\WeChat Files\wxid_w6uuk4t1x8e421\FileStorage\Temp\167236646883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82135" cy="5288280"/>
                    </a:xfrm>
                    <a:prstGeom prst="rect">
                      <a:avLst/>
                    </a:prstGeom>
                    <a:noFill/>
                    <a:ln w="6350" cmpd="sng">
                      <a:solidFill>
                        <a:schemeClr val="tx1"/>
                      </a:solidFill>
                    </a:ln>
                  </pic:spPr>
                </pic:pic>
              </a:graphicData>
            </a:graphic>
          </wp:inline>
        </w:drawing>
      </w:r>
    </w:p>
    <w:p>
      <w:pPr>
        <w:ind w:firstLine="643"/>
        <w:jc w:val="center"/>
        <w:rPr>
          <w:b/>
          <w:sz w:val="32"/>
          <w:szCs w:val="32"/>
        </w:rPr>
      </w:pPr>
      <w:r>
        <w:rPr>
          <w:rFonts w:hint="eastAsia"/>
          <w:b/>
          <w:sz w:val="32"/>
          <w:szCs w:val="32"/>
        </w:rPr>
        <w:t>茶陵县建设分区图</w:t>
      </w:r>
    </w:p>
    <w:p>
      <w:pPr>
        <w:pStyle w:val="4"/>
        <w:widowControl w:val="0"/>
        <w:adjustRightInd/>
        <w:snapToGrid/>
        <w:spacing w:before="260" w:beforeLines="0" w:after="260"/>
        <w:jc w:val="both"/>
        <w:rPr>
          <w:rFonts w:cs="Times New Roman"/>
          <w:bCs/>
          <w:kern w:val="2"/>
          <w:sz w:val="32"/>
          <w:szCs w:val="32"/>
        </w:rPr>
      </w:pPr>
      <w:bookmarkStart w:id="198" w:name="_Toc119057938"/>
      <w:bookmarkStart w:id="199" w:name="_Toc119329286"/>
      <w:bookmarkStart w:id="200" w:name="_Toc119330183"/>
      <w:bookmarkStart w:id="201" w:name="_Toc24770"/>
      <w:r>
        <w:rPr>
          <w:rFonts w:hint="eastAsia" w:cs="Times New Roman"/>
          <w:bCs/>
          <w:kern w:val="2"/>
          <w:sz w:val="32"/>
          <w:szCs w:val="32"/>
        </w:rPr>
        <w:t>4.2.1优质粮食区</w:t>
      </w:r>
      <w:bookmarkEnd w:id="198"/>
      <w:bookmarkEnd w:id="199"/>
      <w:bookmarkEnd w:id="200"/>
      <w:bookmarkEnd w:id="201"/>
    </w:p>
    <w:p>
      <w:pPr>
        <w:ind w:firstLine="640"/>
        <w:rPr>
          <w:sz w:val="32"/>
          <w:szCs w:val="32"/>
        </w:rPr>
      </w:pPr>
      <w:r>
        <w:rPr>
          <w:rFonts w:hint="eastAsia"/>
          <w:sz w:val="32"/>
          <w:szCs w:val="32"/>
        </w:rPr>
        <w:t>以界首—洣江—火田连接形成主轴，大力发展高档优质稻生产，打造优质粮食区。确保稳定粮食生产面积。提高家庭农场、种粮大户、专业合作社、龙头企业等新型经营主体的规模化经营水平。</w:t>
      </w:r>
    </w:p>
    <w:p>
      <w:pPr>
        <w:ind w:firstLine="640"/>
        <w:rPr>
          <w:sz w:val="32"/>
          <w:szCs w:val="32"/>
        </w:rPr>
      </w:pPr>
      <w:r>
        <w:rPr>
          <w:rFonts w:hint="eastAsia"/>
          <w:sz w:val="32"/>
          <w:szCs w:val="32"/>
        </w:rPr>
        <w:t>建设重点主要为完善基础设施，修建机耕路和生产路，增设灌排渠道，进行土壤培肥和改良，增加土壤团粒结构，绿肥种植翻压还田等措施。</w:t>
      </w:r>
    </w:p>
    <w:p>
      <w:pPr>
        <w:pStyle w:val="4"/>
        <w:widowControl w:val="0"/>
        <w:adjustRightInd/>
        <w:snapToGrid/>
        <w:spacing w:before="260" w:beforeLines="0" w:after="260"/>
        <w:jc w:val="both"/>
        <w:rPr>
          <w:rFonts w:cs="Times New Roman"/>
          <w:bCs/>
          <w:kern w:val="2"/>
          <w:sz w:val="32"/>
          <w:szCs w:val="32"/>
        </w:rPr>
      </w:pPr>
      <w:bookmarkStart w:id="202" w:name="_Toc119330184"/>
      <w:bookmarkStart w:id="203" w:name="_Toc119057939"/>
      <w:bookmarkStart w:id="204" w:name="_Toc119329287"/>
      <w:bookmarkStart w:id="205" w:name="_Toc10886"/>
      <w:r>
        <w:rPr>
          <w:rFonts w:hint="eastAsia" w:cs="Times New Roman"/>
          <w:bCs/>
          <w:kern w:val="2"/>
          <w:sz w:val="32"/>
          <w:szCs w:val="32"/>
        </w:rPr>
        <w:t>4.2.2绿色农业片</w:t>
      </w:r>
      <w:bookmarkEnd w:id="202"/>
      <w:bookmarkEnd w:id="203"/>
      <w:bookmarkEnd w:id="204"/>
      <w:bookmarkEnd w:id="205"/>
    </w:p>
    <w:p>
      <w:pPr>
        <w:ind w:firstLine="640"/>
        <w:rPr>
          <w:sz w:val="32"/>
          <w:szCs w:val="32"/>
        </w:rPr>
      </w:pPr>
      <w:r>
        <w:rPr>
          <w:rFonts w:hint="eastAsia"/>
          <w:sz w:val="32"/>
          <w:szCs w:val="32"/>
        </w:rPr>
        <w:t>以湖口、桃坑、秩堂为核心。地处东南丘陵平台，水土资源保护良好，无工业污染，土地肥沃，日照充分，大气、水质情况良好。以独具特色的茶陵红茶、油茶、脐橙为主，打造无农药、化肥污染，不含色素的的绿色食品的天然基地。</w:t>
      </w:r>
    </w:p>
    <w:p>
      <w:pPr>
        <w:ind w:firstLine="640"/>
        <w:rPr>
          <w:sz w:val="32"/>
          <w:szCs w:val="32"/>
        </w:rPr>
      </w:pPr>
      <w:r>
        <w:rPr>
          <w:rFonts w:hint="eastAsia"/>
          <w:sz w:val="32"/>
          <w:szCs w:val="32"/>
        </w:rPr>
        <w:t>结合生态农业、农业观光，做大做强茶陵绿色农业片，实现产业跨界高质量融合发展。</w:t>
      </w:r>
    </w:p>
    <w:p>
      <w:pPr>
        <w:ind w:firstLine="640"/>
        <w:rPr>
          <w:sz w:val="32"/>
          <w:szCs w:val="32"/>
        </w:rPr>
      </w:pPr>
      <w:r>
        <w:rPr>
          <w:rFonts w:hint="eastAsia"/>
          <w:sz w:val="32"/>
          <w:szCs w:val="32"/>
        </w:rPr>
        <w:t>建设重点主要以宜机化和绿色农田为理念，修建生态机耕路，生态沟渠，增设农田周边绿化措施新建、修复防护林带，防风防沙，防止水土流失，改善农田生态环境。</w:t>
      </w:r>
    </w:p>
    <w:p>
      <w:pPr>
        <w:pStyle w:val="4"/>
        <w:widowControl w:val="0"/>
        <w:adjustRightInd/>
        <w:snapToGrid/>
        <w:spacing w:before="260" w:beforeLines="0" w:after="260"/>
        <w:jc w:val="both"/>
        <w:rPr>
          <w:rFonts w:cs="Times New Roman"/>
          <w:bCs/>
          <w:kern w:val="2"/>
          <w:sz w:val="32"/>
          <w:szCs w:val="32"/>
        </w:rPr>
      </w:pPr>
      <w:bookmarkStart w:id="206" w:name="_Toc119329288"/>
      <w:bookmarkStart w:id="207" w:name="_Toc119330185"/>
      <w:bookmarkStart w:id="208" w:name="_Toc119057940"/>
      <w:bookmarkStart w:id="209" w:name="_Toc19455"/>
      <w:r>
        <w:rPr>
          <w:rFonts w:hint="eastAsia" w:cs="Times New Roman"/>
          <w:bCs/>
          <w:kern w:val="2"/>
          <w:sz w:val="32"/>
          <w:szCs w:val="32"/>
        </w:rPr>
        <w:t>4.2.3有机农业片</w:t>
      </w:r>
      <w:bookmarkEnd w:id="206"/>
      <w:bookmarkEnd w:id="207"/>
      <w:bookmarkEnd w:id="208"/>
      <w:bookmarkEnd w:id="209"/>
    </w:p>
    <w:p>
      <w:pPr>
        <w:ind w:firstLine="640"/>
        <w:rPr>
          <w:sz w:val="32"/>
          <w:szCs w:val="32"/>
        </w:rPr>
      </w:pPr>
      <w:r>
        <w:rPr>
          <w:rFonts w:hint="eastAsia"/>
          <w:sz w:val="32"/>
          <w:szCs w:val="32"/>
        </w:rPr>
        <w:t>地处西北，以虎踞、思聪为核心，有序推进时令蔬菜、大蒜、生姜等产业，共建生态农业、现代农业园区。</w:t>
      </w:r>
    </w:p>
    <w:p>
      <w:pPr>
        <w:ind w:firstLine="640"/>
        <w:rPr>
          <w:sz w:val="32"/>
          <w:szCs w:val="32"/>
        </w:rPr>
      </w:pPr>
      <w:r>
        <w:rPr>
          <w:rFonts w:hint="eastAsia"/>
          <w:sz w:val="32"/>
          <w:szCs w:val="32"/>
        </w:rPr>
        <w:t>建设重点以宜机化和生态为理念，施加有机肥、秸秆还田、绿肥种植翻压还田，修建生态沟渠和管道灌排，新建机耕路和生产路。</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10" w:name="_Toc18869"/>
      <w:r>
        <w:rPr>
          <w:rFonts w:hint="eastAsia" w:ascii="Times New Roman" w:hAnsi="Times New Roman" w:cs="Times New Roman"/>
          <w:kern w:val="2"/>
          <w:sz w:val="32"/>
        </w:rPr>
        <w:t>4.3建设任务</w:t>
      </w:r>
      <w:bookmarkEnd w:id="210"/>
    </w:p>
    <w:p>
      <w:pPr>
        <w:ind w:firstLine="640"/>
        <w:rPr>
          <w:sz w:val="32"/>
          <w:szCs w:val="32"/>
        </w:rPr>
      </w:pPr>
      <w:r>
        <w:rPr>
          <w:rFonts w:hint="eastAsia"/>
          <w:sz w:val="32"/>
          <w:szCs w:val="32"/>
        </w:rPr>
        <w:t>根据湖南省下达任务，综合考虑上级任务要求及茶陵县实际“十四五”期间（2021~2025）年各年度高标准农田建设任务和远望2026~2030年任务安排如下：</w:t>
      </w:r>
    </w:p>
    <w:p>
      <w:pPr>
        <w:ind w:firstLine="640"/>
        <w:rPr>
          <w:sz w:val="32"/>
          <w:szCs w:val="32"/>
        </w:rPr>
      </w:pPr>
      <w:r>
        <w:rPr>
          <w:rFonts w:hint="eastAsia"/>
          <w:sz w:val="32"/>
          <w:szCs w:val="32"/>
        </w:rPr>
        <w:t>2021~2025年，“十四五”期间预计完成新增建设高标准农田7.65万亩，</w:t>
      </w:r>
      <w:r>
        <w:rPr>
          <w:rFonts w:hint="eastAsia"/>
          <w:color w:val="000000" w:themeColor="text1"/>
          <w:sz w:val="32"/>
          <w:szCs w:val="32"/>
          <w14:textFill>
            <w14:solidFill>
              <w14:schemeClr w14:val="tx1"/>
            </w14:solidFill>
          </w14:textFill>
        </w:rPr>
        <w:t>改造提升高标准农田4.90万亩，</w:t>
      </w:r>
      <w:r>
        <w:rPr>
          <w:rFonts w:hint="eastAsia"/>
          <w:sz w:val="32"/>
          <w:szCs w:val="32"/>
        </w:rPr>
        <w:t>新增高效节水0.74万亩。</w:t>
      </w:r>
    </w:p>
    <w:p>
      <w:pPr>
        <w:ind w:firstLine="640"/>
        <w:rPr>
          <w:b/>
          <w:sz w:val="32"/>
          <w:szCs w:val="32"/>
        </w:rPr>
      </w:pPr>
      <w:r>
        <w:rPr>
          <w:rFonts w:hint="eastAsia"/>
          <w:sz w:val="32"/>
          <w:szCs w:val="32"/>
        </w:rPr>
        <w:t>2026~2030年期间，预计完成新增建设高标农田0.24万亩，提质改造8.22万亩，新增高效节水0.83万亩。具体见下表4-1。</w:t>
      </w:r>
    </w:p>
    <w:p>
      <w:pPr>
        <w:ind w:firstLine="0" w:firstLineChars="0"/>
        <w:jc w:val="center"/>
        <w:rPr>
          <w:b/>
          <w:sz w:val="32"/>
          <w:szCs w:val="32"/>
        </w:rPr>
      </w:pPr>
      <w:r>
        <w:rPr>
          <w:rFonts w:hint="eastAsia"/>
          <w:b/>
          <w:sz w:val="32"/>
          <w:szCs w:val="32"/>
        </w:rPr>
        <w:t>表4-1  茶陵县2021-2030年高标准农田建设项目安排表</w:t>
      </w:r>
    </w:p>
    <w:tbl>
      <w:tblPr>
        <w:tblStyle w:val="17"/>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63"/>
        <w:gridCol w:w="2238"/>
        <w:gridCol w:w="1305"/>
        <w:gridCol w:w="1302"/>
        <w:gridCol w:w="1302"/>
        <w:gridCol w:w="13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tblHeader/>
          <w:jc w:val="center"/>
        </w:trPr>
        <w:tc>
          <w:tcPr>
            <w:tcW w:w="624" w:type="pct"/>
            <w:vMerge w:val="restart"/>
            <w:shd w:val="clear" w:color="auto" w:fill="auto"/>
            <w:vAlign w:val="center"/>
          </w:tcPr>
          <w:p>
            <w:pPr>
              <w:widowControl/>
              <w:spacing w:line="240" w:lineRule="auto"/>
              <w:ind w:firstLine="211" w:firstLineChars="10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年度</w:t>
            </w:r>
          </w:p>
        </w:tc>
        <w:tc>
          <w:tcPr>
            <w:tcW w:w="1313" w:type="pct"/>
            <w:vMerge w:val="restar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项目名称</w:t>
            </w:r>
          </w:p>
        </w:tc>
        <w:tc>
          <w:tcPr>
            <w:tcW w:w="765" w:type="pct"/>
            <w:vMerge w:val="restar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乡镇名称</w:t>
            </w:r>
          </w:p>
        </w:tc>
        <w:tc>
          <w:tcPr>
            <w:tcW w:w="2296" w:type="pct"/>
            <w:gridSpan w:val="3"/>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面积（万亩）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tblHeader/>
          <w:jc w:val="center"/>
        </w:trPr>
        <w:tc>
          <w:tcPr>
            <w:tcW w:w="624"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1313"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765"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764" w:type="pc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新增建设</w:t>
            </w:r>
          </w:p>
        </w:tc>
        <w:tc>
          <w:tcPr>
            <w:tcW w:w="764" w:type="pc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节水灌溉</w:t>
            </w:r>
          </w:p>
        </w:tc>
        <w:tc>
          <w:tcPr>
            <w:tcW w:w="768" w:type="pc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提质改造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2021年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茶陵县舲舫乡等</w:t>
            </w:r>
            <w:r>
              <w:rPr>
                <w:rFonts w:eastAsia="宋体"/>
                <w:color w:val="000000"/>
                <w:kern w:val="0"/>
                <w:sz w:val="21"/>
                <w:szCs w:val="21"/>
              </w:rPr>
              <w:t>3</w:t>
            </w:r>
            <w:r>
              <w:rPr>
                <w:rFonts w:hint="eastAsia" w:ascii="宋体" w:hAnsi="宋体" w:eastAsia="宋体" w:cs="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s="宋体"/>
                <w:color w:val="000000"/>
                <w:kern w:val="0"/>
                <w:sz w:val="21"/>
                <w:szCs w:val="21"/>
              </w:rPr>
              <w:t>二一年）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舲舫乡、严塘镇、湖口镇</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3.06</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0.15</w:t>
            </w: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2022年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株洲市茶陵县虎踞镇等</w:t>
            </w:r>
            <w:r>
              <w:rPr>
                <w:rFonts w:eastAsia="宋体"/>
                <w:color w:val="000000"/>
                <w:kern w:val="0"/>
                <w:sz w:val="21"/>
                <w:szCs w:val="21"/>
              </w:rPr>
              <w:t>3</w:t>
            </w:r>
            <w:r>
              <w:rPr>
                <w:rFonts w:hint="eastAsia" w:ascii="宋体" w:hAnsi="宋体" w:eastAsia="宋体" w:cs="宋体"/>
                <w:color w:val="000000"/>
                <w:kern w:val="0"/>
                <w:sz w:val="21"/>
                <w:szCs w:val="21"/>
              </w:rPr>
              <w:t>个乡镇合湖村等</w:t>
            </w:r>
            <w:r>
              <w:rPr>
                <w:rFonts w:eastAsia="宋体"/>
                <w:color w:val="000000"/>
                <w:kern w:val="0"/>
                <w:sz w:val="21"/>
                <w:szCs w:val="21"/>
              </w:rPr>
              <w:t>32</w:t>
            </w:r>
            <w:r>
              <w:rPr>
                <w:rFonts w:hint="eastAsia" w:ascii="宋体" w:hAnsi="宋体" w:eastAsia="宋体" w:cs="宋体"/>
                <w:color w:val="000000"/>
                <w:kern w:val="0"/>
                <w:sz w:val="21"/>
                <w:szCs w:val="21"/>
              </w:rPr>
              <w:t>个村高标准农田建设项目（二</w:t>
            </w:r>
            <w:r>
              <w:rPr>
                <w:rFonts w:eastAsia="宋体"/>
                <w:color w:val="000000"/>
                <w:kern w:val="0"/>
                <w:sz w:val="21"/>
                <w:szCs w:val="21"/>
              </w:rPr>
              <w:t>0</w:t>
            </w:r>
            <w:r>
              <w:rPr>
                <w:rFonts w:hint="eastAsia" w:ascii="宋体" w:hAnsi="宋体" w:eastAsia="宋体" w:cs="宋体"/>
                <w:color w:val="000000"/>
                <w:kern w:val="0"/>
                <w:sz w:val="21"/>
                <w:szCs w:val="21"/>
              </w:rPr>
              <w:t>二二年）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虎踞镇、湖口镇、下东街道</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3.06</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w:t>
            </w: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2023年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株洲市茶陵县秩堂镇等</w:t>
            </w:r>
            <w:r>
              <w:rPr>
                <w:rFonts w:eastAsia="宋体"/>
                <w:color w:val="000000"/>
                <w:kern w:val="0"/>
                <w:sz w:val="21"/>
                <w:szCs w:val="21"/>
              </w:rPr>
              <w:t>3</w:t>
            </w:r>
            <w:r>
              <w:rPr>
                <w:rFonts w:hint="eastAsia" w:ascii="宋体" w:hAnsi="宋体" w:eastAsia="宋体" w:cs="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s="宋体"/>
                <w:color w:val="000000"/>
                <w:kern w:val="0"/>
                <w:sz w:val="21"/>
                <w:szCs w:val="21"/>
              </w:rPr>
              <w:t>二三年）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秩堂镇、高陇镇、思聪街道</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1.51</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w:t>
            </w: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2023年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2023</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秩堂镇、高陇镇、思聪街道、下东街道沿河村</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w:t>
            </w:r>
            <w:r>
              <w:rPr>
                <w:rFonts w:hint="eastAsia" w:eastAsia="宋体"/>
                <w:color w:val="000000"/>
                <w:kern w:val="0"/>
                <w:sz w:val="21"/>
                <w:szCs w:val="21"/>
              </w:rPr>
              <w:t>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2024年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株洲市茶陵县火田镇等</w:t>
            </w:r>
            <w:r>
              <w:rPr>
                <w:rFonts w:eastAsia="宋体"/>
                <w:color w:val="000000"/>
                <w:kern w:val="0"/>
                <w:sz w:val="21"/>
                <w:szCs w:val="21"/>
              </w:rPr>
              <w:t>2</w:t>
            </w:r>
            <w:r>
              <w:rPr>
                <w:rFonts w:hint="eastAsia" w:ascii="宋体" w:hAnsi="宋体" w:eastAsia="宋体" w:cs="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s="宋体"/>
                <w:color w:val="000000"/>
                <w:kern w:val="0"/>
                <w:sz w:val="21"/>
                <w:szCs w:val="21"/>
              </w:rPr>
              <w:t>二四年）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火田镇、桃坑乡</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w:t>
            </w:r>
            <w:r>
              <w:rPr>
                <w:rFonts w:hint="eastAsia" w:eastAsia="宋体"/>
                <w:color w:val="000000"/>
                <w:kern w:val="0"/>
                <w:sz w:val="21"/>
                <w:szCs w:val="21"/>
              </w:rPr>
              <w:t>12</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2024年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2024</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火田镇、桃坑乡、洣江街道</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0.28</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2025年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株洲市茶陵县腰潞镇等</w:t>
            </w:r>
            <w:r>
              <w:rPr>
                <w:rFonts w:eastAsia="宋体"/>
                <w:color w:val="000000"/>
                <w:kern w:val="0"/>
                <w:sz w:val="21"/>
                <w:szCs w:val="21"/>
              </w:rPr>
              <w:t>5</w:t>
            </w:r>
            <w:r>
              <w:rPr>
                <w:rFonts w:hint="eastAsia" w:ascii="宋体" w:hAnsi="宋体" w:eastAsia="宋体" w:cs="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s="宋体"/>
                <w:color w:val="000000"/>
                <w:kern w:val="0"/>
                <w:sz w:val="21"/>
                <w:szCs w:val="21"/>
              </w:rPr>
              <w:t>二五年）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腰潞镇、洣江街道</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0.1</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0.1</w:t>
            </w: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2025年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2025</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腰潞镇、马江镇</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0.11</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2026年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茶陵县严塘镇等</w:t>
            </w:r>
            <w:r>
              <w:rPr>
                <w:rFonts w:eastAsia="宋体"/>
                <w:color w:val="000000"/>
                <w:kern w:val="0"/>
                <w:sz w:val="21"/>
                <w:szCs w:val="21"/>
              </w:rPr>
              <w:t>3</w:t>
            </w:r>
            <w:r>
              <w:rPr>
                <w:rFonts w:hint="eastAsia" w:ascii="宋体" w:hAnsi="宋体" w:eastAsia="宋体" w:cs="宋体"/>
                <w:color w:val="000000"/>
                <w:kern w:val="0"/>
                <w:sz w:val="21"/>
                <w:szCs w:val="21"/>
              </w:rPr>
              <w:t>个乡镇高标准农田建设（二</w:t>
            </w:r>
            <w:r>
              <w:rPr>
                <w:rFonts w:eastAsia="宋体"/>
                <w:color w:val="000000"/>
                <w:kern w:val="0"/>
                <w:sz w:val="21"/>
                <w:szCs w:val="21"/>
              </w:rPr>
              <w:t>0</w:t>
            </w:r>
            <w:r>
              <w:rPr>
                <w:rFonts w:hint="eastAsia" w:ascii="宋体" w:hAnsi="宋体" w:eastAsia="宋体" w:cs="宋体"/>
                <w:color w:val="000000"/>
                <w:kern w:val="0"/>
                <w:sz w:val="21"/>
                <w:szCs w:val="21"/>
              </w:rPr>
              <w:t>二六年）</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严塘镇、虎踞镇</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0.24</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0.15</w:t>
            </w:r>
          </w:p>
        </w:tc>
        <w:tc>
          <w:tcPr>
            <w:tcW w:w="768"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2026年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2026</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枣市镇、界首镇、</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0.15</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2027年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2027</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舲舫乡、严塘镇、湖口镇</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0.15</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2028年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2028</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虎踞镇、下东街道</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0.15</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2029年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2029</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62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2030年</w:t>
            </w:r>
          </w:p>
        </w:tc>
        <w:tc>
          <w:tcPr>
            <w:tcW w:w="1313"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2030</w:t>
            </w:r>
            <w:r>
              <w:rPr>
                <w:rFonts w:hint="eastAsia" w:ascii="宋体" w:hAnsi="宋体" w:eastAsia="宋体" w:cs="宋体"/>
                <w:color w:val="000000"/>
                <w:kern w:val="0"/>
                <w:sz w:val="21"/>
                <w:szCs w:val="21"/>
              </w:rPr>
              <w:t>年高标准农田改造提升项目</w:t>
            </w:r>
          </w:p>
        </w:tc>
        <w:tc>
          <w:tcPr>
            <w:tcW w:w="76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火田镇、思聪街道</w:t>
            </w:r>
          </w:p>
        </w:tc>
        <w:tc>
          <w:tcPr>
            <w:tcW w:w="764"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764"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0.13</w:t>
            </w:r>
          </w:p>
        </w:tc>
        <w:tc>
          <w:tcPr>
            <w:tcW w:w="768"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2703" w:type="pct"/>
            <w:gridSpan w:val="3"/>
            <w:shd w:val="clear" w:color="auto" w:fill="auto"/>
            <w:noWrap/>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合计</w:t>
            </w:r>
          </w:p>
        </w:tc>
        <w:tc>
          <w:tcPr>
            <w:tcW w:w="764"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8.09</w:t>
            </w:r>
          </w:p>
        </w:tc>
        <w:tc>
          <w:tcPr>
            <w:tcW w:w="764"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1.57</w:t>
            </w:r>
          </w:p>
        </w:tc>
        <w:tc>
          <w:tcPr>
            <w:tcW w:w="768"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13.12</w:t>
            </w:r>
          </w:p>
        </w:tc>
      </w:tr>
    </w:tbl>
    <w:p>
      <w:pPr>
        <w:ind w:firstLine="0" w:firstLineChars="0"/>
        <w:jc w:val="center"/>
        <w:rPr>
          <w:sz w:val="32"/>
          <w:szCs w:val="32"/>
          <w:highlight w:val="lightGray"/>
        </w:rPr>
      </w:pPr>
    </w:p>
    <w:p>
      <w:pPr>
        <w:widowControl/>
        <w:ind w:firstLine="0" w:firstLineChars="0"/>
        <w:jc w:val="left"/>
        <w:rPr>
          <w:sz w:val="32"/>
          <w:szCs w:val="32"/>
        </w:rPr>
      </w:pPr>
      <w:r>
        <w:rPr>
          <w:sz w:val="32"/>
          <w:szCs w:val="32"/>
        </w:rPr>
        <w:br w:type="page"/>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11" w:name="_Toc20193"/>
      <w:r>
        <w:rPr>
          <w:rFonts w:hint="eastAsia" w:ascii="Times New Roman" w:hAnsi="Times New Roman" w:cs="Times New Roman"/>
          <w:kern w:val="2"/>
          <w:sz w:val="32"/>
        </w:rPr>
        <w:t>4.4重点工程</w:t>
      </w:r>
      <w:bookmarkEnd w:id="211"/>
    </w:p>
    <w:p>
      <w:pPr>
        <w:ind w:firstLine="640"/>
        <w:rPr>
          <w:sz w:val="32"/>
          <w:szCs w:val="32"/>
        </w:rPr>
      </w:pPr>
      <w:r>
        <w:rPr>
          <w:rFonts w:hint="eastAsia"/>
          <w:sz w:val="32"/>
          <w:szCs w:val="32"/>
        </w:rPr>
        <w:t>近年来，随着社会的发展，农业发展越来越困难，农村劳动力的减少，自然灾害增多，化肥价格提高等因素，促使农户耕种积极性大大降低，多地出现“非粮化、非农化”现象。为响应国家“非粮化、非农化”整改政策，为提高良田区域，2021~2030年规划期间，我县重点目标“消灭非粮化、非农化区域，实现全县良田化”。</w:t>
      </w:r>
    </w:p>
    <w:p>
      <w:pPr>
        <w:ind w:firstLine="640"/>
        <w:rPr>
          <w:sz w:val="32"/>
          <w:szCs w:val="32"/>
        </w:rPr>
      </w:pPr>
      <w:r>
        <w:rPr>
          <w:rFonts w:hint="eastAsia"/>
          <w:sz w:val="32"/>
          <w:szCs w:val="32"/>
        </w:rPr>
        <w:t>我县规划重点工程主要从三个方面：整区域推进、数字农田、土壤改良。</w:t>
      </w:r>
    </w:p>
    <w:p>
      <w:pPr>
        <w:pStyle w:val="4"/>
        <w:widowControl w:val="0"/>
        <w:adjustRightInd/>
        <w:snapToGrid/>
        <w:spacing w:before="260" w:beforeLines="0" w:after="260"/>
        <w:jc w:val="both"/>
        <w:rPr>
          <w:rFonts w:cs="Times New Roman"/>
          <w:bCs/>
          <w:kern w:val="2"/>
          <w:sz w:val="32"/>
          <w:szCs w:val="32"/>
        </w:rPr>
      </w:pPr>
      <w:bookmarkStart w:id="212" w:name="_Toc5738"/>
      <w:r>
        <w:rPr>
          <w:rFonts w:hint="eastAsia" w:cs="Times New Roman"/>
          <w:bCs/>
          <w:kern w:val="2"/>
          <w:sz w:val="32"/>
          <w:szCs w:val="32"/>
        </w:rPr>
        <w:t>4.4.1整区域推进</w:t>
      </w:r>
      <w:bookmarkEnd w:id="212"/>
    </w:p>
    <w:p>
      <w:pPr>
        <w:ind w:firstLine="640"/>
        <w:rPr>
          <w:sz w:val="32"/>
          <w:szCs w:val="32"/>
        </w:rPr>
      </w:pPr>
      <w:r>
        <w:rPr>
          <w:rFonts w:hint="eastAsia"/>
          <w:sz w:val="32"/>
          <w:szCs w:val="32"/>
        </w:rPr>
        <w:t>整区域推进有利于形成标准化和规模化的高标准农田区域，通过区域推进的规划，可以使得高标准农田建设更加科学化、合理化。使得项目资金使用更为合理，同时也可以在一定程度上加快当地的经济的整体发展。我县在2021-2030年规划期内，高标准农田建设任务以乡镇为单位，进行整区域推进。</w:t>
      </w:r>
    </w:p>
    <w:p>
      <w:pPr>
        <w:pStyle w:val="4"/>
        <w:widowControl w:val="0"/>
        <w:adjustRightInd/>
        <w:snapToGrid/>
        <w:spacing w:before="260" w:beforeLines="0" w:after="260"/>
        <w:jc w:val="both"/>
        <w:rPr>
          <w:rFonts w:cs="Times New Roman"/>
          <w:bCs/>
          <w:kern w:val="2"/>
          <w:sz w:val="32"/>
          <w:szCs w:val="32"/>
        </w:rPr>
      </w:pPr>
      <w:bookmarkStart w:id="213" w:name="_Toc1240"/>
      <w:r>
        <w:rPr>
          <w:rFonts w:hint="eastAsia" w:cs="Times New Roman"/>
          <w:bCs/>
          <w:kern w:val="2"/>
          <w:sz w:val="32"/>
          <w:szCs w:val="32"/>
        </w:rPr>
        <w:t>4.4.2数字农田</w:t>
      </w:r>
      <w:bookmarkEnd w:id="213"/>
    </w:p>
    <w:p>
      <w:pPr>
        <w:ind w:firstLine="640"/>
        <w:rPr>
          <w:sz w:val="32"/>
          <w:szCs w:val="32"/>
        </w:rPr>
      </w:pPr>
      <w:r>
        <w:rPr>
          <w:rFonts w:hint="eastAsia"/>
          <w:sz w:val="32"/>
          <w:szCs w:val="32"/>
        </w:rPr>
        <w:t>1、总体要求</w:t>
      </w:r>
    </w:p>
    <w:p>
      <w:pPr>
        <w:ind w:firstLine="640"/>
        <w:rPr>
          <w:sz w:val="32"/>
          <w:szCs w:val="32"/>
        </w:rPr>
      </w:pPr>
      <w:r>
        <w:rPr>
          <w:rFonts w:hint="eastAsia"/>
          <w:sz w:val="32"/>
          <w:szCs w:val="32"/>
        </w:rPr>
        <w:t>以“优质、高产、高效、生态、安全”的农业可持续发展思路为主轴，按照“整体部署、系统布局、分步实施、稳定支持”的原则，统筹考虑现有高标准农田建设体系，结合大数据、物联网、人工智能、云计算、5G等新一代信息技术，围绕作物生长状态监测、田间智能灌溉、重大病虫害智能化识别、气象灾害监测预警和数字化绿色防控等方面，实现田间生产、管理、防控、服务全流程的数字化，集农田数据采集汇交、管理分析、评估服务等功能于一体，在田间合理配置常规或物联网监测设备，建成符合国家标准规范的高标准农田，从而稳步推进高质量、高标准、高效率的农田建设步伐。</w:t>
      </w:r>
    </w:p>
    <w:p>
      <w:pPr>
        <w:ind w:firstLine="640"/>
        <w:rPr>
          <w:sz w:val="32"/>
          <w:szCs w:val="32"/>
        </w:rPr>
      </w:pPr>
      <w:r>
        <w:rPr>
          <w:rFonts w:hint="eastAsia"/>
          <w:sz w:val="32"/>
          <w:szCs w:val="32"/>
        </w:rPr>
        <w:t>2、数字农业体系结构</w:t>
      </w:r>
    </w:p>
    <w:p>
      <w:pPr>
        <w:ind w:firstLine="640"/>
        <w:rPr>
          <w:sz w:val="32"/>
          <w:szCs w:val="32"/>
        </w:rPr>
      </w:pPr>
      <w:r>
        <w:rPr>
          <w:rFonts w:hint="eastAsia"/>
          <w:sz w:val="32"/>
          <w:szCs w:val="32"/>
        </w:rPr>
        <w:t>智慧病虫害监测预警系统是数字农田建设的基础，通过农田气象监测站、智能虫情测报灯、视化监控系统等设备采集现场环境、气候等多维度参数为后期数字化软件服务分析打下坚实基础。</w:t>
      </w:r>
    </w:p>
    <w:p>
      <w:pPr>
        <w:ind w:firstLine="640"/>
        <w:rPr>
          <w:sz w:val="32"/>
          <w:szCs w:val="32"/>
        </w:rPr>
      </w:pPr>
      <w:r>
        <w:rPr>
          <w:rFonts w:hint="eastAsia"/>
          <w:sz w:val="32"/>
          <w:szCs w:val="32"/>
        </w:rPr>
        <w:t>智慧生态绿色防控系统是根据因害设防原则，对生态环境保护工程进行科学合理布局，在农田区域内布置杀虫灯，对害虫进行诱杀；利用联网式杀虫灯、智慧性诱测报灯对农田区域内的病虫害区域进行防治，从而构建绿色防控体系，发展绿色生态理念。</w:t>
      </w:r>
    </w:p>
    <w:p>
      <w:pPr>
        <w:ind w:firstLine="640"/>
        <w:rPr>
          <w:sz w:val="32"/>
          <w:szCs w:val="32"/>
        </w:rPr>
      </w:pPr>
      <w:r>
        <w:rPr>
          <w:rFonts w:hint="eastAsia"/>
          <w:sz w:val="32"/>
          <w:szCs w:val="32"/>
        </w:rPr>
        <w:t>数字化农旅交互空间是结合项目现有旅游属性，围绕虫害数字化科普游览，打造数字化农旅交互空间，将智慧农业新面貌给参观者带来全新体验和感受，让参观者快速了解田间作物的科普及发生虫害的威胁，观察害虫外貌，了解虫害习性，对智慧农业虫害防治预警有全新的认识，推动智慧农业的群众科普。</w:t>
      </w:r>
    </w:p>
    <w:p>
      <w:pPr>
        <w:ind w:firstLine="640"/>
        <w:rPr>
          <w:sz w:val="32"/>
          <w:szCs w:val="32"/>
        </w:rPr>
      </w:pPr>
      <w:r>
        <w:rPr>
          <w:rFonts w:hint="eastAsia"/>
          <w:sz w:val="32"/>
          <w:szCs w:val="32"/>
        </w:rPr>
        <w:t>智慧尾水监测系统是对田间区域的灌溉尾水布设数字化监测系统，监测指标包含：ph值、氨氮、浊度、电导率、余氯。辅助判定尾水是否达到相应标准，对农田灌水起到指导性作用。</w:t>
      </w:r>
    </w:p>
    <w:p>
      <w:pPr>
        <w:ind w:firstLine="640"/>
        <w:rPr>
          <w:sz w:val="32"/>
          <w:szCs w:val="32"/>
        </w:rPr>
      </w:pPr>
      <w:r>
        <w:rPr>
          <w:rFonts w:hint="eastAsia"/>
          <w:sz w:val="32"/>
          <w:szCs w:val="32"/>
        </w:rPr>
        <w:t>数字化物联网平台是利用大数据、物联网、人工智能、云计算、传感器技术等手段，动态监测重要农作物的气象环境、土壤墒情、灾情虫情、作物长势，及时发布预警信息，提升种植业生产管理信息化水平。加快建设农业病虫害测报监测网络和数字植保防御体系，实现重大病虫害智能化识别和数字化防控。</w:t>
      </w:r>
    </w:p>
    <w:p>
      <w:pPr>
        <w:ind w:firstLine="640"/>
        <w:rPr>
          <w:sz w:val="32"/>
          <w:szCs w:val="32"/>
        </w:rPr>
      </w:pPr>
      <w:r>
        <w:rPr>
          <w:rFonts w:hint="eastAsia"/>
          <w:sz w:val="32"/>
          <w:szCs w:val="32"/>
        </w:rPr>
        <w:t>3、数字管理体系</w:t>
      </w:r>
    </w:p>
    <w:p>
      <w:pPr>
        <w:ind w:firstLine="640"/>
        <w:rPr>
          <w:sz w:val="32"/>
          <w:szCs w:val="32"/>
        </w:rPr>
      </w:pPr>
      <w:r>
        <w:rPr>
          <w:rFonts w:hint="eastAsia"/>
          <w:sz w:val="32"/>
          <w:szCs w:val="32"/>
        </w:rPr>
        <w:t>结合数字化物联网平台针对高标准农田项目建立数字管理平台，以项目为单位，把每个项目上图入库农田的面积、位置、种植作物、所属农场主、道路及水资源分布等信息实现同一平台监管，合理分配人力物力等资源。</w:t>
      </w:r>
    </w:p>
    <w:p>
      <w:pPr>
        <w:pStyle w:val="4"/>
        <w:widowControl w:val="0"/>
        <w:adjustRightInd/>
        <w:snapToGrid/>
        <w:spacing w:before="260" w:beforeLines="0" w:after="260"/>
        <w:jc w:val="both"/>
        <w:rPr>
          <w:rFonts w:cs="Times New Roman"/>
          <w:bCs/>
          <w:kern w:val="2"/>
          <w:sz w:val="32"/>
          <w:szCs w:val="32"/>
        </w:rPr>
      </w:pPr>
      <w:bookmarkStart w:id="214" w:name="_Toc19424"/>
      <w:r>
        <w:rPr>
          <w:rFonts w:hint="eastAsia" w:cs="Times New Roman"/>
          <w:bCs/>
          <w:kern w:val="2"/>
          <w:sz w:val="32"/>
          <w:szCs w:val="32"/>
        </w:rPr>
        <w:t>4.4.3土壤改良</w:t>
      </w:r>
      <w:bookmarkEnd w:id="214"/>
    </w:p>
    <w:p>
      <w:pPr>
        <w:ind w:firstLine="640"/>
        <w:rPr>
          <w:sz w:val="32"/>
          <w:szCs w:val="32"/>
        </w:rPr>
      </w:pPr>
      <w:r>
        <w:rPr>
          <w:rFonts w:hint="eastAsia"/>
          <w:sz w:val="32"/>
          <w:szCs w:val="32"/>
        </w:rPr>
        <w:t>土壤改良是解决土壤问题的最有效方式，能够改善土壤结构，有效协调土壤肥力因素，全面改善土壤水、肥、气、热状况，为作物根系生长发育创造有利环境。土壤改良技术推广是提高耕地质量、提高农业综合生产能力、改善农业生产条件、促进农业可持续发展的重要措施。在瘠薄培肥区、渍涝潜育区、渍涝排水区、障碍层次区、酸化耕地区、安全利用区等开展土壤改良与培肥示范。</w:t>
      </w:r>
    </w:p>
    <w:p>
      <w:pPr>
        <w:ind w:firstLine="640"/>
        <w:rPr>
          <w:sz w:val="32"/>
          <w:szCs w:val="32"/>
        </w:rPr>
      </w:pPr>
      <w:r>
        <w:rPr>
          <w:rFonts w:hint="eastAsia"/>
          <w:sz w:val="32"/>
          <w:szCs w:val="32"/>
        </w:rPr>
        <w:t>1、确定土壤改良的类型与治理面积</w:t>
      </w:r>
    </w:p>
    <w:p>
      <w:pPr>
        <w:ind w:firstLine="640"/>
        <w:rPr>
          <w:sz w:val="32"/>
          <w:szCs w:val="32"/>
        </w:rPr>
      </w:pPr>
      <w:r>
        <w:rPr>
          <w:rFonts w:hint="eastAsia"/>
          <w:sz w:val="32"/>
          <w:szCs w:val="32"/>
        </w:rPr>
        <w:t>根据我县耕地质量评价成果、不同土壤障碍因素面积分布情况，结合高标准农田建设目标任务与粮食生产能力综合评估，合理确定规划期间土壤改良的类型与治理面积。</w:t>
      </w:r>
    </w:p>
    <w:p>
      <w:pPr>
        <w:ind w:firstLine="640"/>
        <w:rPr>
          <w:sz w:val="32"/>
          <w:szCs w:val="32"/>
        </w:rPr>
      </w:pPr>
      <w:r>
        <w:rPr>
          <w:rFonts w:hint="eastAsia"/>
          <w:sz w:val="32"/>
          <w:szCs w:val="32"/>
        </w:rPr>
        <w:t>2、工程措施</w:t>
      </w:r>
    </w:p>
    <w:p>
      <w:pPr>
        <w:ind w:firstLine="640"/>
        <w:rPr>
          <w:sz w:val="32"/>
          <w:szCs w:val="32"/>
        </w:rPr>
      </w:pPr>
      <w:r>
        <w:rPr>
          <w:rFonts w:hint="eastAsia"/>
          <w:sz w:val="32"/>
          <w:szCs w:val="32"/>
        </w:rPr>
        <w:t>以提升耕地质量的工程措施为主，重点消除耕地中的障碍因素，扩大有效耕地面积，通过消除土壤障碍层、增厚有效土层厚度、改良土壤结构、改善表土质地等措施，消除或减轻作物立地条件、生态环境等障碍因素，为农艺措施创造条件。</w:t>
      </w:r>
    </w:p>
    <w:p>
      <w:pPr>
        <w:ind w:firstLine="640"/>
        <w:rPr>
          <w:sz w:val="32"/>
          <w:szCs w:val="32"/>
        </w:rPr>
      </w:pPr>
      <w:r>
        <w:rPr>
          <w:rFonts w:hint="eastAsia"/>
          <w:sz w:val="32"/>
          <w:szCs w:val="32"/>
        </w:rPr>
        <w:t>3、农艺技术</w:t>
      </w:r>
    </w:p>
    <w:p>
      <w:pPr>
        <w:ind w:firstLine="640"/>
        <w:rPr>
          <w:sz w:val="32"/>
          <w:szCs w:val="32"/>
        </w:rPr>
      </w:pPr>
      <w:r>
        <w:rPr>
          <w:rFonts w:hint="eastAsia"/>
          <w:sz w:val="32"/>
          <w:szCs w:val="32"/>
        </w:rPr>
        <w:t>通过土壤改良培肥、土壤酸度调节、秸秆还田、种植绿肥、施用有机肥、实施测土配方施肥、休耕轮耕等措施，协调工程措施和农艺农技相融合，通过水、肥、农艺技术等生产要素的投入改良土壤，改善作物生长环境，提高粮食综合生产能力。</w:t>
      </w:r>
    </w:p>
    <w:p>
      <w:pPr>
        <w:ind w:firstLine="640"/>
        <w:rPr>
          <w:sz w:val="32"/>
          <w:szCs w:val="32"/>
        </w:rPr>
      </w:pPr>
      <w:r>
        <w:rPr>
          <w:rFonts w:hint="eastAsia"/>
          <w:sz w:val="32"/>
          <w:szCs w:val="32"/>
        </w:rPr>
        <w:t>土壤改良与培肥示范区建成后的土壤有机质含量应达到27.5g/kg以上，土壤ph值保持在6.5～7.5之间，耕地质量应提升0.5等级以上。</w:t>
      </w:r>
    </w:p>
    <w:p>
      <w:pPr>
        <w:widowControl/>
        <w:spacing w:line="240" w:lineRule="auto"/>
        <w:ind w:firstLine="0" w:firstLineChars="0"/>
        <w:jc w:val="left"/>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215" w:name="_Toc23422"/>
      <w:r>
        <w:rPr>
          <w:rFonts w:cs="Times New Roman"/>
          <w:szCs w:val="32"/>
        </w:rPr>
        <w:t xml:space="preserve">5 </w:t>
      </w:r>
      <w:r>
        <w:rPr>
          <w:rFonts w:hint="eastAsia" w:cs="Times New Roman"/>
          <w:szCs w:val="32"/>
        </w:rPr>
        <w:t>投资估算和资金筹措</w:t>
      </w:r>
      <w:bookmarkEnd w:id="215"/>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16" w:name="_Toc27506"/>
      <w:r>
        <w:rPr>
          <w:rFonts w:hint="eastAsia" w:ascii="Times New Roman" w:hAnsi="Times New Roman" w:cs="Times New Roman"/>
          <w:kern w:val="2"/>
          <w:sz w:val="32"/>
        </w:rPr>
        <w:t>5.1投资估算</w:t>
      </w:r>
      <w:bookmarkEnd w:id="216"/>
    </w:p>
    <w:p>
      <w:pPr>
        <w:ind w:firstLine="640"/>
        <w:rPr>
          <w:sz w:val="32"/>
          <w:szCs w:val="32"/>
        </w:rPr>
      </w:pPr>
      <w:r>
        <w:rPr>
          <w:rFonts w:hint="eastAsia"/>
          <w:sz w:val="32"/>
          <w:szCs w:val="32"/>
        </w:rPr>
        <w:t>根据茶陵县历年开展的高标准农田建设项目的工程建设内容及资金需求，结合政府投资的资金预算，同时考虑不同类型高标准农田建设的资金需求差异，规划期间，茶陵县高标准农田新增建设和改造提升总投资约48690万元。具体见下表5-1。</w:t>
      </w:r>
    </w:p>
    <w:p>
      <w:pPr>
        <w:ind w:firstLine="643"/>
        <w:jc w:val="center"/>
        <w:rPr>
          <w:b/>
          <w:sz w:val="32"/>
          <w:szCs w:val="32"/>
        </w:rPr>
      </w:pPr>
      <w:r>
        <w:rPr>
          <w:rFonts w:hint="eastAsia"/>
          <w:b/>
          <w:sz w:val="32"/>
          <w:szCs w:val="32"/>
        </w:rPr>
        <w:t>表5-1  2021-2030年度资金分配表</w:t>
      </w:r>
    </w:p>
    <w:tbl>
      <w:tblPr>
        <w:tblStyle w:val="17"/>
        <w:tblW w:w="5308" w:type="pct"/>
        <w:tblInd w:w="-5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11"/>
        <w:gridCol w:w="3080"/>
        <w:gridCol w:w="1725"/>
        <w:gridCol w:w="741"/>
        <w:gridCol w:w="1061"/>
        <w:gridCol w:w="11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blHeader/>
        </w:trPr>
        <w:tc>
          <w:tcPr>
            <w:tcW w:w="725" w:type="pct"/>
            <w:vMerge w:val="restar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年度</w:t>
            </w:r>
          </w:p>
        </w:tc>
        <w:tc>
          <w:tcPr>
            <w:tcW w:w="1702" w:type="pct"/>
            <w:vMerge w:val="restart"/>
            <w:shd w:val="clear" w:color="auto" w:fill="auto"/>
            <w:vAlign w:val="center"/>
          </w:tcPr>
          <w:p>
            <w:pPr>
              <w:widowControl/>
              <w:spacing w:line="240" w:lineRule="auto"/>
              <w:ind w:firstLine="442"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项目名称</w:t>
            </w:r>
          </w:p>
        </w:tc>
        <w:tc>
          <w:tcPr>
            <w:tcW w:w="952" w:type="pct"/>
            <w:vMerge w:val="restart"/>
            <w:shd w:val="clear" w:color="auto" w:fill="auto"/>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乡镇名称</w:t>
            </w:r>
          </w:p>
        </w:tc>
        <w:tc>
          <w:tcPr>
            <w:tcW w:w="1619" w:type="pct"/>
            <w:gridSpan w:val="3"/>
            <w:shd w:val="clear" w:color="auto" w:fill="auto"/>
            <w:noWrap/>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资金（万元）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tblHeader/>
        </w:trPr>
        <w:tc>
          <w:tcPr>
            <w:tcW w:w="725"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1702"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952" w:type="pct"/>
            <w:vMerge w:val="continue"/>
            <w:vAlign w:val="center"/>
          </w:tcPr>
          <w:p>
            <w:pPr>
              <w:widowControl/>
              <w:spacing w:line="240" w:lineRule="auto"/>
              <w:ind w:firstLine="0" w:firstLineChars="0"/>
              <w:jc w:val="left"/>
              <w:rPr>
                <w:rFonts w:ascii="宋体" w:hAnsi="宋体" w:eastAsia="宋体" w:cs="宋体"/>
                <w:b/>
                <w:bCs/>
                <w:color w:val="000000"/>
                <w:kern w:val="0"/>
                <w:sz w:val="21"/>
                <w:szCs w:val="21"/>
              </w:rPr>
            </w:pPr>
          </w:p>
        </w:tc>
        <w:tc>
          <w:tcPr>
            <w:tcW w:w="409" w:type="pct"/>
            <w:shd w:val="clear" w:color="auto" w:fill="auto"/>
            <w:noWrap/>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小计</w:t>
            </w:r>
          </w:p>
        </w:tc>
        <w:tc>
          <w:tcPr>
            <w:tcW w:w="586" w:type="pct"/>
            <w:shd w:val="clear" w:color="auto" w:fill="auto"/>
            <w:noWrap/>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新增建设</w:t>
            </w:r>
          </w:p>
        </w:tc>
        <w:tc>
          <w:tcPr>
            <w:tcW w:w="623" w:type="pct"/>
            <w:shd w:val="clear" w:color="auto" w:fill="auto"/>
            <w:noWrap/>
            <w:vAlign w:val="center"/>
          </w:tcPr>
          <w:p>
            <w:pPr>
              <w:widowControl/>
              <w:spacing w:line="240" w:lineRule="auto"/>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提质改造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725" w:type="pct"/>
            <w:shd w:val="clear" w:color="auto" w:fill="auto"/>
            <w:vAlign w:val="center"/>
          </w:tcPr>
          <w:p>
            <w:pPr>
              <w:widowControl/>
              <w:spacing w:line="240" w:lineRule="auto"/>
              <w:ind w:firstLine="0" w:firstLineChars="0"/>
              <w:jc w:val="center"/>
              <w:rPr>
                <w:rFonts w:ascii="宋体" w:hAnsi="宋体" w:eastAsia="宋体"/>
                <w:color w:val="000000"/>
                <w:kern w:val="0"/>
                <w:sz w:val="21"/>
                <w:szCs w:val="21"/>
              </w:rPr>
            </w:pPr>
            <w:r>
              <w:rPr>
                <w:rFonts w:hint="eastAsia" w:eastAsia="宋体"/>
                <w:color w:val="000000"/>
                <w:kern w:val="0"/>
                <w:sz w:val="21"/>
                <w:szCs w:val="21"/>
              </w:rPr>
              <w:t>2021年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ascii="宋体" w:hAnsi="宋体" w:eastAsia="宋体"/>
                <w:color w:val="000000"/>
                <w:kern w:val="0"/>
                <w:sz w:val="21"/>
                <w:szCs w:val="21"/>
              </w:rPr>
              <w:t>茶陵县舲舫乡等</w:t>
            </w:r>
            <w:r>
              <w:rPr>
                <w:rFonts w:eastAsia="宋体"/>
                <w:color w:val="000000"/>
                <w:kern w:val="0"/>
                <w:sz w:val="21"/>
                <w:szCs w:val="21"/>
              </w:rPr>
              <w:t>3</w:t>
            </w:r>
            <w:r>
              <w:rPr>
                <w:rFonts w:hint="eastAsia" w:ascii="宋体" w:hAnsi="宋体" w:eastAsia="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olor w:val="000000"/>
                <w:kern w:val="0"/>
                <w:sz w:val="21"/>
                <w:szCs w:val="21"/>
              </w:rPr>
              <w:t>二一年）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舲舫乡、严塘镇、湖口镇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4764</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4764</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0" w:hRule="atLeast"/>
        </w:trPr>
        <w:tc>
          <w:tcPr>
            <w:tcW w:w="725" w:type="pct"/>
            <w:shd w:val="clear" w:color="auto" w:fill="auto"/>
            <w:vAlign w:val="center"/>
          </w:tcPr>
          <w:p>
            <w:pPr>
              <w:widowControl/>
              <w:spacing w:line="240" w:lineRule="auto"/>
              <w:ind w:firstLine="0" w:firstLineChars="0"/>
              <w:jc w:val="center"/>
              <w:rPr>
                <w:rFonts w:ascii="宋体" w:hAnsi="宋体" w:eastAsia="宋体"/>
                <w:color w:val="000000"/>
                <w:kern w:val="0"/>
                <w:sz w:val="21"/>
                <w:szCs w:val="21"/>
              </w:rPr>
            </w:pPr>
            <w:r>
              <w:rPr>
                <w:rFonts w:hint="eastAsia" w:eastAsia="宋体"/>
                <w:color w:val="000000"/>
                <w:kern w:val="0"/>
                <w:sz w:val="21"/>
                <w:szCs w:val="21"/>
              </w:rPr>
              <w:t>2022年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ascii="宋体" w:hAnsi="宋体" w:eastAsia="宋体"/>
                <w:color w:val="000000"/>
                <w:kern w:val="0"/>
                <w:sz w:val="21"/>
                <w:szCs w:val="21"/>
              </w:rPr>
              <w:t>株洲市茶陵县虎踞镇等</w:t>
            </w:r>
            <w:r>
              <w:rPr>
                <w:rFonts w:eastAsia="宋体"/>
                <w:color w:val="000000"/>
                <w:kern w:val="0"/>
                <w:sz w:val="21"/>
                <w:szCs w:val="21"/>
              </w:rPr>
              <w:t>3</w:t>
            </w:r>
            <w:r>
              <w:rPr>
                <w:rFonts w:hint="eastAsia" w:ascii="宋体" w:hAnsi="宋体" w:eastAsia="宋体"/>
                <w:color w:val="000000"/>
                <w:kern w:val="0"/>
                <w:sz w:val="21"/>
                <w:szCs w:val="21"/>
              </w:rPr>
              <w:t>个乡镇合湖村等</w:t>
            </w:r>
            <w:r>
              <w:rPr>
                <w:rFonts w:eastAsia="宋体"/>
                <w:color w:val="000000"/>
                <w:kern w:val="0"/>
                <w:sz w:val="21"/>
                <w:szCs w:val="21"/>
              </w:rPr>
              <w:t>32</w:t>
            </w:r>
            <w:r>
              <w:rPr>
                <w:rFonts w:hint="eastAsia" w:ascii="宋体" w:hAnsi="宋体" w:eastAsia="宋体"/>
                <w:color w:val="000000"/>
                <w:kern w:val="0"/>
                <w:sz w:val="21"/>
                <w:szCs w:val="21"/>
              </w:rPr>
              <w:t>个村高标准农田建设项目（二</w:t>
            </w:r>
            <w:r>
              <w:rPr>
                <w:rFonts w:eastAsia="宋体"/>
                <w:color w:val="000000"/>
                <w:kern w:val="0"/>
                <w:sz w:val="21"/>
                <w:szCs w:val="21"/>
              </w:rPr>
              <w:t>0</w:t>
            </w:r>
            <w:r>
              <w:rPr>
                <w:rFonts w:hint="eastAsia" w:ascii="宋体" w:hAnsi="宋体" w:eastAsia="宋体"/>
                <w:color w:val="000000"/>
                <w:kern w:val="0"/>
                <w:sz w:val="21"/>
                <w:szCs w:val="21"/>
              </w:rPr>
              <w:t>二二年）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虎踞镇、湖口镇、下东街道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5216</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5216</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725" w:type="pct"/>
            <w:shd w:val="clear" w:color="auto" w:fill="auto"/>
            <w:vAlign w:val="center"/>
          </w:tcPr>
          <w:p>
            <w:pPr>
              <w:widowControl/>
              <w:spacing w:line="240" w:lineRule="auto"/>
              <w:ind w:firstLine="0" w:firstLineChars="0"/>
              <w:jc w:val="center"/>
              <w:rPr>
                <w:rFonts w:ascii="宋体" w:hAnsi="宋体" w:eastAsia="宋体"/>
                <w:color w:val="000000"/>
                <w:kern w:val="0"/>
                <w:sz w:val="21"/>
                <w:szCs w:val="21"/>
              </w:rPr>
            </w:pPr>
            <w:r>
              <w:rPr>
                <w:rFonts w:hint="eastAsia" w:eastAsia="宋体"/>
                <w:color w:val="000000"/>
                <w:kern w:val="0"/>
                <w:sz w:val="21"/>
                <w:szCs w:val="21"/>
              </w:rPr>
              <w:t>2023年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ascii="宋体" w:hAnsi="宋体" w:eastAsia="宋体"/>
                <w:color w:val="000000"/>
                <w:kern w:val="0"/>
                <w:sz w:val="21"/>
                <w:szCs w:val="21"/>
              </w:rPr>
              <w:t>株洲市茶陵县秩堂镇等</w:t>
            </w:r>
            <w:r>
              <w:rPr>
                <w:rFonts w:eastAsia="宋体"/>
                <w:color w:val="000000"/>
                <w:kern w:val="0"/>
                <w:sz w:val="21"/>
                <w:szCs w:val="21"/>
              </w:rPr>
              <w:t>3</w:t>
            </w:r>
            <w:r>
              <w:rPr>
                <w:rFonts w:hint="eastAsia" w:ascii="宋体" w:hAnsi="宋体" w:eastAsia="宋体"/>
                <w:color w:val="000000"/>
                <w:kern w:val="0"/>
                <w:sz w:val="21"/>
                <w:szCs w:val="21"/>
              </w:rPr>
              <w:t>个乡镇高标准农田建设项目（二</w:t>
            </w:r>
            <w:r>
              <w:rPr>
                <w:rFonts w:eastAsia="宋体"/>
                <w:color w:val="000000"/>
                <w:kern w:val="0"/>
                <w:sz w:val="21"/>
                <w:szCs w:val="21"/>
              </w:rPr>
              <w:t>0</w:t>
            </w:r>
            <w:r>
              <w:rPr>
                <w:rFonts w:hint="eastAsia" w:ascii="宋体" w:hAnsi="宋体" w:eastAsia="宋体"/>
                <w:color w:val="000000"/>
                <w:kern w:val="0"/>
                <w:sz w:val="21"/>
                <w:szCs w:val="21"/>
              </w:rPr>
              <w:t>二三年）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秩堂镇、高陇镇、思聪街道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4530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4530</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50" w:hRule="atLeast"/>
        </w:trPr>
        <w:tc>
          <w:tcPr>
            <w:tcW w:w="725"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eastAsia="宋体"/>
                <w:color w:val="000000"/>
                <w:kern w:val="0"/>
                <w:sz w:val="21"/>
                <w:szCs w:val="21"/>
              </w:rPr>
              <w:t>2023年</w:t>
            </w:r>
          </w:p>
        </w:tc>
        <w:tc>
          <w:tcPr>
            <w:tcW w:w="170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茶陵县</w:t>
            </w:r>
            <w:r>
              <w:rPr>
                <w:rFonts w:eastAsia="宋体"/>
                <w:color w:val="000000"/>
                <w:kern w:val="0"/>
                <w:sz w:val="21"/>
                <w:szCs w:val="21"/>
              </w:rPr>
              <w:t>2023</w:t>
            </w:r>
            <w:r>
              <w:rPr>
                <w:rFonts w:hint="eastAsia" w:ascii="宋体" w:hAnsi="宋体" w:eastAsia="宋体" w:cs="宋体"/>
                <w:color w:val="000000"/>
                <w:kern w:val="0"/>
                <w:sz w:val="21"/>
                <w:szCs w:val="21"/>
              </w:rPr>
              <w:t>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秩堂镇、高陇镇、思聪街道、下东街道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250</w:t>
            </w:r>
            <w:r>
              <w:rPr>
                <w:rFonts w:eastAsia="宋体"/>
                <w:color w:val="000000"/>
                <w:kern w:val="0"/>
                <w:sz w:val="21"/>
                <w:szCs w:val="21"/>
              </w:rPr>
              <w:t>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250</w:t>
            </w:r>
            <w:r>
              <w:rPr>
                <w:rFonts w:eastAsia="宋体"/>
                <w:color w:val="000000"/>
                <w:kern w:val="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2024年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株洲市茶陵县火田镇等2个乡镇高标准农田建设项目（二0二四年）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火田镇、桃坑乡</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36</w:t>
            </w:r>
            <w:r>
              <w:rPr>
                <w:rFonts w:eastAsia="宋体"/>
                <w:color w:val="000000"/>
                <w:kern w:val="0"/>
                <w:sz w:val="21"/>
                <w:szCs w:val="21"/>
              </w:rPr>
              <w:t>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36</w:t>
            </w:r>
            <w:r>
              <w:rPr>
                <w:rFonts w:eastAsia="宋体"/>
                <w:color w:val="000000"/>
                <w:kern w:val="0"/>
                <w:sz w:val="21"/>
                <w:szCs w:val="21"/>
              </w:rPr>
              <w:t>0</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2024年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茶陵县2024年高标准农田改造提升项目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火田镇、桃坑乡、洣江街道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5250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5250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2025年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株洲市茶陵县腰潞镇等5个乡镇高标准农田建设项目（二0二五年）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腰潞镇、洣江街道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300</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2025年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茶陵县2025年高标准农田改造提升项目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腰潞镇、马江镇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4500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4500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2026年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茶陵县严塘镇等3个乡镇高标准农田建设（二0二六年）</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严塘镇、虎踞镇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720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720</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2026年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茶陵县2026年高标准农田改造提升项目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枣市镇、界首镇、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2027年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茶陵县2027年高标准农田改造提升项目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舲舫乡、严塘镇、湖口镇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4500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2028年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茶陵县2028年高标准农田改造提升项目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虎踞镇、下东街道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4000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2029年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茶陵县2029年高标准农田改造提升项目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秩堂镇、高陇镇</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3800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3800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5"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2030年</w:t>
            </w:r>
          </w:p>
        </w:tc>
        <w:tc>
          <w:tcPr>
            <w:tcW w:w="1702" w:type="pct"/>
            <w:shd w:val="clear" w:color="auto" w:fill="auto"/>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茶陵县2030年高标准农田改造提升项目</w:t>
            </w:r>
          </w:p>
        </w:tc>
        <w:tc>
          <w:tcPr>
            <w:tcW w:w="952" w:type="pct"/>
            <w:shd w:val="clear" w:color="auto" w:fill="auto"/>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火田镇、思聪街道</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3750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eastAsia="宋体"/>
                <w:color w:val="000000"/>
                <w:kern w:val="0"/>
                <w:sz w:val="21"/>
                <w:szCs w:val="21"/>
              </w:rPr>
              <w:t>　</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3750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3380" w:type="pct"/>
            <w:gridSpan w:val="3"/>
            <w:shd w:val="clear" w:color="auto" w:fill="auto"/>
            <w:noWrap/>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合计</w:t>
            </w:r>
          </w:p>
        </w:tc>
        <w:tc>
          <w:tcPr>
            <w:tcW w:w="409"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48690</w:t>
            </w:r>
          </w:p>
        </w:tc>
        <w:tc>
          <w:tcPr>
            <w:tcW w:w="586"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15890</w:t>
            </w:r>
          </w:p>
        </w:tc>
        <w:tc>
          <w:tcPr>
            <w:tcW w:w="623" w:type="pct"/>
            <w:shd w:val="clear" w:color="auto" w:fill="auto"/>
            <w:noWrap/>
            <w:vAlign w:val="center"/>
          </w:tcPr>
          <w:p>
            <w:pPr>
              <w:widowControl/>
              <w:spacing w:line="240" w:lineRule="auto"/>
              <w:ind w:firstLine="0" w:firstLineChars="0"/>
              <w:jc w:val="center"/>
              <w:rPr>
                <w:rFonts w:eastAsia="宋体"/>
                <w:color w:val="000000"/>
                <w:kern w:val="0"/>
                <w:sz w:val="21"/>
                <w:szCs w:val="21"/>
              </w:rPr>
            </w:pPr>
            <w:r>
              <w:rPr>
                <w:rFonts w:hint="eastAsia" w:eastAsia="宋体"/>
                <w:color w:val="000000"/>
                <w:kern w:val="0"/>
                <w:sz w:val="21"/>
                <w:szCs w:val="21"/>
              </w:rPr>
              <w:t>32800</w:t>
            </w:r>
          </w:p>
        </w:tc>
      </w:tr>
    </w:tbl>
    <w:p>
      <w:pPr>
        <w:ind w:firstLine="640"/>
        <w:rPr>
          <w:sz w:val="32"/>
          <w:szCs w:val="32"/>
        </w:rPr>
      </w:pPr>
      <w:r>
        <w:rPr>
          <w:rFonts w:hint="eastAsia"/>
          <w:sz w:val="32"/>
          <w:szCs w:val="32"/>
        </w:rPr>
        <w:t>2021-2025年期间，规划茶陵县新增建设高标准农田亩均投资为1932.48元，提质改造高标准农田亩均投资为2500元。经测算，规划期间，需投资27420万元，占总投资的56.32%；2026-2030年期间，规划茶陵县新增建设高标准农田亩均投资为3000元，提质改造高标准农田亩均投资为2500元。经测算，规划期间，需投资21270万元，占总投资的43.68%。</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17" w:name="_Toc30815"/>
      <w:r>
        <w:rPr>
          <w:rFonts w:hint="eastAsia" w:ascii="Times New Roman" w:hAnsi="Times New Roman" w:cs="Times New Roman"/>
          <w:kern w:val="2"/>
          <w:sz w:val="32"/>
        </w:rPr>
        <w:t>5.2资金筹措</w:t>
      </w:r>
      <w:bookmarkEnd w:id="217"/>
    </w:p>
    <w:p>
      <w:pPr>
        <w:ind w:firstLine="640"/>
        <w:rPr>
          <w:sz w:val="32"/>
          <w:szCs w:val="32"/>
        </w:rPr>
      </w:pPr>
      <w:r>
        <w:rPr>
          <w:rFonts w:hint="eastAsia"/>
          <w:sz w:val="32"/>
          <w:szCs w:val="32"/>
        </w:rPr>
        <w:t>巩固和拓展高标准农田建设筹资渠道，完善多元化筹资机制。通过调整完善土地出让收益使用范围等方式，切实提高资金投入和工程建设标准。发挥农民、农民专业合作组织、农业企业等经营主体作用，按照自愿原则，筹资投劳开展高标准农田建设。</w:t>
      </w:r>
    </w:p>
    <w:p>
      <w:pPr>
        <w:pStyle w:val="4"/>
        <w:widowControl w:val="0"/>
        <w:adjustRightInd/>
        <w:snapToGrid/>
        <w:spacing w:before="260" w:beforeLines="0" w:after="260"/>
        <w:jc w:val="both"/>
        <w:rPr>
          <w:rFonts w:cs="Times New Roman"/>
          <w:bCs/>
          <w:kern w:val="2"/>
          <w:sz w:val="32"/>
          <w:szCs w:val="32"/>
        </w:rPr>
      </w:pPr>
      <w:bookmarkStart w:id="218" w:name="_Toc119329293"/>
      <w:bookmarkStart w:id="219" w:name="_Toc28586"/>
      <w:bookmarkStart w:id="220" w:name="_Toc119057945"/>
      <w:bookmarkStart w:id="221" w:name="_Toc119330190"/>
      <w:r>
        <w:rPr>
          <w:rFonts w:hint="eastAsia" w:cs="Times New Roman"/>
          <w:bCs/>
          <w:kern w:val="2"/>
          <w:sz w:val="32"/>
          <w:szCs w:val="32"/>
        </w:rPr>
        <w:t>5.2.1加强政府投入保障</w:t>
      </w:r>
      <w:bookmarkEnd w:id="218"/>
      <w:bookmarkEnd w:id="219"/>
      <w:bookmarkEnd w:id="220"/>
      <w:bookmarkEnd w:id="221"/>
    </w:p>
    <w:p>
      <w:pPr>
        <w:ind w:firstLine="640"/>
        <w:rPr>
          <w:sz w:val="32"/>
          <w:szCs w:val="32"/>
        </w:rPr>
      </w:pPr>
      <w:r>
        <w:rPr>
          <w:rFonts w:hint="eastAsia"/>
          <w:sz w:val="32"/>
          <w:szCs w:val="32"/>
        </w:rPr>
        <w:t>积极争取中央财政资金投入，逐步建立市、区、县三级财政共同投入保障机制，通过一般公共预算、政府性基金预算、政府债务资金等，多渠道安排高标准农田建设资金。全面落实土地出让收入用于农业农村比例要求，重点用于高标准农田建设。</w:t>
      </w:r>
    </w:p>
    <w:p>
      <w:pPr>
        <w:pStyle w:val="4"/>
        <w:widowControl w:val="0"/>
        <w:adjustRightInd/>
        <w:snapToGrid/>
        <w:spacing w:before="260" w:beforeLines="0" w:after="260"/>
        <w:jc w:val="both"/>
        <w:rPr>
          <w:rFonts w:cs="Times New Roman"/>
          <w:bCs/>
          <w:kern w:val="2"/>
          <w:sz w:val="32"/>
          <w:szCs w:val="32"/>
        </w:rPr>
      </w:pPr>
      <w:bookmarkStart w:id="222" w:name="_Toc29254"/>
      <w:r>
        <w:rPr>
          <w:rFonts w:hint="eastAsia" w:cs="Times New Roman"/>
          <w:bCs/>
          <w:kern w:val="2"/>
          <w:sz w:val="32"/>
          <w:szCs w:val="32"/>
        </w:rPr>
        <w:t>5.2.2投资与以工代赈相结合</w:t>
      </w:r>
      <w:bookmarkEnd w:id="222"/>
    </w:p>
    <w:p>
      <w:pPr>
        <w:ind w:firstLine="640"/>
        <w:rPr>
          <w:sz w:val="32"/>
          <w:szCs w:val="32"/>
        </w:rPr>
      </w:pPr>
      <w:r>
        <w:rPr>
          <w:rFonts w:hint="eastAsia"/>
          <w:sz w:val="32"/>
          <w:szCs w:val="32"/>
        </w:rPr>
        <w:t>在高标准农田建设中，鼓励当地居民参与到工程建设中，通过当地居民参与高标准农田的建设，获得劳务报酬，达到以工代赈的目标。</w:t>
      </w:r>
    </w:p>
    <w:p>
      <w:pPr>
        <w:pStyle w:val="4"/>
        <w:widowControl w:val="0"/>
        <w:adjustRightInd/>
        <w:snapToGrid/>
        <w:spacing w:before="260" w:beforeLines="0" w:after="260"/>
        <w:jc w:val="both"/>
        <w:rPr>
          <w:rFonts w:cs="Times New Roman"/>
          <w:bCs/>
          <w:kern w:val="2"/>
          <w:sz w:val="32"/>
          <w:szCs w:val="32"/>
        </w:rPr>
      </w:pPr>
      <w:bookmarkStart w:id="223" w:name="_Toc119057946"/>
      <w:bookmarkStart w:id="224" w:name="_Toc119329294"/>
      <w:bookmarkStart w:id="225" w:name="_Toc119330191"/>
      <w:bookmarkStart w:id="226" w:name="_Toc10475"/>
      <w:r>
        <w:rPr>
          <w:rFonts w:hint="eastAsia" w:cs="Times New Roman"/>
          <w:bCs/>
          <w:kern w:val="2"/>
          <w:sz w:val="32"/>
          <w:szCs w:val="32"/>
        </w:rPr>
        <w:t>5.2.3积极探索投融资新模式</w:t>
      </w:r>
      <w:bookmarkEnd w:id="223"/>
      <w:bookmarkEnd w:id="224"/>
      <w:bookmarkEnd w:id="225"/>
      <w:bookmarkEnd w:id="226"/>
    </w:p>
    <w:p>
      <w:pPr>
        <w:ind w:firstLine="640"/>
        <w:rPr>
          <w:sz w:val="32"/>
          <w:szCs w:val="32"/>
        </w:rPr>
      </w:pPr>
      <w:r>
        <w:rPr>
          <w:rFonts w:hint="eastAsia"/>
          <w:sz w:val="32"/>
          <w:szCs w:val="32"/>
        </w:rPr>
        <w:t>高标准农田建设投融资创新以项目为依托，按照“自愿申报、择优立项、分类实施、竣工验收、信息公开”的程序进行，严格依据国家、省有关招标投标、政府采购、合同管理、工程监理、资金和项目公示等规定执行，项目实施应符合《湖南省农田建设项目管理实施办法》（湘农发〔2020〕61号）的有关规定。</w:t>
      </w:r>
    </w:p>
    <w:p>
      <w:pPr>
        <w:ind w:firstLine="640"/>
        <w:rPr>
          <w:sz w:val="32"/>
          <w:szCs w:val="32"/>
        </w:rPr>
      </w:pPr>
      <w:r>
        <w:rPr>
          <w:rFonts w:hint="eastAsia"/>
          <w:sz w:val="32"/>
          <w:szCs w:val="32"/>
        </w:rPr>
        <w:t>综合考虑可用财力及农田建设任务等因素，在保障农田建设财政资金稳定投入的基础上，运用市场化运作方式，充分发挥财政资金杠杆作用，通过先建后补、以奖代补等多种形势，支持国有企业、民营企业、集体经济组织、农民专业合作社、家庭农场、专业大户等市场主体利用自有资金或获得金融支持的方式增加高标准农田建设投入。</w:t>
      </w:r>
    </w:p>
    <w:p>
      <w:pPr>
        <w:ind w:firstLine="640"/>
        <w:rPr>
          <w:sz w:val="32"/>
          <w:szCs w:val="32"/>
        </w:rPr>
      </w:pPr>
      <w:r>
        <w:rPr>
          <w:rFonts w:hint="eastAsia"/>
          <w:sz w:val="32"/>
          <w:szCs w:val="32"/>
        </w:rPr>
        <w:t>本着积极稳妥的原则，重点支持经营状况良好、社会信誉度高、持续经营1年以上、经营状况良好、没有失信记录、具备必要项目建设和筹资投劳能力的国有企业、民营企业、集体经济组织、农民专业合作社、家庭农场、专业大户等市场主体承接任务，开展高标准农田建设。鼓励收益农户通过自有资金、投工投劳等参与项目建设，鼓励企事业单位、社会团体、公益组织和乡友乡贤捐资、捐物开展高标准农田建设，提高投资标准，提升农田建设质量和标准。</w:t>
      </w:r>
    </w:p>
    <w:p>
      <w:pPr>
        <w:ind w:firstLine="640"/>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227" w:name="_Toc8643"/>
      <w:r>
        <w:rPr>
          <w:rFonts w:cs="Times New Roman"/>
          <w:szCs w:val="32"/>
        </w:rPr>
        <w:t>6</w:t>
      </w:r>
      <w:r>
        <w:rPr>
          <w:rFonts w:hint="eastAsia" w:cs="Times New Roman"/>
          <w:szCs w:val="32"/>
        </w:rPr>
        <w:t>建设监管和后续管护</w:t>
      </w:r>
      <w:bookmarkEnd w:id="227"/>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28" w:name="_Toc6229"/>
      <w:r>
        <w:rPr>
          <w:rFonts w:hint="eastAsia" w:ascii="Times New Roman" w:hAnsi="Times New Roman" w:cs="Times New Roman"/>
          <w:kern w:val="2"/>
          <w:sz w:val="32"/>
        </w:rPr>
        <w:t>6.1强化质量管理</w:t>
      </w:r>
      <w:bookmarkEnd w:id="228"/>
    </w:p>
    <w:p>
      <w:pPr>
        <w:pStyle w:val="4"/>
        <w:widowControl w:val="0"/>
        <w:adjustRightInd/>
        <w:snapToGrid/>
        <w:spacing w:before="260" w:beforeLines="0" w:after="260"/>
        <w:jc w:val="both"/>
        <w:rPr>
          <w:rFonts w:cs="Times New Roman"/>
          <w:bCs/>
          <w:kern w:val="2"/>
          <w:sz w:val="32"/>
          <w:szCs w:val="32"/>
        </w:rPr>
      </w:pPr>
      <w:bookmarkStart w:id="229" w:name="_Toc119329297"/>
      <w:bookmarkStart w:id="230" w:name="_Toc11008"/>
      <w:bookmarkStart w:id="231" w:name="_Toc119057949"/>
      <w:bookmarkStart w:id="232" w:name="_Toc119330194"/>
      <w:r>
        <w:rPr>
          <w:rFonts w:hint="eastAsia" w:cs="Times New Roman"/>
          <w:bCs/>
          <w:kern w:val="2"/>
          <w:sz w:val="32"/>
          <w:szCs w:val="32"/>
        </w:rPr>
        <w:t>6.1.1严控建设质量</w:t>
      </w:r>
      <w:bookmarkEnd w:id="229"/>
      <w:bookmarkEnd w:id="230"/>
      <w:bookmarkEnd w:id="231"/>
      <w:bookmarkEnd w:id="232"/>
    </w:p>
    <w:p>
      <w:pPr>
        <w:ind w:firstLine="640"/>
        <w:rPr>
          <w:sz w:val="32"/>
          <w:szCs w:val="32"/>
        </w:rPr>
      </w:pPr>
      <w:r>
        <w:rPr>
          <w:rFonts w:hint="eastAsia"/>
          <w:sz w:val="32"/>
          <w:szCs w:val="32"/>
        </w:rPr>
        <w:t>实行“县级监督、乡镇负责、村里落实”的建设监管机制，“统一规划布局、统一水源配置、统一技术标准、统一稽查验收、统一管理体制、统一调度运行”。全面推行项目法人制、招标投标制、工程监理制、合同管理制，实现项目精细化管理，严格执行相关建设标准和规范，落实工程质量管理责任，确保建设质量。</w:t>
      </w:r>
    </w:p>
    <w:p>
      <w:pPr>
        <w:pStyle w:val="4"/>
        <w:widowControl w:val="0"/>
        <w:adjustRightInd/>
        <w:snapToGrid/>
        <w:spacing w:before="260" w:beforeLines="0" w:after="260"/>
        <w:jc w:val="both"/>
        <w:rPr>
          <w:rFonts w:cs="Times New Roman"/>
          <w:bCs/>
          <w:kern w:val="2"/>
          <w:sz w:val="32"/>
          <w:szCs w:val="32"/>
        </w:rPr>
      </w:pPr>
      <w:bookmarkStart w:id="233" w:name="_Toc119330195"/>
      <w:bookmarkStart w:id="234" w:name="_Toc119329298"/>
      <w:bookmarkStart w:id="235" w:name="_Toc119057950"/>
      <w:bookmarkStart w:id="236" w:name="_Toc719"/>
      <w:r>
        <w:rPr>
          <w:rFonts w:hint="eastAsia" w:cs="Times New Roman"/>
          <w:bCs/>
          <w:kern w:val="2"/>
          <w:sz w:val="32"/>
          <w:szCs w:val="32"/>
        </w:rPr>
        <w:t>6.1.2提升耕地质量</w:t>
      </w:r>
      <w:bookmarkEnd w:id="233"/>
      <w:bookmarkEnd w:id="234"/>
      <w:bookmarkEnd w:id="235"/>
      <w:bookmarkEnd w:id="236"/>
    </w:p>
    <w:p>
      <w:pPr>
        <w:ind w:firstLine="640"/>
        <w:rPr>
          <w:sz w:val="32"/>
          <w:szCs w:val="32"/>
        </w:rPr>
      </w:pPr>
      <w:r>
        <w:rPr>
          <w:rFonts w:hint="eastAsia"/>
          <w:sz w:val="32"/>
          <w:szCs w:val="32"/>
        </w:rPr>
        <w:t>落实高标准农田建设的田、土、水、路、林、电、技、管等八个方面要求，严格按照高标准建设要求开展田块整治、土壤改良、道路工程、灌排设施等工程，切实提高耕地质量。</w:t>
      </w:r>
    </w:p>
    <w:p>
      <w:pPr>
        <w:pStyle w:val="4"/>
        <w:widowControl w:val="0"/>
        <w:adjustRightInd/>
        <w:snapToGrid/>
        <w:spacing w:before="260" w:beforeLines="0" w:after="260"/>
        <w:jc w:val="both"/>
        <w:rPr>
          <w:rFonts w:cs="Times New Roman"/>
          <w:bCs/>
          <w:kern w:val="2"/>
          <w:sz w:val="32"/>
          <w:szCs w:val="32"/>
        </w:rPr>
      </w:pPr>
      <w:bookmarkStart w:id="237" w:name="_Toc119330196"/>
      <w:bookmarkStart w:id="238" w:name="_Toc119329299"/>
      <w:bookmarkStart w:id="239" w:name="_Toc119057951"/>
      <w:bookmarkStart w:id="240" w:name="_Toc13088"/>
      <w:r>
        <w:rPr>
          <w:rFonts w:hint="eastAsia" w:cs="Times New Roman"/>
          <w:bCs/>
          <w:kern w:val="2"/>
          <w:sz w:val="32"/>
          <w:szCs w:val="32"/>
        </w:rPr>
        <w:t>6.1.3评定质量等级</w:t>
      </w:r>
      <w:bookmarkEnd w:id="237"/>
      <w:bookmarkEnd w:id="238"/>
      <w:bookmarkEnd w:id="239"/>
      <w:bookmarkEnd w:id="240"/>
    </w:p>
    <w:p>
      <w:pPr>
        <w:ind w:firstLine="640"/>
        <w:rPr>
          <w:sz w:val="32"/>
          <w:szCs w:val="32"/>
        </w:rPr>
      </w:pPr>
      <w:r>
        <w:rPr>
          <w:rFonts w:hint="eastAsia"/>
          <w:sz w:val="32"/>
          <w:szCs w:val="32"/>
        </w:rPr>
        <w:t>依据《耕地地力调查与质量评价技术规定》、《农用地质量分等规程》，由县政府相关行业主管部门分不同区域，组织对建成的高标准农田耕地地力和质量等级进行评定。按照《耕地质量等级》国家标准，在建设前后分别开展耕地质量等级变更调查评价，以巩固和提高粮食生产保障能力为重点，评价高标准农田粮食产能水平，做到“建设一片、调查一片、评价一片”。</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41" w:name="_Toc1375"/>
      <w:r>
        <w:rPr>
          <w:rFonts w:hint="eastAsia" w:ascii="Times New Roman" w:hAnsi="Times New Roman" w:cs="Times New Roman"/>
          <w:kern w:val="2"/>
          <w:sz w:val="32"/>
        </w:rPr>
        <w:t>6.2统一上图入库</w:t>
      </w:r>
      <w:bookmarkEnd w:id="241"/>
    </w:p>
    <w:p>
      <w:pPr>
        <w:pStyle w:val="4"/>
        <w:widowControl w:val="0"/>
        <w:adjustRightInd/>
        <w:snapToGrid/>
        <w:spacing w:before="260" w:beforeLines="0" w:after="260"/>
        <w:jc w:val="both"/>
        <w:rPr>
          <w:rFonts w:cs="Times New Roman"/>
          <w:bCs/>
          <w:kern w:val="2"/>
          <w:sz w:val="32"/>
          <w:szCs w:val="32"/>
        </w:rPr>
      </w:pPr>
      <w:bookmarkStart w:id="242" w:name="_Toc119057953"/>
      <w:bookmarkStart w:id="243" w:name="_Toc119329301"/>
      <w:bookmarkStart w:id="244" w:name="_Toc119330198"/>
      <w:bookmarkStart w:id="245" w:name="_Toc1472"/>
      <w:r>
        <w:rPr>
          <w:rFonts w:hint="eastAsia" w:cs="Times New Roman"/>
          <w:bCs/>
          <w:kern w:val="2"/>
          <w:sz w:val="32"/>
          <w:szCs w:val="32"/>
        </w:rPr>
        <w:t>6.2.1建立数字平台</w:t>
      </w:r>
      <w:bookmarkEnd w:id="242"/>
      <w:bookmarkEnd w:id="243"/>
      <w:bookmarkEnd w:id="244"/>
      <w:bookmarkEnd w:id="245"/>
    </w:p>
    <w:p>
      <w:pPr>
        <w:ind w:firstLine="640"/>
        <w:rPr>
          <w:sz w:val="32"/>
          <w:szCs w:val="32"/>
        </w:rPr>
      </w:pPr>
      <w:r>
        <w:rPr>
          <w:rFonts w:hint="eastAsia"/>
          <w:sz w:val="32"/>
          <w:szCs w:val="32"/>
        </w:rPr>
        <w:t>加快农田建设综合监测监管平台建设，做好相关信息系统的对接移交和数据共享，以土地利用现状图为底图，全面承接高标准农田建设历史数据，把高标准农田建设项目立项、实施、验收、使用等各阶段信息及时上图入库，形成全县标准农田建设“一张图”。</w:t>
      </w:r>
    </w:p>
    <w:p>
      <w:pPr>
        <w:pStyle w:val="4"/>
        <w:widowControl w:val="0"/>
        <w:adjustRightInd/>
        <w:snapToGrid/>
        <w:spacing w:before="260" w:beforeLines="0" w:after="260"/>
        <w:jc w:val="both"/>
        <w:rPr>
          <w:rFonts w:cs="Times New Roman"/>
          <w:bCs/>
          <w:kern w:val="2"/>
          <w:sz w:val="32"/>
          <w:szCs w:val="32"/>
        </w:rPr>
      </w:pPr>
      <w:bookmarkStart w:id="246" w:name="_Toc119330199"/>
      <w:bookmarkStart w:id="247" w:name="_Toc119329302"/>
      <w:bookmarkStart w:id="248" w:name="_Toc119057954"/>
      <w:bookmarkStart w:id="249" w:name="_Toc32050"/>
      <w:r>
        <w:rPr>
          <w:rFonts w:hint="eastAsia" w:cs="Times New Roman"/>
          <w:bCs/>
          <w:kern w:val="2"/>
          <w:sz w:val="32"/>
          <w:szCs w:val="32"/>
        </w:rPr>
        <w:t>6.2.2加强动态监管</w:t>
      </w:r>
      <w:bookmarkEnd w:id="246"/>
      <w:bookmarkEnd w:id="247"/>
      <w:bookmarkEnd w:id="248"/>
      <w:bookmarkEnd w:id="249"/>
    </w:p>
    <w:p>
      <w:pPr>
        <w:ind w:firstLine="640"/>
        <w:rPr>
          <w:sz w:val="32"/>
          <w:szCs w:val="32"/>
        </w:rPr>
      </w:pPr>
      <w:r>
        <w:rPr>
          <w:rFonts w:hint="eastAsia"/>
          <w:sz w:val="32"/>
          <w:szCs w:val="32"/>
        </w:rPr>
        <w:t>综合运用航空航天遥感、卫星导航定位、地理信息系统、移动通信、区块链等现代信息技术手段，构建天空地一体的立体化监测监管体系，实现高标准农田建设的有据可查、全程监控、精准管理。</w:t>
      </w:r>
    </w:p>
    <w:p>
      <w:pPr>
        <w:pStyle w:val="4"/>
        <w:widowControl w:val="0"/>
        <w:adjustRightInd/>
        <w:snapToGrid/>
        <w:spacing w:before="260" w:beforeLines="0" w:after="260"/>
        <w:jc w:val="both"/>
        <w:rPr>
          <w:rFonts w:cs="Times New Roman"/>
          <w:bCs/>
          <w:kern w:val="2"/>
          <w:sz w:val="32"/>
          <w:szCs w:val="32"/>
        </w:rPr>
      </w:pPr>
      <w:bookmarkStart w:id="250" w:name="_Toc119057955"/>
      <w:bookmarkStart w:id="251" w:name="_Toc119329303"/>
      <w:bookmarkStart w:id="252" w:name="_Toc119330200"/>
      <w:bookmarkStart w:id="253" w:name="_Toc21328"/>
      <w:r>
        <w:rPr>
          <w:rFonts w:hint="eastAsia" w:cs="Times New Roman"/>
          <w:bCs/>
          <w:kern w:val="2"/>
          <w:sz w:val="32"/>
          <w:szCs w:val="32"/>
        </w:rPr>
        <w:t>6.2.3强化信息共享</w:t>
      </w:r>
      <w:bookmarkEnd w:id="250"/>
      <w:bookmarkEnd w:id="251"/>
      <w:bookmarkEnd w:id="252"/>
      <w:bookmarkEnd w:id="253"/>
    </w:p>
    <w:p>
      <w:pPr>
        <w:ind w:firstLine="640"/>
        <w:rPr>
          <w:sz w:val="32"/>
          <w:szCs w:val="32"/>
        </w:rPr>
      </w:pPr>
      <w:r>
        <w:rPr>
          <w:rFonts w:hint="eastAsia"/>
          <w:sz w:val="32"/>
          <w:szCs w:val="32"/>
        </w:rPr>
        <w:t>完善部门间信息共享机制，实现农田建设、保护、利用信息的互通共享。加强数据分析，为农田建设管理和保护利用提供决策支撑。</w:t>
      </w:r>
    </w:p>
    <w:p>
      <w:pPr>
        <w:ind w:firstLine="640"/>
        <w:rPr>
          <w:sz w:val="32"/>
          <w:szCs w:val="32"/>
        </w:rPr>
      </w:pPr>
      <w:r>
        <w:rPr>
          <w:rFonts w:hint="eastAsia"/>
          <w:sz w:val="32"/>
          <w:szCs w:val="32"/>
        </w:rPr>
        <w:t>高标农田建设项目，新增的耕地指标、水田规模和粮食产能数据，应及时在湖南省耕地保护综合监管平台和部农村土地整治监测监管系统报备和上图入库。</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54" w:name="_Toc26887"/>
      <w:r>
        <w:rPr>
          <w:rFonts w:hint="eastAsia" w:ascii="Times New Roman" w:hAnsi="Times New Roman" w:cs="Times New Roman"/>
          <w:kern w:val="2"/>
          <w:sz w:val="32"/>
        </w:rPr>
        <w:t>6.3规范竣工验收</w:t>
      </w:r>
      <w:bookmarkEnd w:id="254"/>
    </w:p>
    <w:p>
      <w:pPr>
        <w:pStyle w:val="4"/>
        <w:widowControl w:val="0"/>
        <w:adjustRightInd/>
        <w:snapToGrid/>
        <w:spacing w:before="260" w:beforeLines="0" w:after="260"/>
        <w:jc w:val="both"/>
        <w:rPr>
          <w:rFonts w:cs="Times New Roman"/>
          <w:bCs/>
          <w:kern w:val="2"/>
          <w:sz w:val="32"/>
          <w:szCs w:val="32"/>
        </w:rPr>
      </w:pPr>
      <w:bookmarkStart w:id="255" w:name="_Toc119330202"/>
      <w:bookmarkStart w:id="256" w:name="_Toc119329305"/>
      <w:bookmarkStart w:id="257" w:name="_Toc14173"/>
      <w:bookmarkStart w:id="258" w:name="_Toc119057957"/>
      <w:r>
        <w:rPr>
          <w:rFonts w:hint="eastAsia" w:cs="Times New Roman"/>
          <w:bCs/>
          <w:kern w:val="2"/>
          <w:sz w:val="32"/>
          <w:szCs w:val="32"/>
        </w:rPr>
        <w:t>6.3.1明确验收程序</w:t>
      </w:r>
      <w:bookmarkEnd w:id="255"/>
      <w:bookmarkEnd w:id="256"/>
      <w:bookmarkEnd w:id="257"/>
      <w:bookmarkEnd w:id="258"/>
    </w:p>
    <w:p>
      <w:pPr>
        <w:ind w:firstLine="640"/>
        <w:rPr>
          <w:sz w:val="32"/>
          <w:szCs w:val="32"/>
        </w:rPr>
      </w:pPr>
      <w:r>
        <w:rPr>
          <w:rFonts w:hint="eastAsia"/>
          <w:sz w:val="32"/>
          <w:szCs w:val="32"/>
        </w:rPr>
        <w:t>规范高标准农田建设验收工作，在实施单项工程竣工验收的基础上，开展年度和规划期内的整体考核。单项工程竣工验收由项目主管部门按照相关项目现行管理规定组织开展，验收结果逐级上报；项目整体考核由项目所在地县级人民政府组织财政、自资、农业农村、水利等有关部门和机构，按照《高标准农田建设评价激励实施办法（试行）》进行考核。</w:t>
      </w:r>
    </w:p>
    <w:p>
      <w:pPr>
        <w:pStyle w:val="4"/>
        <w:widowControl w:val="0"/>
        <w:adjustRightInd/>
        <w:snapToGrid/>
        <w:spacing w:before="260" w:beforeLines="0" w:after="260"/>
        <w:jc w:val="both"/>
        <w:rPr>
          <w:rFonts w:cs="Times New Roman"/>
          <w:bCs/>
          <w:kern w:val="2"/>
          <w:sz w:val="32"/>
          <w:szCs w:val="32"/>
        </w:rPr>
      </w:pPr>
      <w:bookmarkStart w:id="259" w:name="_Toc22236"/>
      <w:bookmarkStart w:id="260" w:name="_Toc119330203"/>
      <w:bookmarkStart w:id="261" w:name="_Toc119329306"/>
      <w:bookmarkStart w:id="262" w:name="_Toc119057958"/>
      <w:r>
        <w:rPr>
          <w:rFonts w:hint="eastAsia" w:cs="Times New Roman"/>
          <w:bCs/>
          <w:kern w:val="2"/>
          <w:sz w:val="32"/>
          <w:szCs w:val="32"/>
        </w:rPr>
        <w:t>6.3.2加强权属管理</w:t>
      </w:r>
      <w:bookmarkEnd w:id="259"/>
      <w:bookmarkEnd w:id="260"/>
      <w:bookmarkEnd w:id="261"/>
      <w:bookmarkEnd w:id="262"/>
    </w:p>
    <w:p>
      <w:pPr>
        <w:ind w:firstLine="640"/>
        <w:rPr>
          <w:sz w:val="32"/>
          <w:szCs w:val="32"/>
        </w:rPr>
      </w:pPr>
      <w:r>
        <w:rPr>
          <w:rFonts w:hint="eastAsia"/>
          <w:sz w:val="32"/>
          <w:szCs w:val="32"/>
        </w:rPr>
        <w:t>查清建设区域内的土地利用现状和权属状况，做到地类和面积准确，界址和权属清楚，无争议；存在土地权属争议的，不得纳入建设范围。在充分尊重农民意愿的基础上，合理编制权属调整方案，合理推进土地归并，逐步解决耕地地块细碎化问题。工程竣工验收后，及时进行地类变更和重新确权登记发证，确保建成后的高标准农田位置明确、权属清晰、地类正确、面积准确，依法保障土地所有者或经营者的权益。</w:t>
      </w:r>
    </w:p>
    <w:p>
      <w:pPr>
        <w:pStyle w:val="4"/>
        <w:widowControl w:val="0"/>
        <w:adjustRightInd/>
        <w:snapToGrid/>
        <w:spacing w:before="260" w:beforeLines="0" w:after="260"/>
        <w:jc w:val="both"/>
        <w:rPr>
          <w:rFonts w:cs="Times New Roman"/>
          <w:bCs/>
          <w:kern w:val="2"/>
          <w:sz w:val="32"/>
          <w:szCs w:val="32"/>
        </w:rPr>
      </w:pPr>
      <w:bookmarkStart w:id="263" w:name="_Toc119329307"/>
      <w:bookmarkStart w:id="264" w:name="_Toc119057959"/>
      <w:bookmarkStart w:id="265" w:name="_Toc119330204"/>
      <w:bookmarkStart w:id="266" w:name="_Toc28165"/>
      <w:r>
        <w:rPr>
          <w:rFonts w:hint="eastAsia" w:cs="Times New Roman"/>
          <w:bCs/>
          <w:kern w:val="2"/>
          <w:sz w:val="32"/>
          <w:szCs w:val="32"/>
        </w:rPr>
        <w:t>6.3.3做好建档工作</w:t>
      </w:r>
      <w:bookmarkEnd w:id="263"/>
      <w:bookmarkEnd w:id="264"/>
      <w:bookmarkEnd w:id="265"/>
      <w:bookmarkEnd w:id="266"/>
    </w:p>
    <w:p>
      <w:pPr>
        <w:ind w:firstLine="640"/>
        <w:rPr>
          <w:sz w:val="32"/>
          <w:szCs w:val="32"/>
        </w:rPr>
      </w:pPr>
      <w:r>
        <w:rPr>
          <w:rFonts w:hint="eastAsia"/>
          <w:sz w:val="32"/>
          <w:szCs w:val="32"/>
        </w:rPr>
        <w:t>建立“田块标识划界、县级台帐管理、部门备案公示、社会监督共管”机制；建立健全高标准农田管理台账，全面掌握高标准农田建设基本情况和产出能力变化；建立高标准农田档案管理制度，及时、全面收集建成的高标准农田的有关资料并建立档案，做到准确、完整，逐步推行档案资料管理的数字化和信息化。</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67" w:name="_Toc18444"/>
      <w:r>
        <w:rPr>
          <w:rFonts w:hint="eastAsia" w:ascii="Times New Roman" w:hAnsi="Times New Roman" w:cs="Times New Roman"/>
          <w:kern w:val="2"/>
          <w:sz w:val="32"/>
        </w:rPr>
        <w:t>6.4后续管护和保护利用</w:t>
      </w:r>
      <w:bookmarkEnd w:id="267"/>
    </w:p>
    <w:p>
      <w:pPr>
        <w:pStyle w:val="4"/>
        <w:widowControl w:val="0"/>
        <w:adjustRightInd/>
        <w:snapToGrid/>
        <w:spacing w:before="260" w:beforeLines="0" w:after="260"/>
        <w:jc w:val="both"/>
        <w:rPr>
          <w:rFonts w:cs="Times New Roman"/>
          <w:bCs/>
          <w:kern w:val="2"/>
          <w:sz w:val="32"/>
          <w:szCs w:val="32"/>
        </w:rPr>
      </w:pPr>
      <w:bookmarkStart w:id="268" w:name="_Toc6694"/>
      <w:bookmarkStart w:id="269" w:name="_Toc119330206"/>
      <w:bookmarkStart w:id="270" w:name="_Toc119329309"/>
      <w:bookmarkStart w:id="271" w:name="_Toc119057961"/>
      <w:r>
        <w:rPr>
          <w:rFonts w:hint="eastAsia" w:cs="Times New Roman"/>
          <w:bCs/>
          <w:kern w:val="2"/>
          <w:sz w:val="32"/>
          <w:szCs w:val="32"/>
        </w:rPr>
        <w:t>6.4.1强化用途管控</w:t>
      </w:r>
      <w:bookmarkEnd w:id="268"/>
      <w:bookmarkEnd w:id="269"/>
      <w:bookmarkEnd w:id="270"/>
      <w:bookmarkEnd w:id="271"/>
    </w:p>
    <w:p>
      <w:pPr>
        <w:ind w:firstLine="640"/>
        <w:rPr>
          <w:sz w:val="32"/>
          <w:szCs w:val="32"/>
        </w:rPr>
      </w:pPr>
      <w:r>
        <w:rPr>
          <w:rFonts w:hint="eastAsia"/>
          <w:sz w:val="32"/>
          <w:szCs w:val="32"/>
        </w:rPr>
        <w:t>对已建成的高标准农田区域，建立高标准农田占补审核制度，严格占用审批，经批准占用高标准农田的，要及时补充，确保高标准农田数量不减少、质量不降低；实行特殊保护，坚决制止“非农化”、防止“非粮化”，任何单位和个人不得损毁、擅自占用或改变用途。</w:t>
      </w:r>
    </w:p>
    <w:p>
      <w:pPr>
        <w:pStyle w:val="4"/>
        <w:widowControl w:val="0"/>
        <w:adjustRightInd/>
        <w:snapToGrid/>
        <w:spacing w:before="260" w:beforeLines="0" w:after="260"/>
        <w:jc w:val="both"/>
        <w:rPr>
          <w:rFonts w:cs="Times New Roman"/>
          <w:bCs/>
          <w:kern w:val="2"/>
          <w:sz w:val="32"/>
          <w:szCs w:val="32"/>
        </w:rPr>
      </w:pPr>
      <w:bookmarkStart w:id="272" w:name="_Toc119057962"/>
      <w:bookmarkStart w:id="273" w:name="_Toc119329310"/>
      <w:bookmarkStart w:id="274" w:name="_Toc119330207"/>
      <w:bookmarkStart w:id="275" w:name="_Toc1848"/>
      <w:r>
        <w:rPr>
          <w:rFonts w:hint="eastAsia" w:cs="Times New Roman"/>
          <w:bCs/>
          <w:kern w:val="2"/>
          <w:sz w:val="32"/>
          <w:szCs w:val="32"/>
        </w:rPr>
        <w:t>6.4.2加强农田保护</w:t>
      </w:r>
      <w:bookmarkEnd w:id="272"/>
      <w:bookmarkEnd w:id="273"/>
      <w:bookmarkEnd w:id="274"/>
      <w:bookmarkEnd w:id="275"/>
    </w:p>
    <w:p>
      <w:pPr>
        <w:ind w:firstLine="640"/>
        <w:rPr>
          <w:sz w:val="32"/>
          <w:szCs w:val="32"/>
        </w:rPr>
      </w:pPr>
      <w:r>
        <w:rPr>
          <w:rFonts w:hint="eastAsia"/>
          <w:sz w:val="32"/>
          <w:szCs w:val="32"/>
        </w:rPr>
        <w:t>推行合理耕作制度，实行用地养地相结合，确保可持续利用。推广施用有机肥、秸秆还田和种植绿肥，促进土壤改良和耕地地力提升。提升高标准农田防灾减灾水平，对自然损毁的高标准农田，及时纳入年度建设任务，及时进行修复或补充。依法打击破坏耕地种植条件的行为，严禁将不达标污水排入农田，严禁将生活垃圾、工业废弃物等倾倒、排放、堆放到农田。</w:t>
      </w:r>
    </w:p>
    <w:p>
      <w:pPr>
        <w:pStyle w:val="4"/>
        <w:widowControl w:val="0"/>
        <w:adjustRightInd/>
        <w:snapToGrid/>
        <w:spacing w:before="260" w:beforeLines="0" w:after="260"/>
        <w:jc w:val="both"/>
        <w:rPr>
          <w:rFonts w:cs="Times New Roman"/>
          <w:bCs/>
          <w:kern w:val="2"/>
          <w:sz w:val="32"/>
          <w:szCs w:val="32"/>
        </w:rPr>
      </w:pPr>
      <w:bookmarkStart w:id="276" w:name="_Toc119057963"/>
      <w:bookmarkStart w:id="277" w:name="_Toc119329311"/>
      <w:bookmarkStart w:id="278" w:name="_Toc119330208"/>
      <w:bookmarkStart w:id="279" w:name="_Toc18964"/>
      <w:r>
        <w:rPr>
          <w:rFonts w:hint="eastAsia" w:cs="Times New Roman"/>
          <w:bCs/>
          <w:kern w:val="2"/>
          <w:sz w:val="32"/>
          <w:szCs w:val="32"/>
        </w:rPr>
        <w:t>6.4.3明确管护责任</w:t>
      </w:r>
      <w:bookmarkEnd w:id="276"/>
      <w:bookmarkEnd w:id="277"/>
      <w:bookmarkEnd w:id="278"/>
      <w:bookmarkEnd w:id="279"/>
    </w:p>
    <w:p>
      <w:pPr>
        <w:ind w:firstLine="640"/>
        <w:rPr>
          <w:sz w:val="32"/>
          <w:szCs w:val="32"/>
        </w:rPr>
      </w:pPr>
      <w:r>
        <w:rPr>
          <w:rFonts w:hint="eastAsia"/>
          <w:sz w:val="32"/>
          <w:szCs w:val="32"/>
        </w:rPr>
        <w:t>按照“谁使用、谁管护”的原则，落实高标准农田设施管护主体和责任，健全管护制度，确保建成的高标准农田长期发挥效益。根据工程规模、形式、受益范围等，引导和激励专业服务机构、农民合作组织、涉农企业、专业大户、家庭农场和村集体等参与高标准农田设施的日常管护。要因地制宜地发挥自然资源、农业、水利等基层公益性服务组织的行业监督管理责任,切实加强对其他非公益性管护主体的监管和技术指导。</w:t>
      </w:r>
    </w:p>
    <w:p>
      <w:pPr>
        <w:ind w:firstLine="640"/>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280" w:name="_Toc1720"/>
      <w:r>
        <w:rPr>
          <w:rFonts w:cs="Times New Roman"/>
          <w:szCs w:val="32"/>
        </w:rPr>
        <w:t>7</w:t>
      </w:r>
      <w:r>
        <w:rPr>
          <w:rFonts w:hint="eastAsia" w:cs="Times New Roman"/>
          <w:szCs w:val="32"/>
        </w:rPr>
        <w:t>效益分析</w:t>
      </w:r>
      <w:bookmarkEnd w:id="280"/>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81" w:name="_Toc119329313"/>
      <w:bookmarkStart w:id="282" w:name="_Toc5841"/>
      <w:r>
        <w:rPr>
          <w:rFonts w:hint="eastAsia" w:ascii="Times New Roman" w:hAnsi="Times New Roman" w:cs="Times New Roman"/>
          <w:kern w:val="2"/>
          <w:sz w:val="32"/>
        </w:rPr>
        <w:t>7.1经济效益</w:t>
      </w:r>
      <w:bookmarkEnd w:id="281"/>
      <w:bookmarkEnd w:id="282"/>
    </w:p>
    <w:p>
      <w:pPr>
        <w:ind w:firstLine="640"/>
        <w:rPr>
          <w:sz w:val="32"/>
          <w:szCs w:val="32"/>
        </w:rPr>
      </w:pPr>
      <w:r>
        <w:rPr>
          <w:rFonts w:hint="eastAsia"/>
          <w:sz w:val="32"/>
          <w:szCs w:val="32"/>
        </w:rPr>
        <w:t>规划期内高标准农田建设通过改善农田基础设施，修建田间道路，修建沟渠等措施，达到设施配套、功能齐全；稳产高产、节本高效；生态和谐、持续发展的现代农业新格局，有利于农民耕作，提高农民生产力。根据调查，水田在灌溉条件改善后，单季亩均增产粮食生产能力50kg，复种指数按1.8考虑，粮食作物按2.5元/kg，则每亩水田新增产值为225元，增加总产值5125.5万元；粮食生产全程社会化服务功能的增强，据调查农民种粮成本下降150元/亩，年节约生产成本3417万元；通过修建灌排工程，能保障农田旱能灌、涝能排，减少干旱、洪涝带来的影响，降低自然灾害损失。采用受涝综合损失法，按受涝综合损失计算，多年平均每亩受灾损失250元，规划期高标准农田建成后每年排涝效益为5695万元。</w:t>
      </w:r>
    </w:p>
    <w:p>
      <w:pPr>
        <w:ind w:firstLine="640"/>
        <w:rPr>
          <w:sz w:val="32"/>
          <w:szCs w:val="32"/>
        </w:rPr>
      </w:pPr>
      <w:r>
        <w:rPr>
          <w:rFonts w:hint="eastAsia"/>
          <w:sz w:val="32"/>
          <w:szCs w:val="32"/>
        </w:rPr>
        <w:t>按照“生态友好”的要求，在建设绿色农田的同时，带来了体验、采摘、旅游观光等经济效益。因地制宜配备具有观赏特征的农田景观，通过建设旅游体验农田片区、电子显示屏实时连接种植区实施情况以及乡村农田博物展览栏来了解种植过程、参与耕作体验、感受农村历史文化与民俗风情，促进项目区农业文化旅游进一步发展。</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83" w:name="_Toc119329314"/>
      <w:bookmarkStart w:id="284" w:name="_Toc21357"/>
      <w:r>
        <w:rPr>
          <w:rFonts w:hint="eastAsia" w:ascii="Times New Roman" w:hAnsi="Times New Roman" w:cs="Times New Roman"/>
          <w:kern w:val="2"/>
          <w:sz w:val="32"/>
        </w:rPr>
        <w:t>7.2社会效益</w:t>
      </w:r>
      <w:bookmarkEnd w:id="283"/>
      <w:bookmarkEnd w:id="284"/>
    </w:p>
    <w:p>
      <w:pPr>
        <w:ind w:firstLine="640"/>
        <w:rPr>
          <w:sz w:val="32"/>
          <w:szCs w:val="32"/>
        </w:rPr>
      </w:pPr>
      <w:r>
        <w:rPr>
          <w:rFonts w:hint="eastAsia"/>
          <w:sz w:val="32"/>
          <w:szCs w:val="32"/>
        </w:rPr>
        <w:t>高标准农田建成后使受益区粮田基础设施普遍得到改善，形成较完善的农田灌排系统，水利用系数提高，节约水量，排灌畅通，化解用水矛盾、减少群众纠纷，抗灾能力明显增强，提高复种指数、改变粮经种植比例，优化农业种植结构，提高农民的种粮积极性，发展优势农产品基地，为农业龙头企业提供优质原料等情况，促进农民增收。高标准农田建设有利于综合水价改革的推进，对茶陵县的水资源条件、种植结构、耕作方式、经济发展水平、用水习惯等均有较好的影响。此外，推进农业科技创新，将提供更多的就业机会，增加地方农民收入，对农村社会稳定起到促进作用，有利于和谐社会的建立；在经济发展的基础上，生态环境的进一步发展在其农业科技创新驱动下使项目区由传统的农业生产和经营方式，转向一二三产业融合发展，在发展当地特色的情况下进一步释放农村活力、发展现代农业、促进农民增收。</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85" w:name="_Toc119329315"/>
      <w:bookmarkStart w:id="286" w:name="_Toc23060"/>
      <w:r>
        <w:rPr>
          <w:rFonts w:hint="eastAsia" w:ascii="Times New Roman" w:hAnsi="Times New Roman" w:cs="Times New Roman"/>
          <w:kern w:val="2"/>
          <w:sz w:val="32"/>
        </w:rPr>
        <w:t>7.3生态效益</w:t>
      </w:r>
      <w:bookmarkEnd w:id="285"/>
      <w:bookmarkEnd w:id="286"/>
    </w:p>
    <w:p>
      <w:pPr>
        <w:ind w:firstLine="640"/>
        <w:rPr>
          <w:sz w:val="32"/>
          <w:szCs w:val="32"/>
        </w:rPr>
      </w:pPr>
      <w:r>
        <w:rPr>
          <w:rFonts w:hint="eastAsia"/>
          <w:sz w:val="32"/>
          <w:szCs w:val="32"/>
        </w:rPr>
        <w:t>通过高标准农田建设，农田基础设施达到较高水平，田地平整肥沃，水利设施配套，田间道路畅通，通过采取水利、农业、林业等综合配套措施，进行田水路林综合治理，同时美化了田园环境，改善了生活环境，促进从传统农业向现代农业转变，实现“路渠配套、智能灌溉、排水畅通、绿化成网”的绿色农业生态景观，使乡村整体景观和农村自然面貌焕然一新。</w:t>
      </w:r>
    </w:p>
    <w:p>
      <w:pPr>
        <w:ind w:firstLine="640"/>
        <w:rPr>
          <w:sz w:val="32"/>
          <w:szCs w:val="32"/>
        </w:rPr>
      </w:pPr>
      <w:r>
        <w:rPr>
          <w:sz w:val="32"/>
          <w:szCs w:val="32"/>
        </w:rPr>
        <w:br w:type="page"/>
      </w:r>
    </w:p>
    <w:p>
      <w:pPr>
        <w:pStyle w:val="2"/>
        <w:widowControl w:val="0"/>
        <w:adjustRightInd/>
        <w:snapToGrid/>
        <w:spacing w:before="340" w:after="330" w:line="360" w:lineRule="auto"/>
        <w:rPr>
          <w:rFonts w:cs="Times New Roman"/>
          <w:szCs w:val="32"/>
        </w:rPr>
      </w:pPr>
      <w:bookmarkStart w:id="287" w:name="_Toc18205"/>
      <w:r>
        <w:rPr>
          <w:rFonts w:cs="Times New Roman"/>
          <w:szCs w:val="32"/>
        </w:rPr>
        <w:t>8</w:t>
      </w:r>
      <w:r>
        <w:rPr>
          <w:rFonts w:hint="eastAsia" w:cs="Times New Roman"/>
          <w:szCs w:val="32"/>
        </w:rPr>
        <w:t>保障措施</w:t>
      </w:r>
      <w:bookmarkEnd w:id="287"/>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88" w:name="_Toc6580"/>
      <w:r>
        <w:rPr>
          <w:rFonts w:hint="eastAsia" w:ascii="Times New Roman" w:hAnsi="Times New Roman" w:cs="Times New Roman"/>
          <w:kern w:val="2"/>
          <w:sz w:val="32"/>
        </w:rPr>
        <w:t>8.1明确组织领导</w:t>
      </w:r>
      <w:bookmarkEnd w:id="288"/>
    </w:p>
    <w:p>
      <w:pPr>
        <w:ind w:firstLine="640"/>
        <w:rPr>
          <w:sz w:val="32"/>
          <w:szCs w:val="32"/>
        </w:rPr>
      </w:pPr>
      <w:r>
        <w:rPr>
          <w:rFonts w:hint="eastAsia"/>
          <w:sz w:val="32"/>
          <w:szCs w:val="32"/>
        </w:rPr>
        <w:t>高标准农田建设实行县级抓落实、群众参与的工作机制。将高标准农田建设工作纳入到各级党委和政府落实粮食安全责任制考核、县政府真抓实干督查激励措施的范围，纳入到乡村振兴工作考核的范围，作为农业农村工作的重要抓手。按照粮食安全责任制的要求，逐步建立县政府领导、农业农村局牵头、部门协作、上下联动的高标准农田建设组织领导机制，抓好规划实施、任务落实、资金保障、新增耕地核定、监督评价和运营管护等工作。茶陵县农业农村局在茶陵县人民政府的领导下，逐级落实好建设任务和工作责任，各级有关部门要按照工作职责，主动协调配合，确保高标准农田建设任务按期完成。</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89" w:name="_Toc16074"/>
      <w:r>
        <w:rPr>
          <w:rFonts w:hint="eastAsia" w:ascii="Times New Roman" w:hAnsi="Times New Roman" w:cs="Times New Roman"/>
          <w:kern w:val="2"/>
          <w:sz w:val="32"/>
        </w:rPr>
        <w:t>8.2坚持规划引领</w:t>
      </w:r>
      <w:bookmarkEnd w:id="289"/>
    </w:p>
    <w:p>
      <w:pPr>
        <w:ind w:firstLine="640"/>
        <w:rPr>
          <w:sz w:val="32"/>
          <w:szCs w:val="32"/>
        </w:rPr>
      </w:pPr>
      <w:r>
        <w:rPr>
          <w:rFonts w:hint="eastAsia"/>
          <w:sz w:val="32"/>
          <w:szCs w:val="32"/>
        </w:rPr>
        <w:t>根据《规划》确定的目标、任务和要求，细化相关配套政策和工作制度。各乡镇要根据县级下达的任务情况，制定高标准农田建设年度计划，并加强年度计划执行情况的跟踪考核。规划实施过程中，可根据高标准农田建设规划具体实施情况，适时开展规划实施中期评估，完善规划实施管理。</w:t>
      </w:r>
    </w:p>
    <w:p>
      <w:pPr>
        <w:ind w:firstLine="640"/>
        <w:rPr>
          <w:sz w:val="32"/>
          <w:szCs w:val="32"/>
        </w:rPr>
      </w:pPr>
      <w:r>
        <w:rPr>
          <w:rFonts w:hint="eastAsia"/>
          <w:sz w:val="32"/>
          <w:szCs w:val="32"/>
        </w:rPr>
        <w:t>高标准农田建设是一项跨行业、跨部门的综合性系统工程，必须协调落实、有序推进。高标准农田建设过程中，要充分做好与土地整治规划、新增粮食生产能力实施规划等相关专业规划的衔接，避免重复建设。各相关部门的规划成果、项目管理信息系统应数据共享，促进高标准农田各类项目有序、有效实施。</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90" w:name="_Toc31528"/>
      <w:r>
        <w:rPr>
          <w:rFonts w:hint="eastAsia" w:ascii="Times New Roman" w:hAnsi="Times New Roman" w:cs="Times New Roman"/>
          <w:kern w:val="2"/>
          <w:sz w:val="32"/>
        </w:rPr>
        <w:t>8.3保障资金投入</w:t>
      </w:r>
      <w:bookmarkEnd w:id="290"/>
    </w:p>
    <w:p>
      <w:pPr>
        <w:ind w:firstLine="640"/>
        <w:rPr>
          <w:sz w:val="32"/>
          <w:szCs w:val="32"/>
        </w:rPr>
      </w:pPr>
      <w:r>
        <w:rPr>
          <w:rFonts w:hint="eastAsia"/>
          <w:sz w:val="32"/>
          <w:szCs w:val="32"/>
        </w:rPr>
        <w:t>优化财政支出结构，加大对高标准农田建设的投入力度，盘活新增建设用地土地有偿使用费及其他涉农结余转存资金。地方政府要认真落实土地出让金、新建设用地土地有偿使用费、新增耕地指标跨区域调剂收益、农业重点工程建设资金等用于农业的各项政策规定资金，整合投入高标准农田建设，拓展高标准农田建设资金投入渠道。</w:t>
      </w:r>
    </w:p>
    <w:p>
      <w:pPr>
        <w:ind w:firstLine="640"/>
        <w:rPr>
          <w:sz w:val="32"/>
          <w:szCs w:val="32"/>
        </w:rPr>
      </w:pPr>
      <w:r>
        <w:rPr>
          <w:rFonts w:hint="eastAsia"/>
          <w:sz w:val="32"/>
          <w:szCs w:val="32"/>
        </w:rPr>
        <w:t>采取政府和社会资本合作、设立基金、贷款贴息、先建后补等方式，调动社会力量积极性，共同参与高标准农田建设和管护。鼓励和引导商业性、政策性、开发性等各类金融机构在依法合规、风险可控的前提下，积极为高标准农田建设提供信贷支持等金融服务。各乡镇可探索实行委托代建、特许经营和购买服务等方式，支持专业大户、家庭农场、农民合作社和农业企业等新型经营主体和工商资本投资建设高标准农田。对于利用社会资金加快高标准农田建设的乡镇，在下一步提升农田建设予以倾斜。</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91" w:name="_Toc31903"/>
      <w:r>
        <w:rPr>
          <w:rFonts w:hint="eastAsia" w:ascii="Times New Roman" w:hAnsi="Times New Roman" w:cs="Times New Roman"/>
          <w:kern w:val="2"/>
          <w:sz w:val="32"/>
        </w:rPr>
        <w:t>8.4强化科技支撑</w:t>
      </w:r>
      <w:bookmarkEnd w:id="291"/>
    </w:p>
    <w:p>
      <w:pPr>
        <w:ind w:firstLine="640"/>
        <w:rPr>
          <w:sz w:val="32"/>
          <w:szCs w:val="32"/>
        </w:rPr>
      </w:pPr>
      <w:r>
        <w:rPr>
          <w:rFonts w:hint="eastAsia"/>
          <w:sz w:val="32"/>
          <w:szCs w:val="32"/>
        </w:rPr>
        <w:t>结合我县实际，积极推广应用一批高标准农田建设先进适用技术，加强工程建设与农机农艺技术的集成和应用，加大对高标准农田建设相关的勘察设计、工程施工和监理、项目管理等技术支撑；搭建数字监测平台，通过对农田土壤、气象信息、水质条件、生物信息等农业资源与生态环境质量关键性指标开展长期跟踪监测，持续获取稳定、综合的原始资料和基础数据，为改善我县农业生态环境，实现区域农业绿色发展提供科技支撑。</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92" w:name="_Toc26680"/>
      <w:r>
        <w:rPr>
          <w:rFonts w:hint="eastAsia" w:ascii="Times New Roman" w:hAnsi="Times New Roman" w:cs="Times New Roman"/>
          <w:kern w:val="2"/>
          <w:sz w:val="32"/>
        </w:rPr>
        <w:t>8.5完善监督考核</w:t>
      </w:r>
      <w:bookmarkEnd w:id="292"/>
    </w:p>
    <w:p>
      <w:pPr>
        <w:ind w:firstLine="640"/>
        <w:rPr>
          <w:sz w:val="32"/>
          <w:szCs w:val="32"/>
        </w:rPr>
      </w:pPr>
      <w:r>
        <w:rPr>
          <w:rFonts w:hint="eastAsia"/>
          <w:sz w:val="32"/>
          <w:szCs w:val="32"/>
        </w:rPr>
        <w:t>完善高标准农田评价指标，适时开展部门联合督查，对高标准农田情况进行评价和考核并建立奖惩机制，对农业发展中取得显著成绩的单位和个人，按照有关规定给予表彰，对落实不力的进行问责，建立良田粮用的效益补贴机制、农田休养生息的利益补偿机制和农地质量损害的惩罚退出机制。</w:t>
      </w:r>
    </w:p>
    <w:p>
      <w:pPr>
        <w:pStyle w:val="3"/>
        <w:widowControl w:val="0"/>
        <w:adjustRightInd/>
        <w:snapToGrid/>
        <w:spacing w:before="260" w:beforeLines="0" w:after="260" w:line="360" w:lineRule="auto"/>
        <w:jc w:val="both"/>
        <w:rPr>
          <w:rFonts w:ascii="Times New Roman" w:hAnsi="Times New Roman" w:cs="Times New Roman"/>
          <w:kern w:val="2"/>
          <w:sz w:val="32"/>
        </w:rPr>
      </w:pPr>
      <w:bookmarkStart w:id="293" w:name="_Toc23143"/>
      <w:r>
        <w:rPr>
          <w:rFonts w:hint="eastAsia" w:ascii="Times New Roman" w:hAnsi="Times New Roman" w:cs="Times New Roman"/>
          <w:kern w:val="2"/>
          <w:sz w:val="32"/>
        </w:rPr>
        <w:t>8.6加强队伍建设</w:t>
      </w:r>
      <w:bookmarkEnd w:id="293"/>
    </w:p>
    <w:p>
      <w:pPr>
        <w:ind w:firstLine="640"/>
        <w:rPr>
          <w:rFonts w:ascii="仿宋_GB2312" w:eastAsia="仿宋_GB2312"/>
          <w:sz w:val="32"/>
          <w:szCs w:val="32"/>
        </w:rPr>
      </w:pPr>
      <w:r>
        <w:rPr>
          <w:rFonts w:hint="eastAsia" w:ascii="仿宋_GB2312" w:eastAsia="仿宋_GB2312"/>
          <w:sz w:val="32"/>
          <w:szCs w:val="32"/>
        </w:rPr>
        <w:t>高标准农田建设工作是一项涉及面较广的系统工程，需要有关部门齐抓共管，密切配合。为顺利推进茶陵县高标准农田建设（2021-2030年）工作，县人民政府成立高标准农田建设领导小组，对项目实施统一管理。领导小组由县长任组长，分管农业农村工作的副县长任副组长，发改、农业农村、自然资源、财政、住建、交通、水利、电力、能源、环保等部门及各乡镇政府负责人为成员。</w:t>
      </w:r>
    </w:p>
    <w:p>
      <w:pPr>
        <w:ind w:firstLine="640"/>
        <w:rPr>
          <w:rFonts w:ascii="仿宋_GB2312" w:eastAsia="仿宋_GB2312"/>
          <w:sz w:val="32"/>
          <w:szCs w:val="32"/>
        </w:rPr>
      </w:pPr>
      <w:r>
        <w:rPr>
          <w:rFonts w:hint="eastAsia" w:ascii="仿宋_GB2312" w:eastAsia="仿宋_GB2312"/>
          <w:sz w:val="32"/>
          <w:szCs w:val="32"/>
        </w:rPr>
        <w:t>领导小组下设办公室，办公室设在茶陵县农业农村局，负责组织指导和综合协调工作。各乡镇政府负责高标准农田建设项目区的基本情况调查、土地权属调整、集体经济利益调整、群众发动、新村建设和项目实施的协调等工作。</w:t>
      </w:r>
    </w:p>
    <w:p>
      <w:pPr>
        <w:widowControl/>
        <w:ind w:firstLine="0" w:firstLineChars="0"/>
        <w:jc w:val="left"/>
        <w:rPr>
          <w:rFonts w:ascii="仿宋_GB2312" w:eastAsia="仿宋_GB2312"/>
          <w:sz w:val="32"/>
          <w:szCs w:val="32"/>
        </w:rPr>
      </w:pPr>
      <w:r>
        <w:rPr>
          <w:rFonts w:ascii="仿宋_GB2312" w:eastAsia="仿宋_GB2312"/>
          <w:sz w:val="32"/>
          <w:szCs w:val="32"/>
        </w:rPr>
        <w:br w:type="page"/>
      </w:r>
    </w:p>
    <w:p>
      <w:pPr>
        <w:pStyle w:val="2"/>
        <w:widowControl w:val="0"/>
        <w:adjustRightInd/>
        <w:snapToGrid/>
        <w:spacing w:before="340" w:after="330" w:line="360" w:lineRule="auto"/>
        <w:rPr>
          <w:rFonts w:cs="Times New Roman"/>
          <w:szCs w:val="32"/>
        </w:rPr>
      </w:pPr>
      <w:bookmarkStart w:id="294" w:name="_Toc5657"/>
      <w:r>
        <w:rPr>
          <w:rFonts w:hint="eastAsia" w:cs="Times New Roman"/>
          <w:szCs w:val="32"/>
        </w:rPr>
        <w:t>附表</w:t>
      </w:r>
      <w:bookmarkEnd w:id="294"/>
    </w:p>
    <w:p>
      <w:pPr>
        <w:ind w:firstLine="0" w:firstLineChars="0"/>
        <w:rPr>
          <w:rFonts w:ascii="仿宋_GB2312" w:eastAsia="仿宋_GB2312"/>
          <w:sz w:val="32"/>
          <w:szCs w:val="32"/>
        </w:rPr>
      </w:pPr>
      <w:r>
        <w:rPr>
          <w:rFonts w:hint="eastAsia" w:ascii="仿宋_GB2312" w:eastAsia="仿宋_GB2312"/>
          <w:sz w:val="32"/>
          <w:szCs w:val="32"/>
        </w:rPr>
        <w:t>附表1  已建高标准农田清单（至2020年）</w:t>
      </w:r>
    </w:p>
    <w:p>
      <w:pPr>
        <w:ind w:firstLine="0" w:firstLineChars="0"/>
        <w:rPr>
          <w:rFonts w:ascii="仿宋_GB2312" w:eastAsia="仿宋_GB2312"/>
          <w:sz w:val="32"/>
          <w:szCs w:val="32"/>
        </w:rPr>
      </w:pPr>
      <w:r>
        <w:rPr>
          <w:rFonts w:hint="eastAsia" w:ascii="仿宋_GB2312" w:eastAsia="仿宋_GB2312"/>
          <w:sz w:val="32"/>
          <w:szCs w:val="32"/>
        </w:rPr>
        <w:t>附表2  规划主要指标表</w:t>
      </w:r>
    </w:p>
    <w:p>
      <w:pPr>
        <w:ind w:firstLine="0" w:firstLineChars="0"/>
        <w:rPr>
          <w:rFonts w:ascii="仿宋_GB2312" w:eastAsia="仿宋_GB2312"/>
          <w:sz w:val="32"/>
          <w:szCs w:val="32"/>
        </w:rPr>
      </w:pPr>
      <w:r>
        <w:rPr>
          <w:rFonts w:hint="eastAsia" w:ascii="仿宋_GB2312" w:eastAsia="仿宋_GB2312"/>
          <w:sz w:val="32"/>
          <w:szCs w:val="32"/>
        </w:rPr>
        <w:t>附表3  规划项目库</w:t>
      </w:r>
    </w:p>
    <w:p>
      <w:pPr>
        <w:ind w:firstLine="0" w:firstLineChars="0"/>
        <w:rPr>
          <w:rFonts w:ascii="仿宋_GB2312" w:eastAsia="仿宋_GB2312"/>
          <w:sz w:val="32"/>
          <w:szCs w:val="32"/>
        </w:rPr>
      </w:pPr>
      <w:r>
        <w:rPr>
          <w:rFonts w:hint="eastAsia" w:ascii="仿宋_GB2312" w:eastAsia="仿宋_GB2312"/>
          <w:sz w:val="32"/>
          <w:szCs w:val="32"/>
        </w:rPr>
        <w:t>附表4  各村耕地面积与已建高标准农田面积统计表</w:t>
      </w:r>
    </w:p>
    <w:p>
      <w:pPr>
        <w:ind w:firstLine="0" w:firstLineChars="0"/>
        <w:rPr>
          <w:rFonts w:ascii="仿宋_GB2312" w:eastAsia="仿宋_GB2312"/>
          <w:sz w:val="32"/>
          <w:szCs w:val="32"/>
        </w:rPr>
      </w:pPr>
    </w:p>
    <w:p>
      <w:pPr>
        <w:widowControl/>
        <w:spacing w:line="240" w:lineRule="auto"/>
        <w:ind w:firstLine="0" w:firstLineChars="0"/>
        <w:jc w:val="left"/>
        <w:rPr>
          <w:rFonts w:ascii="仿宋_GB2312" w:eastAsia="仿宋_GB2312"/>
          <w:sz w:val="32"/>
          <w:szCs w:val="32"/>
        </w:rPr>
      </w:pPr>
      <w:r>
        <w:rPr>
          <w:rFonts w:ascii="仿宋_GB2312" w:eastAsia="仿宋_GB2312"/>
          <w:sz w:val="32"/>
          <w:szCs w:val="32"/>
        </w:rPr>
        <w:br w:type="page"/>
      </w:r>
    </w:p>
    <w:p>
      <w:pPr>
        <w:ind w:firstLine="0" w:firstLineChars="0"/>
        <w:rPr>
          <w:rFonts w:ascii="仿宋_GB2312" w:eastAsia="仿宋_GB2312"/>
          <w:sz w:val="32"/>
          <w:szCs w:val="32"/>
        </w:rPr>
        <w:sectPr>
          <w:pgSz w:w="11906" w:h="16838"/>
          <w:pgMar w:top="1440" w:right="1800" w:bottom="1440" w:left="1800" w:header="851" w:footer="992" w:gutter="0"/>
          <w:pgNumType w:start="1"/>
          <w:cols w:space="425" w:num="1"/>
          <w:docGrid w:type="lines" w:linePitch="312" w:charSpace="0"/>
        </w:sectPr>
      </w:pPr>
    </w:p>
    <w:p>
      <w:pPr>
        <w:ind w:firstLine="0" w:firstLineChars="0"/>
        <w:jc w:val="center"/>
        <w:rPr>
          <w:rFonts w:ascii="仿宋_GB2312" w:eastAsia="仿宋_GB2312"/>
          <w:b/>
          <w:sz w:val="32"/>
          <w:szCs w:val="32"/>
        </w:rPr>
      </w:pPr>
      <w:r>
        <w:rPr>
          <w:rFonts w:hint="eastAsia" w:ascii="仿宋_GB2312" w:eastAsia="仿宋_GB2312"/>
          <w:b/>
          <w:sz w:val="32"/>
          <w:szCs w:val="32"/>
        </w:rPr>
        <w:t>附表1  已建高标准农田清单（至2020年）</w:t>
      </w:r>
    </w:p>
    <w:tbl>
      <w:tblPr>
        <w:tblStyle w:val="17"/>
        <w:tblW w:w="5400" w:type="pct"/>
        <w:tblInd w:w="-4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08"/>
        <w:gridCol w:w="1002"/>
        <w:gridCol w:w="4104"/>
        <w:gridCol w:w="1130"/>
        <w:gridCol w:w="1136"/>
        <w:gridCol w:w="1366"/>
        <w:gridCol w:w="1467"/>
        <w:gridCol w:w="1418"/>
        <w:gridCol w:w="1703"/>
        <w:gridCol w:w="127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 w:hRule="atLeast"/>
          <w:tblHeader/>
        </w:trPr>
        <w:tc>
          <w:tcPr>
            <w:tcW w:w="231" w:type="pct"/>
            <w:shd w:val="clear" w:color="auto" w:fill="auto"/>
            <w:vAlign w:val="center"/>
          </w:tcPr>
          <w:p>
            <w:pPr>
              <w:widowControl/>
              <w:spacing w:line="240" w:lineRule="auto"/>
              <w:ind w:firstLine="0" w:firstLineChars="0"/>
              <w:rPr>
                <w:rFonts w:eastAsiaTheme="minorEastAsia"/>
                <w:b/>
                <w:kern w:val="0"/>
                <w:sz w:val="21"/>
                <w:szCs w:val="21"/>
              </w:rPr>
            </w:pPr>
            <w:r>
              <w:rPr>
                <w:rFonts w:eastAsiaTheme="minorEastAsia"/>
                <w:b/>
                <w:kern w:val="0"/>
                <w:sz w:val="21"/>
                <w:szCs w:val="21"/>
              </w:rPr>
              <w:t>序号</w:t>
            </w:r>
          </w:p>
        </w:tc>
        <w:tc>
          <w:tcPr>
            <w:tcW w:w="327"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项目原主管部门</w:t>
            </w:r>
          </w:p>
        </w:tc>
        <w:tc>
          <w:tcPr>
            <w:tcW w:w="1340"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项目名称</w:t>
            </w:r>
          </w:p>
        </w:tc>
        <w:tc>
          <w:tcPr>
            <w:tcW w:w="369"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建设任务所属年度</w:t>
            </w:r>
          </w:p>
        </w:tc>
        <w:tc>
          <w:tcPr>
            <w:tcW w:w="371"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建成年度</w:t>
            </w:r>
          </w:p>
        </w:tc>
        <w:tc>
          <w:tcPr>
            <w:tcW w:w="446"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项目所在乡镇</w:t>
            </w:r>
          </w:p>
        </w:tc>
        <w:tc>
          <w:tcPr>
            <w:tcW w:w="479"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高标准农田建成面积(亩)</w:t>
            </w:r>
          </w:p>
        </w:tc>
        <w:tc>
          <w:tcPr>
            <w:tcW w:w="463"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总投资（万元）</w:t>
            </w:r>
          </w:p>
        </w:tc>
        <w:tc>
          <w:tcPr>
            <w:tcW w:w="556"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工程运行情况</w:t>
            </w:r>
          </w:p>
        </w:tc>
        <w:tc>
          <w:tcPr>
            <w:tcW w:w="416" w:type="pct"/>
            <w:shd w:val="clear" w:color="auto" w:fill="auto"/>
            <w:vAlign w:val="center"/>
          </w:tcPr>
          <w:p>
            <w:pPr>
              <w:widowControl/>
              <w:spacing w:line="240" w:lineRule="auto"/>
              <w:ind w:firstLine="0" w:firstLineChars="0"/>
              <w:jc w:val="center"/>
              <w:rPr>
                <w:rFonts w:eastAsiaTheme="minorEastAsia"/>
                <w:b/>
                <w:kern w:val="0"/>
                <w:sz w:val="21"/>
                <w:szCs w:val="21"/>
              </w:rPr>
            </w:pPr>
            <w:r>
              <w:rPr>
                <w:rFonts w:eastAsiaTheme="minorEastAsia"/>
                <w:b/>
                <w:kern w:val="0"/>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茶陵县浣溪镇白露村土地整理项目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浣溪镇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1185.00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387.49</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2011年茶陵县枣市镇枣园等二个村土地综合整治示范项目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5053.71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1622.95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2011年茶陵县平水镇黄石村土地综合整治项目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平水镇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2097.78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698.77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茶陵县马江镇塘富村等六个村土地整合整治示范项目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马江镇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9300.00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3468.92</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茶陵县秩堂镇合户村等三个村土地整治项目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10475.00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2090.95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茶陵县湖口镇芜枧村灾毁耕地复垦补助资金项目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556.00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78.97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7</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茶陵县湖口镇芜枧、妙石等四个村土地整治项目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4611.00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681.49</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8</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茶陵县枣市镇车陂村农村土地整治项目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2148.00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314.52</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9</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茶陵县枣市镇洞头等两个村土地综合整治项目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6351.00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1360.07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10</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茶陵县令舫乡中洲等三个村灾毁耕地复垦补助资金项目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令舫乡</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1172.40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145.89</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茶陵县舲舫乡洮水村损毁土地复垦项目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令舫乡</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478.00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305.64</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茶陵县腰陂镇石陂村等二个村灾毁耕地复垦项目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腰陂镇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2000.10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371.62</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茶陵县枣市镇灵官村土地整治项目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1659.00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254.1</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茶陵县严塘镇沙溪村土地整治项目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1315.05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232.05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15</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茶陵县舲舫乡张杨村土地复垦项目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舲舫乡</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192.00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107.55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16</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茶陵县湖口镇米渡村土地复垦项目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216.00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135.97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17</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2012年度茶陵县高陇镇、秩堂镇土地整治项目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高陇镇、秩堂镇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33470.10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6417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18</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茶陵县腰陂镇腰陂村等十五个村农村土地整治项目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腰陂镇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27930.00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6813.25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19</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茶陵县秩堂镇沂江村土地复垦项目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249.00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179.71</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茶陵县秩堂镇大湖村等三个村农村土地整治项目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1169.55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273.77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茶陵县火田镇、严塘镇土地整治项目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火田镇、严塘镇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33721.00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7724.33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茶陵县平水镇水源村农村土地整治项目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平水镇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1867.05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275.62</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茶陵县舲舫乡、湖口镇高标准农田建设项目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舲舫乡、湖口镇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10000.05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1499.93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茶陵县2017年度湖口镇高标准农田建设项目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14952.45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2575.11</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25</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茶陵县界首镇、枣市镇综合改革试点县高标准农田建设项目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界首镇、枣市镇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34574.00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4398.4</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26</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茶陵县马江镇等四个乡镇综合改革试点县高标准农田建设项目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马江镇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17805.00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2410.68</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27</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茶陵县虎踞镇三门村旱改水项目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258.45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156</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28</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2017年茶陵县湖口镇洣渡村“旱改水”项目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230.55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135.97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29</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茶陵县洣江街道洣瑶社区土地复垦项目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2019</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洣江街道</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243.93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116.84</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30</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国土</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茶陵县2018年度虎踞镇、腰陂镇等六个乡镇省级投资高标准农田建设项目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2019</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虎踞镇、腰陂镇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33515.00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5760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农业</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茶陵县枣市镇、潞水镇、界首镇田家等16个村田间工程建设项目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枣市镇、潞水镇、界首镇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8826.00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400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茶陵县2012年度小型农田水利重点县建设项目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思聪街道、腰潞镇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2502.00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2481.25</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茶陵县2013年度小型农田水利重点县建设项目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5665.00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2426.58</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茶陵县2014年度小型农田水利重点县建设项目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5221.00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2470.51</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35</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茶陵县2015年度中央财政农田水利建设项目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舲舫乡、马江镇、利民办事处</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10855.00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1713.06</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36</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株洲茶陵虎踞镇西屏村、小水村等11个村农水项目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9280.00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1283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37</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水利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茶陵县高标准农田建设2017年度高效节水灌溉项目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4000.00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640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38</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茶陵县2013年新增粮食生产能力规划田间工程</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虎踞镇、思聪街道、下东乡、湖口镇、利民办事处</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17928.00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1273.132</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39</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茶陵县2014年新增粮食生产能力规划田间工程</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洣江街道</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4342.00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750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40</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茶陵县2015年新增粮食生产能力规划田间工程</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洣江街道、腰潞镇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8764.00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1215.33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茶陵县田间工程建设项目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虎踞镇、洣江街道、腰潞镇、严塘镇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17802.00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2875.3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茶陵县新增千亿斤粮食产能田间工程项目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湖口镇、利民办事处</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8488.00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1231.73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发展改革</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茶陵县2018年新增粮食生产能力规划田间工程</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2019</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高陇镇、秩堂镇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14861.00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2550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茶陵县洣江乡中低产田改造项目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2012</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洣江乡</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9295.00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1097.67</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45</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茶陵县枣市镇高标准农田示范工程项目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枣市镇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11000.00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1574.3</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46</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茶陵县下东乡高标准农田示范工程项目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下东乡</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8935.77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1527.8</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47</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株洲市茶陵县虎踞镇高标准农田建设项目（第二批）</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2015</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虎踞镇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1000.00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140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48</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株洲市茶陵县严塘镇高标准农田建设项目（第二批）</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3782.00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546</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49</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株洲市茶陵县严塘镇高标准农田建设项目（第一批）</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2016</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严塘镇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7595.00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1148</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50</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株洲市茶陵县思聪街道、腰潞镇潞水片高标准农田建设项目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2017</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思聪街道、腰潞镇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23636.00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3536</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51</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财政(农发)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茶陵县2018年度秩堂镇高标准农田建设项目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2018</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2019</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秩堂镇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15600.00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2280</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52</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烟草</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茶陵县2013年度现代烟草农业腰陂基地单元玄武项目区基本烟田土地整理项目</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2013</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2014</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马江镇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2110.50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858.0168</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需要提质改造</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53</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农业农村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株洲市茶陵县腰潞镇等2个乡镇高标准农田建设项目（二0一九年）</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2019</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2020</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腰潞镇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25000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4499.40 </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54</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农业农村</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株洲市茶陵县界首镇等3个乡镇高标准农田建设项目（二0二0年）</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2020</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2021</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界首镇</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30300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5102.00 </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运行良好</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3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327"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合计</w:t>
            </w:r>
          </w:p>
        </w:tc>
        <w:tc>
          <w:tcPr>
            <w:tcW w:w="1340"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36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371"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44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479"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xml:space="preserve">345647 </w:t>
            </w:r>
          </w:p>
        </w:tc>
        <w:tc>
          <w:tcPr>
            <w:tcW w:w="463"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55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c>
          <w:tcPr>
            <w:tcW w:w="416" w:type="pct"/>
            <w:shd w:val="clear" w:color="auto" w:fill="auto"/>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　</w:t>
            </w:r>
          </w:p>
        </w:tc>
      </w:tr>
    </w:tbl>
    <w:p>
      <w:pPr>
        <w:ind w:firstLine="0" w:firstLineChars="0"/>
        <w:rPr>
          <w:rFonts w:ascii="仿宋_GB2312" w:eastAsia="仿宋_GB2312"/>
          <w:sz w:val="32"/>
          <w:szCs w:val="32"/>
        </w:rPr>
      </w:pPr>
    </w:p>
    <w:p>
      <w:pPr>
        <w:ind w:firstLine="0" w:firstLineChars="0"/>
        <w:rPr>
          <w:rFonts w:ascii="仿宋_GB2312" w:eastAsia="仿宋_GB2312"/>
          <w:sz w:val="32"/>
          <w:szCs w:val="32"/>
        </w:rPr>
      </w:pPr>
    </w:p>
    <w:p>
      <w:pPr>
        <w:ind w:firstLine="0" w:firstLineChars="0"/>
        <w:rPr>
          <w:rFonts w:ascii="仿宋_GB2312" w:eastAsia="仿宋_GB2312"/>
          <w:sz w:val="32"/>
          <w:szCs w:val="32"/>
        </w:rPr>
        <w:sectPr>
          <w:pgSz w:w="16838" w:h="11906" w:orient="landscape"/>
          <w:pgMar w:top="1797" w:right="1440" w:bottom="1797" w:left="1440" w:header="851" w:footer="992" w:gutter="0"/>
          <w:cols w:space="425" w:num="1"/>
          <w:docGrid w:type="linesAndChars" w:linePitch="312" w:charSpace="0"/>
        </w:sectPr>
      </w:pPr>
    </w:p>
    <w:p>
      <w:pPr>
        <w:ind w:firstLine="0" w:firstLineChars="0"/>
        <w:jc w:val="center"/>
        <w:rPr>
          <w:rFonts w:ascii="仿宋_GB2312" w:eastAsia="仿宋_GB2312"/>
          <w:b/>
          <w:sz w:val="32"/>
          <w:szCs w:val="32"/>
        </w:rPr>
      </w:pPr>
      <w:r>
        <w:rPr>
          <w:rFonts w:hint="eastAsia" w:ascii="仿宋_GB2312" w:eastAsia="仿宋_GB2312"/>
          <w:b/>
          <w:sz w:val="32"/>
          <w:szCs w:val="32"/>
        </w:rPr>
        <w:t>附表2  规划主要指标表</w:t>
      </w:r>
    </w:p>
    <w:tbl>
      <w:tblPr>
        <w:tblStyle w:val="17"/>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38"/>
        <w:gridCol w:w="2523"/>
        <w:gridCol w:w="4521"/>
        <w:gridCol w:w="8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5" w:hRule="atLeast"/>
        </w:trPr>
        <w:tc>
          <w:tcPr>
            <w:tcW w:w="362" w:type="pct"/>
            <w:shd w:val="clear" w:color="auto" w:fill="auto"/>
            <w:noWrap/>
            <w:vAlign w:val="center"/>
          </w:tcPr>
          <w:p>
            <w:pPr>
              <w:widowControl/>
              <w:spacing w:line="240" w:lineRule="auto"/>
              <w:ind w:firstLine="0" w:firstLineChars="0"/>
              <w:rPr>
                <w:rFonts w:eastAsiaTheme="minorEastAsia"/>
                <w:b/>
                <w:bCs/>
                <w:color w:val="000000"/>
                <w:kern w:val="0"/>
                <w:sz w:val="21"/>
                <w:szCs w:val="21"/>
              </w:rPr>
            </w:pPr>
            <w:r>
              <w:rPr>
                <w:rFonts w:eastAsiaTheme="minorEastAsia"/>
                <w:b/>
                <w:bCs/>
                <w:color w:val="000000"/>
                <w:kern w:val="0"/>
                <w:sz w:val="21"/>
                <w:szCs w:val="21"/>
              </w:rPr>
              <w:t>序号</w:t>
            </w:r>
          </w:p>
        </w:tc>
        <w:tc>
          <w:tcPr>
            <w:tcW w:w="1628"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指标</w:t>
            </w:r>
          </w:p>
        </w:tc>
        <w:tc>
          <w:tcPr>
            <w:tcW w:w="2531"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目标值</w:t>
            </w:r>
          </w:p>
        </w:tc>
        <w:tc>
          <w:tcPr>
            <w:tcW w:w="478" w:type="pct"/>
            <w:shd w:val="clear" w:color="auto" w:fill="auto"/>
            <w:noWrap/>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属性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restar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w:t>
            </w:r>
          </w:p>
        </w:tc>
        <w:tc>
          <w:tcPr>
            <w:tcW w:w="1628" w:type="pct"/>
            <w:vMerge w:val="restar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高标准农田建设</w:t>
            </w:r>
          </w:p>
        </w:tc>
        <w:tc>
          <w:tcPr>
            <w:tcW w:w="2531"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到2022 年累计建成高标准农田40.68万亩</w:t>
            </w:r>
          </w:p>
        </w:tc>
        <w:tc>
          <w:tcPr>
            <w:tcW w:w="478"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628"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531"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到2025 年累计建成高标准农田42.21万亩</w:t>
            </w:r>
          </w:p>
        </w:tc>
        <w:tc>
          <w:tcPr>
            <w:tcW w:w="478"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628"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531"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到2025 年累计改造提升高标准农田4.89万亩</w:t>
            </w:r>
          </w:p>
        </w:tc>
        <w:tc>
          <w:tcPr>
            <w:tcW w:w="478"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628"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531"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到2030 年累计建成高标准农田42.45万亩</w:t>
            </w:r>
          </w:p>
        </w:tc>
        <w:tc>
          <w:tcPr>
            <w:tcW w:w="478"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628"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531"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到2030 年累计改造提升高标准农田19.73万亩</w:t>
            </w:r>
          </w:p>
        </w:tc>
        <w:tc>
          <w:tcPr>
            <w:tcW w:w="478"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约束性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w:t>
            </w:r>
          </w:p>
        </w:tc>
        <w:tc>
          <w:tcPr>
            <w:tcW w:w="1628" w:type="pc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高效节水灌溉建设</w:t>
            </w:r>
          </w:p>
        </w:tc>
        <w:tc>
          <w:tcPr>
            <w:tcW w:w="2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2021-2030 年新增高效节水灌溉面积1.57万亩</w:t>
            </w:r>
          </w:p>
        </w:tc>
        <w:tc>
          <w:tcPr>
            <w:tcW w:w="478"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restar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3</w:t>
            </w:r>
          </w:p>
        </w:tc>
        <w:tc>
          <w:tcPr>
            <w:tcW w:w="1628" w:type="pct"/>
            <w:vMerge w:val="restart"/>
            <w:shd w:val="clear" w:color="auto" w:fill="auto"/>
            <w:noWrap/>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新增粮食综合生产能力</w:t>
            </w:r>
          </w:p>
        </w:tc>
        <w:tc>
          <w:tcPr>
            <w:tcW w:w="2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新增高标准农田亩均产能提高50公斤</w:t>
            </w:r>
          </w:p>
        </w:tc>
        <w:tc>
          <w:tcPr>
            <w:tcW w:w="478"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1628" w:type="pct"/>
            <w:vMerge w:val="continue"/>
            <w:vAlign w:val="center"/>
          </w:tcPr>
          <w:p>
            <w:pPr>
              <w:widowControl/>
              <w:spacing w:line="240" w:lineRule="auto"/>
              <w:ind w:firstLine="0" w:firstLineChars="0"/>
              <w:jc w:val="left"/>
              <w:rPr>
                <w:rFonts w:eastAsiaTheme="minorEastAsia"/>
                <w:color w:val="000000"/>
                <w:kern w:val="0"/>
                <w:sz w:val="21"/>
                <w:szCs w:val="21"/>
              </w:rPr>
            </w:pPr>
          </w:p>
        </w:tc>
        <w:tc>
          <w:tcPr>
            <w:tcW w:w="2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改造提升高标准农田产能不低于当地高标准农田产能的平均水平</w:t>
            </w:r>
          </w:p>
        </w:tc>
        <w:tc>
          <w:tcPr>
            <w:tcW w:w="478"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0" w:hRule="atLeast"/>
        </w:trPr>
        <w:tc>
          <w:tcPr>
            <w:tcW w:w="362" w:type="pct"/>
            <w:shd w:val="clear" w:color="auto" w:fill="auto"/>
            <w:noWrap/>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w:t>
            </w:r>
          </w:p>
        </w:tc>
        <w:tc>
          <w:tcPr>
            <w:tcW w:w="1628"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建成高标准农田上图入库覆盖率</w:t>
            </w:r>
          </w:p>
        </w:tc>
        <w:tc>
          <w:tcPr>
            <w:tcW w:w="2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100%</w:t>
            </w:r>
          </w:p>
        </w:tc>
        <w:tc>
          <w:tcPr>
            <w:tcW w:w="478" w:type="pct"/>
            <w:shd w:val="clear" w:color="auto" w:fill="auto"/>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可选</w:t>
            </w:r>
          </w:p>
        </w:tc>
      </w:tr>
    </w:tbl>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pPr>
    </w:p>
    <w:p>
      <w:pPr>
        <w:ind w:firstLine="0" w:firstLineChars="0"/>
        <w:rPr>
          <w:rFonts w:ascii="仿宋_GB2312" w:eastAsia="仿宋_GB2312"/>
          <w:sz w:val="21"/>
          <w:szCs w:val="21"/>
        </w:rPr>
        <w:sectPr>
          <w:pgSz w:w="11906" w:h="16838"/>
          <w:pgMar w:top="1440" w:right="1797" w:bottom="1440" w:left="1797" w:header="851" w:footer="992" w:gutter="0"/>
          <w:cols w:space="425" w:num="1"/>
          <w:docGrid w:type="lines" w:linePitch="312" w:charSpace="0"/>
        </w:sectPr>
      </w:pPr>
    </w:p>
    <w:p>
      <w:pPr>
        <w:ind w:firstLine="0" w:firstLineChars="0"/>
        <w:jc w:val="center"/>
        <w:rPr>
          <w:rFonts w:ascii="仿宋_GB2312" w:eastAsia="仿宋_GB2312"/>
          <w:b/>
          <w:sz w:val="32"/>
          <w:szCs w:val="32"/>
        </w:rPr>
      </w:pPr>
      <w:r>
        <w:rPr>
          <w:rFonts w:hint="eastAsia" w:ascii="仿宋_GB2312" w:eastAsia="仿宋_GB2312"/>
          <w:b/>
          <w:sz w:val="32"/>
          <w:szCs w:val="32"/>
        </w:rPr>
        <w:t>附表3  规划项目库</w:t>
      </w:r>
    </w:p>
    <w:tbl>
      <w:tblPr>
        <w:tblStyle w:val="17"/>
        <w:tblW w:w="5400" w:type="pct"/>
        <w:tblInd w:w="-4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04"/>
        <w:gridCol w:w="774"/>
        <w:gridCol w:w="1626"/>
        <w:gridCol w:w="805"/>
        <w:gridCol w:w="823"/>
        <w:gridCol w:w="1381"/>
        <w:gridCol w:w="2895"/>
        <w:gridCol w:w="636"/>
        <w:gridCol w:w="444"/>
        <w:gridCol w:w="899"/>
        <w:gridCol w:w="922"/>
        <w:gridCol w:w="993"/>
        <w:gridCol w:w="849"/>
        <w:gridCol w:w="705"/>
        <w:gridCol w:w="8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blHeader/>
        </w:trPr>
        <w:tc>
          <w:tcPr>
            <w:tcW w:w="230" w:type="pct"/>
            <w:vMerge w:val="restart"/>
            <w:shd w:val="clear" w:color="000000" w:fill="FFFFFF"/>
            <w:vAlign w:val="center"/>
          </w:tcPr>
          <w:p>
            <w:pPr>
              <w:widowControl/>
              <w:spacing w:line="240" w:lineRule="auto"/>
              <w:ind w:firstLine="0" w:firstLineChars="0"/>
              <w:rPr>
                <w:rFonts w:eastAsiaTheme="minorEastAsia"/>
                <w:b/>
                <w:bCs/>
                <w:color w:val="000000"/>
                <w:kern w:val="0"/>
                <w:sz w:val="21"/>
                <w:szCs w:val="21"/>
              </w:rPr>
            </w:pPr>
            <w:r>
              <w:rPr>
                <w:rFonts w:eastAsiaTheme="minorEastAsia"/>
                <w:b/>
                <w:bCs/>
                <w:color w:val="000000"/>
                <w:kern w:val="0"/>
                <w:sz w:val="21"/>
                <w:szCs w:val="21"/>
              </w:rPr>
              <w:t>序号</w:t>
            </w:r>
          </w:p>
        </w:tc>
        <w:tc>
          <w:tcPr>
            <w:tcW w:w="253"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规划年度</w:t>
            </w:r>
          </w:p>
        </w:tc>
        <w:tc>
          <w:tcPr>
            <w:tcW w:w="531"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项目名称</w:t>
            </w:r>
          </w:p>
        </w:tc>
        <w:tc>
          <w:tcPr>
            <w:tcW w:w="263"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建设地点</w:t>
            </w:r>
          </w:p>
        </w:tc>
        <w:tc>
          <w:tcPr>
            <w:tcW w:w="266"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建设类型</w:t>
            </w:r>
          </w:p>
        </w:tc>
        <w:tc>
          <w:tcPr>
            <w:tcW w:w="451"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建设规模</w:t>
            </w:r>
          </w:p>
        </w:tc>
        <w:tc>
          <w:tcPr>
            <w:tcW w:w="945"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建设内容</w:t>
            </w:r>
          </w:p>
        </w:tc>
        <w:tc>
          <w:tcPr>
            <w:tcW w:w="207"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建成年度</w:t>
            </w:r>
          </w:p>
        </w:tc>
        <w:tc>
          <w:tcPr>
            <w:tcW w:w="145"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主导产业</w:t>
            </w:r>
          </w:p>
        </w:tc>
        <w:tc>
          <w:tcPr>
            <w:tcW w:w="293"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亩均投资需求(元)</w:t>
            </w:r>
          </w:p>
        </w:tc>
        <w:tc>
          <w:tcPr>
            <w:tcW w:w="1409" w:type="pct"/>
            <w:gridSpan w:val="5"/>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投资构成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blHeader/>
        </w:trPr>
        <w:tc>
          <w:tcPr>
            <w:tcW w:w="230"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5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531"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6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66"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451"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945"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07"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145"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9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301" w:type="pct"/>
            <w:vMerge w:val="restar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合计（万元）</w:t>
            </w:r>
          </w:p>
        </w:tc>
        <w:tc>
          <w:tcPr>
            <w:tcW w:w="601" w:type="pct"/>
            <w:gridSpan w:val="2"/>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政府投入</w:t>
            </w:r>
          </w:p>
        </w:tc>
        <w:tc>
          <w:tcPr>
            <w:tcW w:w="506" w:type="pct"/>
            <w:gridSpan w:val="2"/>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其他投入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0" w:hRule="atLeast"/>
          <w:tblHeader/>
        </w:trPr>
        <w:tc>
          <w:tcPr>
            <w:tcW w:w="230"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5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531"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6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66"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451"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945"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07"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145"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293"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301" w:type="pct"/>
            <w:vMerge w:val="continue"/>
            <w:vAlign w:val="center"/>
          </w:tcPr>
          <w:p>
            <w:pPr>
              <w:widowControl/>
              <w:spacing w:line="240" w:lineRule="auto"/>
              <w:ind w:firstLine="0" w:firstLineChars="0"/>
              <w:jc w:val="left"/>
              <w:rPr>
                <w:rFonts w:eastAsiaTheme="minorEastAsia"/>
                <w:b/>
                <w:bCs/>
                <w:color w:val="000000"/>
                <w:kern w:val="0"/>
                <w:sz w:val="21"/>
                <w:szCs w:val="21"/>
              </w:rPr>
            </w:pPr>
          </w:p>
        </w:tc>
        <w:tc>
          <w:tcPr>
            <w:tcW w:w="324" w:type="pc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中央（万元）</w:t>
            </w:r>
          </w:p>
        </w:tc>
        <w:tc>
          <w:tcPr>
            <w:tcW w:w="276" w:type="pc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地方（万元）</w:t>
            </w:r>
          </w:p>
        </w:tc>
        <w:tc>
          <w:tcPr>
            <w:tcW w:w="230" w:type="pc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金融（万元）</w:t>
            </w:r>
          </w:p>
        </w:tc>
        <w:tc>
          <w:tcPr>
            <w:tcW w:w="275" w:type="pct"/>
            <w:shd w:val="clear" w:color="000000" w:fill="FFFFFF"/>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社会（万元）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2021</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茶陵县舲舫乡等3个乡镇高标准农田建设项目（二0二一年）</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舲舫乡、严塘镇、湖口镇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3.06</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建设高标准农田3.06万亩，其中高效节水灌溉0.15万亩。主要建设内容有土壤改良2.45万亩，改扩建山塘68座，拦河坝12座，新建、改造排灌站4个，衬砌硬化灌渠96条59.934km，衬砌排水渠26条11.256km，修建田间机耕路31条11.783km。土地平整235亩。</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2022</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1549.00</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4764</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4764</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2022</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株洲市茶陵县虎踞镇等3个乡镇合湖村等32个村高标准农田建设项目（二0二二年）</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虎踞镇、湖口镇、下东街道等3个乡镇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3.06</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土壤改良2.6万亩，改扩建山塘62座，拦河坝20座，新建、改造排灌站2个，衬砌硬化灌渠102条60.555km，衬砌排水渠41条22.27km，修建田间机耕路31条6.2km。土地平整1100亩。</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2023</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1600.00</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5216</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5216</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3</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2023</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株洲市茶陵县秩堂镇等3个乡镇高标准农田建设项目（二0二三年）</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秩堂镇、高陇镇、思聪街道</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w:t>
            </w:r>
            <w:r>
              <w:rPr>
                <w:rFonts w:eastAsiaTheme="minorEastAsia"/>
                <w:color w:val="000000"/>
                <w:kern w:val="0"/>
                <w:sz w:val="21"/>
                <w:szCs w:val="21"/>
              </w:rPr>
              <w:t>.</w:t>
            </w:r>
            <w:r>
              <w:rPr>
                <w:rFonts w:hint="eastAsia" w:eastAsiaTheme="minorEastAsia"/>
                <w:color w:val="000000"/>
                <w:kern w:val="0"/>
                <w:sz w:val="21"/>
                <w:szCs w:val="21"/>
              </w:rPr>
              <w:t>51</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2024</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3000.00</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4530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453</w:t>
            </w:r>
            <w:r>
              <w:rPr>
                <w:rFonts w:eastAsiaTheme="minorEastAsia"/>
                <w:color w:val="000000"/>
                <w:kern w:val="0"/>
                <w:sz w:val="21"/>
                <w:szCs w:val="21"/>
              </w:rPr>
              <w:t>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2023</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茶陵县2023年高标准农田改造提升项目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秩堂镇、高陇镇、思聪街道、下东街道沿河村</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w:t>
            </w:r>
            <w:r>
              <w:rPr>
                <w:rFonts w:hint="eastAsia" w:eastAsiaTheme="minorEastAsia"/>
                <w:color w:val="000000"/>
                <w:kern w:val="0"/>
                <w:sz w:val="21"/>
                <w:szCs w:val="21"/>
              </w:rPr>
              <w:t>0</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2024</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2500.00</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250</w:t>
            </w:r>
            <w:r>
              <w:rPr>
                <w:rFonts w:eastAsiaTheme="minorEastAsia"/>
                <w:color w:val="000000"/>
                <w:kern w:val="0"/>
                <w:sz w:val="21"/>
                <w:szCs w:val="21"/>
              </w:rPr>
              <w:t>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250</w:t>
            </w:r>
            <w:r>
              <w:rPr>
                <w:rFonts w:eastAsiaTheme="minorEastAsia"/>
                <w:color w:val="000000"/>
                <w:kern w:val="0"/>
                <w:sz w:val="21"/>
                <w:szCs w:val="21"/>
              </w:rPr>
              <w:t>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5</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2024</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株洲市茶陵县火田镇等2个乡镇高标准农田建设项目（二0二四年）</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火田镇、桃坑乡</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0.12</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2025</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3000.00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360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360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6</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2024</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茶陵县2024年高标准农田改造提升项目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火田镇、桃坑乡、洣江街道</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2.1</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2025</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水稻种植</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5250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5250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kern w:val="0"/>
                <w:sz w:val="21"/>
                <w:szCs w:val="21"/>
              </w:rPr>
            </w:pPr>
            <w:r>
              <w:rPr>
                <w:rFonts w:eastAsiaTheme="minorEastAsia"/>
                <w:kern w:val="0"/>
                <w:sz w:val="21"/>
                <w:szCs w:val="21"/>
              </w:rPr>
              <w:t>7</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2025</w:t>
            </w:r>
          </w:p>
        </w:tc>
        <w:tc>
          <w:tcPr>
            <w:tcW w:w="531" w:type="pct"/>
            <w:shd w:val="clear" w:color="auto" w:fill="auto"/>
            <w:vAlign w:val="center"/>
          </w:tcPr>
          <w:p>
            <w:pPr>
              <w:widowControl/>
              <w:spacing w:line="240" w:lineRule="auto"/>
              <w:ind w:firstLine="0" w:firstLineChars="0"/>
              <w:jc w:val="left"/>
              <w:rPr>
                <w:rFonts w:eastAsiaTheme="minorEastAsia"/>
                <w:kern w:val="0"/>
                <w:sz w:val="21"/>
                <w:szCs w:val="21"/>
              </w:rPr>
            </w:pPr>
            <w:r>
              <w:rPr>
                <w:rFonts w:eastAsiaTheme="minorEastAsia"/>
                <w:kern w:val="0"/>
                <w:sz w:val="21"/>
                <w:szCs w:val="21"/>
              </w:rPr>
              <w:t>株洲市茶陵县腰潞镇等5个乡镇高标准农田建设项目（二0二五年）</w:t>
            </w:r>
          </w:p>
        </w:tc>
        <w:tc>
          <w:tcPr>
            <w:tcW w:w="263" w:type="pct"/>
            <w:shd w:val="clear" w:color="auto" w:fill="auto"/>
            <w:vAlign w:val="center"/>
          </w:tcPr>
          <w:p>
            <w:pPr>
              <w:widowControl/>
              <w:spacing w:line="240" w:lineRule="auto"/>
              <w:ind w:firstLine="0" w:firstLineChars="0"/>
              <w:jc w:val="left"/>
              <w:rPr>
                <w:rFonts w:eastAsiaTheme="minorEastAsia"/>
                <w:kern w:val="0"/>
                <w:sz w:val="21"/>
                <w:szCs w:val="21"/>
              </w:rPr>
            </w:pPr>
            <w:r>
              <w:rPr>
                <w:rFonts w:eastAsiaTheme="minorEastAsia"/>
                <w:kern w:val="0"/>
                <w:sz w:val="21"/>
                <w:szCs w:val="21"/>
              </w:rPr>
              <w:t>腰潞镇、洣江街道</w:t>
            </w:r>
          </w:p>
        </w:tc>
        <w:tc>
          <w:tcPr>
            <w:tcW w:w="266" w:type="pct"/>
            <w:shd w:val="clear" w:color="auto" w:fill="auto"/>
            <w:vAlign w:val="center"/>
          </w:tcPr>
          <w:p>
            <w:pPr>
              <w:widowControl/>
              <w:spacing w:line="240" w:lineRule="auto"/>
              <w:ind w:firstLine="0" w:firstLineChars="0"/>
              <w:jc w:val="left"/>
              <w:rPr>
                <w:rFonts w:eastAsiaTheme="minorEastAsia"/>
                <w:kern w:val="0"/>
                <w:sz w:val="21"/>
                <w:szCs w:val="21"/>
              </w:rPr>
            </w:pPr>
            <w:r>
              <w:rPr>
                <w:rFonts w:eastAsiaTheme="minorEastAsia"/>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kern w:val="0"/>
                <w:sz w:val="21"/>
                <w:szCs w:val="21"/>
              </w:rPr>
            </w:pPr>
            <w:r>
              <w:rPr>
                <w:rFonts w:hint="eastAsia" w:eastAsiaTheme="minorEastAsia"/>
                <w:kern w:val="0"/>
                <w:sz w:val="21"/>
                <w:szCs w:val="21"/>
              </w:rPr>
              <w:t>0.1</w:t>
            </w:r>
          </w:p>
        </w:tc>
        <w:tc>
          <w:tcPr>
            <w:tcW w:w="945" w:type="pct"/>
            <w:shd w:val="clear" w:color="auto" w:fill="auto"/>
            <w:vAlign w:val="center"/>
          </w:tcPr>
          <w:p>
            <w:pPr>
              <w:widowControl/>
              <w:spacing w:line="240" w:lineRule="auto"/>
              <w:ind w:firstLine="0" w:firstLineChars="0"/>
              <w:jc w:val="left"/>
              <w:rPr>
                <w:rFonts w:eastAsiaTheme="minorEastAsia"/>
                <w:kern w:val="0"/>
                <w:sz w:val="21"/>
                <w:szCs w:val="21"/>
              </w:rPr>
            </w:pPr>
            <w:r>
              <w:rPr>
                <w:rFonts w:eastAsiaTheme="minorEastAsia"/>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2026</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3000.00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300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8</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2025</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茶陵县2025年高标准农田改造提升项目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腰潞镇、马江镇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1.8</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2026</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水稻种植</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4500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4500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9</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2026</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茶陵县严塘镇等3个乡镇高标准农田建设（二0二六年）</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严塘镇、虎踞镇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新建</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0.24</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2027</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3000.00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720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720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3"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10</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2026</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茶陵县2026年高标准农田改造提升项目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枣市镇、界首镇、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1.8</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2027</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4500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11</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2027</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茶陵县2027年高标准农田改造提升项目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舲舫乡、严塘镇、湖口镇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1.8</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2028</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4500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0"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12</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2028</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茶陵县2028年高标准农田改造提升项目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虎踞镇、下东街道</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1.6</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2029</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4000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4000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66"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13</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2029</w:t>
            </w:r>
          </w:p>
        </w:tc>
        <w:tc>
          <w:tcPr>
            <w:tcW w:w="531"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茶陵县2029年高标准农田改造提升项目</w:t>
            </w:r>
          </w:p>
        </w:tc>
        <w:tc>
          <w:tcPr>
            <w:tcW w:w="263"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秩堂镇、高陇镇</w:t>
            </w:r>
          </w:p>
        </w:tc>
        <w:tc>
          <w:tcPr>
            <w:tcW w:w="266"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1.52</w:t>
            </w:r>
          </w:p>
        </w:tc>
        <w:tc>
          <w:tcPr>
            <w:tcW w:w="945" w:type="pct"/>
            <w:shd w:val="clear" w:color="auto" w:fill="auto"/>
            <w:vAlign w:val="center"/>
          </w:tcPr>
          <w:p>
            <w:pPr>
              <w:widowControl/>
              <w:spacing w:line="240" w:lineRule="auto"/>
              <w:ind w:firstLine="0" w:firstLineChars="0"/>
              <w:jc w:val="left"/>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2030</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38</w:t>
            </w:r>
            <w:r>
              <w:rPr>
                <w:rFonts w:eastAsiaTheme="minorEastAsia"/>
                <w:color w:val="000000"/>
                <w:kern w:val="0"/>
                <w:sz w:val="21"/>
                <w:szCs w:val="21"/>
              </w:rPr>
              <w:t>00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380</w:t>
            </w:r>
            <w:r>
              <w:rPr>
                <w:rFonts w:eastAsiaTheme="minorEastAsia"/>
                <w:color w:val="000000"/>
                <w:kern w:val="0"/>
                <w:sz w:val="21"/>
                <w:szCs w:val="21"/>
              </w:rPr>
              <w:t>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5" w:hRule="atLeast"/>
        </w:trPr>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14</w:t>
            </w:r>
          </w:p>
        </w:tc>
        <w:tc>
          <w:tcPr>
            <w:tcW w:w="25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2030</w:t>
            </w:r>
          </w:p>
        </w:tc>
        <w:tc>
          <w:tcPr>
            <w:tcW w:w="53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茶陵县2030年高标准农田改造提升项目</w:t>
            </w:r>
          </w:p>
        </w:tc>
        <w:tc>
          <w:tcPr>
            <w:tcW w:w="26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火田镇、思聪街道</w:t>
            </w:r>
          </w:p>
        </w:tc>
        <w:tc>
          <w:tcPr>
            <w:tcW w:w="26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改造提升</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1.5</w:t>
            </w:r>
          </w:p>
        </w:tc>
        <w:tc>
          <w:tcPr>
            <w:tcW w:w="9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土壤改良，改扩建山塘，拦河坝，新建、改造排灌站，衬砌硬化灌渠，衬砌排水渠，修建田间机耕路。土地平整。</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2031</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水稻种植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xml:space="preserve">2500.00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3750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3750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546" w:type="pct"/>
            <w:gridSpan w:val="5"/>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合计</w:t>
            </w:r>
          </w:p>
        </w:tc>
        <w:tc>
          <w:tcPr>
            <w:tcW w:w="45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21.21</w:t>
            </w:r>
          </w:p>
        </w:tc>
        <w:tc>
          <w:tcPr>
            <w:tcW w:w="9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07"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14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93"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301"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48690</w:t>
            </w:r>
          </w:p>
        </w:tc>
        <w:tc>
          <w:tcPr>
            <w:tcW w:w="324"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hint="eastAsia" w:eastAsiaTheme="minorEastAsia"/>
                <w:color w:val="000000"/>
                <w:kern w:val="0"/>
                <w:sz w:val="21"/>
                <w:szCs w:val="21"/>
              </w:rPr>
              <w:t>48690</w:t>
            </w:r>
          </w:p>
        </w:tc>
        <w:tc>
          <w:tcPr>
            <w:tcW w:w="276"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30"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c>
          <w:tcPr>
            <w:tcW w:w="275" w:type="pct"/>
            <w:shd w:val="clear" w:color="000000" w:fill="FFFFFF"/>
            <w:vAlign w:val="center"/>
          </w:tcPr>
          <w:p>
            <w:pPr>
              <w:widowControl/>
              <w:spacing w:line="240" w:lineRule="auto"/>
              <w:ind w:firstLine="0" w:firstLineChars="0"/>
              <w:jc w:val="center"/>
              <w:rPr>
                <w:rFonts w:eastAsiaTheme="minorEastAsia"/>
                <w:color w:val="000000"/>
                <w:kern w:val="0"/>
                <w:sz w:val="21"/>
                <w:szCs w:val="21"/>
              </w:rPr>
            </w:pPr>
            <w:r>
              <w:rPr>
                <w:rFonts w:eastAsiaTheme="minorEastAsia"/>
                <w:color w:val="000000"/>
                <w:kern w:val="0"/>
                <w:sz w:val="21"/>
                <w:szCs w:val="21"/>
              </w:rPr>
              <w:t>　</w:t>
            </w:r>
          </w:p>
        </w:tc>
      </w:tr>
    </w:tbl>
    <w:p>
      <w:pPr>
        <w:ind w:firstLine="0" w:firstLineChars="0"/>
        <w:rPr>
          <w:rFonts w:ascii="仿宋_GB2312" w:eastAsia="仿宋_GB2312"/>
          <w:sz w:val="21"/>
          <w:szCs w:val="21"/>
        </w:rPr>
      </w:pPr>
    </w:p>
    <w:p>
      <w:pPr>
        <w:widowControl/>
        <w:spacing w:line="240" w:lineRule="auto"/>
        <w:ind w:firstLine="0" w:firstLineChars="0"/>
        <w:jc w:val="left"/>
        <w:rPr>
          <w:sz w:val="21"/>
          <w:szCs w:val="21"/>
        </w:rPr>
      </w:pPr>
      <w:r>
        <w:rPr>
          <w:sz w:val="21"/>
          <w:szCs w:val="21"/>
        </w:rPr>
        <w:br w:type="page"/>
      </w:r>
    </w:p>
    <w:p>
      <w:pPr>
        <w:pStyle w:val="2"/>
        <w:widowControl w:val="0"/>
        <w:adjustRightInd/>
        <w:snapToGrid/>
        <w:spacing w:before="340" w:after="330" w:line="360" w:lineRule="auto"/>
        <w:rPr>
          <w:rFonts w:cs="Times New Roman"/>
          <w:sz w:val="21"/>
          <w:szCs w:val="21"/>
        </w:rPr>
        <w:sectPr>
          <w:pgSz w:w="16838" w:h="11906" w:orient="landscape"/>
          <w:pgMar w:top="1797" w:right="1440" w:bottom="1797" w:left="1440" w:header="851" w:footer="992" w:gutter="0"/>
          <w:cols w:space="425" w:num="1"/>
          <w:docGrid w:type="linesAndChars" w:linePitch="312" w:charSpace="0"/>
        </w:sectPr>
      </w:pPr>
    </w:p>
    <w:p>
      <w:pPr>
        <w:ind w:firstLine="0" w:firstLineChars="0"/>
        <w:jc w:val="center"/>
        <w:rPr>
          <w:rFonts w:ascii="仿宋_GB2312" w:eastAsia="仿宋_GB2312"/>
          <w:b/>
          <w:sz w:val="32"/>
          <w:szCs w:val="32"/>
        </w:rPr>
      </w:pPr>
      <w:r>
        <w:rPr>
          <w:rFonts w:hint="eastAsia" w:ascii="仿宋_GB2312" w:eastAsia="仿宋_GB2312"/>
          <w:b/>
          <w:sz w:val="32"/>
          <w:szCs w:val="32"/>
        </w:rPr>
        <w:t>附表4  各村耕地面积与已建高标准农田面积统计表</w:t>
      </w:r>
    </w:p>
    <w:tbl>
      <w:tblPr>
        <w:tblStyle w:val="17"/>
        <w:tblW w:w="559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98"/>
        <w:gridCol w:w="1641"/>
        <w:gridCol w:w="1717"/>
        <w:gridCol w:w="2068"/>
        <w:gridCol w:w="1800"/>
        <w:gridCol w:w="171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5" w:hRule="atLeast"/>
          <w:tblHeader/>
          <w:jc w:val="center"/>
        </w:trPr>
        <w:tc>
          <w:tcPr>
            <w:tcW w:w="598"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序号</w:t>
            </w:r>
          </w:p>
        </w:tc>
        <w:tc>
          <w:tcPr>
            <w:tcW w:w="1641"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乡镇</w:t>
            </w:r>
          </w:p>
        </w:tc>
        <w:tc>
          <w:tcPr>
            <w:tcW w:w="1717"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村名</w:t>
            </w:r>
          </w:p>
        </w:tc>
        <w:tc>
          <w:tcPr>
            <w:tcW w:w="2068"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耕地面积（亩）</w:t>
            </w:r>
          </w:p>
        </w:tc>
        <w:tc>
          <w:tcPr>
            <w:tcW w:w="1800"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已建高标耕地面积（亩）</w:t>
            </w:r>
          </w:p>
        </w:tc>
        <w:tc>
          <w:tcPr>
            <w:tcW w:w="1710" w:type="dxa"/>
            <w:tcBorders>
              <w:tl2br w:val="nil"/>
              <w:tr2bl w:val="nil"/>
            </w:tcBorders>
            <w:shd w:val="clear" w:color="auto" w:fill="auto"/>
            <w:vAlign w:val="center"/>
          </w:tcPr>
          <w:p>
            <w:pPr>
              <w:widowControl/>
              <w:spacing w:line="240" w:lineRule="auto"/>
              <w:ind w:firstLine="0" w:firstLineChars="0"/>
              <w:jc w:val="center"/>
              <w:rPr>
                <w:rFonts w:eastAsiaTheme="minorEastAsia"/>
                <w:b/>
                <w:bCs/>
                <w:color w:val="000000"/>
                <w:kern w:val="0"/>
                <w:sz w:val="21"/>
                <w:szCs w:val="21"/>
              </w:rPr>
            </w:pPr>
            <w:r>
              <w:rPr>
                <w:rFonts w:eastAsiaTheme="minorEastAsia"/>
                <w:b/>
                <w:bCs/>
                <w:color w:val="000000"/>
                <w:kern w:val="0"/>
                <w:sz w:val="21"/>
                <w:szCs w:val="21"/>
              </w:rPr>
              <w:t>未建高标耕地面积（亩）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古城村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4025.63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3592.36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433.27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荔市村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4692.25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3843.75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848.51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龙匣村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1970.37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1779.63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190.74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4803.02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4111.79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691.23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水头村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2117.86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915.73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1202.13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湘东村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2127.97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1727.51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400.46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星锋村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3534.10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3103.38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430.73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长兴村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1778.24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1558.65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219.59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高陇镇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祖安村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5530.76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3711.22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1819.55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汉背办事处</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汉背办事处直属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216.34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214.10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白露村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2422.32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2129.36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292.96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北斗村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1403.75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1084.82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318.93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厂江村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853.16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519.06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334.10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顾母村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910.16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170.34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739.82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寒江村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518.58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176.15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342.43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荷塘村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2193.45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1770.98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422.46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1300.30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1058.00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242.30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浣溪村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3534.39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578.54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2955.85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井和村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741.94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639.36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102.58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龙下村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833.19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364.76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468.43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梅林村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2277.77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1642.87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634.90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洣渡村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2368.89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2060.08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308.81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妙石村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2273.61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1745.58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528.03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南江村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1941.21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1598.04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343.17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石井村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1772.47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1595.47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塘头村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1760.72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1628.57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132.15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土桥村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2610.27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1906.72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703.55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8"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文泰村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4086.47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2450.94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1635.53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小潭村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2036.20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862.63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1173.57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晓汾村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2363.89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0.31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2363.58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新芫村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1185.76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940.00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245.76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杨柳村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1703.28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1214.34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488.94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一心村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1068.74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856.62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湖口镇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莞视村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1049.95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886.81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163.14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把集村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2681.97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1949.96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732.01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茶干村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1213.43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202.18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1011.25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低车村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2527.92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2231.07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296.85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二仙村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1293.07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821.92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471.14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峰仙村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2417.61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712.87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1704.74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3683.74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2551.53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1132.22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合湖村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3340.64</w:t>
            </w:r>
          </w:p>
        </w:tc>
        <w:tc>
          <w:tcPr>
            <w:tcW w:w="1800" w:type="dxa"/>
            <w:tcBorders>
              <w:tl2br w:val="nil"/>
              <w:tr2bl w:val="nil"/>
            </w:tcBorders>
            <w:shd w:val="clear" w:color="auto" w:fill="auto"/>
            <w:vAlign w:val="center"/>
          </w:tcPr>
          <w:p>
            <w:pPr>
              <w:ind w:firstLine="0" w:firstLineChars="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3340.64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和丰村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2749.66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35.01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2714.64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河东村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2838.63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1890.24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948.39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黄坪村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2571.60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540.01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2031.58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黄石村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4301.85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3680.42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621.43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金山村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1632.83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1163.98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468.84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乔下村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3177.25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1933.09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1244.16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三达村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3913.77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3909.82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狮江村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2388.09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1951.11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436.97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石朱村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2139.48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587.36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1552.12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双芫村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2217.13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914.35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1302.77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水源村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1915.63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1572.77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342.86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五峰村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2508.07</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2508.07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西屏村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4784.73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1574.14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3210.59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银湖村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1928.45</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1928.45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白石村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809.81</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809.81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贝江村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3925.90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1736.07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2189.83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贝水村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1283.36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1007.36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276.00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大龙村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1980.86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396.21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1584.65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大英村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1338.88</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1338.88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芙江村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5493.24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880.17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4613.07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鼓石村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1472.22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398.99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1073.23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黄草村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843.42</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843.42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6844.79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1339.78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5505.01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麻芙村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2474.23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1624.76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849.48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庙贝村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3481.23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2869.52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611.71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墨龙村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852.82</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852.82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砂下村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3308.71</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3308.71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山田村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2764.88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1437.97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1326.91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卧龙村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337.13</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337.13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五门村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3264.74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2064.23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1200.52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新华村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4117.23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3595.94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521.29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火田镇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洲陂村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7213.36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24.10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7189.25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白沙村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6135.88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3541.03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2594.85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白洲村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2723.10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2236.50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486.60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大新村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4851.13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3780.57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1070.56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贺铺村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3172.51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2256.03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916.48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红光村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2437.16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1539.82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897.33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花甲村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7114.44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4664.83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2499.60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火星村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2611.18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1774.22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836.96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3529.54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2614.84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914.70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莲荷村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3896.12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3060.93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835.20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上联村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2925.95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2505.57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420.39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界首镇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朱岭村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1781.49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1508.94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272.55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车浦村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2154.41</w:t>
            </w:r>
          </w:p>
        </w:tc>
        <w:tc>
          <w:tcPr>
            <w:tcW w:w="1800" w:type="dxa"/>
            <w:tcBorders>
              <w:tl2br w:val="nil"/>
              <w:tr2bl w:val="nil"/>
            </w:tcBorders>
            <w:shd w:val="clear" w:color="auto" w:fill="auto"/>
            <w:vAlign w:val="center"/>
          </w:tcPr>
          <w:p>
            <w:pPr>
              <w:ind w:firstLine="0" w:firstLineChars="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2154.41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祠湾村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1680.69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675.81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1004.88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大岳村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2795.79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919.29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1876.49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堤洲村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1317.76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135.95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1181.81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官溪村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897.16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894.27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河坞村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2444.45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2442.37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1511.05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118.18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1392.87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洮水村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4071.65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2604.39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1467.26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西岸村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1914.53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1910.23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垸井村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1565.70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819.69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746.01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舲舫乡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长鸭村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5611.70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2680.05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2931.65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等坪村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3604.90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2760.06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844.84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2514.18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1693.37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820.81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红旗村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3325.58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2389.46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936.12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浪滩村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4296.72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3478.04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818.67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麻石村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2333.64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1917.85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415.79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61"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毛芫冲村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4932.30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3185.28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1747.03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末头村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3154.12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2265.05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889.07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塘富村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3261.03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2378.01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883.02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文江村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3710.13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2864.32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845.81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玄武村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2981.72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2246.76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734.96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月岭村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5574.48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4576.72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997.76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马江镇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长联村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2786.06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1765.83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1020.23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渡里村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2728.79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1371.66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1357.12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拱塘村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1628.21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1016.24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611.97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1120.70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543.07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577.63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湖塘渔场</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72.80</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420"/>
              <w:jc w:val="center"/>
              <w:textAlignment w:val="center"/>
              <w:rPr>
                <w:rFonts w:eastAsia="宋体"/>
                <w:color w:val="000000"/>
                <w:sz w:val="21"/>
                <w:szCs w:val="21"/>
              </w:rPr>
            </w:pPr>
            <w:r>
              <w:rPr>
                <w:rFonts w:eastAsia="宋体"/>
                <w:color w:val="000000"/>
                <w:kern w:val="0"/>
                <w:sz w:val="21"/>
                <w:szCs w:val="21"/>
                <w:lang w:bidi="ar"/>
              </w:rPr>
              <w:t>72.80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2799.95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227.11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2572.84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欧江村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3147.94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2536.49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611.46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荣华村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2073.02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1191.32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881.70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沙溪村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2385.61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1816.15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569.46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桃源村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1813.06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1286.83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526.24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土沙村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2262.24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2050.35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211.89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仙源村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3789.80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2084.13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1705.67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星桥村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1844.23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1286.81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557.42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雅环村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1301.10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901.47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399.63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洣江街道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诸睦村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2932.17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1911.64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1020.53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茶冲村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1093.91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460.42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633.50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红桥村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2131.78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2126.26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辉山村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1347.81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1345.96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龙溪村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2301.77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1888.28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413.49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清水村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4661.47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4291.49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369.98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三华村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5319.14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3911.93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1407.21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深塘村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2071.83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1770.25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301.58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2696.57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2390.75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305.82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8.49</w:t>
            </w:r>
          </w:p>
        </w:tc>
        <w:tc>
          <w:tcPr>
            <w:tcW w:w="1800" w:type="dxa"/>
            <w:tcBorders>
              <w:tl2br w:val="nil"/>
              <w:tr2bl w:val="nil"/>
            </w:tcBorders>
            <w:shd w:val="clear" w:color="auto" w:fill="auto"/>
            <w:vAlign w:val="center"/>
          </w:tcPr>
          <w:p>
            <w:pPr>
              <w:ind w:firstLine="0" w:firstLineChars="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下清村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3930.40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2119.33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1811.06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思聪街道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左垅村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3088.34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2721.95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366.39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春风村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405.92</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405.92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带江村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88.43</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88.43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2016.14</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2016.14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华里村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184.12</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184.12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坑口村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8.90</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160.10</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南坑村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269.34</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269.34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上坪村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671.27</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671.27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双元村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459.34</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459.34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47.47</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47.47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西坑村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265.88</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265.88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夏乐村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291.46</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291.46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湘江村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43.02</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晓枫村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57.78</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桃坑乡</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邺坑村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126.87</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126.87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官铺村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4755.19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656.12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4099.07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黄堂村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1829.89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1176.94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652.96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金铺村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3655.88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561.76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3094.12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乐联村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5460.47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3127.69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2332.79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齐溪村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4257.18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2493.96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1763.22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桥边村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4592.48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2413.30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2179.18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儒仕坪村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967.12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535.59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431.53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头铺村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2105.85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480.84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1625.01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767.03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418.77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348.27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小车村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1729.18</w:t>
            </w:r>
          </w:p>
        </w:tc>
        <w:tc>
          <w:tcPr>
            <w:tcW w:w="1800" w:type="dxa"/>
            <w:tcBorders>
              <w:tl2br w:val="nil"/>
              <w:tr2bl w:val="nil"/>
            </w:tcBorders>
            <w:shd w:val="clear" w:color="auto" w:fill="auto"/>
            <w:vAlign w:val="center"/>
          </w:tcPr>
          <w:p>
            <w:pPr>
              <w:ind w:firstLine="0" w:firstLineChars="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1729.18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下东街道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沿河村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3706.63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580.44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3126.19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爱里村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3140.81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2665.94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474.87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北岸村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2998.93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2684.41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314.52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玳溪村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3158.50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2259.59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898.92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高径村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1543.17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1394.82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148.35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和吕村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473.35</w:t>
            </w:r>
          </w:p>
        </w:tc>
        <w:tc>
          <w:tcPr>
            <w:tcW w:w="1800" w:type="dxa"/>
            <w:tcBorders>
              <w:tl2br w:val="nil"/>
              <w:tr2bl w:val="nil"/>
            </w:tcBorders>
            <w:shd w:val="clear" w:color="auto" w:fill="auto"/>
            <w:vAlign w:val="center"/>
          </w:tcPr>
          <w:p>
            <w:pPr>
              <w:ind w:firstLine="0" w:firstLineChars="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473.35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黄河村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2365.66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2139.45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226.22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龙井村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3020.45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2640.62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379.83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沙江村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2256.14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1556.97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699.17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上合村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2975.77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1743.50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1232.27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上尧村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1682.31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890.19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792.12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田心村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1377.73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1108.17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269.56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湾里村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2594.34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1380.54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1213.81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兴和村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4271.96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2124.28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2147.68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兴塘村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1316.75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1244.91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71.84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严溪村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2068.92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1809.95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258.97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杨塘村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3951.56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2853.84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1097.72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尧水村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4231.93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3270.16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961.77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猷竹村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4200.20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2629.48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1570.72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严塘镇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长江村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2155.42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1584.94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570.48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3"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东南村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2499.52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2117.92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东山村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3354.15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2422.53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931.63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芙冲村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4428.82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3923.93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504.89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横屋村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2968.84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2631.14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337.70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枧田村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3520.83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2533.16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987.66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碣石村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460.53</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460.53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潞水村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3851.33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3115.77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735.56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璐理村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1709.97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1220.78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489.19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马加庄村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6255.93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4536.69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1719.23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木冲村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3680.39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2806.53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873.86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睦兴村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2350.07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2013.40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336.67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七地村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9032.17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7559.25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1472.92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5718.10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4543.29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1174.81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石联村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2479.16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1623.21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855.96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双泉村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2281.67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1738.26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543.41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泰和村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641.13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179.18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461.95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4837.12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3067.27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1769.85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长义村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2558.00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2240.46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317.54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珍武村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4714.82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3571.30</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1143.52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腰潞镇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左江村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1570.79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845.71</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725.08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云阳街道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东山坝村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602.80</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602.80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云阳街道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光辉村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913.67</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913.67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云阳街道</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云阳街道直属</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3241.60</w:t>
            </w:r>
          </w:p>
        </w:tc>
        <w:tc>
          <w:tcPr>
            <w:tcW w:w="1800" w:type="dxa"/>
            <w:tcBorders>
              <w:tl2br w:val="nil"/>
              <w:tr2bl w:val="nil"/>
            </w:tcBorders>
            <w:shd w:val="clear" w:color="auto" w:fill="auto"/>
            <w:vAlign w:val="center"/>
          </w:tcPr>
          <w:p>
            <w:pPr>
              <w:ind w:firstLine="420"/>
              <w:jc w:val="center"/>
              <w:rPr>
                <w:rFonts w:eastAsia="宋体"/>
                <w:color w:val="000000"/>
                <w:sz w:val="21"/>
                <w:szCs w:val="21"/>
              </w:rPr>
            </w:pP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3241.60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曹柏村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3267.01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2647.07</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619.93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车陂村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3223.32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2214.28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1009.04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1929.28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1597.14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332.14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洞头村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5284.42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3889.75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1394.66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管塘村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2301.49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1618.62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682.87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侯泉村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5562.05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3357.86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2204.20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虎形村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3586.43</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2805.23</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781.20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洒水村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4403.60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3585.58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818.02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五星村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5167.27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3633.76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1533.51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岩口村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4007.59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3082.98</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924.60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枣园村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6826.79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5126.22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1700.57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东首村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2063.94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1870.39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193.56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213</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合户村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4170.98</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3606.86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564.12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214</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皇图村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2772.77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2306.35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466.42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215</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龙江村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2765.26</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1081.34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1683.92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216</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马吉村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2876.20</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2200.49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675.71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217</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彭家祠村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3688.44</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1480.34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2208.10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218</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毗塘村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2814.67</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1683.49</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1131.18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219</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石龙村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1919.55</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1553.35</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366.21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220</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田湖村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4051.02</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3752.96</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298.06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221</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锡田村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4278.71</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2635.12</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1643.60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59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222</w:t>
            </w:r>
          </w:p>
        </w:tc>
        <w:tc>
          <w:tcPr>
            <w:tcW w:w="1641"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秩堂镇</w:t>
            </w:r>
          </w:p>
        </w:tc>
        <w:tc>
          <w:tcPr>
            <w:tcW w:w="1717"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晓塘村</w:t>
            </w:r>
          </w:p>
        </w:tc>
        <w:tc>
          <w:tcPr>
            <w:tcW w:w="2068"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4147.39</w:t>
            </w:r>
          </w:p>
        </w:tc>
        <w:tc>
          <w:tcPr>
            <w:tcW w:w="180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2849.04</w:t>
            </w:r>
          </w:p>
        </w:tc>
        <w:tc>
          <w:tcPr>
            <w:tcW w:w="1710" w:type="dxa"/>
            <w:tcBorders>
              <w:tl2br w:val="nil"/>
              <w:tr2bl w:val="nil"/>
            </w:tcBorders>
            <w:shd w:val="clear" w:color="auto" w:fill="auto"/>
            <w:vAlign w:val="center"/>
          </w:tcPr>
          <w:p>
            <w:pPr>
              <w:widowControl/>
              <w:ind w:firstLine="0" w:firstLineChars="0"/>
              <w:jc w:val="center"/>
              <w:textAlignment w:val="center"/>
              <w:rPr>
                <w:rFonts w:eastAsia="宋体"/>
                <w:color w:val="000000"/>
                <w:sz w:val="21"/>
                <w:szCs w:val="21"/>
              </w:rPr>
            </w:pPr>
            <w:r>
              <w:rPr>
                <w:rFonts w:eastAsia="宋体"/>
                <w:color w:val="000000"/>
                <w:kern w:val="0"/>
                <w:sz w:val="21"/>
                <w:szCs w:val="21"/>
                <w:lang w:bidi="ar"/>
              </w:rPr>
              <w:t>1298.35</w:t>
            </w:r>
          </w:p>
        </w:tc>
      </w:tr>
    </w:tbl>
    <w:p>
      <w:pPr>
        <w:pStyle w:val="2"/>
        <w:widowControl w:val="0"/>
        <w:adjustRightInd/>
        <w:snapToGrid/>
        <w:spacing w:before="340" w:after="330" w:line="360" w:lineRule="auto"/>
        <w:rPr>
          <w:rFonts w:cs="Times New Roman"/>
          <w:szCs w:val="32"/>
        </w:rPr>
      </w:pPr>
    </w:p>
    <w:p>
      <w:pPr>
        <w:rPr>
          <w:szCs w:val="32"/>
        </w:rPr>
      </w:pPr>
    </w:p>
    <w:p>
      <w:pPr>
        <w:rPr>
          <w:szCs w:val="32"/>
        </w:rPr>
      </w:pPr>
    </w:p>
    <w:p>
      <w:pPr>
        <w:rPr>
          <w:szCs w:val="32"/>
        </w:rPr>
      </w:pPr>
    </w:p>
    <w:p>
      <w:pPr>
        <w:rPr>
          <w:szCs w:val="32"/>
        </w:rPr>
      </w:pPr>
    </w:p>
    <w:p>
      <w:pPr>
        <w:rPr>
          <w:szCs w:val="32"/>
        </w:rPr>
      </w:pPr>
    </w:p>
    <w:p>
      <w:pPr>
        <w:rPr>
          <w:rFonts w:hint="eastAsia"/>
          <w:szCs w:val="32"/>
        </w:rPr>
      </w:pPr>
    </w:p>
    <w:p>
      <w:pPr>
        <w:rPr>
          <w:rFonts w:hint="eastAsia"/>
          <w:szCs w:val="32"/>
        </w:rPr>
      </w:pPr>
    </w:p>
    <w:p>
      <w:pPr>
        <w:rPr>
          <w:rFonts w:hint="eastAsia"/>
          <w:szCs w:val="32"/>
        </w:rPr>
      </w:pPr>
    </w:p>
    <w:p>
      <w:pPr>
        <w:rPr>
          <w:szCs w:val="32"/>
        </w:rPr>
      </w:pPr>
    </w:p>
    <w:p>
      <w:pPr>
        <w:rPr>
          <w:szCs w:val="32"/>
        </w:rPr>
      </w:pPr>
    </w:p>
    <w:p>
      <w:pPr>
        <w:rPr>
          <w:szCs w:val="32"/>
        </w:rPr>
      </w:pPr>
    </w:p>
    <w:p>
      <w:pPr>
        <w:rPr>
          <w:szCs w:val="32"/>
        </w:rPr>
      </w:pPr>
    </w:p>
    <w:p>
      <w:pPr>
        <w:rPr>
          <w:szCs w:val="32"/>
        </w:rPr>
      </w:pPr>
    </w:p>
    <w:p>
      <w:pPr>
        <w:pStyle w:val="2"/>
        <w:widowControl w:val="0"/>
        <w:adjustRightInd/>
        <w:snapToGrid/>
        <w:spacing w:before="340" w:after="330" w:line="360" w:lineRule="auto"/>
        <w:rPr>
          <w:rFonts w:cs="Times New Roman"/>
          <w:szCs w:val="32"/>
        </w:rPr>
      </w:pPr>
      <w:bookmarkStart w:id="295" w:name="_Toc22706"/>
      <w:r>
        <w:rPr>
          <w:rFonts w:hint="eastAsia" w:cs="Times New Roman"/>
          <w:szCs w:val="32"/>
        </w:rPr>
        <w:t>附图</w:t>
      </w:r>
      <w:bookmarkEnd w:id="295"/>
    </w:p>
    <w:p>
      <w:pPr>
        <w:ind w:firstLineChars="0"/>
        <w:rPr>
          <w:sz w:val="32"/>
          <w:szCs w:val="32"/>
        </w:rPr>
      </w:pPr>
      <w:r>
        <w:rPr>
          <w:rFonts w:hint="eastAsia"/>
          <w:sz w:val="32"/>
          <w:szCs w:val="32"/>
        </w:rPr>
        <w:t>附图1茶陵县耕地分布图</w:t>
      </w:r>
    </w:p>
    <w:p>
      <w:pPr>
        <w:ind w:firstLineChars="0"/>
        <w:rPr>
          <w:sz w:val="32"/>
          <w:szCs w:val="32"/>
        </w:rPr>
      </w:pPr>
      <w:r>
        <w:rPr>
          <w:rFonts w:hint="eastAsia"/>
          <w:sz w:val="32"/>
          <w:szCs w:val="32"/>
        </w:rPr>
        <w:t>附图2茶陵县永久基本农田分布图</w:t>
      </w:r>
    </w:p>
    <w:p>
      <w:pPr>
        <w:ind w:firstLineChars="0"/>
        <w:rPr>
          <w:sz w:val="32"/>
          <w:szCs w:val="32"/>
        </w:rPr>
      </w:pPr>
      <w:r>
        <w:rPr>
          <w:rFonts w:hint="eastAsia"/>
          <w:sz w:val="32"/>
          <w:szCs w:val="32"/>
        </w:rPr>
        <w:t>附图3茶陵县粮食生产功能区和重要农产品生产保护区分布图</w:t>
      </w:r>
    </w:p>
    <w:p>
      <w:pPr>
        <w:ind w:firstLineChars="0"/>
        <w:rPr>
          <w:sz w:val="32"/>
          <w:szCs w:val="32"/>
        </w:rPr>
      </w:pPr>
      <w:r>
        <w:rPr>
          <w:rFonts w:hint="eastAsia"/>
          <w:sz w:val="32"/>
          <w:szCs w:val="32"/>
        </w:rPr>
        <w:t>附图4茶陵县地形地貌图</w:t>
      </w:r>
    </w:p>
    <w:p>
      <w:pPr>
        <w:ind w:firstLineChars="0"/>
        <w:rPr>
          <w:sz w:val="32"/>
          <w:szCs w:val="32"/>
        </w:rPr>
      </w:pPr>
      <w:r>
        <w:rPr>
          <w:rFonts w:hint="eastAsia"/>
          <w:sz w:val="32"/>
          <w:szCs w:val="32"/>
        </w:rPr>
        <w:t>附图5茶陵县已建高标准农田项目区分布图</w:t>
      </w:r>
    </w:p>
    <w:p>
      <w:pPr>
        <w:ind w:firstLineChars="0"/>
        <w:rPr>
          <w:sz w:val="32"/>
          <w:szCs w:val="32"/>
        </w:rPr>
      </w:pPr>
      <w:r>
        <w:rPr>
          <w:rFonts w:hint="eastAsia"/>
          <w:sz w:val="32"/>
          <w:szCs w:val="32"/>
        </w:rPr>
        <w:t>附图6茶陵县高标准农田建设的重点区域、限制区域、禁止区域分布图</w:t>
      </w:r>
    </w:p>
    <w:p>
      <w:pPr>
        <w:ind w:firstLineChars="0"/>
        <w:rPr>
          <w:sz w:val="32"/>
          <w:szCs w:val="32"/>
        </w:rPr>
      </w:pPr>
      <w:r>
        <w:rPr>
          <w:rFonts w:hint="eastAsia"/>
          <w:sz w:val="32"/>
          <w:szCs w:val="32"/>
        </w:rPr>
        <w:t>附图7茶陵县高标准农田建设分区图</w:t>
      </w:r>
    </w:p>
    <w:p>
      <w:pPr>
        <w:ind w:firstLineChars="0"/>
        <w:rPr>
          <w:sz w:val="32"/>
          <w:szCs w:val="32"/>
        </w:rPr>
      </w:pPr>
      <w:r>
        <w:rPr>
          <w:rFonts w:hint="eastAsia"/>
          <w:sz w:val="32"/>
          <w:szCs w:val="32"/>
        </w:rPr>
        <w:t>附图8茶陵县高标准农田新增建设项目布局图</w:t>
      </w:r>
    </w:p>
    <w:p>
      <w:pPr>
        <w:ind w:firstLineChars="0"/>
        <w:rPr>
          <w:sz w:val="32"/>
          <w:szCs w:val="32"/>
        </w:rPr>
      </w:pPr>
      <w:r>
        <w:rPr>
          <w:rFonts w:hint="eastAsia"/>
          <w:sz w:val="32"/>
          <w:szCs w:val="32"/>
        </w:rPr>
        <w:t>附图9茶陵县高标准农田改造提升项目布局图</w:t>
      </w: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Chars="0"/>
        <w:rPr>
          <w:sz w:val="21"/>
          <w:szCs w:val="21"/>
        </w:rPr>
      </w:pPr>
    </w:p>
    <w:p>
      <w:pPr>
        <w:ind w:firstLine="0" w:firstLineChars="0"/>
        <w:rPr>
          <w:sz w:val="21"/>
          <w:szCs w:val="21"/>
        </w:rPr>
      </w:pPr>
    </w:p>
    <w:sectPr>
      <w:pgSz w:w="11906" w:h="16838"/>
      <w:pgMar w:top="1440" w:right="1797" w:bottom="1440"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244622"/>
    </w:sdtPr>
    <w:sdtContent>
      <w:p>
        <w:pPr>
          <w:pStyle w:val="10"/>
          <w:ind w:firstLine="360"/>
          <w:jc w:val="center"/>
        </w:pPr>
        <w:r>
          <w:fldChar w:fldCharType="begin"/>
        </w:r>
        <w:r>
          <w:instrText xml:space="preserve">PAGE   \* MERGEFORMAT</w:instrText>
        </w:r>
        <w:r>
          <w:fldChar w:fldCharType="separate"/>
        </w:r>
        <w:r>
          <w:rPr>
            <w:lang w:val="zh-CN"/>
          </w:rPr>
          <w:t>81</w:t>
        </w:r>
        <w:r>
          <w:fldChar w:fldCharType="end"/>
        </w:r>
      </w:p>
    </w:sdtContent>
  </w:sdt>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MzQ0MDU0ZmQ3OTFiMzZhMzNiNmJiNGFjODgwMjIifQ=="/>
  </w:docVars>
  <w:rsids>
    <w:rsidRoot w:val="009C71FF"/>
    <w:rsid w:val="00005970"/>
    <w:rsid w:val="00041F43"/>
    <w:rsid w:val="00067C38"/>
    <w:rsid w:val="000A32E0"/>
    <w:rsid w:val="000B11C0"/>
    <w:rsid w:val="000B398B"/>
    <w:rsid w:val="000E058C"/>
    <w:rsid w:val="001232C7"/>
    <w:rsid w:val="00144637"/>
    <w:rsid w:val="00153A44"/>
    <w:rsid w:val="00165D83"/>
    <w:rsid w:val="00171EC7"/>
    <w:rsid w:val="0017365B"/>
    <w:rsid w:val="00183532"/>
    <w:rsid w:val="001C36EE"/>
    <w:rsid w:val="001D1243"/>
    <w:rsid w:val="001D72E2"/>
    <w:rsid w:val="001D7EF2"/>
    <w:rsid w:val="001E0865"/>
    <w:rsid w:val="001E0FD4"/>
    <w:rsid w:val="001E4660"/>
    <w:rsid w:val="001F5A49"/>
    <w:rsid w:val="00204B2E"/>
    <w:rsid w:val="00230E75"/>
    <w:rsid w:val="00235ECB"/>
    <w:rsid w:val="00253361"/>
    <w:rsid w:val="00277212"/>
    <w:rsid w:val="00290D98"/>
    <w:rsid w:val="002A31D6"/>
    <w:rsid w:val="002C0072"/>
    <w:rsid w:val="002C4E4D"/>
    <w:rsid w:val="002D4A90"/>
    <w:rsid w:val="002E0622"/>
    <w:rsid w:val="002F155C"/>
    <w:rsid w:val="002F501F"/>
    <w:rsid w:val="00325DC7"/>
    <w:rsid w:val="0034619F"/>
    <w:rsid w:val="003629B4"/>
    <w:rsid w:val="0036724E"/>
    <w:rsid w:val="003C0B7F"/>
    <w:rsid w:val="003E28A1"/>
    <w:rsid w:val="003E30C0"/>
    <w:rsid w:val="00410EA3"/>
    <w:rsid w:val="00413770"/>
    <w:rsid w:val="00422BAD"/>
    <w:rsid w:val="0043512E"/>
    <w:rsid w:val="00435636"/>
    <w:rsid w:val="0044143B"/>
    <w:rsid w:val="0046466F"/>
    <w:rsid w:val="004732CC"/>
    <w:rsid w:val="004A1A10"/>
    <w:rsid w:val="004C1D7F"/>
    <w:rsid w:val="004D13EC"/>
    <w:rsid w:val="004E071C"/>
    <w:rsid w:val="004E1797"/>
    <w:rsid w:val="004E3D1F"/>
    <w:rsid w:val="004F301B"/>
    <w:rsid w:val="00525B4F"/>
    <w:rsid w:val="0053197B"/>
    <w:rsid w:val="00536495"/>
    <w:rsid w:val="00540C0C"/>
    <w:rsid w:val="005749D5"/>
    <w:rsid w:val="00581C6B"/>
    <w:rsid w:val="00594D10"/>
    <w:rsid w:val="005A73FC"/>
    <w:rsid w:val="005B17BC"/>
    <w:rsid w:val="005B6AA9"/>
    <w:rsid w:val="005B70F5"/>
    <w:rsid w:val="005D315A"/>
    <w:rsid w:val="005E581D"/>
    <w:rsid w:val="005E7B84"/>
    <w:rsid w:val="005F3280"/>
    <w:rsid w:val="006048B3"/>
    <w:rsid w:val="0061399D"/>
    <w:rsid w:val="00627C78"/>
    <w:rsid w:val="0063433D"/>
    <w:rsid w:val="00645D83"/>
    <w:rsid w:val="00646158"/>
    <w:rsid w:val="006612B0"/>
    <w:rsid w:val="006705A3"/>
    <w:rsid w:val="00675B21"/>
    <w:rsid w:val="0069308C"/>
    <w:rsid w:val="006A4326"/>
    <w:rsid w:val="006A590D"/>
    <w:rsid w:val="006B3D3D"/>
    <w:rsid w:val="006E735B"/>
    <w:rsid w:val="006F2DEB"/>
    <w:rsid w:val="007218E4"/>
    <w:rsid w:val="00750F52"/>
    <w:rsid w:val="007724CD"/>
    <w:rsid w:val="00794E26"/>
    <w:rsid w:val="00797EAE"/>
    <w:rsid w:val="007A147F"/>
    <w:rsid w:val="007C0959"/>
    <w:rsid w:val="007C7577"/>
    <w:rsid w:val="007C76D9"/>
    <w:rsid w:val="007D0FCE"/>
    <w:rsid w:val="007D2DEE"/>
    <w:rsid w:val="008075B8"/>
    <w:rsid w:val="008103C5"/>
    <w:rsid w:val="00813628"/>
    <w:rsid w:val="00817D3B"/>
    <w:rsid w:val="00820DE5"/>
    <w:rsid w:val="0082109E"/>
    <w:rsid w:val="00832D58"/>
    <w:rsid w:val="00833322"/>
    <w:rsid w:val="00836D9F"/>
    <w:rsid w:val="008375B1"/>
    <w:rsid w:val="0083794A"/>
    <w:rsid w:val="00843E29"/>
    <w:rsid w:val="00854D12"/>
    <w:rsid w:val="00871197"/>
    <w:rsid w:val="00881934"/>
    <w:rsid w:val="008A380F"/>
    <w:rsid w:val="008A6588"/>
    <w:rsid w:val="008A7A5E"/>
    <w:rsid w:val="008C6D6B"/>
    <w:rsid w:val="008D088C"/>
    <w:rsid w:val="008F7D23"/>
    <w:rsid w:val="009156CB"/>
    <w:rsid w:val="00940C86"/>
    <w:rsid w:val="00951AA2"/>
    <w:rsid w:val="00951F1F"/>
    <w:rsid w:val="00973E51"/>
    <w:rsid w:val="0097464B"/>
    <w:rsid w:val="00985E08"/>
    <w:rsid w:val="00997391"/>
    <w:rsid w:val="009A78AD"/>
    <w:rsid w:val="009C4B3F"/>
    <w:rsid w:val="009C71FF"/>
    <w:rsid w:val="00A12F71"/>
    <w:rsid w:val="00A25C01"/>
    <w:rsid w:val="00A44C7D"/>
    <w:rsid w:val="00A5185A"/>
    <w:rsid w:val="00A564C7"/>
    <w:rsid w:val="00A8254E"/>
    <w:rsid w:val="00A9256A"/>
    <w:rsid w:val="00A936BF"/>
    <w:rsid w:val="00AA0F41"/>
    <w:rsid w:val="00AB13E2"/>
    <w:rsid w:val="00AD19A1"/>
    <w:rsid w:val="00AD5F0E"/>
    <w:rsid w:val="00AE3B83"/>
    <w:rsid w:val="00AF475C"/>
    <w:rsid w:val="00AF79C9"/>
    <w:rsid w:val="00B101E1"/>
    <w:rsid w:val="00B115FD"/>
    <w:rsid w:val="00B20343"/>
    <w:rsid w:val="00B440DD"/>
    <w:rsid w:val="00BA0732"/>
    <w:rsid w:val="00BC5296"/>
    <w:rsid w:val="00C029F5"/>
    <w:rsid w:val="00C042F1"/>
    <w:rsid w:val="00C1030E"/>
    <w:rsid w:val="00C124B2"/>
    <w:rsid w:val="00C15EA6"/>
    <w:rsid w:val="00C32369"/>
    <w:rsid w:val="00C32E24"/>
    <w:rsid w:val="00C417CC"/>
    <w:rsid w:val="00C45E52"/>
    <w:rsid w:val="00C6704A"/>
    <w:rsid w:val="00C87F6C"/>
    <w:rsid w:val="00CB29AA"/>
    <w:rsid w:val="00CC7827"/>
    <w:rsid w:val="00CE16C5"/>
    <w:rsid w:val="00D00DAF"/>
    <w:rsid w:val="00D3357E"/>
    <w:rsid w:val="00D44280"/>
    <w:rsid w:val="00D50E80"/>
    <w:rsid w:val="00D629F2"/>
    <w:rsid w:val="00D765A2"/>
    <w:rsid w:val="00D95748"/>
    <w:rsid w:val="00DA6671"/>
    <w:rsid w:val="00DB5E8F"/>
    <w:rsid w:val="00DC0CC3"/>
    <w:rsid w:val="00DC49B8"/>
    <w:rsid w:val="00DF3948"/>
    <w:rsid w:val="00E04874"/>
    <w:rsid w:val="00E16B00"/>
    <w:rsid w:val="00E303AA"/>
    <w:rsid w:val="00E359D1"/>
    <w:rsid w:val="00E74D5F"/>
    <w:rsid w:val="00E854BF"/>
    <w:rsid w:val="00E90231"/>
    <w:rsid w:val="00E92DC8"/>
    <w:rsid w:val="00E96D53"/>
    <w:rsid w:val="00EA32F9"/>
    <w:rsid w:val="00EA49AF"/>
    <w:rsid w:val="00ED6A78"/>
    <w:rsid w:val="00EF6AE4"/>
    <w:rsid w:val="00F22B8A"/>
    <w:rsid w:val="00F26A2E"/>
    <w:rsid w:val="00F465E0"/>
    <w:rsid w:val="00F55921"/>
    <w:rsid w:val="00F877A3"/>
    <w:rsid w:val="00FA2166"/>
    <w:rsid w:val="00FD05E8"/>
    <w:rsid w:val="00FE4C8D"/>
    <w:rsid w:val="01C23643"/>
    <w:rsid w:val="05005F8D"/>
    <w:rsid w:val="061E786B"/>
    <w:rsid w:val="063552DA"/>
    <w:rsid w:val="0AFF1D86"/>
    <w:rsid w:val="0E95483F"/>
    <w:rsid w:val="0FBA299A"/>
    <w:rsid w:val="10001A59"/>
    <w:rsid w:val="160F05DF"/>
    <w:rsid w:val="19904656"/>
    <w:rsid w:val="1B831881"/>
    <w:rsid w:val="1C9F4E96"/>
    <w:rsid w:val="1FA96623"/>
    <w:rsid w:val="21E946CF"/>
    <w:rsid w:val="231523FB"/>
    <w:rsid w:val="244F5C3C"/>
    <w:rsid w:val="26DD6E32"/>
    <w:rsid w:val="29993EFC"/>
    <w:rsid w:val="29F2216D"/>
    <w:rsid w:val="3136372C"/>
    <w:rsid w:val="36287465"/>
    <w:rsid w:val="385300EF"/>
    <w:rsid w:val="3C4102FD"/>
    <w:rsid w:val="3D6A38DF"/>
    <w:rsid w:val="3DC81219"/>
    <w:rsid w:val="3E87589D"/>
    <w:rsid w:val="43C60A1B"/>
    <w:rsid w:val="465F5FAB"/>
    <w:rsid w:val="49463453"/>
    <w:rsid w:val="4B9747FE"/>
    <w:rsid w:val="4E7F7C08"/>
    <w:rsid w:val="503E5894"/>
    <w:rsid w:val="52611819"/>
    <w:rsid w:val="52F12681"/>
    <w:rsid w:val="54D9161F"/>
    <w:rsid w:val="55946DC9"/>
    <w:rsid w:val="5B173D60"/>
    <w:rsid w:val="5BAC159B"/>
    <w:rsid w:val="5C8F2C11"/>
    <w:rsid w:val="60CA4BB2"/>
    <w:rsid w:val="62F82065"/>
    <w:rsid w:val="6417654C"/>
    <w:rsid w:val="64E27697"/>
    <w:rsid w:val="709E4588"/>
    <w:rsid w:val="7B90028B"/>
    <w:rsid w:val="7DF138B8"/>
    <w:rsid w:val="7F6F3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jc w:val="both"/>
    </w:pPr>
    <w:rPr>
      <w:rFonts w:ascii="Times New Roman" w:hAnsi="Times New Roman" w:eastAsia="仿宋" w:cs="Times New Roman"/>
      <w:kern w:val="2"/>
      <w:sz w:val="28"/>
      <w:szCs w:val="22"/>
      <w:lang w:val="en-US" w:eastAsia="zh-CN" w:bidi="ar-SA"/>
    </w:rPr>
  </w:style>
  <w:style w:type="paragraph" w:styleId="2">
    <w:name w:val="heading 1"/>
    <w:basedOn w:val="1"/>
    <w:next w:val="1"/>
    <w:link w:val="21"/>
    <w:qFormat/>
    <w:uiPriority w:val="9"/>
    <w:pPr>
      <w:keepNext/>
      <w:keepLines/>
      <w:widowControl/>
      <w:adjustRightInd w:val="0"/>
      <w:snapToGrid w:val="0"/>
      <w:spacing w:line="480" w:lineRule="auto"/>
      <w:ind w:firstLine="0" w:firstLineChars="0"/>
      <w:jc w:val="center"/>
      <w:outlineLvl w:val="0"/>
    </w:pPr>
    <w:rPr>
      <w:rFonts w:cstheme="minorBidi"/>
      <w:b/>
      <w:bCs/>
      <w:kern w:val="44"/>
      <w:sz w:val="32"/>
      <w:szCs w:val="44"/>
    </w:rPr>
  </w:style>
  <w:style w:type="paragraph" w:styleId="3">
    <w:name w:val="heading 2"/>
    <w:basedOn w:val="1"/>
    <w:next w:val="1"/>
    <w:link w:val="22"/>
    <w:unhideWhenUsed/>
    <w:qFormat/>
    <w:uiPriority w:val="9"/>
    <w:pPr>
      <w:keepNext/>
      <w:keepLines/>
      <w:widowControl/>
      <w:adjustRightInd w:val="0"/>
      <w:snapToGrid w:val="0"/>
      <w:spacing w:before="100" w:beforeLines="100" w:after="240" w:line="480" w:lineRule="auto"/>
      <w:ind w:firstLine="0" w:firstLineChars="0"/>
      <w:jc w:val="center"/>
      <w:outlineLvl w:val="1"/>
    </w:pPr>
    <w:rPr>
      <w:rFonts w:ascii="仿宋" w:hAnsi="仿宋" w:cs="仿宋"/>
      <w:b/>
      <w:bCs/>
      <w:kern w:val="0"/>
      <w:sz w:val="30"/>
      <w:szCs w:val="32"/>
    </w:rPr>
  </w:style>
  <w:style w:type="paragraph" w:styleId="4">
    <w:name w:val="heading 3"/>
    <w:basedOn w:val="1"/>
    <w:next w:val="1"/>
    <w:link w:val="23"/>
    <w:unhideWhenUsed/>
    <w:qFormat/>
    <w:uiPriority w:val="9"/>
    <w:pPr>
      <w:keepNext/>
      <w:keepLines/>
      <w:widowControl/>
      <w:adjustRightInd w:val="0"/>
      <w:snapToGrid w:val="0"/>
      <w:spacing w:before="100" w:beforeLines="100"/>
      <w:ind w:firstLine="0" w:firstLineChars="0"/>
      <w:jc w:val="left"/>
      <w:outlineLvl w:val="2"/>
    </w:pPr>
    <w:rPr>
      <w:rFonts w:cstheme="minorBidi"/>
      <w:b/>
      <w:kern w:val="0"/>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toc 7"/>
    <w:basedOn w:val="1"/>
    <w:next w:val="1"/>
    <w:unhideWhenUsed/>
    <w:qFormat/>
    <w:uiPriority w:val="39"/>
    <w:pPr>
      <w:spacing w:line="240" w:lineRule="auto"/>
      <w:ind w:left="2520" w:leftChars="1200" w:firstLine="0" w:firstLineChars="0"/>
    </w:pPr>
    <w:rPr>
      <w:rFonts w:asciiTheme="minorHAnsi" w:hAnsiTheme="minorHAnsi" w:eastAsiaTheme="minorEastAsia" w:cstheme="minorBidi"/>
      <w:sz w:val="21"/>
    </w:rPr>
  </w:style>
  <w:style w:type="paragraph" w:styleId="6">
    <w:name w:val="toc 5"/>
    <w:basedOn w:val="1"/>
    <w:next w:val="1"/>
    <w:unhideWhenUsed/>
    <w:qFormat/>
    <w:uiPriority w:val="39"/>
    <w:pPr>
      <w:spacing w:line="240" w:lineRule="auto"/>
      <w:ind w:left="1680" w:leftChars="800" w:firstLine="0" w:firstLineChars="0"/>
    </w:pPr>
    <w:rPr>
      <w:rFonts w:asciiTheme="minorHAnsi" w:hAnsiTheme="minorHAnsi" w:eastAsiaTheme="minorEastAsia" w:cstheme="minorBidi"/>
      <w:sz w:val="21"/>
    </w:rPr>
  </w:style>
  <w:style w:type="paragraph" w:styleId="7">
    <w:name w:val="toc 3"/>
    <w:basedOn w:val="1"/>
    <w:next w:val="1"/>
    <w:unhideWhenUsed/>
    <w:qFormat/>
    <w:uiPriority w:val="39"/>
    <w:pPr>
      <w:ind w:left="840" w:leftChars="400"/>
    </w:pPr>
  </w:style>
  <w:style w:type="paragraph" w:styleId="8">
    <w:name w:val="toc 8"/>
    <w:basedOn w:val="1"/>
    <w:next w:val="1"/>
    <w:unhideWhenUsed/>
    <w:qFormat/>
    <w:uiPriority w:val="39"/>
    <w:pPr>
      <w:spacing w:line="240" w:lineRule="auto"/>
      <w:ind w:left="2940" w:leftChars="1400" w:firstLine="0" w:firstLineChars="0"/>
    </w:pPr>
    <w:rPr>
      <w:rFonts w:asciiTheme="minorHAnsi" w:hAnsiTheme="minorHAnsi" w:eastAsiaTheme="minorEastAsia" w:cstheme="minorBidi"/>
      <w:sz w:val="21"/>
    </w:rPr>
  </w:style>
  <w:style w:type="paragraph" w:styleId="9">
    <w:name w:val="Balloon Text"/>
    <w:basedOn w:val="1"/>
    <w:link w:val="26"/>
    <w:semiHidden/>
    <w:unhideWhenUsed/>
    <w:qFormat/>
    <w:uiPriority w:val="99"/>
    <w:pPr>
      <w:spacing w:line="240" w:lineRule="auto"/>
    </w:pPr>
    <w:rPr>
      <w:sz w:val="18"/>
      <w:szCs w:val="18"/>
    </w:rPr>
  </w:style>
  <w:style w:type="paragraph" w:styleId="10">
    <w:name w:val="footer"/>
    <w:basedOn w:val="1"/>
    <w:link w:val="25"/>
    <w:unhideWhenUsed/>
    <w:qFormat/>
    <w:uiPriority w:val="99"/>
    <w:pPr>
      <w:tabs>
        <w:tab w:val="center" w:pos="4153"/>
        <w:tab w:val="right" w:pos="8306"/>
      </w:tabs>
      <w:snapToGrid w:val="0"/>
      <w:spacing w:line="240" w:lineRule="auto"/>
      <w:jc w:val="left"/>
    </w:pPr>
    <w:rPr>
      <w:sz w:val="18"/>
      <w:szCs w:val="18"/>
    </w:rPr>
  </w:style>
  <w:style w:type="paragraph" w:styleId="11">
    <w:name w:val="header"/>
    <w:basedOn w:val="1"/>
    <w:link w:val="2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spacing w:line="240" w:lineRule="auto"/>
      <w:ind w:left="1260" w:leftChars="600" w:firstLine="0" w:firstLineChars="0"/>
    </w:pPr>
    <w:rPr>
      <w:rFonts w:asciiTheme="minorHAnsi" w:hAnsiTheme="minorHAnsi" w:eastAsiaTheme="minorEastAsia" w:cstheme="minorBidi"/>
      <w:sz w:val="21"/>
    </w:rPr>
  </w:style>
  <w:style w:type="paragraph" w:styleId="14">
    <w:name w:val="toc 6"/>
    <w:basedOn w:val="1"/>
    <w:next w:val="1"/>
    <w:unhideWhenUsed/>
    <w:qFormat/>
    <w:uiPriority w:val="39"/>
    <w:pPr>
      <w:spacing w:line="240" w:lineRule="auto"/>
      <w:ind w:left="2100" w:leftChars="1000" w:firstLine="0" w:firstLineChars="0"/>
    </w:pPr>
    <w:rPr>
      <w:rFonts w:asciiTheme="minorHAnsi" w:hAnsiTheme="minorHAnsi" w:eastAsiaTheme="minorEastAsia" w:cstheme="minorBidi"/>
      <w:sz w:val="21"/>
    </w:rPr>
  </w:style>
  <w:style w:type="paragraph" w:styleId="15">
    <w:name w:val="toc 2"/>
    <w:basedOn w:val="1"/>
    <w:next w:val="1"/>
    <w:unhideWhenUsed/>
    <w:qFormat/>
    <w:uiPriority w:val="39"/>
    <w:pPr>
      <w:ind w:left="420" w:leftChars="200"/>
    </w:pPr>
  </w:style>
  <w:style w:type="paragraph" w:styleId="16">
    <w:name w:val="toc 9"/>
    <w:basedOn w:val="1"/>
    <w:next w:val="1"/>
    <w:unhideWhenUsed/>
    <w:qFormat/>
    <w:uiPriority w:val="39"/>
    <w:pPr>
      <w:spacing w:line="240" w:lineRule="auto"/>
      <w:ind w:left="3360" w:leftChars="1600" w:firstLine="0" w:firstLineChars="0"/>
    </w:pPr>
    <w:rPr>
      <w:rFonts w:asciiTheme="minorHAnsi" w:hAnsiTheme="minorHAnsi" w:eastAsiaTheme="minorEastAsia" w:cstheme="minorBidi"/>
      <w:sz w:val="21"/>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标题 1 Char"/>
    <w:basedOn w:val="19"/>
    <w:link w:val="2"/>
    <w:qFormat/>
    <w:uiPriority w:val="9"/>
    <w:rPr>
      <w:rFonts w:ascii="Times New Roman" w:hAnsi="Times New Roman" w:eastAsia="仿宋"/>
      <w:b/>
      <w:bCs/>
      <w:kern w:val="44"/>
      <w:sz w:val="32"/>
      <w:szCs w:val="44"/>
    </w:rPr>
  </w:style>
  <w:style w:type="character" w:customStyle="1" w:styleId="22">
    <w:name w:val="标题 2 Char"/>
    <w:basedOn w:val="19"/>
    <w:link w:val="3"/>
    <w:qFormat/>
    <w:uiPriority w:val="9"/>
    <w:rPr>
      <w:rFonts w:ascii="仿宋" w:hAnsi="仿宋" w:eastAsia="仿宋" w:cs="仿宋"/>
      <w:b/>
      <w:bCs/>
      <w:kern w:val="0"/>
      <w:sz w:val="30"/>
      <w:szCs w:val="32"/>
    </w:rPr>
  </w:style>
  <w:style w:type="character" w:customStyle="1" w:styleId="23">
    <w:name w:val="标题 3 Char"/>
    <w:basedOn w:val="19"/>
    <w:link w:val="4"/>
    <w:qFormat/>
    <w:uiPriority w:val="9"/>
    <w:rPr>
      <w:rFonts w:ascii="Times New Roman" w:hAnsi="Times New Roman" w:eastAsia="仿宋"/>
      <w:b/>
      <w:kern w:val="0"/>
      <w:sz w:val="28"/>
    </w:rPr>
  </w:style>
  <w:style w:type="character" w:customStyle="1" w:styleId="24">
    <w:name w:val="页眉 Char"/>
    <w:basedOn w:val="19"/>
    <w:link w:val="11"/>
    <w:qFormat/>
    <w:uiPriority w:val="99"/>
    <w:rPr>
      <w:rFonts w:ascii="Times New Roman" w:hAnsi="Times New Roman" w:eastAsia="仿宋" w:cs="Times New Roman"/>
      <w:sz w:val="18"/>
      <w:szCs w:val="18"/>
    </w:rPr>
  </w:style>
  <w:style w:type="character" w:customStyle="1" w:styleId="25">
    <w:name w:val="页脚 Char"/>
    <w:basedOn w:val="19"/>
    <w:link w:val="10"/>
    <w:qFormat/>
    <w:uiPriority w:val="99"/>
    <w:rPr>
      <w:rFonts w:ascii="Times New Roman" w:hAnsi="Times New Roman" w:eastAsia="仿宋" w:cs="Times New Roman"/>
      <w:sz w:val="18"/>
      <w:szCs w:val="18"/>
    </w:rPr>
  </w:style>
  <w:style w:type="character" w:customStyle="1" w:styleId="26">
    <w:name w:val="批注框文本 Char"/>
    <w:basedOn w:val="19"/>
    <w:link w:val="9"/>
    <w:semiHidden/>
    <w:qFormat/>
    <w:uiPriority w:val="99"/>
    <w:rPr>
      <w:rFonts w:ascii="Times New Roman" w:hAnsi="Times New Roman" w:eastAsia="仿宋" w:cs="Times New Roman"/>
      <w:sz w:val="18"/>
      <w:szCs w:val="18"/>
    </w:rPr>
  </w:style>
  <w:style w:type="paragraph" w:customStyle="1" w:styleId="27">
    <w:name w:val="TOC 标题1"/>
    <w:basedOn w:val="2"/>
    <w:next w:val="1"/>
    <w:unhideWhenUsed/>
    <w:qFormat/>
    <w:uiPriority w:val="39"/>
    <w:pPr>
      <w:adjustRightInd/>
      <w:snapToGrid/>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28">
    <w:name w:val="List Paragraph"/>
    <w:basedOn w:val="1"/>
    <w:qFormat/>
    <w:uiPriority w:val="34"/>
    <w:pPr>
      <w:ind w:firstLine="420"/>
    </w:pPr>
  </w:style>
  <w:style w:type="paragraph" w:customStyle="1" w:styleId="29">
    <w:name w:val="修订1"/>
    <w:hidden/>
    <w:semiHidden/>
    <w:qFormat/>
    <w:uiPriority w:val="99"/>
    <w:rPr>
      <w:rFonts w:ascii="Times New Roman" w:hAnsi="Times New Roman" w:eastAsia="仿宋" w:cs="Times New Roman"/>
      <w:kern w:val="2"/>
      <w:sz w:val="28"/>
      <w:szCs w:val="22"/>
      <w:lang w:val="en-US" w:eastAsia="zh-CN" w:bidi="ar-SA"/>
    </w:rPr>
  </w:style>
  <w:style w:type="character" w:customStyle="1" w:styleId="30">
    <w:name w:val="font21"/>
    <w:basedOn w:val="19"/>
    <w:qFormat/>
    <w:uiPriority w:val="0"/>
    <w:rPr>
      <w:rFonts w:hint="default" w:ascii="Times New Roman" w:hAnsi="Times New Roman" w:cs="Times New Roman"/>
      <w:color w:val="000000"/>
      <w:sz w:val="21"/>
      <w:szCs w:val="21"/>
      <w:u w:val="none"/>
    </w:rPr>
  </w:style>
  <w:style w:type="character" w:customStyle="1" w:styleId="31">
    <w:name w:val="font11"/>
    <w:basedOn w:val="19"/>
    <w:qFormat/>
    <w:uiPriority w:val="0"/>
    <w:rPr>
      <w:rFonts w:hint="eastAsia" w:ascii="仿宋" w:hAnsi="仿宋" w:eastAsia="仿宋" w:cs="仿宋"/>
      <w:color w:val="000000"/>
      <w:sz w:val="21"/>
      <w:szCs w:val="21"/>
      <w:u w:val="none"/>
    </w:rPr>
  </w:style>
  <w:style w:type="character" w:customStyle="1" w:styleId="32">
    <w:name w:val="font31"/>
    <w:basedOn w:val="19"/>
    <w:qFormat/>
    <w:uiPriority w:val="0"/>
    <w:rPr>
      <w:rFonts w:hint="default" w:ascii="Times New Roman" w:hAnsi="Times New Roman" w:cs="Times New Roman"/>
      <w:color w:val="000000"/>
      <w:sz w:val="21"/>
      <w:szCs w:val="21"/>
      <w:u w:val="none"/>
      <w:vertAlign w:val="superscript"/>
    </w:rPr>
  </w:style>
  <w:style w:type="character" w:customStyle="1" w:styleId="33">
    <w:name w:val="font01"/>
    <w:basedOn w:val="19"/>
    <w:qFormat/>
    <w:uiPriority w:val="0"/>
    <w:rPr>
      <w:rFonts w:hint="eastAsia" w:ascii="宋体" w:hAnsi="宋体" w:eastAsia="宋体" w:cs="宋体"/>
      <w:color w:val="000000"/>
      <w:sz w:val="24"/>
      <w:szCs w:val="24"/>
      <w:u w:val="none"/>
    </w:rPr>
  </w:style>
  <w:style w:type="character" w:customStyle="1" w:styleId="34">
    <w:name w:val="font91"/>
    <w:basedOn w:val="19"/>
    <w:uiPriority w:val="0"/>
    <w:rPr>
      <w:rFonts w:hint="default" w:ascii="Times New Roman" w:hAnsi="Times New Roman" w:cs="Times New Roman"/>
      <w:color w:val="000000"/>
      <w:sz w:val="20"/>
      <w:szCs w:val="20"/>
      <w:u w:val="none"/>
    </w:rPr>
  </w:style>
  <w:style w:type="character" w:customStyle="1" w:styleId="35">
    <w:name w:val="font61"/>
    <w:basedOn w:val="19"/>
    <w:uiPriority w:val="0"/>
    <w:rPr>
      <w:rFonts w:hint="eastAsia" w:ascii="宋体" w:hAnsi="宋体" w:eastAsia="宋体" w:cs="宋体"/>
      <w:color w:val="000000"/>
      <w:sz w:val="20"/>
      <w:szCs w:val="20"/>
      <w:u w:val="none"/>
    </w:rPr>
  </w:style>
  <w:style w:type="character" w:customStyle="1" w:styleId="36">
    <w:name w:val="font51"/>
    <w:basedOn w:val="19"/>
    <w:uiPriority w:val="0"/>
    <w:rPr>
      <w:rFonts w:hint="default" w:ascii="Times New Roman" w:hAnsi="Times New Roman" w:cs="Times New Roman"/>
      <w:color w:val="000000"/>
      <w:sz w:val="24"/>
      <w:szCs w:val="24"/>
      <w:u w:val="none"/>
    </w:rPr>
  </w:style>
  <w:style w:type="character" w:customStyle="1" w:styleId="37">
    <w:name w:val="font41"/>
    <w:basedOn w:val="19"/>
    <w:uiPriority w:val="0"/>
    <w:rPr>
      <w:rFonts w:hint="eastAsia" w:ascii="宋体" w:hAnsi="宋体" w:eastAsia="宋体" w:cs="宋体"/>
      <w:color w:val="000000"/>
      <w:sz w:val="24"/>
      <w:szCs w:val="24"/>
      <w:u w:val="none"/>
    </w:rPr>
  </w:style>
  <w:style w:type="character" w:customStyle="1" w:styleId="38">
    <w:name w:val="font71"/>
    <w:basedOn w:val="19"/>
    <w:uiPriority w:val="0"/>
    <w:rPr>
      <w:rFonts w:ascii="宋体" w:hAnsi="宋体" w:eastAsia="宋体" w:cs="宋体"/>
      <w:color w:val="000000"/>
      <w:sz w:val="54"/>
      <w:szCs w:val="5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9E365-9A67-448E-9ADC-CA9C160B8D0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79</Pages>
  <Words>26406</Words>
  <Characters>34568</Characters>
  <Lines>327</Lines>
  <Paragraphs>92</Paragraphs>
  <TotalTime>239</TotalTime>
  <ScaleCrop>false</ScaleCrop>
  <LinksUpToDate>false</LinksUpToDate>
  <CharactersWithSpaces>35138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2022-10-20T01:22:00Z</dcterms:created>
  <dc:creator>China</dc:creator>
  <cp:lastModifiedBy>Administrator</cp:lastModifiedBy>
  <cp:lastPrinted>2022-12-30T02:35:00Z</cp:lastPrinted>
  <dcterms:modified xsi:type="dcterms:W3CDTF">2023-03-17T01:26:30Z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C2ED3CD380784EF191BE3FDC15DA28F1</vt:lpwstr>
  </property>
</Properties>
</file>