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8B" w:rsidRDefault="007A7D70">
      <w:pPr>
        <w:spacing w:line="360" w:lineRule="auto"/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  <w:lang/>
        </w:rPr>
        <w:t>部门整体支出绩效自评报告</w:t>
      </w:r>
    </w:p>
    <w:p w:rsidR="000E3B8B" w:rsidRDefault="007A7D70">
      <w:pPr>
        <w:numPr>
          <w:ilvl w:val="0"/>
          <w:numId w:val="1"/>
        </w:num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预算单位基本情况</w:t>
      </w:r>
    </w:p>
    <w:p w:rsidR="000E3B8B" w:rsidRDefault="007A7D70">
      <w:pPr>
        <w:pStyle w:val="a4"/>
        <w:widowControl/>
        <w:spacing w:beforeAutospacing="0" w:afterAutospacing="0" w:line="360" w:lineRule="auto"/>
        <w:ind w:firstLineChars="200" w:firstLine="640"/>
        <w:rPr>
          <w:rFonts w:ascii="仿宋" w:eastAsia="仿宋" w:hAnsi="仿宋" w:cs="仿宋"/>
          <w:kern w:val="2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渌口区自然资源局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年年末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实有人数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90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人。内设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股室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个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（含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个副科级单位）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分别为：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为办公室；计划财务股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确权登记股；规划用地股；空间利用股；行政审批股；耕地保护与生态修复股；矿产与地质环境股；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不动产登记中心；国土资源执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法监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察大队；土地储备中心；渌口国土资源中心所；淦田国土资源中心所；朱亭国土资源中心所；河西国土资源中心所；自然资源测绘地理信息服务中心；规划技术服务中心。</w:t>
      </w:r>
    </w:p>
    <w:p w:rsidR="000E3B8B" w:rsidRDefault="007A7D70">
      <w:pPr>
        <w:pStyle w:val="msolistparagraph0"/>
        <w:widowControl/>
        <w:numPr>
          <w:ilvl w:val="0"/>
          <w:numId w:val="1"/>
        </w:numPr>
        <w:spacing w:line="360" w:lineRule="auto"/>
        <w:ind w:left="0" w:firstLineChars="200" w:firstLine="643"/>
        <w:jc w:val="left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一般公共预算支出情况</w:t>
      </w:r>
    </w:p>
    <w:p w:rsidR="000E3B8B" w:rsidRDefault="007A7D70" w:rsidP="00C163DA">
      <w:pPr>
        <w:pStyle w:val="msolistparagraph0"/>
        <w:widowControl/>
        <w:spacing w:line="360" w:lineRule="auto"/>
        <w:ind w:leftChars="200" w:left="420" w:firstLine="0"/>
        <w:jc w:val="left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（一）</w:t>
      </w:r>
      <w:r>
        <w:rPr>
          <w:rFonts w:ascii="仿宋" w:eastAsia="仿宋" w:hAnsi="仿宋" w:cs="仿宋"/>
          <w:sz w:val="32"/>
          <w:szCs w:val="32"/>
        </w:rPr>
        <w:t>基本支出情况</w:t>
      </w:r>
    </w:p>
    <w:p w:rsidR="000E3B8B" w:rsidRDefault="007A7D70">
      <w:pPr>
        <w:pStyle w:val="a4"/>
        <w:widowControl/>
        <w:spacing w:beforeAutospacing="0" w:after="300" w:afterAutospacing="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年年初预算收入数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1468.99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万元，其中：一般公共预算拨款收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1468.99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万元。</w:t>
      </w:r>
    </w:p>
    <w:p w:rsidR="000E3B8B" w:rsidRDefault="007A7D70">
      <w:pPr>
        <w:pStyle w:val="a4"/>
        <w:widowControl/>
        <w:spacing w:beforeAutospacing="0" w:after="300" w:afterAutospacing="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年年初预算支出数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1468.99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万元，其中：基本支出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1124.99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万元，项目支出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334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万元。</w:t>
      </w:r>
    </w:p>
    <w:p w:rsidR="000E3B8B" w:rsidRDefault="007A7D70">
      <w:pPr>
        <w:pStyle w:val="a4"/>
        <w:widowControl/>
        <w:spacing w:beforeAutospacing="0" w:after="300" w:afterAutospacing="0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项目支出情况</w:t>
      </w:r>
    </w:p>
    <w:p w:rsidR="000E3B8B" w:rsidRDefault="007A7D70">
      <w:pPr>
        <w:pStyle w:val="a4"/>
        <w:widowControl/>
        <w:shd w:val="clear" w:color="auto" w:fill="FFFFFF"/>
        <w:spacing w:before="196" w:beforeAutospacing="0" w:after="300" w:afterAutospacing="0" w:line="360" w:lineRule="auto"/>
        <w:ind w:rightChars="50" w:right="105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株洲市渌口区林业局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年度部门决算项目支出总额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43506.33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0E3B8B" w:rsidRDefault="007A7D70">
      <w:pPr>
        <w:numPr>
          <w:ilvl w:val="0"/>
          <w:numId w:val="2"/>
        </w:numPr>
        <w:adjustRightInd w:val="0"/>
        <w:snapToGrid w:val="0"/>
        <w:spacing w:line="360" w:lineRule="auto"/>
        <w:ind w:rightChars="-44" w:right="-92"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完成紫涵湖征地拆迁户征地补偿款和徐家湾铁矿项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目的补偿款</w:t>
      </w:r>
      <w:r>
        <w:rPr>
          <w:rFonts w:ascii="仿宋" w:eastAsia="仿宋" w:hAnsi="仿宋" w:cs="仿宋" w:hint="eastAsia"/>
          <w:sz w:val="32"/>
          <w:szCs w:val="32"/>
        </w:rPr>
        <w:t>82.45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0E3B8B" w:rsidRDefault="007A7D70">
      <w:pPr>
        <w:numPr>
          <w:ilvl w:val="0"/>
          <w:numId w:val="2"/>
        </w:num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完成土地收储资金和占补平衡项目</w:t>
      </w:r>
      <w:r>
        <w:rPr>
          <w:rFonts w:ascii="仿宋" w:eastAsia="仿宋" w:hAnsi="仿宋" w:cs="仿宋" w:hint="eastAsia"/>
          <w:sz w:val="32"/>
          <w:szCs w:val="32"/>
        </w:rPr>
        <w:t>38636.92</w:t>
      </w:r>
      <w:r>
        <w:rPr>
          <w:rFonts w:ascii="仿宋" w:eastAsia="仿宋" w:hAnsi="仿宋" w:cs="仿宋" w:hint="eastAsia"/>
          <w:sz w:val="32"/>
          <w:szCs w:val="32"/>
        </w:rPr>
        <w:t>万元，其中：南洲储备地</w:t>
      </w:r>
      <w:r>
        <w:rPr>
          <w:rFonts w:ascii="仿宋" w:eastAsia="仿宋" w:hAnsi="仿宋" w:cs="仿宋" w:hint="eastAsia"/>
          <w:sz w:val="32"/>
          <w:szCs w:val="32"/>
        </w:rPr>
        <w:t>35167</w:t>
      </w:r>
      <w:r>
        <w:rPr>
          <w:rFonts w:ascii="仿宋" w:eastAsia="仿宋" w:hAnsi="仿宋" w:cs="仿宋" w:hint="eastAsia"/>
          <w:sz w:val="32"/>
          <w:szCs w:val="32"/>
        </w:rPr>
        <w:t>万元；购买土地指标费</w:t>
      </w:r>
      <w:r>
        <w:rPr>
          <w:rFonts w:ascii="仿宋" w:eastAsia="仿宋" w:hAnsi="仿宋" w:cs="仿宋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万；占补平衡专项</w:t>
      </w:r>
      <w:r>
        <w:rPr>
          <w:rFonts w:ascii="仿宋" w:eastAsia="仿宋" w:hAnsi="仿宋" w:cs="仿宋" w:hint="eastAsia"/>
          <w:sz w:val="32"/>
          <w:szCs w:val="32"/>
        </w:rPr>
        <w:t>1821.07</w:t>
      </w:r>
      <w:r>
        <w:rPr>
          <w:rFonts w:ascii="仿宋" w:eastAsia="仿宋" w:hAnsi="仿宋" w:cs="仿宋" w:hint="eastAsia"/>
          <w:sz w:val="32"/>
          <w:szCs w:val="32"/>
        </w:rPr>
        <w:t>万；王家洲储备地</w:t>
      </w:r>
      <w:r>
        <w:rPr>
          <w:rFonts w:ascii="仿宋" w:eastAsia="仿宋" w:hAnsi="仿宋" w:cs="仿宋" w:hint="eastAsia"/>
          <w:sz w:val="32"/>
          <w:szCs w:val="32"/>
        </w:rPr>
        <w:t>187.85</w:t>
      </w:r>
      <w:r>
        <w:rPr>
          <w:rFonts w:ascii="仿宋" w:eastAsia="仿宋" w:hAnsi="仿宋" w:cs="仿宋" w:hint="eastAsia"/>
          <w:sz w:val="32"/>
          <w:szCs w:val="32"/>
        </w:rPr>
        <w:t>万；湘火炬收储</w:t>
      </w:r>
      <w:r>
        <w:rPr>
          <w:rFonts w:ascii="仿宋" w:eastAsia="仿宋" w:hAnsi="仿宋" w:cs="仿宋" w:hint="eastAsia"/>
          <w:sz w:val="32"/>
          <w:szCs w:val="32"/>
        </w:rPr>
        <w:t>61</w:t>
      </w:r>
      <w:r>
        <w:rPr>
          <w:rFonts w:ascii="仿宋" w:eastAsia="仿宋" w:hAnsi="仿宋" w:cs="仿宋" w:hint="eastAsia"/>
          <w:sz w:val="32"/>
          <w:szCs w:val="32"/>
        </w:rPr>
        <w:t>万；地力培肥资金</w:t>
      </w:r>
      <w:r>
        <w:rPr>
          <w:rFonts w:ascii="仿宋" w:eastAsia="仿宋" w:hAnsi="仿宋" w:cs="仿宋" w:hint="eastAsia"/>
          <w:sz w:val="32"/>
          <w:szCs w:val="32"/>
        </w:rPr>
        <w:t>400</w:t>
      </w:r>
      <w:r>
        <w:rPr>
          <w:rFonts w:ascii="仿宋" w:eastAsia="仿宋" w:hAnsi="仿宋" w:cs="仿宋" w:hint="eastAsia"/>
          <w:sz w:val="32"/>
          <w:szCs w:val="32"/>
        </w:rPr>
        <w:t>万。</w:t>
      </w:r>
    </w:p>
    <w:p w:rsidR="000E3B8B" w:rsidRDefault="007A7D70">
      <w:pPr>
        <w:pStyle w:val="a0"/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完成市级占补平衡项目</w:t>
      </w:r>
      <w:r>
        <w:rPr>
          <w:rFonts w:ascii="仿宋" w:eastAsia="仿宋" w:hAnsi="仿宋" w:cs="仿宋" w:hint="eastAsia"/>
          <w:sz w:val="32"/>
          <w:szCs w:val="32"/>
        </w:rPr>
        <w:t>2270</w:t>
      </w:r>
      <w:r>
        <w:rPr>
          <w:rFonts w:ascii="仿宋" w:eastAsia="仿宋" w:hAnsi="仿宋" w:cs="仿宋" w:hint="eastAsia"/>
          <w:sz w:val="32"/>
          <w:szCs w:val="32"/>
        </w:rPr>
        <w:t>万元，株财国指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80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2013</w:t>
      </w:r>
      <w:r>
        <w:rPr>
          <w:rFonts w:ascii="仿宋" w:eastAsia="仿宋" w:hAnsi="仿宋" w:cs="仿宋" w:hint="eastAsia"/>
          <w:sz w:val="32"/>
          <w:szCs w:val="32"/>
        </w:rPr>
        <w:t>－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年市本级土地开发、旱改水验收预拨资金。</w:t>
      </w:r>
    </w:p>
    <w:p w:rsidR="000E3B8B" w:rsidRDefault="007A7D70">
      <w:pPr>
        <w:pStyle w:val="5"/>
        <w:numPr>
          <w:ilvl w:val="0"/>
          <w:numId w:val="2"/>
        </w:numPr>
        <w:spacing w:line="360" w:lineRule="auto"/>
        <w:ind w:leftChars="0"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年高标准农田及生态修复项目</w:t>
      </w:r>
      <w:r>
        <w:rPr>
          <w:rFonts w:ascii="仿宋" w:eastAsia="仿宋" w:hAnsi="仿宋" w:cs="仿宋" w:hint="eastAsia"/>
          <w:sz w:val="32"/>
          <w:szCs w:val="32"/>
        </w:rPr>
        <w:t>2225.72</w:t>
      </w:r>
      <w:r>
        <w:rPr>
          <w:rFonts w:ascii="仿宋" w:eastAsia="仿宋" w:hAnsi="仿宋" w:cs="仿宋" w:hint="eastAsia"/>
          <w:sz w:val="32"/>
          <w:szCs w:val="32"/>
        </w:rPr>
        <w:t>万元。湘财建指</w:t>
      </w: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320#2018</w:t>
      </w:r>
      <w:r>
        <w:rPr>
          <w:rFonts w:ascii="仿宋" w:eastAsia="仿宋" w:hAnsi="仿宋" w:cs="仿宋" w:hint="eastAsia"/>
          <w:sz w:val="32"/>
          <w:szCs w:val="32"/>
        </w:rPr>
        <w:t>年市县级农村土地整治（高标准农田建设）资金；湘财资环指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30#2019</w:t>
      </w:r>
      <w:r>
        <w:rPr>
          <w:rFonts w:ascii="仿宋" w:eastAsia="仿宋" w:hAnsi="仿宋" w:cs="仿宋" w:hint="eastAsia"/>
          <w:sz w:val="32"/>
          <w:szCs w:val="32"/>
        </w:rPr>
        <w:t>年第一批重点生态保护修复治理专项资金，</w:t>
      </w:r>
    </w:p>
    <w:p w:rsidR="000E3B8B" w:rsidRDefault="007A7D70">
      <w:pPr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完成测绘标志巡查和维护</w:t>
      </w:r>
      <w:r>
        <w:rPr>
          <w:rFonts w:ascii="仿宋" w:eastAsia="仿宋" w:hAnsi="仿宋" w:cs="仿宋" w:hint="eastAsia"/>
          <w:sz w:val="32"/>
          <w:szCs w:val="32"/>
        </w:rPr>
        <w:t>2.25</w:t>
      </w:r>
      <w:r>
        <w:rPr>
          <w:rFonts w:ascii="仿宋" w:eastAsia="仿宋" w:hAnsi="仿宋" w:cs="仿宋" w:hint="eastAsia"/>
          <w:sz w:val="32"/>
          <w:szCs w:val="32"/>
        </w:rPr>
        <w:t>万元。主要是株财国指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70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年测量标志巡查和维护补助资金</w:t>
      </w:r>
      <w:r>
        <w:rPr>
          <w:rFonts w:ascii="仿宋" w:eastAsia="仿宋" w:hAnsi="仿宋" w:cs="仿宋" w:hint="eastAsia"/>
          <w:sz w:val="32"/>
          <w:szCs w:val="32"/>
        </w:rPr>
        <w:t>2.25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0E3B8B" w:rsidRDefault="007A7D70">
      <w:pPr>
        <w:pStyle w:val="a0"/>
        <w:numPr>
          <w:ilvl w:val="0"/>
          <w:numId w:val="2"/>
        </w:num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地质灾害防治项目</w:t>
      </w:r>
      <w:r>
        <w:rPr>
          <w:rFonts w:ascii="仿宋" w:eastAsia="仿宋" w:hAnsi="仿宋" w:cs="仿宋" w:hint="eastAsia"/>
          <w:sz w:val="32"/>
          <w:szCs w:val="32"/>
        </w:rPr>
        <w:t>289</w:t>
      </w:r>
      <w:r>
        <w:rPr>
          <w:rFonts w:ascii="仿宋" w:eastAsia="仿宋" w:hAnsi="仿宋" w:cs="仿宋" w:hint="eastAsia"/>
          <w:sz w:val="32"/>
          <w:szCs w:val="32"/>
        </w:rPr>
        <w:t>万元，其中湘财建指</w:t>
      </w: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73# 2017</w:t>
      </w:r>
      <w:r>
        <w:rPr>
          <w:rFonts w:ascii="仿宋" w:eastAsia="仿宋" w:hAnsi="仿宋" w:cs="仿宋" w:hint="eastAsia"/>
          <w:sz w:val="32"/>
          <w:szCs w:val="32"/>
        </w:rPr>
        <w:t>年第一批地质灾害综合防治体系建设项目资金</w:t>
      </w:r>
      <w:r>
        <w:rPr>
          <w:rFonts w:ascii="仿宋" w:eastAsia="仿宋" w:hAnsi="仿宋" w:cs="仿宋" w:hint="eastAsia"/>
          <w:sz w:val="32"/>
          <w:szCs w:val="32"/>
        </w:rPr>
        <w:t>38</w:t>
      </w:r>
      <w:r>
        <w:rPr>
          <w:rFonts w:ascii="仿宋" w:eastAsia="仿宋" w:hAnsi="仿宋" w:cs="仿宋" w:hint="eastAsia"/>
          <w:sz w:val="32"/>
          <w:szCs w:val="32"/>
        </w:rPr>
        <w:t>万元；湘财资环指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23#2020</w:t>
      </w:r>
      <w:r>
        <w:rPr>
          <w:rFonts w:ascii="仿宋" w:eastAsia="仿宋" w:hAnsi="仿宋" w:cs="仿宋" w:hint="eastAsia"/>
          <w:sz w:val="32"/>
          <w:szCs w:val="32"/>
        </w:rPr>
        <w:t>年地质灾害防治项目资金</w:t>
      </w:r>
      <w:r>
        <w:rPr>
          <w:rFonts w:ascii="仿宋" w:eastAsia="仿宋" w:hAnsi="仿宋" w:cs="仿宋" w:hint="eastAsia"/>
          <w:sz w:val="32"/>
          <w:szCs w:val="32"/>
        </w:rPr>
        <w:t>219</w:t>
      </w:r>
      <w:r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湘财建指</w:t>
      </w:r>
      <w:r>
        <w:rPr>
          <w:rFonts w:ascii="仿宋" w:eastAsia="仿宋" w:hAnsi="仿宋" w:cs="仿宋" w:hint="eastAsia"/>
          <w:sz w:val="32"/>
          <w:szCs w:val="32"/>
        </w:rPr>
        <w:t>2015</w:t>
      </w:r>
      <w:r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494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年地质灾害综合防治体系建设项目资金</w:t>
      </w:r>
      <w:r>
        <w:rPr>
          <w:rFonts w:ascii="仿宋" w:eastAsia="仿宋" w:hAnsi="仿宋" w:cs="仿宋" w:hint="eastAsia"/>
          <w:sz w:val="32"/>
          <w:szCs w:val="32"/>
        </w:rPr>
        <w:t>32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0E3B8B" w:rsidRDefault="007A7D70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三、部门整体支出绩效情况</w:t>
      </w:r>
    </w:p>
    <w:p w:rsidR="000E3B8B" w:rsidRDefault="007A7D70">
      <w:pPr>
        <w:pStyle w:val="a4"/>
        <w:widowControl/>
        <w:spacing w:beforeAutospacing="0" w:after="300" w:afterAutospacing="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根据渌口区部门预算绩效管理工作考核办法要求，本单位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年度部门整体支出绩效自评，共涉及资金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45684.18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万元。其中：基本支出：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2177.84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万元，项目支出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43506.34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万元。从评价情况来看，有关项目立项程序完整、规范，预算执行及时、有效，绩效目标得到较好实现，绩效管理水平不断提高，绩效指标体系建设逐渐丰富和完善。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</w:t>
      </w:r>
    </w:p>
    <w:p w:rsidR="000E3B8B" w:rsidRDefault="007A7D70">
      <w:pPr>
        <w:pStyle w:val="a4"/>
        <w:widowControl/>
        <w:numPr>
          <w:ilvl w:val="0"/>
          <w:numId w:val="3"/>
        </w:numPr>
        <w:spacing w:beforeAutospacing="0" w:after="300" w:afterAutospacing="0"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经济效益方面：保护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土地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资源，促进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土地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增效、社会经济发展。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我局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上报建设用地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1767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亩；批回建设用地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1711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亩；出让国有土地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1445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亩，划拨土地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645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亩，收储土地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921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亩，实现土地收入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22.5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亿元。以耕地“占补平衡”为法则，充分盘活废弃建设用地，实现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年度增减挂钩指标确认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690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亩，水田开发项目指标确认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727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亩公顷。以“亩产论英雄”为准则，处置闲置用地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752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亩，整改率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100%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；处理批而未供土地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434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亩，处置率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50.77%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，被省自然资源厅发文表扬渌口区为“批而未供和闲置土地处置目标超过省厅要求地区”。</w:t>
      </w:r>
    </w:p>
    <w:p w:rsidR="000E3B8B" w:rsidRDefault="007A7D70">
      <w:pPr>
        <w:pStyle w:val="a4"/>
        <w:widowControl/>
        <w:spacing w:beforeAutospacing="0" w:after="300" w:afterAutospacing="0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2. 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社会效益方面：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清耕地，保障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粮食安全。理清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2009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以来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个土地开发（复垦）项目新增耕地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1103.1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公顷、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批次增减挂钩项目共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1726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个地块新增农用地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612.44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公顷、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个高标准农田建设项目的耕种、使用情况，高质量推进耕地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“非农化”、“非粮化”任务整改，整改翻耕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3328.5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亩，翻耕率、耕种率均为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100%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，完成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1256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亩指标报部入库，实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现指标转正结余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708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亩，正在组织报部举证入库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2072.5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亩，真正做到了新增耕地“一亩不假”，耕地总量“一亩不少”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0E3B8B" w:rsidRDefault="007A7D70">
      <w:pPr>
        <w:spacing w:line="360" w:lineRule="auto"/>
        <w:ind w:firstLine="70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3. 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生态效益方面：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落实环保督察回头看整改矿山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件，整改率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100%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。实施关闭退出矿山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和废弃矿山的生态复绿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余处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1050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亩。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促进生态文明和精神文明建设。</w:t>
      </w:r>
    </w:p>
    <w:p w:rsidR="000E3B8B" w:rsidRDefault="007A7D70">
      <w:pPr>
        <w:pStyle w:val="a4"/>
        <w:widowControl/>
        <w:spacing w:beforeAutospacing="0" w:after="300" w:afterAutospacing="0" w:line="360" w:lineRule="auto"/>
        <w:ind w:firstLine="645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4. 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可持续发展指标：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以健全山水林田湖草沙共同生命体为总则，有序矿权出让，创建绿色矿山，加强生态修复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严守耕地红线，扛牢粮食安全政治责任，树牢自然资源全生命周期管理理念</w:t>
      </w:r>
    </w:p>
    <w:p w:rsidR="000E3B8B" w:rsidRDefault="007A7D70">
      <w:pPr>
        <w:spacing w:line="360" w:lineRule="auto"/>
        <w:ind w:firstLine="70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5. 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服务对象满意度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%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针对不同群体、不同对象，各有侧重地进行宣讲，真正让干部明晰职责所在、让基层知道守土有责、让百姓自觉依法用地、让园区强化节约集约、让企业树立底线思维。向社会各界赠送读本、彩页近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万余册，开展法制宣讲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150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余课，人民群众对保护耕地的重要性认识有了根本转变，从“无知者无畏”转为“知之者敬畏”，全区保护耕地意识从“不知违占耕地”到“不敢违占耕地”再到“不想违占耕地”的行为自觉。</w:t>
      </w:r>
    </w:p>
    <w:p w:rsidR="000E3B8B" w:rsidRDefault="007A7D70">
      <w:pPr>
        <w:pStyle w:val="msolistparagraph0"/>
        <w:widowControl/>
        <w:spacing w:line="360" w:lineRule="auto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四、存在的问题及原因分析</w:t>
      </w:r>
    </w:p>
    <w:p w:rsidR="000E3B8B" w:rsidRDefault="007A7D7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土地收储资金、占补平衡和增减挂钩项目资金、规划编制等其他专项项目资金未列入年初预算，导致年中追加指标非常大。严重</w:t>
      </w:r>
      <w:r>
        <w:rPr>
          <w:rFonts w:ascii="仿宋" w:eastAsia="仿宋" w:hAnsi="仿宋" w:cs="仿宋" w:hint="eastAsia"/>
          <w:sz w:val="32"/>
          <w:szCs w:val="32"/>
          <w:lang/>
        </w:rPr>
        <w:t>偏离了预算支出，执行偏离绩效目标的情况。</w:t>
      </w:r>
      <w:r>
        <w:rPr>
          <w:rFonts w:ascii="仿宋" w:eastAsia="仿宋" w:hAnsi="仿宋" w:cs="仿宋" w:hint="eastAsia"/>
          <w:sz w:val="32"/>
          <w:szCs w:val="32"/>
          <w:lang/>
        </w:rPr>
        <w:lastRenderedPageBreak/>
        <w:t>分析其原因主要是区级财政财力不够。</w:t>
      </w:r>
    </w:p>
    <w:p w:rsidR="000E3B8B" w:rsidRDefault="007A7D70">
      <w:pPr>
        <w:numPr>
          <w:ilvl w:val="0"/>
          <w:numId w:val="4"/>
        </w:num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下一步改进措施</w:t>
      </w:r>
    </w:p>
    <w:p w:rsidR="000E3B8B" w:rsidRDefault="007A7D70">
      <w:pPr>
        <w:tabs>
          <w:tab w:val="left" w:pos="7350"/>
        </w:tabs>
        <w:adjustRightInd w:val="0"/>
        <w:snapToGrid w:val="0"/>
        <w:spacing w:line="360" w:lineRule="auto"/>
        <w:ind w:rightChars="-44" w:right="-92"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我局项目较多，资金量较大，涉及面较广、项目专业性较强。绩效管理遵循“谁申请资金，谁编制目标”“谁支出、谁自评”的原则，作为一项具有较高技术含量的工作，要利用专业的知识进行全面地分析，目前大部分项目实施，因单位工作人员绩效管理相关专业能力不强，绩效评价水平有待进一步提高。下一步计划进行绩效管理培训，提高绩效指标设定的科学性和可行性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E3B8B" w:rsidRDefault="007A7D7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项目绩效目标设定与预算编制在上年末一同进行，在此时间节点上，部分</w:t>
      </w:r>
      <w:r>
        <w:rPr>
          <w:rFonts w:ascii="仿宋" w:eastAsia="仿宋" w:hAnsi="仿宋" w:cs="仿宋" w:hint="eastAsia"/>
          <w:sz w:val="32"/>
          <w:szCs w:val="32"/>
          <w:lang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>的政策指导和要求尚未出台，绩效目标设定主观性较强，与实际执行情况可能产生一定出入，实际操作比较困难。建议在年初设定绩效目标时说明情况，待项目政策要求出台时再做进一步细化、量化。</w:t>
      </w:r>
    </w:p>
    <w:p w:rsidR="000E3B8B" w:rsidRDefault="007A7D70">
      <w:pPr>
        <w:pStyle w:val="a4"/>
        <w:widowControl/>
        <w:spacing w:beforeAutospacing="0" w:after="300" w:afterAutospacing="0" w:line="360" w:lineRule="auto"/>
        <w:ind w:firstLineChars="200" w:firstLine="643"/>
        <w:rPr>
          <w:rFonts w:ascii="仿宋" w:eastAsia="仿宋" w:hAnsi="仿宋" w:cs="仿宋"/>
          <w:b/>
          <w:bCs/>
          <w:kern w:val="2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  <w:lang/>
        </w:rPr>
        <w:t>六、绩效自评结果拟应用和公开情况</w:t>
      </w:r>
    </w:p>
    <w:p w:rsidR="000E3B8B" w:rsidRDefault="007A7D70" w:rsidP="00C163DA">
      <w:pPr>
        <w:pStyle w:val="a4"/>
        <w:widowControl/>
        <w:spacing w:beforeAutospacing="0" w:after="300" w:afterAutospacing="0" w:line="360" w:lineRule="auto"/>
        <w:ind w:firstLineChars="200" w:firstLine="62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cs="仿宋_GB2312"/>
          <w:sz w:val="31"/>
          <w:szCs w:val="31"/>
          <w:shd w:val="clear" w:color="auto" w:fill="FFFFFF"/>
        </w:rPr>
        <w:t>绩效评价结果应用，既是开展绩效评价工作的基本前提，又是加强财政支出管理、增强资金绩效理念、合理配置公共资源、优化财政支出结构、强化资金管理水平、提高资金使用效益的重要手段。为使绩效评价结果得到合理应用，应将此次绩效评价结果作为以后年度建设资金分配的重要依据。</w:t>
      </w:r>
    </w:p>
    <w:p w:rsidR="000E3B8B" w:rsidRDefault="000E3B8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0E3B8B" w:rsidSect="000E3B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D70" w:rsidRDefault="007A7D70" w:rsidP="00C163DA">
      <w:r>
        <w:separator/>
      </w:r>
    </w:p>
  </w:endnote>
  <w:endnote w:type="continuationSeparator" w:id="1">
    <w:p w:rsidR="007A7D70" w:rsidRDefault="007A7D70" w:rsidP="00C16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A" w:rsidRDefault="00C163DA">
    <w:pPr>
      <w:pStyle w:val="a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A" w:rsidRDefault="00C163DA">
    <w:pPr>
      <w:pStyle w:val="a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A" w:rsidRDefault="00C163DA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D70" w:rsidRDefault="007A7D70" w:rsidP="00C163DA">
      <w:r>
        <w:separator/>
      </w:r>
    </w:p>
  </w:footnote>
  <w:footnote w:type="continuationSeparator" w:id="1">
    <w:p w:rsidR="007A7D70" w:rsidRDefault="007A7D70" w:rsidP="00C16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A" w:rsidRDefault="00C163D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A" w:rsidRDefault="00C163DA" w:rsidP="00C163DA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A" w:rsidRDefault="00C163D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927E66"/>
    <w:multiLevelType w:val="singleLevel"/>
    <w:tmpl w:val="BD927E66"/>
    <w:lvl w:ilvl="0">
      <w:start w:val="1"/>
      <w:numFmt w:val="decimal"/>
      <w:suff w:val="nothing"/>
      <w:lvlText w:val="%1、"/>
      <w:lvlJc w:val="left"/>
    </w:lvl>
  </w:abstractNum>
  <w:abstractNum w:abstractNumId="1">
    <w:nsid w:val="C058F82F"/>
    <w:multiLevelType w:val="singleLevel"/>
    <w:tmpl w:val="C058F82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DBE6F8F"/>
    <w:multiLevelType w:val="singleLevel"/>
    <w:tmpl w:val="2DBE6F8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C24415"/>
    <w:multiLevelType w:val="singleLevel"/>
    <w:tmpl w:val="5FC244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54973A8"/>
    <w:rsid w:val="000E3B8B"/>
    <w:rsid w:val="007A7D70"/>
    <w:rsid w:val="00C163DA"/>
    <w:rsid w:val="06816DEC"/>
    <w:rsid w:val="1B9E0526"/>
    <w:rsid w:val="29471BA8"/>
    <w:rsid w:val="7549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semiHidden="1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E3B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uiPriority w:val="99"/>
    <w:qFormat/>
    <w:rsid w:val="000E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uiPriority w:val="99"/>
    <w:semiHidden/>
    <w:qFormat/>
    <w:rsid w:val="000E3B8B"/>
    <w:pPr>
      <w:ind w:leftChars="800" w:left="800"/>
    </w:pPr>
  </w:style>
  <w:style w:type="paragraph" w:styleId="a4">
    <w:name w:val="Normal (Web)"/>
    <w:basedOn w:val="a"/>
    <w:uiPriority w:val="99"/>
    <w:qFormat/>
    <w:rsid w:val="000E3B8B"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1"/>
    <w:rsid w:val="000E3B8B"/>
    <w:rPr>
      <w:color w:val="000000"/>
      <w:u w:val="none"/>
    </w:rPr>
  </w:style>
  <w:style w:type="character" w:styleId="a6">
    <w:name w:val="Emphasis"/>
    <w:basedOn w:val="a1"/>
    <w:qFormat/>
    <w:rsid w:val="000E3B8B"/>
  </w:style>
  <w:style w:type="character" w:styleId="HTML">
    <w:name w:val="HTML Definition"/>
    <w:basedOn w:val="a1"/>
    <w:rsid w:val="000E3B8B"/>
  </w:style>
  <w:style w:type="character" w:styleId="HTML0">
    <w:name w:val="HTML Acronym"/>
    <w:basedOn w:val="a1"/>
    <w:rsid w:val="000E3B8B"/>
    <w:rPr>
      <w:bdr w:val="none" w:sz="0" w:space="0" w:color="auto"/>
    </w:rPr>
  </w:style>
  <w:style w:type="character" w:styleId="HTML1">
    <w:name w:val="HTML Variable"/>
    <w:basedOn w:val="a1"/>
    <w:rsid w:val="000E3B8B"/>
  </w:style>
  <w:style w:type="character" w:styleId="a7">
    <w:name w:val="Hyperlink"/>
    <w:basedOn w:val="a1"/>
    <w:rsid w:val="000E3B8B"/>
    <w:rPr>
      <w:color w:val="000000"/>
      <w:u w:val="none"/>
    </w:rPr>
  </w:style>
  <w:style w:type="character" w:styleId="HTML2">
    <w:name w:val="HTML Code"/>
    <w:basedOn w:val="a1"/>
    <w:rsid w:val="000E3B8B"/>
    <w:rPr>
      <w:rFonts w:ascii="微软雅黑" w:eastAsia="微软雅黑" w:hAnsi="微软雅黑" w:cs="微软雅黑"/>
      <w:color w:val="000000"/>
      <w:sz w:val="24"/>
      <w:szCs w:val="24"/>
      <w:bdr w:val="none" w:sz="0" w:space="0" w:color="auto"/>
    </w:rPr>
  </w:style>
  <w:style w:type="character" w:styleId="HTML3">
    <w:name w:val="HTML Cite"/>
    <w:basedOn w:val="a1"/>
    <w:rsid w:val="000E3B8B"/>
  </w:style>
  <w:style w:type="paragraph" w:customStyle="1" w:styleId="msolistparagraph0">
    <w:name w:val="msolistparagraph"/>
    <w:basedOn w:val="a"/>
    <w:qFormat/>
    <w:rsid w:val="000E3B8B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styleId="a8">
    <w:name w:val="header"/>
    <w:basedOn w:val="a"/>
    <w:link w:val="Char"/>
    <w:rsid w:val="00C16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rsid w:val="00C163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369</Words>
  <Characters>2108</Characters>
  <Application>Microsoft Office Word</Application>
  <DocSecurity>0</DocSecurity>
  <Lines>17</Lines>
  <Paragraphs>4</Paragraphs>
  <ScaleCrop>false</ScaleCrop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2022-03-02T08:37:00Z</dcterms:created>
  <dcterms:modified xsi:type="dcterms:W3CDTF">2022-09-01T09:46:00Z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80D5C0DCB0AF4A71B28D49C086A417B2</vt:lpwstr>
  </property>
</Properties>
</file>