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850" w:tblpY="1413"/>
        <w:tblOverlap w:val="never"/>
        <w:tblW w:w="106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76"/>
        <w:gridCol w:w="1286"/>
        <w:gridCol w:w="1529"/>
        <w:gridCol w:w="1416"/>
        <w:gridCol w:w="1999"/>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663" w:type="dxa"/>
            <w:gridSpan w:val="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0"/>
                <w:szCs w:val="40"/>
                <w:u w:val="none"/>
              </w:rPr>
            </w:pPr>
            <w:bookmarkStart w:id="0" w:name="_GoBack"/>
            <w:bookmarkEnd w:id="0"/>
            <w:r>
              <w:rPr>
                <w:rFonts w:hint="default" w:ascii="方正小标宋简体" w:hAnsi="方正小标宋简体" w:eastAsia="方正小标宋简体" w:cs="方正小标宋简体"/>
                <w:i w:val="0"/>
                <w:iCs w:val="0"/>
                <w:color w:val="000000"/>
                <w:kern w:val="0"/>
                <w:sz w:val="40"/>
                <w:szCs w:val="40"/>
                <w:u w:val="none"/>
                <w:lang w:val="en-US" w:eastAsia="zh-CN" w:bidi="ar"/>
              </w:rPr>
              <w:t>202</w:t>
            </w:r>
            <w:r>
              <w:rPr>
                <w:rFonts w:hint="eastAsia" w:ascii="方正小标宋简体" w:hAnsi="方正小标宋简体" w:eastAsia="方正小标宋简体" w:cs="方正小标宋简体"/>
                <w:i w:val="0"/>
                <w:iCs w:val="0"/>
                <w:color w:val="000000"/>
                <w:kern w:val="0"/>
                <w:sz w:val="40"/>
                <w:szCs w:val="40"/>
                <w:u w:val="none"/>
                <w:lang w:val="en-US" w:eastAsia="zh-CN" w:bidi="ar"/>
              </w:rPr>
              <w:t>1</w:t>
            </w:r>
            <w:r>
              <w:rPr>
                <w:rFonts w:hint="default" w:ascii="方正小标宋简体" w:hAnsi="方正小标宋简体" w:eastAsia="方正小标宋简体" w:cs="方正小标宋简体"/>
                <w:i w:val="0"/>
                <w:iCs w:val="0"/>
                <w:color w:val="000000"/>
                <w:kern w:val="0"/>
                <w:sz w:val="40"/>
                <w:szCs w:val="40"/>
                <w:u w:val="none"/>
                <w:lang w:val="en-US" w:eastAsia="zh-CN" w:bidi="ar"/>
              </w:rPr>
              <w:t>年项目支出方向绩效目标表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填报单位（盖章）：</w:t>
            </w:r>
          </w:p>
        </w:tc>
        <w:tc>
          <w:tcPr>
            <w:tcW w:w="4231"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sz w:val="24"/>
                <w:szCs w:val="24"/>
                <w:u w:val="none"/>
                <w:lang w:val="en-US" w:eastAsia="zh-CN"/>
              </w:rPr>
              <w:t>株洲市渌口区自然资源局</w:t>
            </w:r>
          </w:p>
        </w:tc>
        <w:tc>
          <w:tcPr>
            <w:tcW w:w="1999"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Style w:val="6"/>
                <w:lang w:val="en-US" w:eastAsia="zh-CN" w:bidi="ar"/>
              </w:rPr>
              <w:t>单位</w:t>
            </w:r>
            <w:r>
              <w:rPr>
                <w:rStyle w:val="7"/>
                <w:rFonts w:eastAsia="宋体"/>
                <w:lang w:val="en-US" w:eastAsia="zh-CN" w:bidi="ar"/>
              </w:rPr>
              <w:t>:</w:t>
            </w:r>
            <w:r>
              <w:rPr>
                <w:rStyle w:val="6"/>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支出方向    （子项）</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土地储备收储资金</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所属项目</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其他国有土地使用权出让安排的支出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项目金额</w:t>
            </w:r>
          </w:p>
        </w:tc>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38636.9202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项目实施期</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实施期绩效目标</w:t>
            </w:r>
          </w:p>
        </w:tc>
        <w:tc>
          <w:tcPr>
            <w:tcW w:w="8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eastAsia="zh-CN"/>
              </w:rPr>
            </w:pPr>
            <w:r>
              <w:rPr>
                <w:rFonts w:hint="eastAsia" w:ascii="仿宋" w:hAnsi="仿宋" w:eastAsia="仿宋" w:cs="仿宋"/>
                <w:sz w:val="24"/>
                <w:szCs w:val="24"/>
              </w:rPr>
              <w:t>认真贯彻执行上级关于土地市场建设的各项方针政策,进一步适应职能调整,紧紧围绕全</w:t>
            </w:r>
            <w:r>
              <w:rPr>
                <w:rFonts w:hint="eastAsia" w:ascii="仿宋" w:hAnsi="仿宋" w:eastAsia="仿宋" w:cs="仿宋"/>
                <w:sz w:val="24"/>
                <w:szCs w:val="24"/>
                <w:lang w:eastAsia="zh-CN"/>
              </w:rPr>
              <w:t>区中心</w:t>
            </w:r>
            <w:r>
              <w:rPr>
                <w:rFonts w:hint="eastAsia" w:ascii="仿宋" w:hAnsi="仿宋" w:eastAsia="仿宋" w:cs="仿宋"/>
                <w:sz w:val="24"/>
                <w:szCs w:val="24"/>
              </w:rPr>
              <w:t>工作和</w:t>
            </w:r>
            <w:r>
              <w:rPr>
                <w:rFonts w:hint="eastAsia" w:ascii="仿宋" w:hAnsi="仿宋" w:eastAsia="仿宋" w:cs="仿宋"/>
                <w:sz w:val="24"/>
                <w:szCs w:val="24"/>
                <w:lang w:eastAsia="zh-CN"/>
              </w:rPr>
              <w:t>“</w:t>
            </w:r>
            <w:r>
              <w:rPr>
                <w:rFonts w:hint="eastAsia" w:ascii="仿宋" w:hAnsi="仿宋" w:eastAsia="仿宋" w:cs="仿宋"/>
                <w:sz w:val="24"/>
                <w:szCs w:val="24"/>
              </w:rPr>
              <w:t>目标责任状”,开拓创新,积极进取,主动服从和服务于全区改革开放和经济建设</w:t>
            </w:r>
            <w:r>
              <w:rPr>
                <w:rFonts w:hint="eastAsia" w:ascii="仿宋" w:hAnsi="仿宋" w:eastAsia="仿宋" w:cs="仿宋"/>
                <w:sz w:val="24"/>
                <w:szCs w:val="24"/>
                <w:lang w:eastAsia="zh-CN"/>
              </w:rPr>
              <w:t>，</w:t>
            </w:r>
            <w:r>
              <w:rPr>
                <w:rFonts w:hint="eastAsia" w:ascii="仿宋" w:hAnsi="仿宋" w:eastAsia="仿宋" w:cs="仿宋"/>
                <w:sz w:val="24"/>
                <w:szCs w:val="24"/>
              </w:rPr>
              <w:t>强化土地有形市场的责任和功能</w:t>
            </w:r>
            <w:r>
              <w:rPr>
                <w:rFonts w:hint="eastAsia" w:ascii="仿宋" w:hAnsi="仿宋" w:eastAsia="仿宋" w:cs="仿宋"/>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本年度绩效目标</w:t>
            </w:r>
          </w:p>
        </w:tc>
        <w:tc>
          <w:tcPr>
            <w:tcW w:w="82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aps w:val="0"/>
                <w:color w:val="333333"/>
                <w:spacing w:val="0"/>
                <w:sz w:val="24"/>
                <w:szCs w:val="24"/>
              </w:rPr>
              <w:t>做好土地储备的征收、收购和收回的工作</w:t>
            </w:r>
            <w:r>
              <w:rPr>
                <w:rFonts w:hint="eastAsia" w:ascii="仿宋" w:hAnsi="仿宋" w:eastAsia="仿宋" w:cs="仿宋"/>
                <w:i w:val="0"/>
                <w:iCs w:val="0"/>
                <w:caps w:val="0"/>
                <w:color w:val="333333"/>
                <w:spacing w:val="0"/>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本年度绩效指标</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一级指标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二级指标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三级指标</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指标值及单位</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产出指标</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收储项目</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5个</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收储面积</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r>
              <w:rPr>
                <w:rFonts w:hint="eastAsia" w:ascii="Times New Roman" w:hAnsi="Times New Roman" w:eastAsia="仿宋_GB2312" w:cs="仿宋_GB2312"/>
                <w:kern w:val="0"/>
                <w:sz w:val="21"/>
                <w:szCs w:val="21"/>
                <w:lang w:val="en-US" w:eastAsia="zh-CN" w:bidi="ar"/>
              </w:rPr>
              <w:t>完成了城发集团和湘渌公司十一块闲置土地收储，面积845.5亩</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质量指标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储备计划</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时效指标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项目完成时效</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2021年度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成本指标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财政资金</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38636.9202</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效益指标</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经济效益指标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经济效益</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土地出让为政府创收</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社会效益指标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社会效益</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实现了资源可优化配置</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可持续影响指标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可持续影响</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实现了资源的优化配置</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社会公众或服务对象满意度指标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支付单位款项满意度</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满意</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支出明细及测算说明</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支出内容简介</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8"/>
                <w:rFonts w:hint="eastAsia" w:ascii="仿宋" w:hAnsi="仿宋" w:eastAsia="仿宋" w:cs="仿宋"/>
                <w:sz w:val="24"/>
                <w:szCs w:val="24"/>
                <w:lang w:val="en-US" w:eastAsia="zh-CN" w:bidi="ar"/>
              </w:rPr>
              <w:t>支出明细</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金额</w:t>
            </w:r>
          </w:p>
        </w:tc>
        <w:tc>
          <w:tcPr>
            <w:tcW w:w="40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6"/>
                <w:rFonts w:hint="eastAsia" w:ascii="仿宋" w:hAnsi="仿宋" w:eastAsia="仿宋" w:cs="仿宋"/>
                <w:sz w:val="24"/>
                <w:szCs w:val="24"/>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南洲储备地收储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南洲储备地收储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35167</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依据评估价确认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购买土地指标价款</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购买土地指标价款</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1000</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依据市场价</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占补平衡项目专项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占补平衡项目专项</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1821.0702</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工程结算金额</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王家洲储备收储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王家洲储备收储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187.85</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依据评估价额</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湘火炬收储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湘火炬收储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61</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依据评估价额</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eastAsia="zh-CN" w:bidi="ar"/>
        </w:rPr>
      </w:pPr>
    </w:p>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kern w:val="0"/>
          <w:sz w:val="36"/>
          <w:szCs w:val="36"/>
          <w:lang w:val="en-US"/>
        </w:rPr>
      </w:pPr>
      <w:r>
        <w:rPr>
          <w:rFonts w:hint="eastAsia" w:ascii="方正小标宋简体" w:hAnsi="方正小标宋简体" w:eastAsia="方正小标宋简体" w:cs="方正小标宋简体"/>
          <w:kern w:val="0"/>
          <w:sz w:val="36"/>
          <w:szCs w:val="36"/>
          <w:lang w:val="en-US" w:eastAsia="zh-CN" w:bidi="ar"/>
        </w:rPr>
        <w:t>项目支出绩效自评表</w:t>
      </w:r>
    </w:p>
    <w:tbl>
      <w:tblPr>
        <w:tblStyle w:val="3"/>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9"/>
        <w:gridCol w:w="994"/>
        <w:gridCol w:w="875"/>
        <w:gridCol w:w="969"/>
        <w:gridCol w:w="1416"/>
        <w:gridCol w:w="1416"/>
        <w:gridCol w:w="1368"/>
        <w:gridCol w:w="803"/>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2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项目支出名称</w:t>
            </w:r>
          </w:p>
        </w:tc>
        <w:tc>
          <w:tcPr>
            <w:tcW w:w="711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kern w:val="0"/>
                <w:szCs w:val="21"/>
                <w:lang w:val="en-US"/>
              </w:rPr>
            </w:pPr>
            <w:r>
              <w:rPr>
                <w:rFonts w:hint="eastAsia" w:ascii="仿宋" w:hAnsi="仿宋" w:eastAsia="仿宋" w:cs="仿宋"/>
                <w:i w:val="0"/>
                <w:iCs w:val="0"/>
                <w:color w:val="000000"/>
                <w:sz w:val="24"/>
                <w:szCs w:val="24"/>
                <w:u w:val="none"/>
                <w:lang w:val="en-US" w:eastAsia="zh-CN"/>
              </w:rPr>
              <w:t>其他国有土地使用权出让安排的支出</w:t>
            </w: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7" w:hRule="atLeast"/>
        </w:trPr>
        <w:tc>
          <w:tcPr>
            <w:tcW w:w="27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主管部门</w:t>
            </w:r>
          </w:p>
        </w:tc>
        <w:tc>
          <w:tcPr>
            <w:tcW w:w="23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株洲市渌口区自然资源局</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实施单位</w:t>
            </w:r>
          </w:p>
        </w:tc>
        <w:tc>
          <w:tcPr>
            <w:tcW w:w="33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r>
              <w:rPr>
                <w:rFonts w:hint="eastAsia" w:ascii="仿宋" w:hAnsi="仿宋" w:eastAsia="仿宋" w:cs="仿宋"/>
                <w:i w:val="0"/>
                <w:iCs w:val="0"/>
                <w:color w:val="000000"/>
                <w:sz w:val="24"/>
                <w:szCs w:val="24"/>
                <w:u w:val="none"/>
                <w:lang w:val="en-US" w:eastAsia="zh-CN"/>
              </w:rPr>
              <w:t>株洲市渌口区自然资源局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项目</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资金</w:t>
            </w:r>
            <w:r>
              <w:rPr>
                <w:rFonts w:hint="default" w:ascii="Times New Roman" w:hAnsi="Times New Roman" w:eastAsia="仿宋_GB2312" w:cs="Times New Roman"/>
                <w:kern w:val="0"/>
                <w:sz w:val="21"/>
                <w:szCs w:val="21"/>
                <w:lang w:val="en-US" w:eastAsia="zh-CN" w:bidi="ar"/>
              </w:rPr>
              <w:br w:type="textWrapping"/>
            </w:r>
            <w:r>
              <w:rPr>
                <w:rFonts w:hint="eastAsia" w:ascii="Times New Roman" w:hAnsi="Times New Roman" w:eastAsia="仿宋_GB2312" w:cs="仿宋_GB2312"/>
                <w:kern w:val="0"/>
                <w:sz w:val="21"/>
                <w:szCs w:val="21"/>
                <w:lang w:val="en-US" w:eastAsia="zh-CN" w:bidi="ar"/>
              </w:rPr>
              <w:t>（万元）</w:t>
            </w:r>
          </w:p>
        </w:tc>
        <w:tc>
          <w:tcPr>
            <w:tcW w:w="18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年初</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全年</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全年</w:t>
            </w:r>
          </w:p>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执行数</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分值</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执行率</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仿宋_GB2312"/>
                <w:szCs w:val="21"/>
                <w:lang w:val="en-US"/>
              </w:rPr>
            </w:pPr>
            <w:r>
              <w:rPr>
                <w:rFonts w:hint="eastAsia" w:ascii="Times New Roman" w:hAnsi="Times New Roman" w:eastAsia="仿宋_GB2312" w:cs="仿宋_GB2312"/>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年度资金总额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38636.9202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38636.9202</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r>
              <w:rPr>
                <w:rFonts w:hint="default" w:ascii="Times New Roman" w:hAnsi="Times New Roman" w:eastAsia="仿宋_GB2312" w:cs="Times New Roman"/>
                <w:kern w:val="0"/>
                <w:sz w:val="21"/>
                <w:szCs w:val="21"/>
                <w:lang w:val="en-US" w:eastAsia="zh-CN" w:bidi="ar"/>
              </w:rPr>
              <w:t>10</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100%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其中：当年财政拨款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上年结转资金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630" w:firstLineChars="30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其他资金</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预期目标</w:t>
            </w:r>
          </w:p>
        </w:tc>
        <w:tc>
          <w:tcPr>
            <w:tcW w:w="47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sz w:val="24"/>
                <w:szCs w:val="24"/>
              </w:rPr>
              <w:t>认真贯彻执行上级关于土地市场建设的各项方针政策,进一步适应职能调整,紧紧围绕全</w:t>
            </w:r>
            <w:r>
              <w:rPr>
                <w:rFonts w:hint="eastAsia" w:ascii="仿宋" w:hAnsi="仿宋" w:eastAsia="仿宋" w:cs="仿宋"/>
                <w:sz w:val="24"/>
                <w:szCs w:val="24"/>
                <w:lang w:eastAsia="zh-CN"/>
              </w:rPr>
              <w:t>区中心</w:t>
            </w:r>
            <w:r>
              <w:rPr>
                <w:rFonts w:hint="eastAsia" w:ascii="仿宋" w:hAnsi="仿宋" w:eastAsia="仿宋" w:cs="仿宋"/>
                <w:sz w:val="24"/>
                <w:szCs w:val="24"/>
              </w:rPr>
              <w:t>工作和</w:t>
            </w:r>
            <w:r>
              <w:rPr>
                <w:rFonts w:hint="eastAsia" w:ascii="仿宋" w:hAnsi="仿宋" w:eastAsia="仿宋" w:cs="仿宋"/>
                <w:sz w:val="24"/>
                <w:szCs w:val="24"/>
                <w:lang w:eastAsia="zh-CN"/>
              </w:rPr>
              <w:t>“</w:t>
            </w:r>
            <w:r>
              <w:rPr>
                <w:rFonts w:hint="eastAsia" w:ascii="仿宋" w:hAnsi="仿宋" w:eastAsia="仿宋" w:cs="仿宋"/>
                <w:sz w:val="24"/>
                <w:szCs w:val="24"/>
              </w:rPr>
              <w:t>目标责任状”,开拓创新,积极进取,主动服从和服务于全区改革开放和经济建设</w:t>
            </w:r>
            <w:r>
              <w:rPr>
                <w:rFonts w:hint="eastAsia" w:ascii="仿宋" w:hAnsi="仿宋" w:eastAsia="仿宋" w:cs="仿宋"/>
                <w:sz w:val="24"/>
                <w:szCs w:val="24"/>
                <w:lang w:eastAsia="zh-CN"/>
              </w:rPr>
              <w:t>，</w:t>
            </w:r>
            <w:r>
              <w:rPr>
                <w:rFonts w:hint="eastAsia" w:ascii="仿宋" w:hAnsi="仿宋" w:eastAsia="仿宋" w:cs="仿宋"/>
                <w:sz w:val="24"/>
                <w:szCs w:val="24"/>
              </w:rPr>
              <w:t>强化土地有形市场的责任和功能</w:t>
            </w:r>
            <w:r>
              <w:rPr>
                <w:rFonts w:hint="eastAsia" w:ascii="仿宋" w:hAnsi="仿宋" w:eastAsia="仿宋" w:cs="仿宋"/>
                <w:sz w:val="24"/>
                <w:szCs w:val="24"/>
                <w:lang w:eastAsia="zh-CN"/>
              </w:rPr>
              <w:t>。</w:t>
            </w:r>
            <w:r>
              <w:rPr>
                <w:rFonts w:hint="eastAsia" w:ascii="Times New Roman" w:hAnsi="Times New Roman" w:eastAsia="仿宋_GB2312" w:cs="仿宋_GB2312"/>
                <w:kern w:val="0"/>
                <w:sz w:val="21"/>
                <w:szCs w:val="21"/>
                <w:lang w:val="en-US" w:eastAsia="zh-CN" w:bidi="ar"/>
              </w:rPr>
              <w:t>　　</w:t>
            </w:r>
          </w:p>
        </w:tc>
        <w:tc>
          <w:tcPr>
            <w:tcW w:w="47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　2021年完成土地收储资金38636.9202万元，已完成土地收储20宗地，约1088.1亩。其中新增储备地块5块，并办理不动产登记证，共面积124.3亩；新增8个储备地块，共650.8亩；已出让10块，共443.8亩，成交金额74002万元。一是重点开展了梅子湖集镇储备地块三宗闲置土地收储并组织重新供应，面积180.91亩。二是推进了城发集团和湘渌公司十一块闲置土地收储，面积845.5亩，如期完成省厅闲置土地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0" w:hRule="atLeast"/>
        </w:trPr>
        <w:tc>
          <w:tcPr>
            <w:tcW w:w="8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绩</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标</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实际</w:t>
            </w:r>
          </w:p>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产出指标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数量指标</w:t>
            </w:r>
          </w:p>
        </w:tc>
        <w:tc>
          <w:tcPr>
            <w:tcW w:w="9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Cs w:val="21"/>
                <w:lang w:val="en-US"/>
              </w:rPr>
            </w:pPr>
            <w:r>
              <w:rPr>
                <w:rStyle w:val="6"/>
                <w:rFonts w:hint="eastAsia" w:ascii="仿宋" w:hAnsi="仿宋" w:eastAsia="仿宋" w:cs="仿宋"/>
                <w:sz w:val="24"/>
                <w:szCs w:val="24"/>
                <w:lang w:val="en-US" w:eastAsia="zh-CN" w:bidi="ar"/>
              </w:rPr>
              <w:t>数量指标</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eastAsia="仿宋_GB2312"/>
                <w:kern w:val="0"/>
                <w:szCs w:val="21"/>
                <w:lang w:val="en-US"/>
              </w:rPr>
            </w:pPr>
            <w:r>
              <w:rPr>
                <w:rFonts w:hint="eastAsia" w:ascii="仿宋" w:hAnsi="仿宋" w:eastAsia="仿宋" w:cs="仿宋"/>
                <w:i w:val="0"/>
                <w:iCs w:val="0"/>
                <w:color w:val="000000"/>
                <w:sz w:val="24"/>
                <w:szCs w:val="24"/>
                <w:u w:val="none"/>
                <w:lang w:val="en-US" w:eastAsia="zh-CN"/>
              </w:rPr>
              <w:t>收储项目</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r>
              <w:rPr>
                <w:rFonts w:hint="eastAsia" w:ascii="仿宋" w:hAnsi="仿宋" w:eastAsia="仿宋" w:cs="仿宋"/>
                <w:i w:val="0"/>
                <w:iCs w:val="0"/>
                <w:color w:val="000000"/>
                <w:sz w:val="24"/>
                <w:szCs w:val="24"/>
                <w:u w:val="none"/>
                <w:lang w:val="en-US" w:eastAsia="zh-CN"/>
              </w:rPr>
              <w:t>5个</w:t>
            </w:r>
          </w:p>
        </w:tc>
        <w:tc>
          <w:tcPr>
            <w:tcW w:w="13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12.5</w:t>
            </w:r>
          </w:p>
        </w:tc>
        <w:tc>
          <w:tcPr>
            <w:tcW w:w="80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 w:val="21"/>
                <w:szCs w:val="21"/>
                <w:lang w:val="en-US" w:eastAsia="zh-CN" w:bidi="ar"/>
              </w:rPr>
            </w:pP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12.5</w:t>
            </w:r>
          </w:p>
          <w:p>
            <w:pPr>
              <w:keepNext w:val="0"/>
              <w:keepLines w:val="0"/>
              <w:widowControl/>
              <w:suppressLineNumbers w:val="0"/>
              <w:spacing w:before="0" w:beforeAutospacing="0" w:after="0" w:afterAutospacing="0"/>
              <w:ind w:left="0" w:right="0"/>
              <w:jc w:val="center"/>
              <w:rPr>
                <w:rFonts w:eastAsia="仿宋_GB2312"/>
                <w:kern w:val="0"/>
                <w:szCs w:val="21"/>
                <w:lang w:val="en-US"/>
              </w:rPr>
            </w:pPr>
          </w:p>
        </w:tc>
        <w:tc>
          <w:tcPr>
            <w:tcW w:w="1141"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　</w:t>
            </w:r>
          </w:p>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lang w:val="en-US"/>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eastAsia="仿宋_GB2312"/>
                <w:kern w:val="0"/>
                <w:szCs w:val="21"/>
                <w:lang w:val="en-US"/>
              </w:rPr>
            </w:pPr>
            <w:r>
              <w:rPr>
                <w:rFonts w:hint="eastAsia" w:ascii="仿宋" w:hAnsi="仿宋" w:eastAsia="仿宋" w:cs="仿宋"/>
                <w:i w:val="0"/>
                <w:iCs w:val="0"/>
                <w:color w:val="000000"/>
                <w:sz w:val="24"/>
                <w:szCs w:val="24"/>
                <w:u w:val="none"/>
                <w:lang w:val="en-US" w:eastAsia="zh-CN"/>
              </w:rPr>
              <w:t>收储面积</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完成收储面积845.5亩</w:t>
            </w:r>
          </w:p>
        </w:tc>
        <w:tc>
          <w:tcPr>
            <w:tcW w:w="13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p>
        </w:tc>
        <w:tc>
          <w:tcPr>
            <w:tcW w:w="80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p>
        </w:tc>
        <w:tc>
          <w:tcPr>
            <w:tcW w:w="114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质量指标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Cs w:val="21"/>
                <w:lang w:val="en-US"/>
              </w:rPr>
            </w:pPr>
            <w:r>
              <w:rPr>
                <w:rStyle w:val="6"/>
                <w:rFonts w:hint="eastAsia" w:ascii="仿宋" w:hAnsi="仿宋" w:eastAsia="仿宋" w:cs="仿宋"/>
                <w:sz w:val="24"/>
                <w:szCs w:val="24"/>
                <w:lang w:val="en-US" w:eastAsia="zh-CN" w:bidi="ar"/>
              </w:rPr>
              <w:t>质量指标</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eastAsia="仿宋_GB2312"/>
                <w:kern w:val="0"/>
                <w:szCs w:val="21"/>
                <w:lang w:val="en-US"/>
              </w:rPr>
            </w:pPr>
            <w:r>
              <w:rPr>
                <w:rFonts w:hint="eastAsia" w:ascii="仿宋" w:hAnsi="仿宋" w:eastAsia="仿宋" w:cs="仿宋"/>
                <w:i w:val="0"/>
                <w:iCs w:val="0"/>
                <w:color w:val="000000"/>
                <w:sz w:val="24"/>
                <w:szCs w:val="24"/>
                <w:u w:val="none"/>
                <w:lang w:val="en-US" w:eastAsia="zh-CN"/>
              </w:rPr>
              <w:t>完成年初储备计划</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完成了城发集团和湘渌公司十一块闲置土地收储</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12.5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12.5</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时效指标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Cs w:val="21"/>
                <w:lang w:val="en-US"/>
              </w:rPr>
            </w:pPr>
            <w:r>
              <w:rPr>
                <w:rStyle w:val="6"/>
                <w:rFonts w:hint="eastAsia" w:ascii="仿宋" w:hAnsi="仿宋" w:eastAsia="仿宋" w:cs="仿宋"/>
                <w:sz w:val="24"/>
                <w:szCs w:val="24"/>
                <w:lang w:val="en-US" w:eastAsia="zh-CN" w:bidi="ar"/>
              </w:rPr>
              <w:t>时效指标</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lang w:val="en-US"/>
              </w:rPr>
            </w:pPr>
            <w:r>
              <w:rPr>
                <w:rFonts w:hint="eastAsia" w:ascii="仿宋" w:hAnsi="仿宋" w:eastAsia="仿宋" w:cs="仿宋"/>
                <w:i w:val="0"/>
                <w:iCs w:val="0"/>
                <w:color w:val="000000"/>
                <w:sz w:val="24"/>
                <w:szCs w:val="24"/>
                <w:u w:val="none"/>
                <w:lang w:val="en-US" w:eastAsia="zh-CN"/>
              </w:rPr>
              <w:t>项目完成时效</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2021年度</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仿宋" w:hAnsi="仿宋" w:eastAsia="仿宋" w:cs="仿宋"/>
                <w:i w:val="0"/>
                <w:iCs w:val="0"/>
                <w:color w:val="000000"/>
                <w:sz w:val="24"/>
                <w:szCs w:val="24"/>
                <w:u w:val="none"/>
                <w:lang w:val="en-US" w:eastAsia="zh-CN"/>
              </w:rPr>
              <w:t>12.5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12.5</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成本指标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asciiTheme="minorHAnsi" w:hAnsiTheme="minorHAnsi" w:cstheme="minorBidi"/>
                <w:kern w:val="0"/>
                <w:sz w:val="21"/>
                <w:szCs w:val="21"/>
                <w:lang w:val="en-US" w:eastAsia="zh-CN" w:bidi="ar-SA"/>
              </w:rPr>
            </w:pPr>
            <w:r>
              <w:rPr>
                <w:rStyle w:val="6"/>
                <w:rFonts w:hint="eastAsia" w:ascii="仿宋" w:hAnsi="仿宋" w:eastAsia="仿宋" w:cs="仿宋"/>
                <w:sz w:val="24"/>
                <w:szCs w:val="24"/>
                <w:lang w:val="en-US" w:eastAsia="zh-CN" w:bidi="ar"/>
              </w:rPr>
              <w:t>财政资金</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i w:val="0"/>
                <w:iCs w:val="0"/>
                <w:color w:val="000000"/>
                <w:sz w:val="24"/>
                <w:szCs w:val="24"/>
                <w:u w:val="none"/>
                <w:lang w:val="en-US" w:eastAsia="zh-CN"/>
              </w:rPr>
              <w:t>38636.9202万元</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i w:val="0"/>
                <w:iCs w:val="0"/>
                <w:color w:val="000000"/>
                <w:sz w:val="24"/>
                <w:szCs w:val="24"/>
                <w:u w:val="none"/>
                <w:lang w:val="en-US" w:eastAsia="zh-CN"/>
              </w:rPr>
              <w:t>38636.9202万元</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仿宋" w:hAnsi="仿宋" w:eastAsia="仿宋" w:cs="仿宋"/>
                <w:i w:val="0"/>
                <w:iCs w:val="0"/>
                <w:color w:val="000000"/>
                <w:sz w:val="24"/>
                <w:szCs w:val="24"/>
                <w:u w:val="none"/>
                <w:lang w:val="en-US" w:eastAsia="zh-CN"/>
              </w:rPr>
              <w:t>12.5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12.5</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效益指标</w:t>
            </w:r>
          </w:p>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经济效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经济效益</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土地出让为政府创收</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土地出让为政府创收</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7.5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7.5</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社会效</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益指标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eastAsia" w:eastAsia="仿宋_GB2312"/>
                <w:kern w:val="0"/>
                <w:szCs w:val="21"/>
                <w:lang w:val="en-US" w:eastAsia="zh-CN"/>
              </w:rPr>
              <w:t>社会效益</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实现了资源的优化配置</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实现了资源的优化配置</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7.5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7.5</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可持续影响指标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可持续影响</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实现了资源的优化配置</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实现了资源的优化配置</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7.5</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7.5</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8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满意度</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指标</w:t>
            </w:r>
          </w:p>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服务对象满意度指标</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kern w:val="0"/>
                <w:szCs w:val="21"/>
                <w:lang w:val="en-US"/>
              </w:rPr>
            </w:pPr>
            <w:r>
              <w:rPr>
                <w:rFonts w:hint="eastAsia" w:ascii="仿宋" w:hAnsi="仿宋" w:eastAsia="仿宋" w:cs="仿宋"/>
                <w:i w:val="0"/>
                <w:iCs w:val="0"/>
                <w:color w:val="000000"/>
                <w:sz w:val="24"/>
                <w:szCs w:val="24"/>
                <w:u w:val="none"/>
                <w:lang w:val="en-US" w:eastAsia="zh-CN"/>
              </w:rPr>
              <w:t>收储单位满意度</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满意</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仿宋" w:hAnsi="仿宋" w:eastAsia="仿宋" w:cs="仿宋"/>
                <w:i w:val="0"/>
                <w:iCs w:val="0"/>
                <w:color w:val="000000"/>
                <w:sz w:val="24"/>
                <w:szCs w:val="24"/>
                <w:u w:val="none"/>
                <w:lang w:val="en-US" w:eastAsia="zh-CN"/>
              </w:rPr>
              <w:t>满意</w:t>
            </w:r>
            <w:r>
              <w:rPr>
                <w:rFonts w:hint="eastAsia" w:ascii="Times New Roman" w:hAnsi="Times New Roman" w:eastAsia="仿宋_GB2312" w:cs="仿宋_GB2312"/>
                <w:kern w:val="0"/>
                <w:sz w:val="21"/>
                <w:szCs w:val="21"/>
                <w:lang w:val="en-US" w:eastAsia="zh-CN" w:bidi="ar"/>
              </w:rPr>
              <w:t>　</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eastAsia="仿宋_GB2312"/>
                <w:kern w:val="0"/>
                <w:szCs w:val="21"/>
                <w:lang w:val="en-US"/>
              </w:rPr>
            </w:pPr>
            <w:r>
              <w:rPr>
                <w:rFonts w:hint="eastAsia" w:ascii="Times New Roman" w:hAnsi="Times New Roman" w:eastAsia="仿宋_GB2312" w:cs="仿宋_GB2312"/>
                <w:kern w:val="0"/>
                <w:sz w:val="21"/>
                <w:szCs w:val="21"/>
                <w:lang w:val="en-US" w:eastAsia="zh-CN" w:bidi="ar"/>
              </w:rPr>
              <w:t>10</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10</w:t>
            </w: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eastAsia="仿宋_GB2312"/>
                <w:kern w:val="0"/>
                <w:szCs w:val="21"/>
                <w:lang w:val="en-US"/>
              </w:rPr>
            </w:pPr>
          </w:p>
        </w:tc>
        <w:tc>
          <w:tcPr>
            <w:tcW w:w="11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　</w:t>
            </w:r>
          </w:p>
        </w:tc>
      </w:tr>
    </w:tbl>
    <w:p>
      <w:pPr>
        <w:keepNext w:val="0"/>
        <w:keepLines w:val="0"/>
        <w:widowControl/>
        <w:suppressLineNumbers w:val="0"/>
        <w:spacing w:before="0" w:beforeAutospacing="0" w:after="0" w:afterAutospacing="0"/>
        <w:ind w:left="0" w:right="0"/>
        <w:jc w:val="center"/>
        <w:rPr>
          <w:rFonts w:eastAsia="仿宋_GB2312"/>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2021</w:t>
      </w:r>
      <w:r>
        <w:rPr>
          <w:rFonts w:hint="eastAsia" w:ascii="Times New Roman" w:hAnsi="Times New Roman" w:eastAsia="仿宋_GB2312" w:cs="仿宋_GB2312"/>
          <w:kern w:val="0"/>
          <w:sz w:val="21"/>
          <w:szCs w:val="21"/>
          <w:lang w:val="en-US" w:eastAsia="zh-CN" w:bidi="ar"/>
        </w:rPr>
        <w:t>年度）</w:t>
      </w: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w w:val="95"/>
          <w:sz w:val="44"/>
          <w:szCs w:val="44"/>
          <w:lang w:eastAsia="zh-CN"/>
        </w:rPr>
      </w:pPr>
    </w:p>
    <w:p>
      <w:pPr>
        <w:pStyle w:val="2"/>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项目支出绩效自评报告</w:t>
      </w:r>
    </w:p>
    <w:p>
      <w:pPr>
        <w:pStyle w:val="2"/>
        <w:widowControl/>
        <w:autoSpaceDE w:val="0"/>
        <w:autoSpaceDN w:val="0"/>
        <w:spacing w:line="660" w:lineRule="exact"/>
        <w:jc w:val="center"/>
        <w:rPr>
          <w:rFonts w:hint="eastAsia" w:ascii="仿宋" w:hAnsi="仿宋" w:eastAsia="仿宋" w:cs="Times New Roman"/>
          <w:w w:val="80"/>
          <w:sz w:val="32"/>
          <w:szCs w:val="32"/>
          <w:lang w:val="en-US"/>
        </w:rPr>
      </w:pPr>
      <w:r>
        <w:rPr>
          <w:rFonts w:hint="eastAsia" w:ascii="仿宋" w:hAnsi="仿宋" w:eastAsia="仿宋" w:cs="Times New Roman"/>
          <w:w w:val="80"/>
          <w:sz w:val="32"/>
          <w:szCs w:val="32"/>
          <w:lang w:eastAsia="zh-CN"/>
        </w:rPr>
        <w:t>（参考格式）</w:t>
      </w:r>
    </w:p>
    <w:p>
      <w:pPr>
        <w:pStyle w:val="5"/>
        <w:widowControl/>
        <w:spacing w:line="600" w:lineRule="exact"/>
        <w:ind w:left="0" w:firstLine="0"/>
        <w:rPr>
          <w:rFonts w:hint="eastAsia" w:ascii="仿宋" w:hAnsi="仿宋" w:eastAsia="仿宋" w:cs="Times New Roman"/>
          <w:bCs/>
          <w:sz w:val="32"/>
          <w:szCs w:val="32"/>
          <w:lang w:val="en-US"/>
        </w:rPr>
      </w:pPr>
    </w:p>
    <w:p>
      <w:pPr>
        <w:pStyle w:val="5"/>
        <w:widowControl/>
        <w:spacing w:line="600" w:lineRule="exact"/>
        <w:ind w:left="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576" w:firstLineChars="200"/>
        <w:textAlignment w:val="auto"/>
        <w:rPr>
          <w:rFonts w:hint="eastAsia" w:ascii="Times New Roman" w:hAnsi="Times New Roman" w:eastAsia="仿宋_GB2312" w:cs="Times New Roman"/>
          <w:color w:val="C00000"/>
          <w:w w:val="90"/>
          <w:sz w:val="32"/>
          <w:szCs w:val="32"/>
          <w:lang w:val="en-US" w:eastAsia="zh-CN"/>
        </w:rPr>
      </w:pPr>
      <w:r>
        <w:rPr>
          <w:rFonts w:hint="eastAsia" w:ascii="Times New Roman" w:hAnsi="Times New Roman" w:eastAsia="仿宋_GB2312" w:cs="Times New Roman"/>
          <w:color w:val="C00000"/>
          <w:w w:val="90"/>
          <w:sz w:val="32"/>
          <w:szCs w:val="32"/>
          <w:lang w:val="en-US" w:eastAsia="zh-CN"/>
        </w:rPr>
        <w:t>2021年度其他国有土地使用权出让安排的支出38636.9202万元；项目资金全部用来开展</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576" w:firstLineChars="200"/>
        <w:textAlignment w:val="auto"/>
        <w:rPr>
          <w:rFonts w:hint="default" w:ascii="Times New Roman" w:hAnsi="Times New Roman" w:eastAsia="仿宋_GB2312" w:cs="Times New Roman"/>
          <w:color w:val="C00000"/>
          <w:w w:val="90"/>
          <w:sz w:val="32"/>
          <w:szCs w:val="32"/>
          <w:lang w:val="en-US" w:eastAsia="zh-CN"/>
        </w:rPr>
      </w:pPr>
    </w:p>
    <w:p>
      <w:pPr>
        <w:pStyle w:val="2"/>
        <w:widowControl/>
        <w:spacing w:before="0" w:beforeAutospacing="0" w:after="0" w:afterAutospacing="0" w:line="600" w:lineRule="exact"/>
        <w:ind w:left="781" w:right="1290" w:hanging="37"/>
        <w:rPr>
          <w:rFonts w:hint="default" w:ascii="Times New Roman" w:hAnsi="Times New Roman" w:eastAsia="仿宋_GB2312" w:cs="Times New Roman"/>
          <w:color w:val="auto"/>
          <w:w w:val="90"/>
          <w:sz w:val="32"/>
          <w:szCs w:val="32"/>
          <w:lang w:val="en-US"/>
        </w:rPr>
      </w:pPr>
      <w:r>
        <w:rPr>
          <w:rFonts w:hint="eastAsia" w:ascii="Times New Roman" w:hAnsi="Times New Roman" w:eastAsia="仿宋_GB2312" w:cs="Times New Roman"/>
          <w:color w:val="auto"/>
          <w:w w:val="90"/>
          <w:sz w:val="32"/>
          <w:szCs w:val="32"/>
          <w:lang w:eastAsia="zh-CN"/>
        </w:rPr>
        <w:t>包括自评工作开展范围、对象、时间及方式等。</w:t>
      </w:r>
    </w:p>
    <w:p>
      <w:pPr>
        <w:pStyle w:val="5"/>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方正黑体_GBK" w:hAnsi="方正黑体_GBK" w:eastAsia="方正黑体_GBK" w:cs="方正黑体_GBK"/>
          <w:sz w:val="32"/>
          <w:szCs w:val="32"/>
          <w:lang w:eastAsia="zh-CN"/>
        </w:rPr>
        <w:t>二、绩效目标自评完成情况分析</w:t>
      </w:r>
    </w:p>
    <w:p>
      <w:pPr>
        <w:pStyle w:val="5"/>
        <w:widowControl/>
        <w:spacing w:line="600" w:lineRule="exact"/>
        <w:ind w:left="0" w:firstLine="608" w:firstLineChars="200"/>
        <w:rPr>
          <w:rFonts w:hint="default" w:ascii="Times New Roman" w:hAnsi="Times New Roman" w:eastAsia="黑体" w:cs="Times New Roman"/>
          <w:sz w:val="32"/>
          <w:szCs w:val="32"/>
          <w:lang w:val="en-US"/>
        </w:rPr>
      </w:pPr>
      <w:r>
        <w:rPr>
          <w:rFonts w:hint="eastAsia" w:ascii="方正楷体_GBK" w:hAnsi="方正楷体_GBK" w:eastAsia="方正楷体_GBK" w:cs="方正楷体_GBK"/>
          <w:w w:val="95"/>
          <w:sz w:val="32"/>
          <w:szCs w:val="32"/>
          <w:lang w:eastAsia="zh-CN"/>
        </w:rPr>
        <w:t>（一）资金投入情况分析。</w:t>
      </w:r>
    </w:p>
    <w:p>
      <w:pPr>
        <w:pStyle w:val="5"/>
        <w:widowControl/>
        <w:numPr>
          <w:ilvl w:val="0"/>
          <w:numId w:val="1"/>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项目资金到位情况分析。</w:t>
      </w:r>
    </w:p>
    <w:p>
      <w:pPr>
        <w:pStyle w:val="5"/>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截至评价日，我单位共收到</w:t>
      </w:r>
      <w:r>
        <w:rPr>
          <w:rFonts w:hint="eastAsia" w:ascii="Times New Roman" w:hAnsi="Times New Roman" w:eastAsia="仿宋_GB2312" w:cs="Times New Roman"/>
          <w:w w:val="90"/>
          <w:sz w:val="32"/>
          <w:szCs w:val="32"/>
          <w:lang w:val="en-US" w:eastAsia="zh-CN"/>
        </w:rPr>
        <w:t>其他国有土地使用权出让安排的支出</w:t>
      </w:r>
      <w:r>
        <w:rPr>
          <w:rFonts w:hint="eastAsia" w:ascii="Times New Roman" w:hAnsi="Times New Roman" w:eastAsia="仿宋_GB2312" w:cs="Times New Roman"/>
          <w:sz w:val="32"/>
          <w:szCs w:val="32"/>
          <w:lang w:val="en-US" w:eastAsia="zh-CN"/>
        </w:rPr>
        <w:t>资金</w:t>
      </w:r>
      <w:r>
        <w:rPr>
          <w:rFonts w:hint="eastAsia" w:ascii="Times New Roman" w:hAnsi="Times New Roman" w:eastAsia="仿宋_GB2312" w:cs="Times New Roman"/>
          <w:w w:val="90"/>
          <w:sz w:val="32"/>
          <w:szCs w:val="32"/>
          <w:lang w:val="en-US" w:eastAsia="zh-CN"/>
        </w:rPr>
        <w:t>38636.9202万元；资金到位率100%。</w:t>
      </w:r>
    </w:p>
    <w:p>
      <w:pPr>
        <w:pStyle w:val="5"/>
        <w:widowControl/>
        <w:numPr>
          <w:ilvl w:val="0"/>
          <w:numId w:val="1"/>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项目资金执行情况分析。</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576" w:firstLineChars="200"/>
        <w:textAlignment w:val="auto"/>
        <w:rPr>
          <w:rFonts w:hint="default" w:ascii="Times New Roman" w:hAnsi="Times New Roman" w:eastAsia="仿宋_GB2312" w:cs="Times New Roman"/>
          <w:color w:val="FF0000"/>
          <w:w w:val="90"/>
          <w:sz w:val="32"/>
          <w:szCs w:val="32"/>
          <w:lang w:val="en-US" w:eastAsia="zh-CN"/>
        </w:rPr>
      </w:pPr>
      <w:r>
        <w:rPr>
          <w:rFonts w:hint="eastAsia" w:ascii="Times New Roman" w:hAnsi="Times New Roman" w:eastAsia="仿宋_GB2312" w:cs="Times New Roman"/>
          <w:w w:val="90"/>
          <w:sz w:val="32"/>
          <w:szCs w:val="32"/>
          <w:lang w:val="en-US" w:eastAsia="zh-CN"/>
        </w:rPr>
        <w:t>2</w:t>
      </w:r>
      <w:r>
        <w:rPr>
          <w:rFonts w:hint="eastAsia" w:ascii="Times New Roman" w:hAnsi="Times New Roman" w:eastAsia="仿宋_GB2312" w:cs="Times New Roman"/>
          <w:color w:val="FF0000"/>
          <w:w w:val="90"/>
          <w:sz w:val="32"/>
          <w:szCs w:val="32"/>
          <w:lang w:val="en-US" w:eastAsia="zh-CN"/>
        </w:rPr>
        <w:t>021年度其他国有土地使用权出让安排的支出38636.9202万元；项目资金全部用来开展</w:t>
      </w:r>
    </w:p>
    <w:p>
      <w:pPr>
        <w:pStyle w:val="5"/>
        <w:widowControl/>
        <w:numPr>
          <w:ilvl w:val="0"/>
          <w:numId w:val="0"/>
        </w:numPr>
        <w:tabs>
          <w:tab w:val="left" w:pos="1080"/>
        </w:tabs>
        <w:spacing w:line="600" w:lineRule="exact"/>
        <w:ind w:left="773" w:leftChars="0" w:right="0" w:rightChars="0"/>
        <w:jc w:val="left"/>
        <w:rPr>
          <w:rFonts w:hint="default" w:ascii="Times New Roman" w:hAnsi="Times New Roman" w:eastAsia="仿宋_GB2312" w:cs="Times New Roman"/>
          <w:sz w:val="32"/>
          <w:szCs w:val="32"/>
          <w:lang w:val="en-US"/>
        </w:rPr>
      </w:pPr>
    </w:p>
    <w:p>
      <w:pPr>
        <w:pStyle w:val="5"/>
        <w:widowControl/>
        <w:numPr>
          <w:ilvl w:val="0"/>
          <w:numId w:val="1"/>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项目资金管理情况分析。</w:t>
      </w:r>
    </w:p>
    <w:p>
      <w:pPr>
        <w:pStyle w:val="5"/>
        <w:widowControl/>
        <w:numPr>
          <w:ilvl w:val="0"/>
          <w:numId w:val="0"/>
        </w:numPr>
        <w:tabs>
          <w:tab w:val="left" w:pos="1080"/>
        </w:tabs>
        <w:spacing w:line="600" w:lineRule="exact"/>
        <w:ind w:left="781" w:leftChars="0" w:right="0" w:rightChars="0"/>
        <w:jc w:val="left"/>
        <w:rPr>
          <w:rFonts w:hint="default" w:ascii="Times New Roman" w:hAnsi="Times New Roman" w:eastAsia="仿宋_GB2312" w:cs="Times New Roman"/>
          <w:color w:val="FF0000"/>
          <w:sz w:val="32"/>
          <w:szCs w:val="32"/>
          <w:lang w:val="en-US"/>
        </w:rPr>
      </w:pPr>
      <w:r>
        <w:rPr>
          <w:rFonts w:hint="eastAsia" w:ascii="Times New Roman" w:hAnsi="Times New Roman" w:eastAsia="仿宋_GB2312" w:cs="Times New Roman"/>
          <w:color w:val="FF0000"/>
          <w:w w:val="90"/>
          <w:sz w:val="32"/>
          <w:szCs w:val="32"/>
          <w:lang w:val="en-US" w:eastAsia="zh-CN"/>
        </w:rPr>
        <w:t>严格落实项目资金使用要求，专款专用。</w:t>
      </w:r>
    </w:p>
    <w:p>
      <w:pPr>
        <w:pStyle w:val="2"/>
        <w:widowControl/>
        <w:spacing w:line="600" w:lineRule="exact"/>
        <w:ind w:left="0" w:firstLine="608" w:firstLineChars="200"/>
        <w:rPr>
          <w:rFonts w:hint="eastAsia" w:ascii="楷体" w:hAnsi="楷体" w:eastAsia="楷体" w:cs="Times New Roman"/>
          <w:w w:val="95"/>
          <w:sz w:val="32"/>
          <w:szCs w:val="32"/>
          <w:lang w:val="en-US"/>
        </w:rPr>
      </w:pPr>
      <w:r>
        <w:rPr>
          <w:rFonts w:hint="eastAsia" w:ascii="方正楷体_GBK" w:hAnsi="方正楷体_GBK" w:eastAsia="方正楷体_GBK" w:cs="方正楷体_GBK"/>
          <w:w w:val="95"/>
          <w:kern w:val="2"/>
          <w:sz w:val="32"/>
          <w:szCs w:val="32"/>
          <w:lang w:val="en-US" w:eastAsia="zh-CN" w:bidi="ar"/>
        </w:rPr>
        <w:t>（二）绩效目标完成情况分析。</w:t>
      </w:r>
    </w:p>
    <w:p>
      <w:pPr>
        <w:pStyle w:val="5"/>
        <w:widowControl/>
        <w:numPr>
          <w:ilvl w:val="0"/>
          <w:numId w:val="2"/>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产出指标完成情况分析。</w:t>
      </w:r>
    </w:p>
    <w:p>
      <w:pPr>
        <w:pStyle w:val="2"/>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eastAsia" w:ascii="Times New Roman" w:hAnsi="Times New Roman" w:eastAsia="仿宋_GB2312" w:cs="Times New Roman"/>
          <w:w w:val="95"/>
          <w:sz w:val="32"/>
          <w:szCs w:val="32"/>
          <w:lang w:eastAsia="zh-CN"/>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rPr>
        <w:t>已完成土地收储</w:t>
      </w:r>
      <w:r>
        <w:rPr>
          <w:rFonts w:hint="eastAsia" w:ascii="仿宋_GB2312" w:hAnsi="仿宋_GB2312" w:eastAsia="仿宋_GB2312" w:cs="仿宋_GB2312"/>
          <w:sz w:val="32"/>
          <w:szCs w:val="32"/>
          <w:lang w:val="en-US" w:eastAsia="zh-CN"/>
        </w:rPr>
        <w:t>20宗地，</w:t>
      </w:r>
      <w:r>
        <w:rPr>
          <w:rFonts w:hint="eastAsia" w:ascii="仿宋_GB2312" w:hAnsi="仿宋_GB2312" w:eastAsia="仿宋_GB2312" w:cs="仿宋_GB2312"/>
          <w:sz w:val="32"/>
          <w:szCs w:val="32"/>
        </w:rPr>
        <w:t>约</w:t>
      </w:r>
      <w:r>
        <w:rPr>
          <w:rFonts w:hint="eastAsia" w:ascii="仿宋_GB2312" w:hAnsi="仿宋_GB2312" w:eastAsia="仿宋_GB2312" w:cs="仿宋_GB2312"/>
          <w:sz w:val="32"/>
          <w:szCs w:val="32"/>
          <w:lang w:val="en-US" w:eastAsia="zh-CN"/>
        </w:rPr>
        <w:t>1088.1</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新增储备地块</w:t>
      </w:r>
      <w:r>
        <w:rPr>
          <w:rFonts w:hint="eastAsia" w:ascii="仿宋_GB2312" w:hAnsi="仿宋_GB2312" w:eastAsia="仿宋_GB2312" w:cs="仿宋_GB2312"/>
          <w:sz w:val="32"/>
          <w:szCs w:val="32"/>
          <w:lang w:val="en-US" w:eastAsia="zh-CN"/>
        </w:rPr>
        <w:t>5块，并办理不动产登记证，共面积124.3亩；新增8个储备地块，共650.8亩；已出让10块，共443.8亩，成交金额74002万元。</w:t>
      </w:r>
      <w:r>
        <w:rPr>
          <w:rFonts w:hint="eastAsia" w:ascii="仿宋_GB2312" w:hAnsi="仿宋_GB2312" w:eastAsia="仿宋_GB2312" w:cs="仿宋_GB2312"/>
          <w:sz w:val="32"/>
          <w:szCs w:val="32"/>
          <w:lang w:eastAsia="zh-CN"/>
        </w:rPr>
        <w:t>一是重点开展了</w:t>
      </w:r>
      <w:r>
        <w:rPr>
          <w:rFonts w:hint="eastAsia" w:ascii="仿宋_GB2312" w:hAnsi="仿宋_GB2312" w:eastAsia="仿宋_GB2312" w:cs="仿宋_GB2312"/>
          <w:sz w:val="32"/>
          <w:szCs w:val="32"/>
        </w:rPr>
        <w:t>梅子湖集镇储备地块三宗闲置土地收储并组织重新供应，面积180.91亩</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推进了城发集团</w:t>
      </w:r>
      <w:r>
        <w:rPr>
          <w:rFonts w:hint="eastAsia" w:ascii="仿宋_GB2312" w:hAnsi="仿宋_GB2312" w:eastAsia="仿宋_GB2312" w:cs="仿宋_GB2312"/>
          <w:sz w:val="32"/>
          <w:szCs w:val="32"/>
          <w:lang w:eastAsia="zh-CN"/>
        </w:rPr>
        <w:t>和湘渌公司</w:t>
      </w:r>
      <w:r>
        <w:rPr>
          <w:rFonts w:hint="eastAsia" w:ascii="仿宋_GB2312" w:hAnsi="仿宋_GB2312" w:eastAsia="仿宋_GB2312" w:cs="仿宋_GB2312"/>
          <w:sz w:val="32"/>
          <w:szCs w:val="32"/>
        </w:rPr>
        <w:t>十一块闲置土地收储，面积</w:t>
      </w:r>
      <w:r>
        <w:rPr>
          <w:rFonts w:hint="eastAsia" w:ascii="仿宋_GB2312" w:hAnsi="仿宋_GB2312" w:eastAsia="仿宋_GB2312" w:cs="仿宋_GB2312"/>
          <w:sz w:val="32"/>
          <w:szCs w:val="32"/>
          <w:lang w:val="en-US" w:eastAsia="zh-CN"/>
        </w:rPr>
        <w:t>845.5</w:t>
      </w:r>
      <w:r>
        <w:rPr>
          <w:rFonts w:hint="eastAsia" w:ascii="仿宋_GB2312" w:hAnsi="仿宋_GB2312" w:eastAsia="仿宋_GB2312" w:cs="仿宋_GB2312"/>
          <w:sz w:val="32"/>
          <w:szCs w:val="32"/>
        </w:rPr>
        <w:t>亩，如期完成省厅闲置土地清理工作</w:t>
      </w:r>
    </w:p>
    <w:p>
      <w:pPr>
        <w:pStyle w:val="5"/>
        <w:widowControl/>
        <w:numPr>
          <w:ilvl w:val="0"/>
          <w:numId w:val="2"/>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效益指标完成情况分析。</w:t>
      </w:r>
    </w:p>
    <w:p>
      <w:pPr>
        <w:pStyle w:val="2"/>
        <w:widowControl/>
        <w:spacing w:line="600" w:lineRule="exact"/>
        <w:ind w:left="0" w:right="129" w:firstLine="576" w:firstLineChars="200"/>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val="en-US" w:eastAsia="zh-CN"/>
        </w:rPr>
        <w:t>其他国有土地使用权出让安排资金的使用，在为政府创造收益的同时，也实现了资源的合理配置。</w:t>
      </w:r>
    </w:p>
    <w:p>
      <w:pPr>
        <w:pStyle w:val="5"/>
        <w:widowControl/>
        <w:numPr>
          <w:ilvl w:val="0"/>
          <w:numId w:val="2"/>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满意度指标完成情况分析。</w:t>
      </w:r>
    </w:p>
    <w:p>
      <w:pPr>
        <w:pStyle w:val="5"/>
        <w:widowControl/>
        <w:numPr>
          <w:ilvl w:val="0"/>
          <w:numId w:val="0"/>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收储单位对该项工作的开展给予满意。</w:t>
      </w:r>
    </w:p>
    <w:p>
      <w:pPr>
        <w:pStyle w:val="5"/>
        <w:widowControl/>
        <w:spacing w:line="600" w:lineRule="exact"/>
        <w:ind w:left="0"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三、偏离绩效目标的原因和下一步改进措施。</w:t>
      </w:r>
    </w:p>
    <w:p>
      <w:pPr>
        <w:ind w:firstLine="640" w:firstLineChars="200"/>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项目的实施未偏离绩效目标。</w:t>
      </w:r>
    </w:p>
    <w:p>
      <w:pPr>
        <w:numPr>
          <w:ilvl w:val="0"/>
          <w:numId w:val="3"/>
        </w:numPr>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绩效自评结果拟应用和公开情况</w:t>
      </w:r>
    </w:p>
    <w:p>
      <w:pPr>
        <w:ind w:firstLine="640" w:firstLineChars="200"/>
        <w:rPr>
          <w:rFonts w:hint="default"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严格按照财政要求对绩效评价相关内容给予公开。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E0B17"/>
    <w:multiLevelType w:val="singleLevel"/>
    <w:tmpl w:val="95BE0B17"/>
    <w:lvl w:ilvl="0" w:tentative="0">
      <w:start w:val="4"/>
      <w:numFmt w:val="chineseCounting"/>
      <w:suff w:val="nothing"/>
      <w:lvlText w:val="%1、"/>
      <w:lvlJc w:val="left"/>
      <w:rPr>
        <w:rFonts w:hint="eastAsia"/>
      </w:rPr>
    </w:lvl>
  </w:abstractNum>
  <w:abstractNum w:abstractNumId="1">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D13CD"/>
    <w:rsid w:val="232C09F1"/>
    <w:rsid w:val="32BC4D66"/>
    <w:rsid w:val="3C0E4835"/>
    <w:rsid w:val="435E78DE"/>
    <w:rsid w:val="4E4D13CD"/>
    <w:rsid w:val="78C24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6">
    <w:name w:val="font41"/>
    <w:basedOn w:val="4"/>
    <w:qFormat/>
    <w:uiPriority w:val="0"/>
    <w:rPr>
      <w:rFonts w:hint="eastAsia" w:ascii="仿宋" w:hAnsi="仿宋" w:eastAsia="仿宋" w:cs="仿宋"/>
      <w:color w:val="000000"/>
      <w:sz w:val="24"/>
      <w:szCs w:val="24"/>
      <w:u w:val="none"/>
    </w:rPr>
  </w:style>
  <w:style w:type="character" w:customStyle="1" w:styleId="7">
    <w:name w:val="font11"/>
    <w:basedOn w:val="4"/>
    <w:qFormat/>
    <w:uiPriority w:val="0"/>
    <w:rPr>
      <w:rFonts w:hint="default" w:ascii="Times New Roman" w:hAnsi="Times New Roman" w:cs="Times New Roman"/>
      <w:color w:val="000000"/>
      <w:sz w:val="24"/>
      <w:szCs w:val="24"/>
      <w:u w:val="none"/>
    </w:rPr>
  </w:style>
  <w:style w:type="character" w:customStyle="1" w:styleId="8">
    <w:name w:val="font61"/>
    <w:basedOn w:val="4"/>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2022-03-02T05:06:00Z</dcterms:created>
  <dc:creator>Administrator</dc:creator>
  <cp:lastModifiedBy>Administrator</cp:lastModifiedBy>
  <dcterms:modified xsi:type="dcterms:W3CDTF">2022-03-07T12:00:56Z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9F5F77EECCF14CC9A50D09D4F5E72081</vt:lpwstr>
  </property>
</Properties>
</file>