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渌财通〔2021〕11号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株洲市渌口区财政局关于做好2021年预算绩效管理工作的通知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》要求，现对我局离休干部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2014年至2020年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医药费用追补专项开展自评，项目总金额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368.91万元，项目开展期限为2021年1至12月，评价环节包括离休干部人数统计，医药费用、历史欠款核算，资金拨付流程等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2014年至2020年，区财政共计安排离休干部医药专项资金1740元，实际住院产生医疗费用2137.96万元，加上往年结余资金29.05万元，缺口资金368.91万元，经区医保局向区人民政府请示，追加离休干部医药费368.91万元。资金下达时间为2021年6月，下达文号为渌财社指【2021】109号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2021年7月，局机关财务将2014年至2020年离休人员医疗费用追补款368.91万元拨入医保基金帐户，预算执行率达100%。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项目资金由机关财务通过财政直接支付拨入医保基金帐户，再由医保基金拨入到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医疗机构，分别是株洲恺德心血管病医院、株洲市中心医院、株洲市伤科医院、湖南省直中医医院、株洲市人民医疗、渌口区中医院、渌口区人民医院，确保了专项资金专款专用。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7"/>
        <w:numPr>
          <w:ilvl w:val="0"/>
          <w:numId w:val="0"/>
        </w:numPr>
        <w:tabs>
          <w:tab w:val="left" w:pos="1077"/>
        </w:tabs>
        <w:spacing w:line="600" w:lineRule="exact"/>
        <w:ind w:firstLine="608" w:firstLineChars="200"/>
        <w:jc w:val="left"/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截至2021年5月，渌口区共有离休干部28人，2014至2020年实际产生住院医疗费用2137.96万元，追补专项资金368.91万元，资金全部及时足额拨付，医疗机构历史欠款全部得到偿还。</w:t>
      </w:r>
    </w:p>
    <w:p>
      <w:pPr>
        <w:pStyle w:val="7"/>
        <w:numPr>
          <w:ilvl w:val="0"/>
          <w:numId w:val="0"/>
        </w:numPr>
        <w:tabs>
          <w:tab w:val="left" w:pos="1077"/>
        </w:tabs>
        <w:spacing w:line="600" w:lineRule="exact"/>
        <w:ind w:firstLine="608" w:firstLineChars="200"/>
        <w:jc w:val="left"/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2.效益指标完成情况分析。</w:t>
      </w:r>
    </w:p>
    <w:p>
      <w:pPr>
        <w:pStyle w:val="7"/>
        <w:numPr>
          <w:ilvl w:val="0"/>
          <w:numId w:val="0"/>
        </w:numPr>
        <w:tabs>
          <w:tab w:val="left" w:pos="1077"/>
        </w:tabs>
        <w:spacing w:line="600" w:lineRule="exact"/>
        <w:ind w:firstLine="608" w:firstLineChars="200"/>
        <w:jc w:val="left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通过项目开展，确保了离休干部就医应治必治，医药费用实报实销，医疗保障待遇不打折扣，医疗机构尾欠全部清零。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  <w:bookmarkStart w:id="0" w:name="_GoBack"/>
      <w:bookmarkEnd w:id="0"/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全区离休干部、医疗机构满意度为95%。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638" w:leftChars="304" w:firstLine="0" w:firstLine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2021年离休干部医药费用追补专项没有偏离绩效目标。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eastAsia="仿宋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《湖南省预算支出绩效评价管理办法》(湘财绩〔</w:t>
      </w:r>
      <w:r>
        <w:rPr>
          <w:rFonts w:eastAsia="仿宋_GB2312"/>
          <w:spacing w:val="-6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〕7号)</w:t>
      </w:r>
      <w:r>
        <w:rPr>
          <w:rFonts w:eastAsia="仿宋"/>
          <w:sz w:val="32"/>
          <w:szCs w:val="32"/>
        </w:rPr>
        <w:t>要求，认真开展绩效自评工作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报送至区财政局监督绩效股，并在门户网站上全文公开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pStyle w:val="2"/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2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5A3E7CAF"/>
    <w:rsid w:val="05FB42C0"/>
    <w:rsid w:val="2BB05347"/>
    <w:rsid w:val="2E6742E3"/>
    <w:rsid w:val="5A3E7CAF"/>
    <w:rsid w:val="5D6D1F01"/>
    <w:rsid w:val="62A44922"/>
    <w:rsid w:val="7B1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932</Characters>
  <Lines>0</Lines>
  <Paragraphs>0</Paragraphs>
  <TotalTime>75</TotalTime>
  <ScaleCrop>false</ScaleCrop>
  <LinksUpToDate>false</LinksUpToDate>
  <CharactersWithSpaces>936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2022-02-16T06:08:00Z</dcterms:created>
  <dc:creator>Administrator</dc:creator>
  <cp:lastModifiedBy>Administrator</cp:lastModifiedBy>
  <cp:lastPrinted>2022-02-25T07:13:00Z</cp:lastPrinted>
  <dcterms:modified xsi:type="dcterms:W3CDTF">2022-08-30T09:37:32Z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040160101B4443B5AC46B4BD0484D1D2</vt:lpwstr>
  </property>
</Properties>
</file>