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株洲市渌口区医疗保障局2021年度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今年以来，在区委、区政府的正确领导下，在上级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主管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部门的具体指导下，我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区医保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工作紧紧围绕年初既定的工作目标，求真务实，开拓进取，顺利完成了各项工作任务。根据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株洲市渌口区财政局关于做好2021年预算绩效管理工作的通知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</w:t>
      </w:r>
      <w:r>
        <w:rPr>
          <w:rFonts w:hint="eastAsia" w:ascii="仿宋" w:hAnsi="仿宋" w:eastAsia="仿宋" w:cs="仿宋"/>
          <w:kern w:val="0"/>
          <w:sz w:val="32"/>
          <w:szCs w:val="32"/>
        </w:rPr>
        <w:t>〔202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文件精神，为加强做好预算目标绩效管理，我单位在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认真做好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工作总结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kern w:val="0"/>
          <w:sz w:val="32"/>
          <w:szCs w:val="32"/>
        </w:rPr>
        <w:t>数据收集、整理、汇总、分析、核查等各项工作的基础上，对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单位整体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预算资金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使用、管理和效益情况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自评，情况汇报如下：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医保局为行政单位，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实有在职人员30人，其中行政编制5名，参公编制16名，事业编制9名。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个股室，分别为办公室、基金监管法规股、医疗保障信息股、医药价格管理股、行政审批股。下设一个二级机构为区医疗保障事务中心，属副科级公益一类全额拨款事业单位。</w:t>
      </w:r>
    </w:p>
    <w:p>
      <w:pPr>
        <w:spacing w:after="312" w:afterLines="100" w:line="360" w:lineRule="auto"/>
        <w:ind w:left="319" w:leftChars="152" w:firstLine="198" w:firstLineChars="6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根据渌办【2019】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号文件规定，本部门主要职责是：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彻落实全市医疗保障政策，拟制定全区相关补充政策等；二是组织制定并实施全区医疗保障基金监督管理办法、医疗保障筹资和待遇政策；三是贯彻落实全省城乡统一的药品、医用耗材、医疗服务项目等医保目录和支付标准，执行全省价格信息监测和信息发布制度；四是依法查处医疗保障领域违法违规行为；五是负责全区医疗保障经办管理、公共服务体系和信息化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spacing w:after="312" w:afterLines="100" w:line="360" w:lineRule="auto"/>
        <w:ind w:left="319" w:leftChars="152" w:firstLine="198" w:firstLineChars="62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spacing w:after="312" w:afterLines="100" w:line="360" w:lineRule="auto"/>
        <w:ind w:left="319" w:leftChars="152" w:firstLine="199" w:firstLineChars="62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（一）基本支出情况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bookmarkStart w:id="0" w:name="_GoBack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519.29</w:t>
      </w:r>
      <w:bookmarkEnd w:id="0"/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实际预算执行数为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516.45万元。基本支出部分，工资福利支出407.89万元，占比78.98%、商品和服务支出99.44万元，占比19.25%、对个人和家庭的补助3.7万元，占比0.72%、资本性支出5.42万元，占比1.05%。</w:t>
      </w:r>
    </w:p>
    <w:p>
      <w:pPr>
        <w:pStyle w:val="7"/>
        <w:widowControl/>
        <w:spacing w:line="600" w:lineRule="exact"/>
        <w:ind w:left="0" w:leftChars="0" w:firstLine="321" w:firstLineChars="100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（二）项目支出情况</w:t>
      </w:r>
    </w:p>
    <w:p>
      <w:pPr>
        <w:snapToGrid w:val="0"/>
        <w:spacing w:line="52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预算执行数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917.87万元。项目支出部分，按功能科目分类，其中其他行政事业单位医疗支出368.91万元，占比40.19%，医疗救助499.91万元，占比54.46%，一般行政管理事务49.05万元，占比5.35%。按经济科目分类，其中商品和服务支出49.05万元，占比5.34%、对个人和家庭的补助868.82万元，占比94.66%。按项目名称分类，其中筹资工作经费49.05万元；2021年特困重残人员参保个人缴费财政补助专项200万；贫困人员参保个人缴费财政补助专项253.40万元；离休干部2014至2020年医疗费用追补专项368.91万元；健康扶贫“一站式”政府兜底专项46.51 万元。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-10" w:leftChars="0" w:right="0" w:firstLine="640" w:firstLineChars="0"/>
        <w:jc w:val="both"/>
        <w:rPr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通过健全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机制</w:t>
      </w:r>
      <w:r>
        <w:rPr>
          <w:rFonts w:ascii="仿宋_GB2312" w:hAnsi="仿宋" w:eastAsia="仿宋_GB2312"/>
          <w:sz w:val="32"/>
          <w:szCs w:val="32"/>
        </w:rPr>
        <w:t>，完善制度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严格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</w:t>
      </w:r>
      <w:r>
        <w:rPr>
          <w:rFonts w:ascii="仿宋_GB2312" w:hAnsi="仿宋" w:eastAsia="仿宋_GB2312"/>
          <w:sz w:val="32"/>
          <w:szCs w:val="32"/>
        </w:rPr>
        <w:t>查，切实保障了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局机关整体预算资金的有效运转和合理使用。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2021年度，我局人员经费、机关运行经费按时到位，业务工作经费充足保障，专项资金及时拨付，各项工作取得了骄人成绩：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1.实现应保尽保。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职工、城乡居民医保征缴实现税务部门统征统收。2021年，城镇职工医保参保2.6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万人，参保率100%，全年基金收入1.07亿；城乡居民医保参保24.5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万人，参保率95%，全年基金收入2.1亿,其中，贫困人口参保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人，参保率100%,圆满完成省、市目标任务。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2.实现同网同步。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2021年9月22日，我区上线全国医保信息系统，实现了医保系统全国联网。同时，我区医保电子凭证激活应用进度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排全市第一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，共激活8万余人，实现医保支付从“卡时代”迈入“码时代”的跨越。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3．实现同城同标。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2021年按照填平补齐的原则对标市级补偿政策，将三级医院住院报销比例从65%提高至70%，停止发放我区破产改制企业退休职工20元/人/月门诊费的特殊政策，调整了血透等特殊病种补偿比例，实现了补偿标准同城同待遇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全区人民就医保障率达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100%，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服务对象满意度达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95%以上。</w:t>
      </w:r>
    </w:p>
    <w:p>
      <w:pPr>
        <w:pStyle w:val="7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pStyle w:val="7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</w:rPr>
        <w:t>支出执行没有偏离绩效目标的情况，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但对项目资金的支出还没有完全保障时效性，如征缴工作经费转作公用经费部分，没有完全支付到位，原因是区级财政紧张，没有按申报计划下达额度</w:t>
      </w:r>
      <w:r>
        <w:rPr>
          <w:rFonts w:hint="eastAsia" w:eastAsia="仿宋"/>
          <w:sz w:val="32"/>
          <w:szCs w:val="32"/>
          <w:lang w:eastAsia="zh-CN"/>
        </w:rPr>
        <w:t>；健康扶贫“一站式”政府兜底资金，</w:t>
      </w:r>
      <w:r>
        <w:rPr>
          <w:rFonts w:hint="eastAsia" w:eastAsia="仿宋"/>
          <w:sz w:val="32"/>
          <w:szCs w:val="32"/>
          <w:lang w:val="en-US" w:eastAsia="zh-CN"/>
        </w:rPr>
        <w:t>2021年10至12月的没有支付，没有达到项目资金一月一拨付一结算的要求，原因是医保新系统上线不稳定，导致数据无法统计。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加强</w:t>
      </w:r>
      <w:r>
        <w:rPr>
          <w:rFonts w:ascii="仿宋_GB2312" w:hAnsi="仿宋" w:eastAsia="仿宋_GB2312"/>
          <w:sz w:val="32"/>
          <w:szCs w:val="32"/>
        </w:rPr>
        <w:t>开展预算绩效日常监控</w:t>
      </w:r>
      <w:r>
        <w:rPr>
          <w:rFonts w:hint="eastAsia" w:ascii="仿宋_GB2312" w:hAnsi="仿宋" w:eastAsia="仿宋_GB2312"/>
          <w:sz w:val="32"/>
          <w:szCs w:val="32"/>
        </w:rPr>
        <w:t>，制定具体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流程，</w:t>
      </w:r>
      <w:r>
        <w:rPr>
          <w:rFonts w:ascii="仿宋_GB2312" w:hAnsi="仿宋" w:eastAsia="仿宋_GB2312"/>
          <w:sz w:val="32"/>
          <w:szCs w:val="32"/>
        </w:rPr>
        <w:t>定期对绩效监控信息进行收集、审核、分析、汇总、填报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ascii="仿宋_GB2312" w:hAnsi="仿宋" w:eastAsia="仿宋_GB2312"/>
          <w:sz w:val="32"/>
          <w:szCs w:val="32"/>
        </w:rPr>
        <w:t>及时掌握绩效运行情况、资金支出进度等，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同时，进一步</w:t>
      </w:r>
      <w:r>
        <w:rPr>
          <w:rFonts w:hint="eastAsia" w:ascii="仿宋_GB2312" w:hAnsi="仿宋" w:eastAsia="仿宋_GB2312"/>
          <w:sz w:val="32"/>
          <w:szCs w:val="32"/>
        </w:rPr>
        <w:t>做好专项资金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管理和使用，确保专项资金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及时足额拨付，提高资金使用效益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《湖南省预算支出绩效评价管理办法》(湘财绩〔</w:t>
      </w:r>
      <w:r>
        <w:rPr>
          <w:rFonts w:eastAsia="仿宋_GB2312"/>
          <w:spacing w:val="-6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〕7号)</w:t>
      </w:r>
      <w:r>
        <w:rPr>
          <w:rFonts w:eastAsia="仿宋"/>
          <w:sz w:val="32"/>
          <w:szCs w:val="32"/>
        </w:rPr>
        <w:t>要求，认真开展绩效自评工作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报送至区财政局监督绩效股，并在门户网站上全文公开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7D387"/>
    <w:multiLevelType w:val="singleLevel"/>
    <w:tmpl w:val="4E17D387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05D52EAD"/>
    <w:rsid w:val="05D52EAD"/>
    <w:rsid w:val="0A1404AB"/>
    <w:rsid w:val="0E45496E"/>
    <w:rsid w:val="174C5858"/>
    <w:rsid w:val="447A2C84"/>
    <w:rsid w:val="503647EB"/>
    <w:rsid w:val="5C2A1931"/>
    <w:rsid w:val="63587ADB"/>
    <w:rsid w:val="6BB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1747</Words>
  <Characters>1952</Characters>
  <Lines>0</Lines>
  <Paragraphs>0</Paragraphs>
  <TotalTime>11</TotalTime>
  <ScaleCrop>false</ScaleCrop>
  <LinksUpToDate>false</LinksUpToDate>
  <CharactersWithSpaces>1954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2022-02-16T06:13:00Z</dcterms:created>
  <dc:creator>Administrator</dc:creator>
  <cp:lastModifiedBy>Administrator</cp:lastModifiedBy>
  <dcterms:modified xsi:type="dcterms:W3CDTF">2022-08-23T06:23:41Z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60FD71A67914483494D94E6D60BEFDA4</vt:lpwstr>
  </property>
</Properties>
</file>