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60" w:lineRule="exact"/>
        <w:ind w:left="0" w:right="0"/>
        <w:jc w:val="center"/>
        <w:rPr>
          <w:rFonts w:eastAsia="仿宋"/>
          <w:sz w:val="32"/>
          <w:szCs w:val="32"/>
          <w:lang w:val="en-US"/>
        </w:rPr>
      </w:pPr>
      <w:bookmarkStart w:id="0" w:name="_GoBack"/>
      <w:bookmarkEnd w:id="0"/>
      <w:r>
        <w:rPr>
          <w:rFonts w:hint="eastAsia" w:ascii="Times New Roman" w:hAnsi="方正小标宋简体" w:eastAsia="方正小标宋简体" w:cs="方正小标宋简体"/>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ind w:left="0" w:right="0"/>
        <w:jc w:val="both"/>
        <w:rPr>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预算单位基本情况</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Times New Roman" w:hAnsi="Times New Roman"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株洲市渌口区疾控中心是应用预防医学理论和技术开展疾病预防控制的专业技术机构，属公益一类事业单位。拥有实验办公用房约3472平米，内设8个科室，核编47人，现有在编人员47人。有离退休人员30人。中心主要承担疾病预防与控制、卫生应急管理与处置、疫情收集与预警分析、健康危害因素监测与干预、检验检测与评价、卫生技术服务与管理、健康教育与健康促进等基本职能。</w:t>
      </w:r>
    </w:p>
    <w:p>
      <w:pPr>
        <w:pStyle w:val="5"/>
        <w:widowControl/>
        <w:spacing w:line="600" w:lineRule="exact"/>
        <w:ind w:left="0" w:firstLine="640" w:firstLineChars="200"/>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lang w:eastAsia="zh-CN"/>
        </w:rPr>
        <w:t>二、一般公共预算支出情况</w:t>
      </w:r>
    </w:p>
    <w:p>
      <w:pPr>
        <w:pStyle w:val="5"/>
        <w:widowControl/>
        <w:spacing w:line="600" w:lineRule="exact"/>
        <w:rPr>
          <w:rFonts w:hint="default" w:ascii="Times New Roman" w:hAnsi="Times New Roman" w:eastAsia="楷体_GB2312" w:cs="Times New Roman"/>
          <w:sz w:val="32"/>
          <w:szCs w:val="32"/>
          <w:lang w:val="en-US"/>
        </w:rPr>
      </w:pPr>
      <w:r>
        <w:rPr>
          <w:rFonts w:hint="eastAsia" w:ascii="Times New Roman" w:hAnsi="Times New Roman" w:eastAsia="楷体_GB2312" w:cs="Times New Roman"/>
          <w:sz w:val="32"/>
          <w:szCs w:val="32"/>
          <w:lang w:eastAsia="zh-CN"/>
        </w:rPr>
        <w:t>（一）基本支出情况</w:t>
      </w:r>
    </w:p>
    <w:p>
      <w:pPr>
        <w:pStyle w:val="5"/>
        <w:keepNext w:val="0"/>
        <w:keepLines w:val="0"/>
        <w:pageBreakBefore w:val="0"/>
        <w:widowControl/>
        <w:kinsoku/>
        <w:wordWrap/>
        <w:overflowPunct/>
        <w:topLinePunct w:val="0"/>
        <w:autoSpaceDE/>
        <w:autoSpaceDN/>
        <w:bidi w:val="0"/>
        <w:adjustRightInd/>
        <w:snapToGrid/>
        <w:spacing w:line="600" w:lineRule="exact"/>
        <w:ind w:left="0" w:firstLine="560" w:firstLineChars="200"/>
        <w:textAlignment w:val="auto"/>
        <w:rPr>
          <w:rFonts w:hint="default" w:ascii="Times New Roman" w:hAnsi="Times New Roman"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2021年基本支出总额1409.8万元，其中：人员经费支出618.75万元，公用经费支出791.06万元。</w:t>
      </w:r>
    </w:p>
    <w:p>
      <w:pPr>
        <w:pStyle w:val="5"/>
        <w:widowControl/>
        <w:spacing w:line="600" w:lineRule="exact"/>
        <w:rPr>
          <w:rFonts w:hint="default" w:ascii="Times New Roman" w:hAnsi="Times New Roman" w:eastAsia="楷体_GB2312" w:cs="Times New Roman"/>
          <w:sz w:val="32"/>
          <w:szCs w:val="32"/>
          <w:lang w:val="en-US"/>
        </w:rPr>
      </w:pPr>
      <w:r>
        <w:rPr>
          <w:rFonts w:hint="eastAsia" w:ascii="Times New Roman" w:hAnsi="Times New Roman" w:eastAsia="楷体_GB2312" w:cs="Times New Roman"/>
          <w:sz w:val="32"/>
          <w:szCs w:val="32"/>
          <w:lang w:eastAsia="zh-CN"/>
        </w:rPr>
        <w:t>（二）项目支出情况</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Times New Roman" w:hAnsi="Times New Roman"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2021年项目支出637.31万元。其中：其他卫生健康管理事务支出32.22万元，基本公共卫生支出122.59万元，重大公共卫生支出232.11万元，突发公共卫生支出20万元，其他公共卫生支出230.40万元。根据预算安排，资金全部到位；支出情况：根据会计法及财政有关法律法规，根据财政报账制度的要求，凭有效凭证报账，本单位资金做到了专款专用的原则，无违法违规行为。</w:t>
      </w:r>
    </w:p>
    <w:p>
      <w:pPr>
        <w:keepNext w:val="0"/>
        <w:keepLines w:val="0"/>
        <w:widowControl w:val="0"/>
        <w:suppressLineNumbers w:val="0"/>
        <w:spacing w:before="0" w:beforeAutospacing="0" w:after="0" w:afterAutospacing="0" w:line="600" w:lineRule="exact"/>
        <w:ind w:left="0"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三、部门整体支出绩效情况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40"/>
        <w:jc w:val="left"/>
        <w:rPr>
          <w:rFonts w:hint="eastAsia" w:ascii="Times New Roman" w:hAnsi="Times New Roman"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2021年，本中心将部门整体支出绩效评价作为财政预算资金使用管理的一项重要工作，切实加强预算收支管理，全面梳理内部管理流程，建立健全内部管理制度，有效提升了部门整体支出管理水平。使单位的资金使用得到了有效控制，不该支出的费用坚决不支出，车辆外出采取资源共享，有效地节省了单位成本，使我单位的业务支出和人员支出都能有效地、可持续地进行。</w:t>
      </w:r>
    </w:p>
    <w:p>
      <w:pPr>
        <w:pStyle w:val="5"/>
        <w:widowControl/>
        <w:spacing w:line="600" w:lineRule="exact"/>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lang w:eastAsia="zh-CN"/>
        </w:rPr>
        <w:t>四、存在的问题及原因分析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40"/>
        <w:jc w:val="left"/>
        <w:rPr>
          <w:rFonts w:hint="eastAsia" w:ascii="Times New Roman" w:hAnsi="Times New Roman"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1、重大公共卫生专项资金往往下达较早，但配套实施方案滞后，在一定程度上影响了项目的实施。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40"/>
        <w:jc w:val="left"/>
        <w:rPr>
          <w:rFonts w:hint="eastAsia" w:ascii="Times New Roman" w:hAnsi="Times New Roman"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2、基层单位绩效管理知识欠缺。</w:t>
      </w:r>
    </w:p>
    <w:p>
      <w:pPr>
        <w:keepNext w:val="0"/>
        <w:keepLines w:val="0"/>
        <w:widowControl w:val="0"/>
        <w:numPr>
          <w:ilvl w:val="0"/>
          <w:numId w:val="2"/>
        </w:numPr>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下一步改进措施</w:t>
      </w:r>
    </w:p>
    <w:p>
      <w:pPr>
        <w:keepNext w:val="0"/>
        <w:keepLines w:val="0"/>
        <w:widowControl w:val="0"/>
        <w:numPr>
          <w:ilvl w:val="0"/>
          <w:numId w:val="3"/>
        </w:numPr>
        <w:suppressLineNumbers w:val="0"/>
        <w:spacing w:before="0" w:beforeAutospacing="0" w:after="0" w:afterAutospacing="0" w:line="600" w:lineRule="exact"/>
        <w:ind w:left="0" w:right="0" w:firstLine="560" w:firstLineChars="200"/>
        <w:jc w:val="both"/>
        <w:rPr>
          <w:rFonts w:hint="eastAsia" w:ascii="Times New Roman" w:hAnsi="Times New Roman"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建议及时下达项目实施方案，以便规范使用资金，尽早开展项目工作。</w:t>
      </w:r>
    </w:p>
    <w:p>
      <w:pPr>
        <w:keepNext w:val="0"/>
        <w:keepLines w:val="0"/>
        <w:widowControl w:val="0"/>
        <w:numPr>
          <w:ilvl w:val="0"/>
          <w:numId w:val="3"/>
        </w:numPr>
        <w:suppressLineNumbers w:val="0"/>
        <w:spacing w:before="0" w:beforeAutospacing="0" w:after="0" w:afterAutospacing="0" w:line="600" w:lineRule="exact"/>
        <w:ind w:left="0" w:right="0" w:firstLine="560" w:firstLineChars="200"/>
        <w:jc w:val="both"/>
        <w:rPr>
          <w:rFonts w:hint="eastAsia" w:ascii="Times New Roman" w:hAnsi="Times New Roman"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建议加强相关业务培训，以便更好地开展项目绩效评价、推进项目工作。</w:t>
      </w:r>
    </w:p>
    <w:p>
      <w:pPr>
        <w:keepNext w:val="0"/>
        <w:keepLines w:val="0"/>
        <w:widowControl w:val="0"/>
        <w:suppressLineNumbers w:val="0"/>
        <w:spacing w:before="0" w:beforeAutospacing="0" w:after="0" w:afterAutospacing="0" w:line="600" w:lineRule="exact"/>
        <w:ind w:left="0"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六、绩效自评结果拟应用和公开情况</w:t>
      </w:r>
    </w:p>
    <w:p>
      <w:pPr>
        <w:keepNext w:val="0"/>
        <w:keepLines w:val="0"/>
        <w:widowControl w:val="0"/>
        <w:numPr>
          <w:ilvl w:val="0"/>
          <w:numId w:val="0"/>
        </w:numPr>
        <w:suppressLineNumbers w:val="0"/>
        <w:spacing w:before="0" w:beforeAutospacing="0" w:after="0" w:afterAutospacing="0" w:line="600" w:lineRule="exact"/>
        <w:ind w:leftChars="200" w:right="0" w:rightChars="0" w:firstLine="560" w:firstLineChars="200"/>
        <w:jc w:val="both"/>
        <w:rPr>
          <w:rFonts w:hint="eastAsia" w:ascii="Times New Roman" w:hAnsi="Times New Roman" w:eastAsia="仿宋_GB2312" w:cs="仿宋_GB2312"/>
          <w:kern w:val="2"/>
          <w:sz w:val="28"/>
          <w:szCs w:val="28"/>
          <w:lang w:val="en-US" w:eastAsia="zh-CN" w:bidi="ar"/>
        </w:rPr>
      </w:pPr>
      <w:r>
        <w:rPr>
          <w:rFonts w:hint="eastAsia" w:ascii="Times New Roman" w:hAnsi="Times New Roman" w:eastAsia="仿宋_GB2312" w:cs="仿宋_GB2312"/>
          <w:kern w:val="2"/>
          <w:sz w:val="28"/>
          <w:szCs w:val="28"/>
          <w:lang w:val="en-US" w:eastAsia="zh-CN" w:bidi="ar"/>
        </w:rPr>
        <w:t>绩效自评结果根据财政的要求在规定的时间和要求进行了网络公开。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E16344"/>
    <w:multiLevelType w:val="singleLevel"/>
    <w:tmpl w:val="E3E16344"/>
    <w:lvl w:ilvl="0" w:tentative="0">
      <w:start w:val="1"/>
      <w:numFmt w:val="decimal"/>
      <w:suff w:val="nothing"/>
      <w:lvlText w:val="%1、"/>
      <w:lvlJc w:val="left"/>
    </w:lvl>
  </w:abstractNum>
  <w:abstractNum w:abstractNumId="1">
    <w:nsid w:val="23E3F1A7"/>
    <w:multiLevelType w:val="singleLevel"/>
    <w:tmpl w:val="23E3F1A7"/>
    <w:lvl w:ilvl="0" w:tentative="0">
      <w:start w:val="1"/>
      <w:numFmt w:val="chineseCounting"/>
      <w:suff w:val="nothing"/>
      <w:lvlText w:val="%1、"/>
      <w:lvlJc w:val="left"/>
      <w:rPr>
        <w:rFonts w:hint="eastAsia"/>
      </w:rPr>
    </w:lvl>
  </w:abstractNum>
  <w:abstractNum w:abstractNumId="2">
    <w:nsid w:val="427804ED"/>
    <w:multiLevelType w:val="singleLevel"/>
    <w:tmpl w:val="427804ED"/>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132AF"/>
    <w:rsid w:val="0D46663A"/>
    <w:rsid w:val="1D0B77BB"/>
    <w:rsid w:val="2AC559D1"/>
    <w:rsid w:val="387B710A"/>
    <w:rsid w:val="45A132AF"/>
    <w:rsid w:val="56D81849"/>
    <w:rsid w:val="5D0541DE"/>
    <w:rsid w:val="5E30278B"/>
    <w:rsid w:val="69861B6D"/>
    <w:rsid w:val="6B540F24"/>
    <w:rsid w:val="72E72502"/>
    <w:rsid w:val="7A0B0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2022-02-22T06:31:00Z</dcterms:created>
  <dc:creator>少言</dc:creator>
  <cp:lastModifiedBy>dell</cp:lastModifiedBy>
  <cp:lastPrinted>2022-02-28T06:32:00Z</cp:lastPrinted>
  <dcterms:modified xsi:type="dcterms:W3CDTF">2022-09-01T02:05:05Z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E6CD988CF6B84001ABD6195F3D28054F</vt:lpwstr>
  </property>
</Properties>
</file>