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仿宋" w:hAnsi="仿宋" w:eastAsia="仿宋" w:cs="Times New Roman"/>
          <w:w w:val="8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5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5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5"/>
        <w:widowControl/>
        <w:spacing w:line="600" w:lineRule="exact"/>
        <w:ind w:left="0" w:firstLine="640" w:firstLineChars="200"/>
        <w:rPr>
          <w:rFonts w:ascii="微软雅黑" w:hAnsi="微软雅黑" w:eastAsia="微软雅黑" w:cs="微软雅黑"/>
          <w:i w:val="0"/>
          <w:caps w:val="0"/>
          <w:color w:val="3F3F3F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2021年其他公共卫生服务经费（主要是新冠疫情防控）共250，40万元，全部用于新型冠状病毒疫情防控有关工作。</w:t>
      </w:r>
    </w:p>
    <w:p>
      <w:pPr>
        <w:pStyle w:val="5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5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5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截至评价日，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我单位共收到其他公共卫生服务经费（主要是新冠疫情防控）专项资金250.40万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，资金到位率100%。</w:t>
      </w:r>
    </w:p>
    <w:p>
      <w:pPr>
        <w:pStyle w:val="5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其他公共卫生服务经费（主要是新冠疫情防控）专项资金250.40万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，全部用于新冠核酸试剂采购、新冠疫情防控资料印刷、新冠实验室运转的必须试剂耗材、新冠临时核酸采样点的运转开支、新冠疫情防控物资储备采购。</w:t>
      </w:r>
    </w:p>
    <w:p>
      <w:pPr>
        <w:pStyle w:val="5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项目严格按照专项资金管理办法使用资金，专人管理，专款专用。</w:t>
      </w:r>
    </w:p>
    <w:p>
      <w:pPr>
        <w:pStyle w:val="2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5"/>
        <w:widowControl/>
        <w:numPr>
          <w:ilvl w:val="0"/>
          <w:numId w:val="2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2021年度累计进行新冠核酸检测总数39043份，人员检测32603人份；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全年累计新冠疫苗接种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439538剂次；成立应急机动队2支，常规机动队3支，建立与公安大数据中心等部门联合流行病学调查机制；配备独立应急物资储备仓库1个。</w:t>
      </w:r>
    </w:p>
    <w:p>
      <w:pPr>
        <w:pStyle w:val="5"/>
        <w:widowControl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提高群众防病能力，控制传染病发生，降低传染病发病率，提高群众生活质量。</w:t>
      </w:r>
    </w:p>
    <w:p>
      <w:pPr>
        <w:pStyle w:val="5"/>
        <w:widowControl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5"/>
        <w:widowControl/>
        <w:numPr>
          <w:ilvl w:val="0"/>
          <w:numId w:val="0"/>
        </w:numPr>
        <w:tabs>
          <w:tab w:val="left" w:pos="1164"/>
        </w:tabs>
        <w:spacing w:line="600" w:lineRule="exact"/>
        <w:ind w:left="86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群众对我单位该项工作的开展落实给予肯定。</w:t>
      </w:r>
    </w:p>
    <w:p>
      <w:pPr>
        <w:pStyle w:val="5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08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  <w:t>新冠疫情防控项目实施未偏离绩效目标。但实验室设备老化，部分实验仪器无法满足现在的检验需求，下一步将建立和完善新冠肺炎等重点病毒性传染病实验室体系；提升中心实验室检测能力，加强和完善突发急性传染病装备配置，统筹满足区域内快速检测需要。</w:t>
      </w:r>
    </w:p>
    <w:p>
      <w:pPr>
        <w:pStyle w:val="5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</w:t>
      </w:r>
    </w:p>
    <w:p>
      <w:pPr>
        <w:ind w:firstLine="608" w:firstLineChars="200"/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  <w:t>严格执行专项项目支出绩效评价管理暂行办法相关规定，积极探索建立与预算编制相结合，及时做好资金使用的监管，使评价结果得到有效运用，并将相应绩效自评结果，按照相关规定予以公开。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64E688"/>
    <w:multiLevelType w:val="singleLevel"/>
    <w:tmpl w:val="A164E68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2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62654"/>
    <w:rsid w:val="02F62654"/>
    <w:rsid w:val="14D3119B"/>
    <w:rsid w:val="168D3CE9"/>
    <w:rsid w:val="1A086C70"/>
    <w:rsid w:val="1D807281"/>
    <w:rsid w:val="22603817"/>
    <w:rsid w:val="2F17188C"/>
    <w:rsid w:val="34802234"/>
    <w:rsid w:val="364137EE"/>
    <w:rsid w:val="42A8769B"/>
    <w:rsid w:val="56257FEC"/>
    <w:rsid w:val="58F87D65"/>
    <w:rsid w:val="597E4CEF"/>
    <w:rsid w:val="5BD42177"/>
    <w:rsid w:val="7E47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2022-02-25T06:58:00Z</dcterms:created>
  <dc:creator>少言</dc:creator>
  <cp:lastModifiedBy>dell</cp:lastModifiedBy>
  <cp:lastPrinted>2022-03-03T02:24:00Z</cp:lastPrinted>
  <dcterms:modified xsi:type="dcterms:W3CDTF">2022-09-01T02:06:30Z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329FB5F8B8D54A0882B526468525154F</vt:lpwstr>
  </property>
</Properties>
</file>