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eastAsia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65"/>
        <w:gridCol w:w="1179"/>
        <w:gridCol w:w="1059"/>
        <w:gridCol w:w="850"/>
        <w:gridCol w:w="85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园区基础设施建设资金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株洲市渌口区人民政府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湖南株洲渌口经济开发区管理委员会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293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273.76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273.76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100%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273.76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273.76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紧紧盯牢重点发展指标，狠抓项目推进，保障入园企业正常生产，保障项目正常实施，一以贯之做好招商引资，扩大招商成效，深入开展产业链招商。强化项目全程跟踪服务，努力提高协议转化率、合同履约率、资金到位率和项目开工率。不遗余力推进重大项目建设，发挥好园区企业服务中心职能，优化项目环境。全力以赴加快基础设施建设。千方百计强化要素保障，抓好土地供应和土地储备，搞好项目用地报批及拆迁。确保园区持续发展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2021年，全年实现技工贸总收入120.91亿元，同比增长42.28%，规模工业增加值29.56亿元，增长80.94%，固定资产投资41.29亿元，增长8.72%，高新技术产品产值66.52亿元，增长87.19%，上交税金2.5亿元，增长3.39%。新引进5000万元以上工业项目28个，总投资26亿元，新开工项目18个，新竣工项目17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新增入园企业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10个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园区质量考核名次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保2争1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  <w:lang w:val="en-US" w:eastAsia="zh-CN" w:bidi="ar"/>
              </w:rPr>
              <w:t>　1.2名次各一个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资金拨付率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成本降低率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7%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3.5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疫情影响，办公费增加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入园企业营业收入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80亿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120.91亿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园区企业税收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2.8亿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2.5亿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9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val="en-US" w:eastAsia="zh-CN"/>
              </w:rPr>
              <w:t>疫情影响，纳税企业产值减少。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入园企业无污染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园区企业社会效益和经济效益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递增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递增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入园企业服务满意度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97.5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65"/>
        <w:gridCol w:w="1179"/>
        <w:gridCol w:w="1059"/>
        <w:gridCol w:w="850"/>
        <w:gridCol w:w="85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园区基础设施建设资金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株洲市渌口区人民政府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湖南株洲渌口经济开发区管理委员会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69352.33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69352.33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100%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69335.3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69335.3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17.03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17.03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紧紧盯牢重点发展指标，狠抓项目推进，保障入园企业正常生产，保障项目正常实施，一以贯之做好招商引资，扩大招商成效，深入开展产业链招商。强化项目全程跟踪服务，努力提高协议转化率、合同履约率、资金到位率和项目开工率。不遗余力推进重大项目建设，发挥好园区企业服务中心职能，优化项目环境。全力以赴加快基础设施建设。千方百计强化要素保障，抓好土地供应和土地储备，搞好项目用地报批及拆迁。确保园区持续发展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2021年，全年实现技工贸总收入120.91亿元，同比增长42.28%，规模工业增加值29.56亿元，增长80.94%，固定资产投资41.29亿元，增长8.72%，高新技术产品产值66.52亿元，增长87.19%，上交税金2.5亿元，增长3.39%。新引进5000万元以上工业项目28个，总投资26亿元，新开工项目18个，新竣工项目17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新增入园企业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10个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园区质量考核名次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保2争1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  <w:lang w:val="en-US" w:eastAsia="zh-CN" w:bidi="ar"/>
              </w:rPr>
              <w:t>　1.2名次各一个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资金拨付率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成本降低率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7%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3.5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疫情影响，办公费增加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入园企业营业收入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80亿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120.91亿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园区企业税收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2.8亿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2.5亿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9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val="en-US" w:eastAsia="zh-CN"/>
              </w:rPr>
              <w:t>疫情影响，纳税企业产值减少。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入园企业无污染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园区企业社会效益和经济效益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递增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递增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入园企业服务满意度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97.5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5</w:t>
      </w:r>
    </w:p>
    <w:p>
      <w:pPr>
        <w:pStyle w:val="7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11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7"/>
        <w:spacing w:line="240" w:lineRule="auto"/>
        <w:ind w:left="0" w:leftChars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根据预算绩效管理要求，2022年2月，本单位组织了相关业务股室对全年项目资金支出进行绩效自评。</w:t>
      </w:r>
    </w:p>
    <w:p>
      <w:pPr>
        <w:pStyle w:val="7"/>
        <w:spacing w:line="240" w:lineRule="auto"/>
        <w:ind w:left="0" w:leftChars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 2021年度园区基础设施建设资金开展了绩效自评，共涉及资金69352.33万元，实际完成项目支出69352.33万元。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从评价情况来看，</w:t>
      </w:r>
      <w:r>
        <w:rPr>
          <w:rFonts w:hint="eastAsia" w:ascii="仿宋_GB2312" w:eastAsia="仿宋_GB2312" w:cs="仿宋_GB2312"/>
          <w:color w:val="4C4C4C"/>
          <w:sz w:val="31"/>
          <w:szCs w:val="31"/>
          <w:lang w:eastAsia="zh-CN"/>
        </w:rPr>
        <w:t>专项支出严格按要求执行，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在建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开发项目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投资支出44228.99万元、土储项目投资支出14458.03万元、园区基础配套设施建设支出6060.85万元、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产业扶持资金4604.46万元，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程序完整、规范，预算执行及时、有效，</w:t>
      </w:r>
      <w:r>
        <w:rPr>
          <w:rFonts w:hint="eastAsia" w:ascii="仿宋_GB2312" w:eastAsia="仿宋_GB2312" w:cs="仿宋_GB2312"/>
          <w:color w:val="4C4C4C"/>
          <w:sz w:val="31"/>
          <w:szCs w:val="31"/>
          <w:lang w:eastAsia="zh-CN"/>
        </w:rPr>
        <w:t>促进园区企业发展壮大，优化园区环境，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绩效目标得到较好实现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11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11"/>
        <w:widowControl/>
        <w:numPr>
          <w:ilvl w:val="0"/>
          <w:numId w:val="1"/>
        </w:numPr>
        <w:tabs>
          <w:tab w:val="left" w:pos="1080"/>
        </w:tabs>
        <w:spacing w:line="600" w:lineRule="exact"/>
        <w:ind w:left="1146" w:leftChars="0" w:hanging="329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11"/>
        <w:widowControl/>
        <w:numPr>
          <w:ilvl w:val="0"/>
          <w:numId w:val="0"/>
        </w:numPr>
        <w:tabs>
          <w:tab w:val="left" w:pos="630"/>
          <w:tab w:val="left" w:pos="1080"/>
        </w:tabs>
        <w:spacing w:line="600" w:lineRule="exact"/>
        <w:ind w:left="0" w:leftChars="0" w:right="0" w:rightChars="0"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2021年度园区基础设施建设资金69352.33万元，实际完成项目支出69352.33万元，全部按进度拨付到位。</w:t>
      </w:r>
    </w:p>
    <w:p>
      <w:pPr>
        <w:pStyle w:val="11"/>
        <w:widowControl/>
        <w:numPr>
          <w:ilvl w:val="0"/>
          <w:numId w:val="1"/>
        </w:numPr>
        <w:tabs>
          <w:tab w:val="left" w:pos="1080"/>
        </w:tabs>
        <w:spacing w:line="600" w:lineRule="exact"/>
        <w:ind w:left="1146" w:leftChars="0" w:hanging="306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spacing w:line="240" w:lineRule="auto"/>
        <w:ind w:left="0" w:leftChars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2021年度园区基础设施建设资金69352.33万元，其中：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在建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开发项目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投资支出44228.99万元、土储项目投资支出14458.03万元、园区基础配套设施建设支出6060.85万元、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产业扶持资金4604.46万元，</w:t>
      </w:r>
      <w:r>
        <w:rPr>
          <w:rFonts w:hint="eastAsia" w:ascii="仿宋_GB2312" w:eastAsia="仿宋_GB2312" w:cs="仿宋_GB2312"/>
          <w:color w:val="4C4C4C"/>
          <w:sz w:val="31"/>
          <w:szCs w:val="31"/>
          <w:lang w:eastAsia="zh-CN"/>
        </w:rPr>
        <w:t>专项支出严格按要求执行，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程序完整、规范，预算执行及时、有效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11"/>
        <w:widowControl/>
        <w:numPr>
          <w:ilvl w:val="0"/>
          <w:numId w:val="1"/>
        </w:numPr>
        <w:tabs>
          <w:tab w:val="left" w:pos="1080"/>
        </w:tabs>
        <w:spacing w:line="600" w:lineRule="exact"/>
        <w:ind w:left="1146" w:leftChars="0" w:hanging="298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7"/>
        <w:spacing w:line="240" w:lineRule="auto"/>
        <w:ind w:left="0" w:leftChars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本单位财务管理严格按政府会计制度以及相关的法律法规执行。对本单位的项目资金实行绩效管理。根据相关政策文件要求，严格审批程序，及时拨付。</w:t>
      </w:r>
    </w:p>
    <w:p>
      <w:pPr>
        <w:pStyle w:val="7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11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数量指标：新增入园企业10个，完成新增17个，比目标任务多7个企业；质量指标：园区质量考核名次保2争1，2021年季度质量考核中，三季度第2名，四季度第1名，达到考核目标；时效指标：资金拨付率100%，资金拨付做到了应拨尽拨，100%完成；成本指标：成本降低率10%，基本支出预算293.29万元，实际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273.76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万元，成本指标降低7%。</w:t>
      </w:r>
    </w:p>
    <w:p>
      <w:pPr>
        <w:pStyle w:val="11"/>
        <w:widowControl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经济效益指标：入园企业营业收入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80亿，完成120.91亿，比目标任务多40.91亿；社会效益指标：园区企业税收完成2.8亿，实际完成2.5亿，比目标任务少0.3亿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；生态效益指标：入园企业无污染100%，实际完成100%；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可持续影响指标：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园区企业社会效益和经济效益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递增，2020年园区企业营业收入83亿，2021年园区企业营业收入120.91亿，较上年度增加了46%；2020年园区企业税收2.4亿，2021年入园企业税收2.5亿，较上年度增加了4.2%。</w:t>
      </w:r>
    </w:p>
    <w:p>
      <w:pPr>
        <w:pStyle w:val="11"/>
        <w:widowControl/>
        <w:numPr>
          <w:ilvl w:val="0"/>
          <w:numId w:val="2"/>
        </w:numPr>
        <w:tabs>
          <w:tab w:val="left" w:pos="1164"/>
        </w:tabs>
        <w:spacing w:line="600" w:lineRule="exact"/>
        <w:ind w:left="1163" w:hanging="303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入园企业服务满意度100%。通过全力满足企业用地用房需求、按时足额拨付企业各类惠企资金、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全力保障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园区企业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疫情防控应急所需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，落实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疫情防控各项措施，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降低疫情对企业的影响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加强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企业服务指导各项工作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、帮助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解决企业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招工用工等各项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问题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等让园区企业满意。</w:t>
      </w:r>
    </w:p>
    <w:p>
      <w:pPr>
        <w:pStyle w:val="11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偏离绩效目标原因：1、基本支出预算293.29万元，实际支出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273.76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万元，成本指标降低7%，未全面完成指标，主要原因是受疫情影响，为做好疫情防控工作，办公费增加；2、园区企业税收完成2.8亿，实际完成2.5亿，比目标任务少0.3亿，主要原因是受疫情影响，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纳税企业产值减少，影响税收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下一步改进措施：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left="0" w:leftChars="0" w:right="0" w:rightChars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加强办公经费支出管理，严格控制支出，降低办公成本；优化营商环境，为园区企业做好服务，帮助企业搞好生产。</w:t>
      </w:r>
    </w:p>
    <w:p>
      <w:pPr>
        <w:pStyle w:val="11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left="0" w:leftChars="0" w:right="0" w:rightChars="0" w:firstLine="419" w:firstLineChars="233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仿宋"/>
          <w:sz w:val="18"/>
          <w:szCs w:val="18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本单位2021年绩效自评结果会应用到2022年绩效评价中，促进我单位明年的工作取得更大的成绩。“2021年绩效自评情况”会在规定的时间内，在株洲市渌口区人民政府门户网公开。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项目支出绩效自评表</w:t>
      </w:r>
    </w:p>
    <w:tbl>
      <w:tblPr>
        <w:tblStyle w:val="8"/>
        <w:tblpPr w:leftFromText="180" w:rightFromText="180" w:vertAnchor="text" w:horzAnchor="page" w:tblpX="1155" w:tblpY="291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079"/>
        <w:gridCol w:w="1125"/>
        <w:gridCol w:w="1035"/>
        <w:gridCol w:w="1374"/>
        <w:gridCol w:w="1059"/>
        <w:gridCol w:w="850"/>
        <w:gridCol w:w="85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招商引资资金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株洲市渌口区人民政府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湖南株洲渌口经济开发区管理委员会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18"/>
                <w:szCs w:val="18"/>
                <w:lang w:val="en-US" w:eastAsia="zh-CN" w:bidi="ar-SA"/>
              </w:rPr>
              <w:t>149.99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149.99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149.99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149.99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紧紧盯牢重点发展指标，狠抓项目推进，保障入园企业正常生产，保障项目正常实施，一以贯之做好招商引资，扩大招商成效，深入开展产业链招商。强化项目全程跟踪服务，努力提高协议转化率、合同履约率、资金到位率和项目开工率。不遗余力推进重大项目建设，发挥好园区企业服务中心职能，优化项目环境。全力以赴加快基础设施建设。千方百计强化要素保障，抓好土地供应和土地储备，搞好项目用地报批及拆迁。确保园区持续发展。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2021年，全年实现技工贸总收入120.91亿元，同比增长42.28%，规模工业增加值29.56亿元，增长80.94%，固定资产投资41.29亿元，增长8.72%，高新技术产品产值66.52亿元，增长87.19%，上交税金2.5亿元，增长3.39%。新引进5000万元以上工业项目28个，总投资26亿元，新开工项目18个，新竣工项目17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新增入园企业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10个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园区质量考核名次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保2争1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1"/>
                <w:szCs w:val="11"/>
                <w:lang w:val="en-US" w:eastAsia="zh-CN" w:bidi="ar"/>
              </w:rPr>
              <w:t>　1.2名次各一个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资金拨付率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成本降低率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7%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3.5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疫情影响，办公费增加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入园企业营业收入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80亿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 w:bidi="ar"/>
              </w:rPr>
              <w:t>　120.91亿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园区企业税收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2.8亿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2.5亿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9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3"/>
                <w:szCs w:val="13"/>
                <w:lang w:val="en-US" w:eastAsia="zh-CN"/>
              </w:rPr>
              <w:t>疫情影响，部分税收减免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入园企业无污染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园区企业社会效益和经济效益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递增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递增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入园企业服务满意度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3"/>
                <w:szCs w:val="13"/>
                <w:lang w:val="en-US" w:eastAsia="zh-CN" w:bidi="ar"/>
              </w:rPr>
              <w:t>　100%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10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97.5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eastAsia="仿宋_GB2312"/>
          <w:kern w:val="0"/>
          <w:szCs w:val="21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年度）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5</w:t>
      </w:r>
    </w:p>
    <w:p>
      <w:pPr>
        <w:pStyle w:val="7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11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11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7"/>
        <w:spacing w:line="240" w:lineRule="auto"/>
        <w:ind w:left="0" w:leftChars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根据预算绩效管理要求，2022年2月，本单位组织了相关业务股室对全年项目资金支出进行绩效自评。</w:t>
      </w:r>
    </w:p>
    <w:p>
      <w:pPr>
        <w:pStyle w:val="7"/>
        <w:spacing w:line="240" w:lineRule="auto"/>
        <w:ind w:left="0" w:leftChars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对2021年度招商引资专项资金开展了绩效自评，共涉及资金149.99万元，实际完成项目支出149.99万元。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从评价情况来看，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2021年新增入园企业17家，较年初计划新增10家入园企业超额完成70%。</w:t>
      </w:r>
    </w:p>
    <w:p>
      <w:pPr>
        <w:pStyle w:val="11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1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5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11"/>
        <w:widowControl/>
        <w:numPr>
          <w:ilvl w:val="0"/>
          <w:numId w:val="0"/>
        </w:numPr>
        <w:tabs>
          <w:tab w:val="left" w:pos="630"/>
          <w:tab w:val="left" w:pos="1080"/>
        </w:tabs>
        <w:spacing w:line="600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2021年度招商引资专项资金149.99万元，实际完成项目支出149.99万元，全部按进度拨付到位。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84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pStyle w:val="7"/>
        <w:spacing w:line="240" w:lineRule="auto"/>
        <w:ind w:left="0" w:leftChars="0" w:right="0"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2021年度招商引资专项资金149.99万元，</w:t>
      </w:r>
      <w:r>
        <w:rPr>
          <w:rFonts w:hint="eastAsia" w:ascii="仿宋_GB2312" w:eastAsia="仿宋_GB2312" w:cs="仿宋_GB2312"/>
          <w:color w:val="4C4C4C"/>
          <w:sz w:val="31"/>
          <w:szCs w:val="31"/>
          <w:lang w:eastAsia="zh-CN"/>
        </w:rPr>
        <w:t>支出严格按要求执行，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程序完整、规范，预算执行及时、有效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11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848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7"/>
        <w:spacing w:line="240" w:lineRule="auto"/>
        <w:ind w:left="0" w:leftChars="0" w:right="0"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本单位财务管理严格按政府会计制度以及相关的法律法规执行。对本单位的项目资金实行绩效管理。根据相关政策文件要求，严格审批程序，及时拨付。</w:t>
      </w:r>
    </w:p>
    <w:p>
      <w:pPr>
        <w:pStyle w:val="7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数量指标：新增入园企业10个，完成新增17个，比目标任务多7个企业；质量指标：园区质量考核名次保2争1，2021年季度质量考核中，三季度第2名，四季度第1名，达到考核目标；时效指标：资金拨付率100%，资金拨付做到了应拨尽拨，100%完成；成本指标：成本降低率10%，基本支出预算293.29万元，实际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273.76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万元，成本指标降低7%。</w:t>
      </w:r>
    </w:p>
    <w:p>
      <w:pPr>
        <w:pStyle w:val="11"/>
        <w:widowControl/>
        <w:numPr>
          <w:ilvl w:val="0"/>
          <w:numId w:val="0"/>
        </w:numPr>
        <w:tabs>
          <w:tab w:val="left" w:pos="1077"/>
        </w:tabs>
        <w:spacing w:line="600" w:lineRule="exact"/>
        <w:ind w:left="78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经济效益指标：入园企业营业收入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80亿，完成120.91亿，比目标任务多40.91亿；社会效益指标：园区企业税收完成2.8亿，实际完成2.5亿，比目标任务少0.3亿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；生态效益指标：入园企业无污染100%，实际完成100%；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可持续影响指标：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园区企业社会效益和经济效益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递增，2020年园区企业营业收入83亿，2021年园区企业营业收入120.91亿，较上年度增加了46%；2020年园区企业税收2.4亿，2021年入园企业税收2.5亿，较上年度增加了4.2%。</w:t>
      </w:r>
    </w:p>
    <w:p>
      <w:pPr>
        <w:pStyle w:val="11"/>
        <w:widowControl/>
        <w:numPr>
          <w:ilvl w:val="0"/>
          <w:numId w:val="0"/>
        </w:numPr>
        <w:tabs>
          <w:tab w:val="left" w:pos="1164"/>
        </w:tabs>
        <w:spacing w:line="600" w:lineRule="exact"/>
        <w:ind w:left="86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11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入园企业服务满意度100%。通过全力满足企业用地用房需求、按时足额拨付企业各类惠企资金、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全力保障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园区企业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疫情防控应急所需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，落实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疫情防控各项措施，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降低疫情对企业的影响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加强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企业服务指导各项工作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"/>
        </w:rPr>
        <w:t>、帮助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解决企业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招工用工等各项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问题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等让园区企业满意。</w:t>
      </w:r>
    </w:p>
    <w:p>
      <w:pPr>
        <w:pStyle w:val="11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偏离绩效目标原因：1、基本支出预算293.29万元，实际支出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273.76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万元，成本指标降低7%，未全面完成指标，主要原因是受疫情影响，为做好疫情防控工作，办公费增加；2、园区企业税收完成2.8亿，实际完成2.5亿，比目标任务少0.3亿，主要原因是受疫情影响，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纳税企业产值减少，影响税收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下一步改进措施：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left="0" w:leftChars="0" w:right="0" w:rightChars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加强办公经费支出管理，严格控制支出，降低办公成本；优化营商环境，为园区企业做好服务，帮助企业搞好生产。</w:t>
      </w:r>
    </w:p>
    <w:p>
      <w:pPr>
        <w:pStyle w:val="11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pStyle w:val="11"/>
        <w:widowControl/>
        <w:numPr>
          <w:ilvl w:val="0"/>
          <w:numId w:val="0"/>
        </w:numPr>
        <w:spacing w:line="600" w:lineRule="exact"/>
        <w:ind w:left="0" w:leftChars="0" w:right="0" w:rightChars="0" w:firstLine="419" w:firstLineChars="233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仿宋"/>
          <w:sz w:val="18"/>
          <w:szCs w:val="18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lang w:val="en-US" w:eastAsia="zh-CN"/>
        </w:rPr>
        <w:t>本单位2021年绩效自评结果会应用到2022年绩效评价中，促进我单位明年的工作取得更大的成绩。“2021年绩效自评情况”会在规定的时间内，在株洲市渌口区人民政府门户网公开。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99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146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63D422D1"/>
    <w:multiLevelType w:val="singleLevel"/>
    <w:tmpl w:val="63D422D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zQyZTIzNTdmZGI1NDhmYTcxMGM2MzgxMDdlN2IifQ=="/>
  </w:docVars>
  <w:rsids>
    <w:rsidRoot w:val="00000000"/>
    <w:rsid w:val="0110316B"/>
    <w:rsid w:val="05016954"/>
    <w:rsid w:val="0D564DFD"/>
    <w:rsid w:val="0DB57CB4"/>
    <w:rsid w:val="0E8845BE"/>
    <w:rsid w:val="14274190"/>
    <w:rsid w:val="1C9A5481"/>
    <w:rsid w:val="20221513"/>
    <w:rsid w:val="215D1658"/>
    <w:rsid w:val="21C276E9"/>
    <w:rsid w:val="22C772A9"/>
    <w:rsid w:val="261D3BE1"/>
    <w:rsid w:val="27327403"/>
    <w:rsid w:val="299A5CC9"/>
    <w:rsid w:val="2B95569E"/>
    <w:rsid w:val="2FD72058"/>
    <w:rsid w:val="37A570FA"/>
    <w:rsid w:val="3D230BB0"/>
    <w:rsid w:val="3E6A6D4F"/>
    <w:rsid w:val="4A9A5B32"/>
    <w:rsid w:val="4AF01932"/>
    <w:rsid w:val="4DA753FD"/>
    <w:rsid w:val="4DD5009E"/>
    <w:rsid w:val="4DD57ADF"/>
    <w:rsid w:val="524C14DA"/>
    <w:rsid w:val="536974C6"/>
    <w:rsid w:val="53CB15B5"/>
    <w:rsid w:val="577C6C0C"/>
    <w:rsid w:val="590F614C"/>
    <w:rsid w:val="5E0A404D"/>
    <w:rsid w:val="607246D5"/>
    <w:rsid w:val="6186789B"/>
    <w:rsid w:val="62CF11B2"/>
    <w:rsid w:val="63B32BC4"/>
    <w:rsid w:val="64CB5136"/>
    <w:rsid w:val="66B06A87"/>
    <w:rsid w:val="6B0851D1"/>
    <w:rsid w:val="6C261044"/>
    <w:rsid w:val="6D3D7B41"/>
    <w:rsid w:val="70361B72"/>
    <w:rsid w:val="7C2966B9"/>
    <w:rsid w:val="7EDE1488"/>
    <w:rsid w:val="7EE17FEB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0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630"/>
      </w:tabs>
      <w:ind w:firstLine="420"/>
    </w:pPr>
  </w:style>
  <w:style w:type="paragraph" w:styleId="3">
    <w:name w:val="Body Text Indent"/>
    <w:basedOn w:val="1"/>
    <w:next w:val="4"/>
    <w:qFormat/>
    <w:uiPriority w:val="0"/>
    <w:pPr>
      <w:tabs>
        <w:tab w:val="left" w:pos="630"/>
      </w:tabs>
      <w:adjustRightInd w:val="0"/>
      <w:ind w:firstLine="630"/>
      <w:textAlignment w:val="baseline"/>
    </w:pPr>
    <w:rPr>
      <w:kern w:val="2"/>
      <w:sz w:val="21"/>
      <w:szCs w:val="24"/>
    </w:rPr>
  </w:style>
  <w:style w:type="paragraph" w:styleId="4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ascii="宋体" w:hAnsi="宋体"/>
      <w:sz w:val="24"/>
      <w:szCs w:val="24"/>
    </w:r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Body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character" w:customStyle="1" w:styleId="10">
    <w:name w:val="标题 1 Char"/>
    <w:basedOn w:val="9"/>
    <w:link w:val="5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2">
    <w:name w:val="正文文本 Char"/>
    <w:basedOn w:val="9"/>
    <w:link w:val="7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character" w:customStyle="1" w:styleId="13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99"/>
    <w:pPr>
      <w:spacing w:line="600" w:lineRule="exact"/>
      <w:ind w:firstLine="420" w:firstLineChars="200"/>
    </w:pPr>
    <w:rPr>
      <w:rFonts w:ascii="Calibri" w:hAnsi="Calibri" w:eastAsia="仿宋_GB2312"/>
      <w:sz w:val="32"/>
    </w:rPr>
  </w:style>
  <w:style w:type="paragraph" w:customStyle="1" w:styleId="15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7056</Words>
  <Characters>8230</Characters>
  <Lines>0</Lines>
  <Paragraphs>0</Paragraphs>
  <TotalTime>14</TotalTime>
  <ScaleCrop>false</ScaleCrop>
  <LinksUpToDate>false</LinksUpToDate>
  <CharactersWithSpaces>8684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Administrator</cp:lastModifiedBy>
  <cp:lastPrinted>2022-03-02T03:46:00Z</cp:lastPrinted>
  <dcterms:modified xsi:type="dcterms:W3CDTF">2022-09-01T06:47:24Z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0D7E33AD496542C8AA699470A9C82F08</vt:lpwstr>
  </property>
</Properties>
</file>